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C5F65B" w14:textId="77777777" w:rsidR="00F571D6" w:rsidRPr="00AB799A" w:rsidRDefault="00F571D6">
      <w:pPr>
        <w:spacing w:before="3" w:line="120" w:lineRule="exact"/>
        <w:rPr>
          <w:rFonts w:ascii="Times New Roman" w:hAnsi="Times New Roman" w:cs="Times New Roman"/>
          <w:sz w:val="24"/>
          <w:szCs w:val="24"/>
        </w:rPr>
      </w:pPr>
    </w:p>
    <w:p w14:paraId="7A88CEE8" w14:textId="2C6908F2" w:rsidR="00F571D6" w:rsidRDefault="00C03810">
      <w:pPr>
        <w:ind w:right="297"/>
        <w:jc w:val="center"/>
        <w:rPr>
          <w:rFonts w:ascii="Times New Roman" w:eastAsia="Times New Roman" w:hAnsi="Times New Roman" w:cs="Times New Roman"/>
          <w:sz w:val="24"/>
          <w:szCs w:val="24"/>
          <w:u w:val="thick" w:color="000000"/>
        </w:rPr>
      </w:pPr>
      <w:r w:rsidRPr="00AB799A">
        <w:rPr>
          <w:rFonts w:ascii="Times New Roman" w:eastAsia="Times New Roman" w:hAnsi="Times New Roman" w:cs="Times New Roman"/>
          <w:spacing w:val="-2"/>
          <w:sz w:val="24"/>
          <w:szCs w:val="24"/>
          <w:u w:val="thick" w:color="000000"/>
        </w:rPr>
        <w:t>DA</w:t>
      </w:r>
      <w:r w:rsidRPr="00AB799A">
        <w:rPr>
          <w:rFonts w:ascii="Times New Roman" w:eastAsia="Times New Roman" w:hAnsi="Times New Roman" w:cs="Times New Roman"/>
          <w:spacing w:val="-1"/>
          <w:sz w:val="24"/>
          <w:szCs w:val="24"/>
          <w:u w:val="thick" w:color="000000"/>
        </w:rPr>
        <w:t>T</w:t>
      </w:r>
      <w:r w:rsidRPr="00AB799A">
        <w:rPr>
          <w:rFonts w:ascii="Times New Roman" w:eastAsia="Times New Roman" w:hAnsi="Times New Roman" w:cs="Times New Roman"/>
          <w:sz w:val="24"/>
          <w:szCs w:val="24"/>
          <w:u w:val="thick" w:color="000000"/>
        </w:rPr>
        <w:t>A</w:t>
      </w:r>
      <w:r w:rsidRPr="00AB799A">
        <w:rPr>
          <w:rFonts w:ascii="Times New Roman" w:eastAsia="Times New Roman" w:hAnsi="Times New Roman" w:cs="Times New Roman"/>
          <w:spacing w:val="-2"/>
          <w:sz w:val="24"/>
          <w:szCs w:val="24"/>
          <w:u w:val="thick" w:color="000000"/>
        </w:rPr>
        <w:t xml:space="preserve"> R</w:t>
      </w:r>
      <w:r w:rsidRPr="00AB799A">
        <w:rPr>
          <w:rFonts w:ascii="Times New Roman" w:eastAsia="Times New Roman" w:hAnsi="Times New Roman" w:cs="Times New Roman"/>
          <w:spacing w:val="-1"/>
          <w:sz w:val="24"/>
          <w:szCs w:val="24"/>
          <w:u w:val="thick" w:color="000000"/>
        </w:rPr>
        <w:t>E</w:t>
      </w:r>
      <w:r w:rsidRPr="00AB799A">
        <w:rPr>
          <w:rFonts w:ascii="Times New Roman" w:eastAsia="Times New Roman" w:hAnsi="Times New Roman" w:cs="Times New Roman"/>
          <w:sz w:val="24"/>
          <w:szCs w:val="24"/>
          <w:u w:val="thick" w:color="000000"/>
        </w:rPr>
        <w:t>Q</w:t>
      </w:r>
      <w:r w:rsidRPr="00AB799A">
        <w:rPr>
          <w:rFonts w:ascii="Times New Roman" w:eastAsia="Times New Roman" w:hAnsi="Times New Roman" w:cs="Times New Roman"/>
          <w:spacing w:val="-2"/>
          <w:sz w:val="24"/>
          <w:szCs w:val="24"/>
          <w:u w:val="thick" w:color="000000"/>
        </w:rPr>
        <w:t>U</w:t>
      </w:r>
      <w:r w:rsidRPr="00AB799A">
        <w:rPr>
          <w:rFonts w:ascii="Times New Roman" w:eastAsia="Times New Roman" w:hAnsi="Times New Roman" w:cs="Times New Roman"/>
          <w:spacing w:val="-1"/>
          <w:sz w:val="24"/>
          <w:szCs w:val="24"/>
          <w:u w:val="thick" w:color="000000"/>
        </w:rPr>
        <w:t>E</w:t>
      </w:r>
      <w:r w:rsidRPr="00AB799A">
        <w:rPr>
          <w:rFonts w:ascii="Times New Roman" w:eastAsia="Times New Roman" w:hAnsi="Times New Roman" w:cs="Times New Roman"/>
          <w:sz w:val="24"/>
          <w:szCs w:val="24"/>
          <w:u w:val="thick" w:color="000000"/>
        </w:rPr>
        <w:t>ST</w:t>
      </w:r>
    </w:p>
    <w:p w14:paraId="5489006F" w14:textId="26E277F8" w:rsidR="007137F2" w:rsidRDefault="007137F2">
      <w:pPr>
        <w:ind w:right="297"/>
        <w:jc w:val="center"/>
        <w:rPr>
          <w:rFonts w:ascii="Times New Roman" w:eastAsia="Times New Roman" w:hAnsi="Times New Roman" w:cs="Times New Roman"/>
          <w:sz w:val="24"/>
          <w:szCs w:val="24"/>
          <w:u w:val="thick" w:color="000000"/>
        </w:rPr>
      </w:pPr>
    </w:p>
    <w:p w14:paraId="5921302C" w14:textId="6941E1F9" w:rsidR="007137F2" w:rsidRDefault="007137F2">
      <w:pPr>
        <w:ind w:right="297"/>
        <w:jc w:val="center"/>
        <w:rPr>
          <w:rFonts w:ascii="Times New Roman" w:eastAsia="Times New Roman" w:hAnsi="Times New Roman" w:cs="Times New Roman"/>
          <w:sz w:val="24"/>
          <w:szCs w:val="24"/>
          <w:u w:val="thick" w:color="000000"/>
        </w:rPr>
      </w:pPr>
    </w:p>
    <w:p w14:paraId="03D7FB27" w14:textId="77777777" w:rsidR="007F6CD5" w:rsidRPr="007F6CD5" w:rsidRDefault="007137F2" w:rsidP="00160749">
      <w:pPr>
        <w:rPr>
          <w:rFonts w:ascii="Times New Roman" w:eastAsia="Times New Roman" w:hAnsi="Times New Roman" w:cs="Times New Roman"/>
          <w:b/>
          <w:bCs/>
          <w:sz w:val="24"/>
          <w:szCs w:val="24"/>
          <w:u w:color="000000"/>
        </w:rPr>
      </w:pPr>
      <w:r w:rsidRPr="007F6CD5">
        <w:rPr>
          <w:rFonts w:ascii="Times New Roman" w:eastAsia="Times New Roman" w:hAnsi="Times New Roman" w:cs="Times New Roman"/>
          <w:b/>
          <w:bCs/>
          <w:sz w:val="24"/>
          <w:szCs w:val="24"/>
          <w:u w:color="000000"/>
        </w:rPr>
        <w:t xml:space="preserve">SDG&amp;E responds as follows to </w:t>
      </w:r>
      <w:r w:rsidR="00160749" w:rsidRPr="007F6CD5">
        <w:rPr>
          <w:rFonts w:ascii="Times New Roman" w:eastAsia="Times New Roman" w:hAnsi="Times New Roman" w:cs="Times New Roman"/>
          <w:b/>
          <w:bCs/>
          <w:sz w:val="24"/>
          <w:szCs w:val="24"/>
          <w:u w:color="000000"/>
        </w:rPr>
        <w:t xml:space="preserve">all questions below: </w:t>
      </w:r>
    </w:p>
    <w:p w14:paraId="70DFB82A" w14:textId="77777777" w:rsidR="007F6CD5" w:rsidRDefault="007F6CD5" w:rsidP="00160749">
      <w:pPr>
        <w:rPr>
          <w:rFonts w:ascii="Times New Roman" w:eastAsia="Times New Roman" w:hAnsi="Times New Roman" w:cs="Times New Roman"/>
          <w:sz w:val="24"/>
          <w:szCs w:val="24"/>
          <w:u w:color="000000"/>
        </w:rPr>
      </w:pPr>
    </w:p>
    <w:p w14:paraId="75D603E7" w14:textId="0FCAC477" w:rsidR="00160749" w:rsidRDefault="00160749" w:rsidP="00160749">
      <w:r>
        <w:rPr>
          <w:rFonts w:ascii="Times New Roman" w:hAnsi="Times New Roman" w:cs="Times New Roman"/>
          <w:sz w:val="24"/>
          <w:szCs w:val="24"/>
        </w:rPr>
        <w:t xml:space="preserve">SDG&amp;E objects to this request as exceeding the scope of permissible discovery under Rules 10.1 and 12.6 of the Commission’s Rules of Practice and Procedure, to the extent that it seeks information that is privileged and/or subject to confidentiality protections under Rule 12.6 governing settlement, and on the grounds that the burden, expense and intrusiveness of this request clearly outweigh the likelihood that the information sought will lead to the discovery of admissible evidence. Subject to and without waiving this objection, SDG&amp;E responds as follows:  Please refer to confidential settlement communications provided under the protection of Rule 12.6. </w:t>
      </w:r>
    </w:p>
    <w:p w14:paraId="5FE75DAA" w14:textId="77777777" w:rsidR="00D124DB" w:rsidRPr="00AB799A" w:rsidRDefault="00D124DB" w:rsidP="00D124DB">
      <w:pPr>
        <w:rPr>
          <w:rFonts w:ascii="Times New Roman" w:hAnsi="Times New Roman" w:cs="Times New Roman"/>
          <w:sz w:val="24"/>
          <w:szCs w:val="24"/>
        </w:rPr>
      </w:pPr>
      <w:bookmarkStart w:id="0" w:name="_GoBack"/>
      <w:bookmarkEnd w:id="0"/>
    </w:p>
    <w:p w14:paraId="5A1C10B5" w14:textId="77777777" w:rsidR="00AB799A" w:rsidRPr="00AB799A" w:rsidRDefault="00AB799A" w:rsidP="00AB799A">
      <w:pPr>
        <w:rPr>
          <w:rFonts w:ascii="Times New Roman" w:hAnsi="Times New Roman" w:cs="Times New Roman"/>
          <w:sz w:val="24"/>
          <w:szCs w:val="24"/>
        </w:rPr>
      </w:pPr>
      <w:r w:rsidRPr="00AB799A">
        <w:rPr>
          <w:rFonts w:ascii="Times New Roman" w:hAnsi="Times New Roman" w:cs="Times New Roman"/>
          <w:sz w:val="24"/>
          <w:szCs w:val="24"/>
        </w:rPr>
        <w:t>Q1.  With regard to the issue of simplification of SDG&amp;E’s tariffs, i.e., providing combined tariffs showing both UDC and Commodity rates, as well as total rates, as provided in  SCE’s and PG&amp;E’s tariffs, and as proposed in the City of San Diego’s Direct Testimony (April 6, 2020, pp.6-9), and SDAP’s Rebuttal Testimony (May 4, 2020, pp.17-19), please answer the following:</w:t>
      </w:r>
    </w:p>
    <w:p w14:paraId="01B9E0FA" w14:textId="77777777" w:rsidR="00AB799A" w:rsidRPr="00AB799A" w:rsidRDefault="00AB799A" w:rsidP="00AB799A">
      <w:pPr>
        <w:rPr>
          <w:rFonts w:ascii="Times New Roman" w:hAnsi="Times New Roman" w:cs="Times New Roman"/>
          <w:sz w:val="24"/>
          <w:szCs w:val="24"/>
        </w:rPr>
      </w:pPr>
    </w:p>
    <w:p w14:paraId="52F88C8B" w14:textId="4FF06B8C" w:rsidR="00AB799A" w:rsidRPr="004C78B3" w:rsidRDefault="00AB799A" w:rsidP="00AB799A">
      <w:pPr>
        <w:pStyle w:val="ListParagraph"/>
        <w:widowControl/>
        <w:numPr>
          <w:ilvl w:val="0"/>
          <w:numId w:val="24"/>
        </w:numPr>
        <w:contextualSpacing/>
        <w:rPr>
          <w:rFonts w:ascii="Times New Roman" w:hAnsi="Times New Roman" w:cs="Times New Roman"/>
          <w:sz w:val="24"/>
          <w:szCs w:val="24"/>
          <w:shd w:val="clear" w:color="auto" w:fill="FFFFFF"/>
        </w:rPr>
      </w:pPr>
      <w:r w:rsidRPr="00AB799A">
        <w:rPr>
          <w:rFonts w:ascii="Times New Roman" w:hAnsi="Times New Roman" w:cs="Times New Roman"/>
          <w:sz w:val="24"/>
          <w:szCs w:val="24"/>
        </w:rPr>
        <w:t>Would SDG&amp;E commit to publishing a cost and feasibility study of establishing combined tariffs in the next Rate Design Window (“RDW”), with a timetable for implementing combined tariffs in the 2024 GRC Phase 2 proceeding?   Please assume, for the purpose of this question, that SDG&amp;E will file an RDW in 2022.</w:t>
      </w:r>
    </w:p>
    <w:p w14:paraId="364B2A8F" w14:textId="77777777" w:rsidR="004C78B3" w:rsidRPr="004C78B3" w:rsidRDefault="004C78B3" w:rsidP="004C78B3">
      <w:pPr>
        <w:widowControl/>
        <w:contextualSpacing/>
        <w:rPr>
          <w:rFonts w:ascii="Times New Roman" w:hAnsi="Times New Roman" w:cs="Times New Roman"/>
          <w:sz w:val="24"/>
          <w:szCs w:val="24"/>
          <w:shd w:val="clear" w:color="auto" w:fill="FFFFFF"/>
        </w:rPr>
      </w:pPr>
    </w:p>
    <w:p w14:paraId="046B029A" w14:textId="77777777" w:rsidR="004C78B3" w:rsidRDefault="00AB799A" w:rsidP="004C78B3">
      <w:pPr>
        <w:pStyle w:val="ListParagraph"/>
        <w:widowControl/>
        <w:numPr>
          <w:ilvl w:val="0"/>
          <w:numId w:val="24"/>
        </w:numPr>
        <w:contextualSpacing/>
        <w:rPr>
          <w:rFonts w:ascii="Times New Roman" w:hAnsi="Times New Roman" w:cs="Times New Roman"/>
          <w:sz w:val="24"/>
          <w:szCs w:val="24"/>
          <w:shd w:val="clear" w:color="auto" w:fill="FFFFFF"/>
        </w:rPr>
      </w:pPr>
      <w:r w:rsidRPr="00AB799A">
        <w:rPr>
          <w:rFonts w:ascii="Times New Roman" w:hAnsi="Times New Roman" w:cs="Times New Roman"/>
          <w:sz w:val="24"/>
          <w:szCs w:val="24"/>
        </w:rPr>
        <w:t>If SDG&amp;E will not make such a commitment, please explain why, given the obvious customer benefits of tariff simplification, SDG&amp;E would not commit to providing a tariff simplification study in a 2022 RDW Application, if filed.</w:t>
      </w:r>
    </w:p>
    <w:p w14:paraId="31E8B063" w14:textId="77777777" w:rsidR="00EF7F7A" w:rsidRDefault="00EF7F7A" w:rsidP="004C78B3">
      <w:pPr>
        <w:pStyle w:val="ListParagraph"/>
        <w:widowControl/>
        <w:ind w:left="720"/>
        <w:contextualSpacing/>
        <w:rPr>
          <w:rFonts w:ascii="Times New Roman" w:hAnsi="Times New Roman" w:cs="Times New Roman"/>
          <w:b/>
          <w:bCs/>
          <w:sz w:val="24"/>
          <w:szCs w:val="24"/>
          <w:shd w:val="clear" w:color="auto" w:fill="FFFFFF"/>
        </w:rPr>
      </w:pPr>
    </w:p>
    <w:p w14:paraId="2A7C6529" w14:textId="77777777" w:rsidR="004C78B3" w:rsidRPr="004C78B3" w:rsidRDefault="004C78B3" w:rsidP="004C78B3">
      <w:pPr>
        <w:widowControl/>
        <w:contextualSpacing/>
        <w:rPr>
          <w:rFonts w:ascii="Times New Roman" w:hAnsi="Times New Roman" w:cs="Times New Roman"/>
          <w:sz w:val="24"/>
          <w:szCs w:val="24"/>
          <w:shd w:val="clear" w:color="auto" w:fill="FFFFFF"/>
        </w:rPr>
      </w:pPr>
    </w:p>
    <w:p w14:paraId="1007BE46" w14:textId="77777777" w:rsidR="00AB799A" w:rsidRPr="00AB799A" w:rsidRDefault="00AB799A" w:rsidP="00AB799A">
      <w:pPr>
        <w:pStyle w:val="ListParagraph"/>
        <w:widowControl/>
        <w:numPr>
          <w:ilvl w:val="0"/>
          <w:numId w:val="24"/>
        </w:numPr>
        <w:contextualSpacing/>
        <w:rPr>
          <w:rFonts w:ascii="Times New Roman" w:hAnsi="Times New Roman" w:cs="Times New Roman"/>
          <w:sz w:val="24"/>
          <w:szCs w:val="24"/>
          <w:shd w:val="clear" w:color="auto" w:fill="FFFFFF"/>
        </w:rPr>
      </w:pPr>
      <w:r w:rsidRPr="00AB799A">
        <w:rPr>
          <w:rFonts w:ascii="Times New Roman" w:hAnsi="Times New Roman" w:cs="Times New Roman"/>
          <w:sz w:val="24"/>
          <w:szCs w:val="24"/>
        </w:rPr>
        <w:t>Prior to any implementation of tariff simplification, would SDG&amp;E consider designing a web-based tariff interface, that would provide customers with total rate information reflecting both the UDC tariff and the Commodity tariff?    For example, such a web-based tariff interface could work as follows:</w:t>
      </w:r>
    </w:p>
    <w:p w14:paraId="141B2D78" w14:textId="77777777" w:rsidR="00AB799A" w:rsidRPr="00AB799A" w:rsidRDefault="00AB799A" w:rsidP="00AB799A">
      <w:pPr>
        <w:rPr>
          <w:rFonts w:ascii="Times New Roman" w:hAnsi="Times New Roman" w:cs="Times New Roman"/>
          <w:sz w:val="24"/>
          <w:szCs w:val="24"/>
          <w:shd w:val="clear" w:color="auto" w:fill="FFFFFF"/>
        </w:rPr>
      </w:pPr>
    </w:p>
    <w:p w14:paraId="71AC043F" w14:textId="77777777" w:rsidR="00AB799A" w:rsidRPr="00AB799A" w:rsidRDefault="00AB799A" w:rsidP="00AB799A">
      <w:pPr>
        <w:widowControl/>
        <w:ind w:left="1440" w:right="720"/>
        <w:rPr>
          <w:rFonts w:ascii="Times New Roman" w:hAnsi="Times New Roman" w:cs="Times New Roman"/>
          <w:sz w:val="24"/>
          <w:szCs w:val="24"/>
        </w:rPr>
      </w:pPr>
      <w:r w:rsidRPr="00AB799A">
        <w:rPr>
          <w:rFonts w:ascii="Times New Roman" w:hAnsi="Times New Roman" w:cs="Times New Roman"/>
          <w:sz w:val="24"/>
          <w:szCs w:val="24"/>
        </w:rPr>
        <w:t>When someone goes on the SDG&amp;E website to search for a UDC rate (say, AL-TOU), there could be a button: “SEE TOTAL RATE”</w:t>
      </w:r>
    </w:p>
    <w:p w14:paraId="6F2BD2CE" w14:textId="77777777" w:rsidR="00AB799A" w:rsidRPr="00AB799A" w:rsidRDefault="00AB799A" w:rsidP="00AB799A">
      <w:pPr>
        <w:widowControl/>
        <w:ind w:left="1440" w:right="720"/>
        <w:rPr>
          <w:rFonts w:ascii="Times New Roman" w:hAnsi="Times New Roman" w:cs="Times New Roman"/>
          <w:sz w:val="24"/>
          <w:szCs w:val="24"/>
        </w:rPr>
      </w:pPr>
      <w:r w:rsidRPr="00AB799A">
        <w:rPr>
          <w:rFonts w:ascii="Times New Roman" w:hAnsi="Times New Roman" w:cs="Times New Roman"/>
          <w:sz w:val="24"/>
          <w:szCs w:val="24"/>
        </w:rPr>
        <w:t> </w:t>
      </w:r>
    </w:p>
    <w:p w14:paraId="7F4314A7" w14:textId="77777777" w:rsidR="00AB799A" w:rsidRPr="00AB799A" w:rsidRDefault="00AB799A" w:rsidP="00AB799A">
      <w:pPr>
        <w:widowControl/>
        <w:ind w:left="1440" w:right="720"/>
        <w:rPr>
          <w:rFonts w:ascii="Times New Roman" w:hAnsi="Times New Roman" w:cs="Times New Roman"/>
          <w:sz w:val="24"/>
          <w:szCs w:val="24"/>
        </w:rPr>
      </w:pPr>
      <w:r w:rsidRPr="00AB799A">
        <w:rPr>
          <w:rFonts w:ascii="Times New Roman" w:hAnsi="Times New Roman" w:cs="Times New Roman"/>
          <w:sz w:val="24"/>
          <w:szCs w:val="24"/>
        </w:rPr>
        <w:t>Clicking on that button would pop up a menu of available EECS (Commodity) rate options, with a short descriptive blurb beside each option.</w:t>
      </w:r>
    </w:p>
    <w:p w14:paraId="4B7C598E" w14:textId="77777777" w:rsidR="00AB799A" w:rsidRPr="00AB799A" w:rsidRDefault="00AB799A" w:rsidP="00AB799A">
      <w:pPr>
        <w:widowControl/>
        <w:ind w:left="1440" w:right="720"/>
        <w:rPr>
          <w:rFonts w:ascii="Times New Roman" w:hAnsi="Times New Roman" w:cs="Times New Roman"/>
          <w:sz w:val="24"/>
          <w:szCs w:val="24"/>
        </w:rPr>
      </w:pPr>
      <w:r w:rsidRPr="00AB799A">
        <w:rPr>
          <w:rFonts w:ascii="Times New Roman" w:hAnsi="Times New Roman" w:cs="Times New Roman"/>
          <w:sz w:val="24"/>
          <w:szCs w:val="24"/>
        </w:rPr>
        <w:t> </w:t>
      </w:r>
    </w:p>
    <w:p w14:paraId="7C848568" w14:textId="77777777" w:rsidR="00AB799A" w:rsidRPr="00AB799A" w:rsidRDefault="00AB799A" w:rsidP="00AB799A">
      <w:pPr>
        <w:widowControl/>
        <w:ind w:left="1440" w:right="720"/>
        <w:rPr>
          <w:rFonts w:ascii="Times New Roman" w:hAnsi="Times New Roman" w:cs="Times New Roman"/>
          <w:sz w:val="24"/>
          <w:szCs w:val="24"/>
        </w:rPr>
      </w:pPr>
      <w:r w:rsidRPr="00AB799A">
        <w:rPr>
          <w:rFonts w:ascii="Times New Roman" w:hAnsi="Times New Roman" w:cs="Times New Roman"/>
          <w:sz w:val="24"/>
          <w:szCs w:val="24"/>
        </w:rPr>
        <w:t>When the customer chooses one of these options, say, EECS-CPP-D:</w:t>
      </w:r>
    </w:p>
    <w:p w14:paraId="02FEEB69" w14:textId="77777777" w:rsidR="00AB799A" w:rsidRPr="00AB799A" w:rsidRDefault="00AB799A" w:rsidP="00AB799A">
      <w:pPr>
        <w:widowControl/>
        <w:ind w:left="1440" w:right="720"/>
        <w:rPr>
          <w:rFonts w:ascii="Times New Roman" w:hAnsi="Times New Roman" w:cs="Times New Roman"/>
          <w:sz w:val="24"/>
          <w:szCs w:val="24"/>
        </w:rPr>
      </w:pPr>
      <w:r w:rsidRPr="00AB799A">
        <w:rPr>
          <w:rFonts w:ascii="Times New Roman" w:hAnsi="Times New Roman" w:cs="Times New Roman"/>
          <w:sz w:val="24"/>
          <w:szCs w:val="24"/>
        </w:rPr>
        <w:t> </w:t>
      </w:r>
    </w:p>
    <w:p w14:paraId="0899BBBE" w14:textId="184F7F67" w:rsidR="00AB799A" w:rsidRPr="00AB799A" w:rsidRDefault="00AB799A" w:rsidP="00AB799A">
      <w:pPr>
        <w:widowControl/>
        <w:ind w:left="1440" w:right="720"/>
        <w:rPr>
          <w:rFonts w:ascii="Times New Roman" w:hAnsi="Times New Roman" w:cs="Times New Roman"/>
          <w:sz w:val="24"/>
          <w:szCs w:val="24"/>
        </w:rPr>
      </w:pPr>
      <w:r w:rsidRPr="00AB799A">
        <w:rPr>
          <w:rFonts w:ascii="Times New Roman" w:hAnsi="Times New Roman" w:cs="Times New Roman"/>
          <w:sz w:val="24"/>
          <w:szCs w:val="24"/>
        </w:rPr>
        <w:t>A window opens showing a spreadsheet with the total rate calculated, by component, and by function (D, T) and G, and displays the total rates for each TOU period, including both energy charges and demand charges.</w:t>
      </w:r>
    </w:p>
    <w:p w14:paraId="0CC41C08" w14:textId="77777777" w:rsidR="00AB799A" w:rsidRPr="00AB799A" w:rsidRDefault="00AB799A" w:rsidP="00AB799A">
      <w:pPr>
        <w:widowControl/>
        <w:ind w:left="1440" w:right="720"/>
        <w:rPr>
          <w:rFonts w:ascii="Times New Roman" w:hAnsi="Times New Roman" w:cs="Times New Roman"/>
          <w:sz w:val="24"/>
          <w:szCs w:val="24"/>
        </w:rPr>
      </w:pPr>
      <w:r w:rsidRPr="00AB799A">
        <w:rPr>
          <w:rFonts w:ascii="Times New Roman" w:hAnsi="Times New Roman" w:cs="Times New Roman"/>
          <w:sz w:val="24"/>
          <w:szCs w:val="24"/>
        </w:rPr>
        <w:t> </w:t>
      </w:r>
    </w:p>
    <w:p w14:paraId="5A740542" w14:textId="5E2078AF" w:rsidR="00AB799A" w:rsidRDefault="00AB799A" w:rsidP="00AB799A">
      <w:pPr>
        <w:widowControl/>
        <w:ind w:left="1440" w:right="720"/>
        <w:rPr>
          <w:rFonts w:ascii="Times New Roman" w:hAnsi="Times New Roman" w:cs="Times New Roman"/>
          <w:sz w:val="24"/>
          <w:szCs w:val="24"/>
        </w:rPr>
      </w:pPr>
      <w:r w:rsidRPr="00AB799A">
        <w:rPr>
          <w:rFonts w:ascii="Times New Roman" w:hAnsi="Times New Roman" w:cs="Times New Roman"/>
          <w:sz w:val="24"/>
          <w:szCs w:val="24"/>
        </w:rPr>
        <w:lastRenderedPageBreak/>
        <w:t>SDAP believes this should be simply a programming exercise and should not take more than a one to 3 months for an experienced programmer.  This “interim programming solution” proposal would not require any changes to the underlying tariffs for its implementation.</w:t>
      </w:r>
    </w:p>
    <w:p w14:paraId="6225D147" w14:textId="77777777" w:rsidR="005F10F4" w:rsidRPr="00AB799A" w:rsidRDefault="005F10F4" w:rsidP="00AB799A">
      <w:pPr>
        <w:widowControl/>
        <w:ind w:left="1440" w:right="720"/>
        <w:rPr>
          <w:rFonts w:ascii="Times New Roman" w:hAnsi="Times New Roman" w:cs="Times New Roman"/>
          <w:sz w:val="24"/>
          <w:szCs w:val="24"/>
        </w:rPr>
      </w:pPr>
    </w:p>
    <w:p w14:paraId="2FFAA5EC" w14:textId="77777777" w:rsidR="00AB799A" w:rsidRPr="00AB799A" w:rsidRDefault="00AB799A" w:rsidP="00AB799A">
      <w:pPr>
        <w:widowControl/>
        <w:rPr>
          <w:rFonts w:ascii="Times New Roman" w:hAnsi="Times New Roman" w:cs="Times New Roman"/>
          <w:sz w:val="24"/>
          <w:szCs w:val="24"/>
        </w:rPr>
      </w:pPr>
      <w:r w:rsidRPr="00AB799A">
        <w:rPr>
          <w:rFonts w:ascii="Times New Roman" w:hAnsi="Times New Roman" w:cs="Times New Roman"/>
          <w:sz w:val="24"/>
          <w:szCs w:val="24"/>
        </w:rPr>
        <w:t> </w:t>
      </w:r>
    </w:p>
    <w:p w14:paraId="3DBC25BA" w14:textId="3CD74166" w:rsidR="00AB799A" w:rsidRDefault="00AB799A" w:rsidP="00AB799A">
      <w:pPr>
        <w:pStyle w:val="ListParagraph"/>
        <w:widowControl/>
        <w:numPr>
          <w:ilvl w:val="0"/>
          <w:numId w:val="24"/>
        </w:numPr>
        <w:contextualSpacing/>
        <w:rPr>
          <w:rFonts w:ascii="Times New Roman" w:hAnsi="Times New Roman" w:cs="Times New Roman"/>
          <w:sz w:val="24"/>
          <w:szCs w:val="24"/>
        </w:rPr>
      </w:pPr>
      <w:r w:rsidRPr="00AB799A">
        <w:rPr>
          <w:rFonts w:ascii="Times New Roman" w:hAnsi="Times New Roman" w:cs="Times New Roman"/>
          <w:sz w:val="24"/>
          <w:szCs w:val="24"/>
        </w:rPr>
        <w:t>If SDG&amp;E is receptive to such an “interim programming solution”, would SDG&amp;E commit to its implementation within 6 months of a final decision in A.19-03-002?</w:t>
      </w:r>
    </w:p>
    <w:p w14:paraId="28F4BBA0" w14:textId="77777777" w:rsidR="004C78B3" w:rsidRPr="004C78B3" w:rsidRDefault="004C78B3" w:rsidP="004C78B3">
      <w:pPr>
        <w:widowControl/>
        <w:contextualSpacing/>
        <w:rPr>
          <w:rFonts w:ascii="Times New Roman" w:hAnsi="Times New Roman" w:cs="Times New Roman"/>
          <w:sz w:val="24"/>
          <w:szCs w:val="24"/>
        </w:rPr>
      </w:pPr>
    </w:p>
    <w:p w14:paraId="760025FC" w14:textId="3EBD75E6" w:rsidR="00AB799A" w:rsidRDefault="00AB799A" w:rsidP="00AB799A">
      <w:pPr>
        <w:pStyle w:val="ListParagraph"/>
        <w:widowControl/>
        <w:numPr>
          <w:ilvl w:val="0"/>
          <w:numId w:val="24"/>
        </w:numPr>
        <w:contextualSpacing/>
        <w:rPr>
          <w:rFonts w:ascii="Times New Roman" w:hAnsi="Times New Roman" w:cs="Times New Roman"/>
          <w:sz w:val="24"/>
          <w:szCs w:val="24"/>
        </w:rPr>
      </w:pPr>
      <w:r w:rsidRPr="00AB799A">
        <w:rPr>
          <w:rFonts w:ascii="Times New Roman" w:hAnsi="Times New Roman" w:cs="Times New Roman"/>
          <w:sz w:val="24"/>
          <w:szCs w:val="24"/>
        </w:rPr>
        <w:t>If not, by what date would SDG&amp;E commit to having such an “interim programming solution” implemented?</w:t>
      </w:r>
    </w:p>
    <w:p w14:paraId="0C61AEB3" w14:textId="77777777" w:rsidR="007B54FC" w:rsidRDefault="007B54FC" w:rsidP="004C78B3">
      <w:pPr>
        <w:pStyle w:val="ListParagraph"/>
        <w:widowControl/>
        <w:ind w:left="720"/>
        <w:contextualSpacing/>
        <w:rPr>
          <w:rFonts w:ascii="Times New Roman" w:hAnsi="Times New Roman" w:cs="Times New Roman"/>
          <w:b/>
          <w:bCs/>
          <w:sz w:val="24"/>
          <w:szCs w:val="24"/>
          <w:shd w:val="clear" w:color="auto" w:fill="FFFFFF"/>
        </w:rPr>
      </w:pPr>
    </w:p>
    <w:p w14:paraId="485ED469" w14:textId="77777777" w:rsidR="00AB799A" w:rsidRPr="00AB799A" w:rsidRDefault="00AB799A" w:rsidP="00AB799A">
      <w:pPr>
        <w:rPr>
          <w:rFonts w:ascii="Times New Roman" w:hAnsi="Times New Roman" w:cs="Times New Roman"/>
          <w:sz w:val="24"/>
          <w:szCs w:val="24"/>
        </w:rPr>
      </w:pPr>
    </w:p>
    <w:p w14:paraId="7907A2D2" w14:textId="77777777" w:rsidR="00AB799A" w:rsidRPr="00AB799A" w:rsidRDefault="00AB799A" w:rsidP="00AB799A">
      <w:pPr>
        <w:rPr>
          <w:rFonts w:ascii="Times New Roman" w:hAnsi="Times New Roman" w:cs="Times New Roman"/>
          <w:sz w:val="24"/>
          <w:szCs w:val="24"/>
        </w:rPr>
      </w:pPr>
    </w:p>
    <w:p w14:paraId="22F22342" w14:textId="77777777" w:rsidR="00BD5171" w:rsidRDefault="00AB799A" w:rsidP="00BD5171">
      <w:pPr>
        <w:rPr>
          <w:rFonts w:ascii="Times New Roman" w:hAnsi="Times New Roman" w:cs="Times New Roman"/>
          <w:sz w:val="24"/>
          <w:szCs w:val="24"/>
        </w:rPr>
      </w:pPr>
      <w:r w:rsidRPr="00AB799A">
        <w:rPr>
          <w:rFonts w:ascii="Times New Roman" w:hAnsi="Times New Roman" w:cs="Times New Roman"/>
          <w:sz w:val="24"/>
          <w:szCs w:val="24"/>
        </w:rPr>
        <w:t>Q2.  Several parties have proposed bifurcating (or trifurcating) the current M/L C&amp;I rate class, for possible implementation in the 2024 GRC Phase 2.</w:t>
      </w:r>
      <w:r w:rsidR="00FB08FD">
        <w:rPr>
          <w:rFonts w:ascii="Times New Roman" w:hAnsi="Times New Roman" w:cs="Times New Roman"/>
          <w:sz w:val="24"/>
          <w:szCs w:val="24"/>
        </w:rPr>
        <w:t xml:space="preserve"> </w:t>
      </w:r>
      <w:r w:rsidRPr="00AB799A">
        <w:rPr>
          <w:rFonts w:ascii="Times New Roman" w:hAnsi="Times New Roman" w:cs="Times New Roman"/>
          <w:sz w:val="24"/>
          <w:szCs w:val="24"/>
        </w:rPr>
        <w:t xml:space="preserve">Assuming that SDG&amp;E would do a study to determine the logical “break points” for bifurcation (or trifurcation), would SDG&amp;E commit to doing and submit such a study, with workpapers, in its next RDW, and prior to the 2024 GRC Phase 2?  </w:t>
      </w:r>
    </w:p>
    <w:p w14:paraId="1CF44ED5" w14:textId="77777777" w:rsidR="00AB799A" w:rsidRPr="00AB799A" w:rsidRDefault="00AB799A" w:rsidP="00AB799A">
      <w:pPr>
        <w:rPr>
          <w:rFonts w:ascii="Times New Roman" w:hAnsi="Times New Roman" w:cs="Times New Roman"/>
          <w:sz w:val="24"/>
          <w:szCs w:val="24"/>
        </w:rPr>
      </w:pPr>
    </w:p>
    <w:p w14:paraId="63811572" w14:textId="7EAD4C0B" w:rsidR="00AB799A" w:rsidRDefault="00AB799A" w:rsidP="00AB799A">
      <w:pPr>
        <w:pStyle w:val="ListParagraph"/>
        <w:widowControl/>
        <w:numPr>
          <w:ilvl w:val="0"/>
          <w:numId w:val="25"/>
        </w:numPr>
        <w:contextualSpacing/>
        <w:rPr>
          <w:rFonts w:ascii="Times New Roman" w:hAnsi="Times New Roman" w:cs="Times New Roman"/>
          <w:sz w:val="24"/>
          <w:szCs w:val="24"/>
        </w:rPr>
      </w:pPr>
      <w:r w:rsidRPr="00AB799A">
        <w:rPr>
          <w:rFonts w:ascii="Times New Roman" w:hAnsi="Times New Roman" w:cs="Times New Roman"/>
          <w:sz w:val="24"/>
          <w:szCs w:val="24"/>
        </w:rPr>
        <w:t>If not, please explain why it would be infeasible for SDG&amp;E to make such a commitment?</w:t>
      </w:r>
    </w:p>
    <w:p w14:paraId="594B3995" w14:textId="48229D8A" w:rsidR="000F6D3A" w:rsidRDefault="000F6D3A" w:rsidP="000F6D3A">
      <w:pPr>
        <w:widowControl/>
        <w:contextualSpacing/>
        <w:rPr>
          <w:rFonts w:ascii="Times New Roman" w:hAnsi="Times New Roman" w:cs="Times New Roman"/>
          <w:sz w:val="24"/>
          <w:szCs w:val="24"/>
        </w:rPr>
      </w:pPr>
    </w:p>
    <w:p w14:paraId="73028A4D" w14:textId="77777777" w:rsidR="000F6D3A" w:rsidRPr="000F6D3A" w:rsidRDefault="000F6D3A" w:rsidP="000F6D3A">
      <w:pPr>
        <w:widowControl/>
        <w:contextualSpacing/>
        <w:rPr>
          <w:rFonts w:ascii="Times New Roman" w:hAnsi="Times New Roman" w:cs="Times New Roman"/>
          <w:sz w:val="24"/>
          <w:szCs w:val="24"/>
        </w:rPr>
      </w:pPr>
    </w:p>
    <w:p w14:paraId="6AF0F8E1" w14:textId="47E53E15" w:rsidR="00CE4E5F" w:rsidRPr="00D02822" w:rsidRDefault="00AB799A" w:rsidP="00CE4E5F">
      <w:pPr>
        <w:pStyle w:val="ListParagraph"/>
        <w:widowControl/>
        <w:numPr>
          <w:ilvl w:val="0"/>
          <w:numId w:val="25"/>
        </w:numPr>
        <w:contextualSpacing/>
        <w:rPr>
          <w:rFonts w:ascii="Times New Roman" w:hAnsi="Times New Roman" w:cs="Times New Roman"/>
          <w:sz w:val="24"/>
          <w:szCs w:val="24"/>
        </w:rPr>
      </w:pPr>
      <w:r w:rsidRPr="00AB799A">
        <w:rPr>
          <w:rFonts w:ascii="Times New Roman" w:hAnsi="Times New Roman" w:cs="Times New Roman"/>
          <w:sz w:val="24"/>
          <w:szCs w:val="24"/>
        </w:rPr>
        <w:t>If SDG&amp;E cannot commit to filing such a study in its next RDW, would it commit to filing such a study (as well as the data and analysis underlying the study) six months before it files its 2024 GRC Phase 2 so that parties will have adequate time to perform their own analyses of SDG&amp;E’s data?</w:t>
      </w:r>
    </w:p>
    <w:p w14:paraId="3793B094" w14:textId="77777777" w:rsidR="00CE4E5F" w:rsidRPr="00CE4E5F" w:rsidRDefault="00CE4E5F" w:rsidP="00CE4E5F">
      <w:pPr>
        <w:widowControl/>
        <w:contextualSpacing/>
        <w:rPr>
          <w:rFonts w:ascii="Times New Roman" w:hAnsi="Times New Roman" w:cs="Times New Roman"/>
          <w:sz w:val="24"/>
          <w:szCs w:val="24"/>
        </w:rPr>
      </w:pPr>
    </w:p>
    <w:p w14:paraId="42F72B6A" w14:textId="5C2A6655" w:rsidR="00B56AEC" w:rsidRDefault="00BB5784" w:rsidP="00AB799A">
      <w:pPr>
        <w:rPr>
          <w:rFonts w:ascii="Times New Roman" w:hAnsi="Times New Roman" w:cs="Times New Roman"/>
          <w:sz w:val="24"/>
          <w:szCs w:val="24"/>
        </w:rPr>
      </w:pPr>
      <w:r>
        <w:rPr>
          <w:rFonts w:ascii="Times New Roman" w:hAnsi="Times New Roman" w:cs="Times New Roman"/>
          <w:sz w:val="24"/>
          <w:szCs w:val="24"/>
        </w:rPr>
        <w:tab/>
      </w:r>
      <w:r w:rsidR="00AB799A" w:rsidRPr="00AB799A">
        <w:rPr>
          <w:rFonts w:ascii="Times New Roman" w:hAnsi="Times New Roman" w:cs="Times New Roman"/>
          <w:sz w:val="24"/>
          <w:szCs w:val="24"/>
        </w:rPr>
        <w:t>If not, why not?</w:t>
      </w:r>
    </w:p>
    <w:p w14:paraId="16D3051E" w14:textId="38780387" w:rsidR="00CE4E5F" w:rsidRDefault="00CE4E5F" w:rsidP="00AB799A">
      <w:pPr>
        <w:rPr>
          <w:rFonts w:ascii="Times New Roman" w:hAnsi="Times New Roman" w:cs="Times New Roman"/>
          <w:sz w:val="24"/>
          <w:szCs w:val="24"/>
        </w:rPr>
      </w:pPr>
    </w:p>
    <w:p w14:paraId="0B2C5F55" w14:textId="408B8445" w:rsidR="00CE4E5F" w:rsidRPr="00BB5784" w:rsidRDefault="00CE4E5F" w:rsidP="00CE4E5F">
      <w:pPr>
        <w:widowControl/>
        <w:contextualSpacing/>
        <w:rPr>
          <w:rFonts w:ascii="Times New Roman" w:hAnsi="Times New Roman" w:cs="Times New Roman"/>
          <w:sz w:val="24"/>
          <w:szCs w:val="24"/>
          <w:shd w:val="clear" w:color="auto" w:fill="FFFFFF"/>
        </w:rPr>
      </w:pPr>
      <w:r>
        <w:rPr>
          <w:rFonts w:ascii="Times New Roman" w:hAnsi="Times New Roman" w:cs="Times New Roman"/>
          <w:b/>
          <w:bCs/>
          <w:sz w:val="24"/>
          <w:szCs w:val="24"/>
          <w:shd w:val="clear" w:color="auto" w:fill="FFFFFF"/>
        </w:rPr>
        <w:tab/>
      </w:r>
    </w:p>
    <w:p w14:paraId="6F2C224A" w14:textId="77777777" w:rsidR="00CE4E5F" w:rsidRPr="00AB799A" w:rsidRDefault="00CE4E5F" w:rsidP="00AB799A">
      <w:pPr>
        <w:rPr>
          <w:rFonts w:ascii="Times New Roman" w:eastAsia="Times New Roman" w:hAnsi="Times New Roman" w:cs="Times New Roman"/>
          <w:sz w:val="24"/>
          <w:szCs w:val="24"/>
          <w:u w:color="000000"/>
        </w:rPr>
      </w:pPr>
    </w:p>
    <w:sectPr w:rsidR="00CE4E5F" w:rsidRPr="00AB799A">
      <w:headerReference w:type="default" r:id="rId11"/>
      <w:footerReference w:type="default" r:id="rId12"/>
      <w:pgSz w:w="12240" w:h="15840"/>
      <w:pgMar w:top="1480" w:right="1220" w:bottom="1140" w:left="1180" w:header="0" w:footer="9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B60E55" w14:textId="77777777" w:rsidR="000D438F" w:rsidRDefault="000D438F">
      <w:r>
        <w:separator/>
      </w:r>
    </w:p>
  </w:endnote>
  <w:endnote w:type="continuationSeparator" w:id="0">
    <w:p w14:paraId="5566875E" w14:textId="77777777" w:rsidR="000D438F" w:rsidRDefault="000D438F">
      <w:r>
        <w:continuationSeparator/>
      </w:r>
    </w:p>
  </w:endnote>
  <w:endnote w:type="continuationNotice" w:id="1">
    <w:p w14:paraId="6F8EA051" w14:textId="77777777" w:rsidR="000D438F" w:rsidRDefault="000D43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8332641"/>
      <w:docPartObj>
        <w:docPartGallery w:val="Page Numbers (Bottom of Page)"/>
        <w:docPartUnique/>
      </w:docPartObj>
    </w:sdtPr>
    <w:sdtEndPr>
      <w:rPr>
        <w:noProof/>
      </w:rPr>
    </w:sdtEndPr>
    <w:sdtContent>
      <w:p w14:paraId="3F6DD083" w14:textId="129CA02B" w:rsidR="00257835" w:rsidRDefault="00257835">
        <w:pPr>
          <w:pStyle w:val="Footer"/>
          <w:jc w:val="right"/>
        </w:pPr>
        <w:r>
          <w:fldChar w:fldCharType="begin"/>
        </w:r>
        <w:r>
          <w:instrText xml:space="preserve"> PAGE   \* MERGEFORMAT </w:instrText>
        </w:r>
        <w:r>
          <w:fldChar w:fldCharType="separate"/>
        </w:r>
        <w:r w:rsidR="00B670B5">
          <w:rPr>
            <w:noProof/>
          </w:rPr>
          <w:t>1</w:t>
        </w:r>
        <w:r>
          <w:rPr>
            <w:noProof/>
          </w:rPr>
          <w:fldChar w:fldCharType="end"/>
        </w:r>
      </w:p>
    </w:sdtContent>
  </w:sdt>
  <w:p w14:paraId="30DA468B" w14:textId="1C52C22D" w:rsidR="00257835" w:rsidRDefault="00257835">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9852A1" w14:textId="77777777" w:rsidR="000D438F" w:rsidRDefault="000D438F">
      <w:r>
        <w:separator/>
      </w:r>
    </w:p>
  </w:footnote>
  <w:footnote w:type="continuationSeparator" w:id="0">
    <w:p w14:paraId="522F1C98" w14:textId="77777777" w:rsidR="000D438F" w:rsidRDefault="000D438F">
      <w:r>
        <w:continuationSeparator/>
      </w:r>
    </w:p>
  </w:footnote>
  <w:footnote w:type="continuationNotice" w:id="1">
    <w:p w14:paraId="72507879" w14:textId="77777777" w:rsidR="000D438F" w:rsidRDefault="000D43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6C1B7" w14:textId="77777777" w:rsidR="00257835" w:rsidRDefault="00257835" w:rsidP="00E904AE">
    <w:pPr>
      <w:pStyle w:val="Default"/>
      <w:jc w:val="center"/>
      <w:rPr>
        <w:b/>
        <w:bCs/>
        <w:sz w:val="23"/>
        <w:szCs w:val="23"/>
      </w:rPr>
    </w:pPr>
    <w:r>
      <w:rPr>
        <w:b/>
        <w:bCs/>
        <w:sz w:val="23"/>
        <w:szCs w:val="23"/>
      </w:rPr>
      <w:softHyphen/>
    </w:r>
    <w:r>
      <w:rPr>
        <w:b/>
        <w:bCs/>
        <w:sz w:val="23"/>
        <w:szCs w:val="23"/>
      </w:rPr>
      <w:softHyphen/>
    </w:r>
    <w:r>
      <w:rPr>
        <w:b/>
        <w:bCs/>
        <w:sz w:val="23"/>
        <w:szCs w:val="23"/>
      </w:rPr>
      <w:softHyphen/>
    </w:r>
    <w:r>
      <w:rPr>
        <w:b/>
        <w:bCs/>
        <w:sz w:val="23"/>
        <w:szCs w:val="23"/>
      </w:rPr>
      <w:softHyphen/>
    </w:r>
    <w:r>
      <w:rPr>
        <w:b/>
        <w:bCs/>
        <w:sz w:val="23"/>
        <w:szCs w:val="23"/>
      </w:rPr>
      <w:softHyphen/>
    </w:r>
    <w:r>
      <w:rPr>
        <w:b/>
        <w:bCs/>
        <w:sz w:val="23"/>
        <w:szCs w:val="23"/>
      </w:rPr>
      <w:softHyphen/>
    </w:r>
  </w:p>
  <w:p w14:paraId="66AAF096" w14:textId="42BBC5EB" w:rsidR="009D6650" w:rsidRPr="00BB3B03" w:rsidRDefault="009B4739" w:rsidP="009D6650">
    <w:pPr>
      <w:pStyle w:val="ListParagraph"/>
      <w:jc w:val="center"/>
      <w:rPr>
        <w:rFonts w:ascii="Times New Roman" w:hAnsi="Times New Roman" w:cs="Times New Roman"/>
        <w:b/>
      </w:rPr>
    </w:pPr>
    <w:r>
      <w:rPr>
        <w:rFonts w:ascii="Times New Roman" w:hAnsi="Times New Roman" w:cs="Times New Roman"/>
        <w:b/>
      </w:rPr>
      <w:t>SDAP Data Request</w:t>
    </w:r>
    <w:r w:rsidR="004B285E">
      <w:rPr>
        <w:rFonts w:ascii="Times New Roman" w:hAnsi="Times New Roman" w:cs="Times New Roman"/>
        <w:b/>
      </w:rPr>
      <w:t xml:space="preserve"> 0</w:t>
    </w:r>
    <w:r w:rsidR="00B711B1">
      <w:rPr>
        <w:rFonts w:ascii="Times New Roman" w:hAnsi="Times New Roman" w:cs="Times New Roman"/>
        <w:b/>
      </w:rPr>
      <w:t>9</w:t>
    </w:r>
    <w:r w:rsidR="009D6650" w:rsidRPr="00BB3B03">
      <w:rPr>
        <w:rFonts w:ascii="Times New Roman" w:hAnsi="Times New Roman" w:cs="Times New Roman"/>
        <w:b/>
      </w:rPr>
      <w:br/>
      <w:t>SDG&amp;E PHASE 2 GRC PROCEEDING</w:t>
    </w:r>
    <w:r>
      <w:rPr>
        <w:rFonts w:ascii="Times New Roman" w:hAnsi="Times New Roman" w:cs="Times New Roman"/>
        <w:b/>
      </w:rPr>
      <w:t xml:space="preserve"> </w:t>
    </w:r>
    <w:r w:rsidR="009D6650" w:rsidRPr="00BB3B03">
      <w:rPr>
        <w:rFonts w:ascii="Times New Roman" w:hAnsi="Times New Roman" w:cs="Times New Roman"/>
        <w:b/>
      </w:rPr>
      <w:t>- A.19-0</w:t>
    </w:r>
    <w:r w:rsidR="00F25E6E">
      <w:rPr>
        <w:rFonts w:ascii="Times New Roman" w:hAnsi="Times New Roman" w:cs="Times New Roman"/>
        <w:b/>
      </w:rPr>
      <w:t>3</w:t>
    </w:r>
    <w:r w:rsidR="009D6650" w:rsidRPr="00BB3B03">
      <w:rPr>
        <w:rFonts w:ascii="Times New Roman" w:hAnsi="Times New Roman" w:cs="Times New Roman"/>
        <w:b/>
      </w:rPr>
      <w:t>-00</w:t>
    </w:r>
    <w:r w:rsidR="00F25E6E">
      <w:rPr>
        <w:rFonts w:ascii="Times New Roman" w:hAnsi="Times New Roman" w:cs="Times New Roman"/>
        <w:b/>
      </w:rPr>
      <w:t>2</w:t>
    </w:r>
    <w:r w:rsidR="009D6650" w:rsidRPr="00BB3B03">
      <w:rPr>
        <w:rFonts w:ascii="Times New Roman" w:hAnsi="Times New Roman" w:cs="Times New Roman"/>
        <w:b/>
      </w:rPr>
      <w:br/>
      <w:t xml:space="preserve">DATE RECEIVED: </w:t>
    </w:r>
    <w:r w:rsidR="00AB799A">
      <w:rPr>
        <w:rFonts w:ascii="Times New Roman" w:hAnsi="Times New Roman" w:cs="Times New Roman"/>
        <w:b/>
      </w:rPr>
      <w:t>J</w:t>
    </w:r>
    <w:r w:rsidR="00983451">
      <w:rPr>
        <w:rFonts w:ascii="Times New Roman" w:hAnsi="Times New Roman" w:cs="Times New Roman"/>
        <w:b/>
      </w:rPr>
      <w:t xml:space="preserve">une </w:t>
    </w:r>
    <w:r w:rsidR="00B711B1">
      <w:rPr>
        <w:rFonts w:ascii="Times New Roman" w:hAnsi="Times New Roman" w:cs="Times New Roman"/>
        <w:b/>
      </w:rPr>
      <w:t>18</w:t>
    </w:r>
    <w:r w:rsidR="009D6650" w:rsidRPr="00BB3B03">
      <w:rPr>
        <w:rFonts w:ascii="Times New Roman" w:hAnsi="Times New Roman" w:cs="Times New Roman"/>
        <w:b/>
      </w:rPr>
      <w:t>, 20</w:t>
    </w:r>
    <w:r w:rsidR="004A3EC2">
      <w:rPr>
        <w:rFonts w:ascii="Times New Roman" w:hAnsi="Times New Roman" w:cs="Times New Roman"/>
        <w:b/>
      </w:rPr>
      <w:t>20</w:t>
    </w:r>
  </w:p>
  <w:p w14:paraId="46DCAB12" w14:textId="4889E285" w:rsidR="009D6650" w:rsidRPr="00BB3B03" w:rsidRDefault="009D6650" w:rsidP="009D6650">
    <w:pPr>
      <w:pStyle w:val="ListParagraph"/>
      <w:jc w:val="center"/>
      <w:rPr>
        <w:rFonts w:ascii="Times New Roman" w:hAnsi="Times New Roman" w:cs="Times New Roman"/>
        <w:b/>
      </w:rPr>
    </w:pPr>
    <w:r w:rsidRPr="00BB3B03">
      <w:rPr>
        <w:rFonts w:ascii="Times New Roman" w:hAnsi="Times New Roman" w:cs="Times New Roman"/>
        <w:b/>
      </w:rPr>
      <w:t>DATE RESPONDED:</w:t>
    </w:r>
    <w:r>
      <w:rPr>
        <w:rFonts w:ascii="Times New Roman" w:hAnsi="Times New Roman" w:cs="Times New Roman"/>
        <w:b/>
      </w:rPr>
      <w:t xml:space="preserve"> </w:t>
    </w:r>
    <w:r w:rsidR="00983451">
      <w:rPr>
        <w:rFonts w:ascii="Times New Roman" w:hAnsi="Times New Roman" w:cs="Times New Roman"/>
        <w:b/>
      </w:rPr>
      <w:t>Ju</w:t>
    </w:r>
    <w:r w:rsidR="009A53CA">
      <w:rPr>
        <w:rFonts w:ascii="Times New Roman" w:hAnsi="Times New Roman" w:cs="Times New Roman"/>
        <w:b/>
      </w:rPr>
      <w:t>ne</w:t>
    </w:r>
    <w:r w:rsidR="00983451">
      <w:rPr>
        <w:rFonts w:ascii="Times New Roman" w:hAnsi="Times New Roman" w:cs="Times New Roman"/>
        <w:b/>
      </w:rPr>
      <w:t xml:space="preserve"> </w:t>
    </w:r>
    <w:r w:rsidR="009A53CA">
      <w:rPr>
        <w:rFonts w:ascii="Times New Roman" w:hAnsi="Times New Roman" w:cs="Times New Roman"/>
        <w:b/>
      </w:rPr>
      <w:t>30</w:t>
    </w:r>
    <w:r w:rsidR="00F25E6E">
      <w:rPr>
        <w:rFonts w:ascii="Times New Roman" w:hAnsi="Times New Roman" w:cs="Times New Roman"/>
        <w:b/>
      </w:rPr>
      <w:t>, 20</w:t>
    </w:r>
    <w:r w:rsidR="009B5818">
      <w:rPr>
        <w:rFonts w:ascii="Times New Roman" w:hAnsi="Times New Roman" w:cs="Times New Roman"/>
        <w:b/>
      </w:rPr>
      <w:t>20</w:t>
    </w:r>
  </w:p>
  <w:p w14:paraId="25BD10E8" w14:textId="77777777" w:rsidR="00257835" w:rsidRDefault="002578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3F23AF5"/>
    <w:multiLevelType w:val="hybridMultilevel"/>
    <w:tmpl w:val="63CCEBA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A37B54"/>
    <w:multiLevelType w:val="hybridMultilevel"/>
    <w:tmpl w:val="776E54E4"/>
    <w:lvl w:ilvl="0" w:tplc="0409000F">
      <w:start w:val="1"/>
      <w:numFmt w:val="decimal"/>
      <w:lvlText w:val="%1."/>
      <w:lvlJc w:val="left"/>
      <w:pPr>
        <w:ind w:left="720" w:hanging="360"/>
      </w:pPr>
      <w:rPr>
        <w:rFonts w:hint="default"/>
      </w:rPr>
    </w:lvl>
    <w:lvl w:ilvl="1" w:tplc="23A01ED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60038"/>
    <w:multiLevelType w:val="hybridMultilevel"/>
    <w:tmpl w:val="ED70A1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571E79"/>
    <w:multiLevelType w:val="hybridMultilevel"/>
    <w:tmpl w:val="73841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14B33"/>
    <w:multiLevelType w:val="hybridMultilevel"/>
    <w:tmpl w:val="6EDC76D8"/>
    <w:lvl w:ilvl="0" w:tplc="93F23040">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D57065E"/>
    <w:multiLevelType w:val="hybridMultilevel"/>
    <w:tmpl w:val="03A4FD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0483F0A"/>
    <w:multiLevelType w:val="multilevel"/>
    <w:tmpl w:val="8144AC86"/>
    <w:lvl w:ilvl="0">
      <w:start w:val="1"/>
      <w:numFmt w:val="decimal"/>
      <w:lvlText w:val="%1."/>
      <w:lvlJc w:val="left"/>
      <w:pPr>
        <w:tabs>
          <w:tab w:val="num" w:pos="630"/>
        </w:tabs>
        <w:ind w:left="63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6031FB0"/>
    <w:multiLevelType w:val="multilevel"/>
    <w:tmpl w:val="BE92842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26D155CC"/>
    <w:multiLevelType w:val="hybridMultilevel"/>
    <w:tmpl w:val="7A7E9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977E68"/>
    <w:multiLevelType w:val="hybridMultilevel"/>
    <w:tmpl w:val="563A472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34A307B6"/>
    <w:multiLevelType w:val="hybridMultilevel"/>
    <w:tmpl w:val="16EA4DB4"/>
    <w:lvl w:ilvl="0" w:tplc="546045B2">
      <w:start w:val="1"/>
      <w:numFmt w:val="upperLetter"/>
      <w:lvlText w:val="%1."/>
      <w:lvlJc w:val="left"/>
      <w:pPr>
        <w:ind w:hanging="361"/>
      </w:pPr>
      <w:rPr>
        <w:rFonts w:ascii="Times New Roman" w:eastAsia="Times New Roman" w:hAnsi="Times New Roman" w:hint="default"/>
        <w:spacing w:val="-1"/>
        <w:sz w:val="22"/>
        <w:szCs w:val="22"/>
      </w:rPr>
    </w:lvl>
    <w:lvl w:ilvl="1" w:tplc="3948D4D2">
      <w:start w:val="1"/>
      <w:numFmt w:val="decimal"/>
      <w:lvlText w:val="%2."/>
      <w:lvlJc w:val="left"/>
      <w:pPr>
        <w:ind w:hanging="360"/>
      </w:pPr>
      <w:rPr>
        <w:rFonts w:ascii="Times New Roman" w:eastAsia="Times New Roman" w:hAnsi="Times New Roman" w:hint="default"/>
        <w:sz w:val="24"/>
        <w:szCs w:val="24"/>
      </w:rPr>
    </w:lvl>
    <w:lvl w:ilvl="2" w:tplc="F53ED514">
      <w:start w:val="1"/>
      <w:numFmt w:val="lowerLetter"/>
      <w:lvlText w:val="%3."/>
      <w:lvlJc w:val="left"/>
      <w:pPr>
        <w:ind w:hanging="360"/>
        <w:jc w:val="right"/>
      </w:pPr>
      <w:rPr>
        <w:rFonts w:ascii="Times New Roman" w:eastAsia="Times New Roman" w:hAnsi="Times New Roman" w:hint="default"/>
        <w:spacing w:val="-1"/>
        <w:sz w:val="24"/>
        <w:szCs w:val="24"/>
      </w:rPr>
    </w:lvl>
    <w:lvl w:ilvl="3" w:tplc="E480AD78">
      <w:start w:val="1"/>
      <w:numFmt w:val="lowerRoman"/>
      <w:lvlText w:val="%4."/>
      <w:lvlJc w:val="left"/>
      <w:pPr>
        <w:ind w:hanging="308"/>
        <w:jc w:val="right"/>
      </w:pPr>
      <w:rPr>
        <w:rFonts w:ascii="Times New Roman" w:eastAsia="Times New Roman" w:hAnsi="Times New Roman" w:hint="default"/>
        <w:sz w:val="24"/>
        <w:szCs w:val="24"/>
      </w:rPr>
    </w:lvl>
    <w:lvl w:ilvl="4" w:tplc="81F621A4">
      <w:start w:val="1"/>
      <w:numFmt w:val="bullet"/>
      <w:lvlText w:val="•"/>
      <w:lvlJc w:val="left"/>
      <w:rPr>
        <w:rFonts w:hint="default"/>
      </w:rPr>
    </w:lvl>
    <w:lvl w:ilvl="5" w:tplc="EA229F24">
      <w:start w:val="1"/>
      <w:numFmt w:val="bullet"/>
      <w:lvlText w:val="•"/>
      <w:lvlJc w:val="left"/>
      <w:rPr>
        <w:rFonts w:hint="default"/>
      </w:rPr>
    </w:lvl>
    <w:lvl w:ilvl="6" w:tplc="ACE2DC56">
      <w:start w:val="1"/>
      <w:numFmt w:val="bullet"/>
      <w:lvlText w:val="•"/>
      <w:lvlJc w:val="left"/>
      <w:rPr>
        <w:rFonts w:hint="default"/>
      </w:rPr>
    </w:lvl>
    <w:lvl w:ilvl="7" w:tplc="898C3E08">
      <w:start w:val="1"/>
      <w:numFmt w:val="bullet"/>
      <w:lvlText w:val="•"/>
      <w:lvlJc w:val="left"/>
      <w:rPr>
        <w:rFonts w:hint="default"/>
      </w:rPr>
    </w:lvl>
    <w:lvl w:ilvl="8" w:tplc="37D2C976">
      <w:start w:val="1"/>
      <w:numFmt w:val="bullet"/>
      <w:lvlText w:val="•"/>
      <w:lvlJc w:val="left"/>
      <w:rPr>
        <w:rFonts w:hint="default"/>
      </w:rPr>
    </w:lvl>
  </w:abstractNum>
  <w:abstractNum w:abstractNumId="11" w15:restartNumberingAfterBreak="0">
    <w:nsid w:val="3E16042F"/>
    <w:multiLevelType w:val="multilevel"/>
    <w:tmpl w:val="8144AC86"/>
    <w:lvl w:ilvl="0">
      <w:start w:val="1"/>
      <w:numFmt w:val="decimal"/>
      <w:lvlText w:val="%1."/>
      <w:lvlJc w:val="left"/>
      <w:pPr>
        <w:tabs>
          <w:tab w:val="num" w:pos="630"/>
        </w:tabs>
        <w:ind w:left="63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0DB331A"/>
    <w:multiLevelType w:val="hybridMultilevel"/>
    <w:tmpl w:val="5D0AA1DA"/>
    <w:lvl w:ilvl="0" w:tplc="B9DE1F4A">
      <w:start w:val="1"/>
      <w:numFmt w:val="upperLetter"/>
      <w:pStyle w:val="Style2"/>
      <w:lvlText w:val="%1."/>
      <w:lvlJc w:val="left"/>
      <w:pPr>
        <w:ind w:left="1080"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191688C"/>
    <w:multiLevelType w:val="hybridMultilevel"/>
    <w:tmpl w:val="0832BD7C"/>
    <w:lvl w:ilvl="0" w:tplc="D6BEFA1A">
      <w:start w:val="1"/>
      <w:numFmt w:val="bullet"/>
      <w:lvlText w:val=""/>
      <w:lvlJc w:val="left"/>
      <w:pPr>
        <w:ind w:left="720" w:hanging="360"/>
      </w:pPr>
      <w:rPr>
        <w:rFonts w:ascii="Symbol" w:hAnsi="Symbol" w:hint="default"/>
      </w:rPr>
    </w:lvl>
    <w:lvl w:ilvl="1" w:tplc="7DD0104A">
      <w:start w:val="1"/>
      <w:numFmt w:val="bullet"/>
      <w:lvlText w:val="o"/>
      <w:lvlJc w:val="left"/>
      <w:pPr>
        <w:ind w:left="1440" w:hanging="360"/>
      </w:pPr>
      <w:rPr>
        <w:rFonts w:ascii="Courier New" w:hAnsi="Courier New" w:hint="default"/>
      </w:rPr>
    </w:lvl>
    <w:lvl w:ilvl="2" w:tplc="5BB0D584">
      <w:start w:val="1"/>
      <w:numFmt w:val="bullet"/>
      <w:lvlText w:val=""/>
      <w:lvlJc w:val="left"/>
      <w:pPr>
        <w:ind w:left="2160" w:hanging="360"/>
      </w:pPr>
      <w:rPr>
        <w:rFonts w:ascii="Wingdings" w:hAnsi="Wingdings" w:hint="default"/>
      </w:rPr>
    </w:lvl>
    <w:lvl w:ilvl="3" w:tplc="E9D29B86">
      <w:start w:val="1"/>
      <w:numFmt w:val="bullet"/>
      <w:lvlText w:val=""/>
      <w:lvlJc w:val="left"/>
      <w:pPr>
        <w:ind w:left="2880" w:hanging="360"/>
      </w:pPr>
      <w:rPr>
        <w:rFonts w:ascii="Symbol" w:hAnsi="Symbol" w:hint="default"/>
      </w:rPr>
    </w:lvl>
    <w:lvl w:ilvl="4" w:tplc="D2440EFC">
      <w:start w:val="1"/>
      <w:numFmt w:val="bullet"/>
      <w:lvlText w:val="o"/>
      <w:lvlJc w:val="left"/>
      <w:pPr>
        <w:ind w:left="3600" w:hanging="360"/>
      </w:pPr>
      <w:rPr>
        <w:rFonts w:ascii="Courier New" w:hAnsi="Courier New" w:hint="default"/>
      </w:rPr>
    </w:lvl>
    <w:lvl w:ilvl="5" w:tplc="600C3372">
      <w:start w:val="1"/>
      <w:numFmt w:val="bullet"/>
      <w:lvlText w:val=""/>
      <w:lvlJc w:val="left"/>
      <w:pPr>
        <w:ind w:left="4320" w:hanging="360"/>
      </w:pPr>
      <w:rPr>
        <w:rFonts w:ascii="Wingdings" w:hAnsi="Wingdings" w:hint="default"/>
      </w:rPr>
    </w:lvl>
    <w:lvl w:ilvl="6" w:tplc="11AC483E">
      <w:start w:val="1"/>
      <w:numFmt w:val="bullet"/>
      <w:lvlText w:val=""/>
      <w:lvlJc w:val="left"/>
      <w:pPr>
        <w:ind w:left="5040" w:hanging="360"/>
      </w:pPr>
      <w:rPr>
        <w:rFonts w:ascii="Symbol" w:hAnsi="Symbol" w:hint="default"/>
      </w:rPr>
    </w:lvl>
    <w:lvl w:ilvl="7" w:tplc="F392E418">
      <w:start w:val="1"/>
      <w:numFmt w:val="bullet"/>
      <w:lvlText w:val="o"/>
      <w:lvlJc w:val="left"/>
      <w:pPr>
        <w:ind w:left="5760" w:hanging="360"/>
      </w:pPr>
      <w:rPr>
        <w:rFonts w:ascii="Courier New" w:hAnsi="Courier New" w:hint="default"/>
      </w:rPr>
    </w:lvl>
    <w:lvl w:ilvl="8" w:tplc="32C4FF48">
      <w:start w:val="1"/>
      <w:numFmt w:val="bullet"/>
      <w:lvlText w:val=""/>
      <w:lvlJc w:val="left"/>
      <w:pPr>
        <w:ind w:left="6480" w:hanging="360"/>
      </w:pPr>
      <w:rPr>
        <w:rFonts w:ascii="Wingdings" w:hAnsi="Wingdings" w:hint="default"/>
      </w:rPr>
    </w:lvl>
  </w:abstractNum>
  <w:abstractNum w:abstractNumId="14" w15:restartNumberingAfterBreak="0">
    <w:nsid w:val="54C54D7E"/>
    <w:multiLevelType w:val="hybridMultilevel"/>
    <w:tmpl w:val="44BAF5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3C7AE9"/>
    <w:multiLevelType w:val="hybridMultilevel"/>
    <w:tmpl w:val="0416000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71058"/>
    <w:multiLevelType w:val="hybridMultilevel"/>
    <w:tmpl w:val="235A9B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D23A83"/>
    <w:multiLevelType w:val="hybridMultilevel"/>
    <w:tmpl w:val="1040D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0256D6"/>
    <w:multiLevelType w:val="hybridMultilevel"/>
    <w:tmpl w:val="F110A1B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8C405B9"/>
    <w:multiLevelType w:val="multilevel"/>
    <w:tmpl w:val="8144AC86"/>
    <w:lvl w:ilvl="0">
      <w:start w:val="1"/>
      <w:numFmt w:val="decimal"/>
      <w:lvlText w:val="%1."/>
      <w:lvlJc w:val="left"/>
      <w:pPr>
        <w:tabs>
          <w:tab w:val="num" w:pos="630"/>
        </w:tabs>
        <w:ind w:left="63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B9323EE"/>
    <w:multiLevelType w:val="hybridMultilevel"/>
    <w:tmpl w:val="30FC7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BF5984"/>
    <w:multiLevelType w:val="hybridMultilevel"/>
    <w:tmpl w:val="A8206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0526B5"/>
    <w:multiLevelType w:val="hybridMultilevel"/>
    <w:tmpl w:val="641A92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A627D9"/>
    <w:multiLevelType w:val="hybridMultilevel"/>
    <w:tmpl w:val="1D9685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6F6608"/>
    <w:multiLevelType w:val="hybridMultilevel"/>
    <w:tmpl w:val="F6909B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0"/>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7"/>
  </w:num>
  <w:num w:numId="9">
    <w:abstractNumId w:val="1"/>
  </w:num>
  <w:num w:numId="10">
    <w:abstractNumId w:val="21"/>
  </w:num>
  <w:num w:numId="11">
    <w:abstractNumId w:val="15"/>
  </w:num>
  <w:num w:numId="12">
    <w:abstractNumId w:val="19"/>
  </w:num>
  <w:num w:numId="13">
    <w:abstractNumId w:val="6"/>
  </w:num>
  <w:num w:numId="14">
    <w:abstractNumId w:val="16"/>
  </w:num>
  <w:num w:numId="15">
    <w:abstractNumId w:val="8"/>
  </w:num>
  <w:num w:numId="16">
    <w:abstractNumId w:val="24"/>
  </w:num>
  <w:num w:numId="17">
    <w:abstractNumId w:val="11"/>
  </w:num>
  <w:num w:numId="18">
    <w:abstractNumId w:val="22"/>
  </w:num>
  <w:num w:numId="19">
    <w:abstractNumId w:val="14"/>
  </w:num>
  <w:num w:numId="20">
    <w:abstractNumId w:val="18"/>
  </w:num>
  <w:num w:numId="21">
    <w:abstractNumId w:val="3"/>
  </w:num>
  <w:num w:numId="22">
    <w:abstractNumId w:val="20"/>
  </w:num>
  <w:num w:numId="23">
    <w:abstractNumId w:val="9"/>
  </w:num>
  <w:num w:numId="24">
    <w:abstractNumId w:val="23"/>
  </w:num>
  <w:num w:numId="25">
    <w:abstractNumId w:val="2"/>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1D6"/>
    <w:rsid w:val="0000030F"/>
    <w:rsid w:val="00000730"/>
    <w:rsid w:val="00002286"/>
    <w:rsid w:val="00002A05"/>
    <w:rsid w:val="000133A9"/>
    <w:rsid w:val="00013CFB"/>
    <w:rsid w:val="00015BD1"/>
    <w:rsid w:val="000205E3"/>
    <w:rsid w:val="00023728"/>
    <w:rsid w:val="000249E4"/>
    <w:rsid w:val="00030A20"/>
    <w:rsid w:val="000318E9"/>
    <w:rsid w:val="00036BA1"/>
    <w:rsid w:val="00040384"/>
    <w:rsid w:val="000473F3"/>
    <w:rsid w:val="00052D0B"/>
    <w:rsid w:val="00062B49"/>
    <w:rsid w:val="00067D4D"/>
    <w:rsid w:val="00070031"/>
    <w:rsid w:val="00090093"/>
    <w:rsid w:val="00092932"/>
    <w:rsid w:val="000932E2"/>
    <w:rsid w:val="00094A7C"/>
    <w:rsid w:val="000A1894"/>
    <w:rsid w:val="000A1CE4"/>
    <w:rsid w:val="000A6F05"/>
    <w:rsid w:val="000B2022"/>
    <w:rsid w:val="000B2C0E"/>
    <w:rsid w:val="000B3494"/>
    <w:rsid w:val="000B710B"/>
    <w:rsid w:val="000C0424"/>
    <w:rsid w:val="000C102C"/>
    <w:rsid w:val="000C64AD"/>
    <w:rsid w:val="000D1EF9"/>
    <w:rsid w:val="000D24BA"/>
    <w:rsid w:val="000D2BBD"/>
    <w:rsid w:val="000D438F"/>
    <w:rsid w:val="000D6ECD"/>
    <w:rsid w:val="000D6FB4"/>
    <w:rsid w:val="000E4373"/>
    <w:rsid w:val="000E4C99"/>
    <w:rsid w:val="000F095C"/>
    <w:rsid w:val="000F117A"/>
    <w:rsid w:val="000F422F"/>
    <w:rsid w:val="000F5557"/>
    <w:rsid w:val="000F6D3A"/>
    <w:rsid w:val="000F6F65"/>
    <w:rsid w:val="000F7616"/>
    <w:rsid w:val="00101039"/>
    <w:rsid w:val="00101D98"/>
    <w:rsid w:val="00104189"/>
    <w:rsid w:val="00104F5E"/>
    <w:rsid w:val="0010718F"/>
    <w:rsid w:val="0011484B"/>
    <w:rsid w:val="00116BEB"/>
    <w:rsid w:val="00117124"/>
    <w:rsid w:val="00120178"/>
    <w:rsid w:val="00120746"/>
    <w:rsid w:val="00121E7C"/>
    <w:rsid w:val="00134C25"/>
    <w:rsid w:val="00137417"/>
    <w:rsid w:val="00137E43"/>
    <w:rsid w:val="001428CB"/>
    <w:rsid w:val="00142C40"/>
    <w:rsid w:val="0014783D"/>
    <w:rsid w:val="00151C1A"/>
    <w:rsid w:val="00153101"/>
    <w:rsid w:val="0015405C"/>
    <w:rsid w:val="00154B79"/>
    <w:rsid w:val="00160749"/>
    <w:rsid w:val="00163795"/>
    <w:rsid w:val="00166C29"/>
    <w:rsid w:val="00167CF6"/>
    <w:rsid w:val="001729AE"/>
    <w:rsid w:val="00176228"/>
    <w:rsid w:val="00185196"/>
    <w:rsid w:val="00192F9B"/>
    <w:rsid w:val="001933F6"/>
    <w:rsid w:val="001A15BD"/>
    <w:rsid w:val="001A2DEB"/>
    <w:rsid w:val="001A3D10"/>
    <w:rsid w:val="001A5210"/>
    <w:rsid w:val="001A739A"/>
    <w:rsid w:val="001B2957"/>
    <w:rsid w:val="001B6807"/>
    <w:rsid w:val="001B7186"/>
    <w:rsid w:val="001C0364"/>
    <w:rsid w:val="001C2241"/>
    <w:rsid w:val="001C5F92"/>
    <w:rsid w:val="001D7FCF"/>
    <w:rsid w:val="001E043B"/>
    <w:rsid w:val="001E66E7"/>
    <w:rsid w:val="001E73D1"/>
    <w:rsid w:val="001E7575"/>
    <w:rsid w:val="001F1F3B"/>
    <w:rsid w:val="00204C80"/>
    <w:rsid w:val="00212614"/>
    <w:rsid w:val="00213AFF"/>
    <w:rsid w:val="00214014"/>
    <w:rsid w:val="0021744C"/>
    <w:rsid w:val="00224F0B"/>
    <w:rsid w:val="00227922"/>
    <w:rsid w:val="00227AD1"/>
    <w:rsid w:val="00230361"/>
    <w:rsid w:val="002326A5"/>
    <w:rsid w:val="00242383"/>
    <w:rsid w:val="00242CBC"/>
    <w:rsid w:val="0024310A"/>
    <w:rsid w:val="00245778"/>
    <w:rsid w:val="00247644"/>
    <w:rsid w:val="00250FB4"/>
    <w:rsid w:val="0025155C"/>
    <w:rsid w:val="002540A5"/>
    <w:rsid w:val="00256561"/>
    <w:rsid w:val="0025725C"/>
    <w:rsid w:val="00257835"/>
    <w:rsid w:val="00264F5F"/>
    <w:rsid w:val="00267ADB"/>
    <w:rsid w:val="002704D3"/>
    <w:rsid w:val="002730A7"/>
    <w:rsid w:val="00273D1D"/>
    <w:rsid w:val="00274084"/>
    <w:rsid w:val="002747BB"/>
    <w:rsid w:val="00275311"/>
    <w:rsid w:val="0027631B"/>
    <w:rsid w:val="0027658B"/>
    <w:rsid w:val="00276B27"/>
    <w:rsid w:val="00280160"/>
    <w:rsid w:val="00280568"/>
    <w:rsid w:val="0028191F"/>
    <w:rsid w:val="00286581"/>
    <w:rsid w:val="00290C30"/>
    <w:rsid w:val="00292BC0"/>
    <w:rsid w:val="002938C2"/>
    <w:rsid w:val="00294908"/>
    <w:rsid w:val="00295D51"/>
    <w:rsid w:val="002A0CB5"/>
    <w:rsid w:val="002A11D5"/>
    <w:rsid w:val="002A19BC"/>
    <w:rsid w:val="002A48B2"/>
    <w:rsid w:val="002A5437"/>
    <w:rsid w:val="002B219C"/>
    <w:rsid w:val="002B7723"/>
    <w:rsid w:val="002C0F11"/>
    <w:rsid w:val="002C110B"/>
    <w:rsid w:val="002C3FC3"/>
    <w:rsid w:val="002C4272"/>
    <w:rsid w:val="002C51C0"/>
    <w:rsid w:val="002C7328"/>
    <w:rsid w:val="002C7B61"/>
    <w:rsid w:val="002D0D9B"/>
    <w:rsid w:val="002D4D22"/>
    <w:rsid w:val="002E0C4B"/>
    <w:rsid w:val="002E0D01"/>
    <w:rsid w:val="002E1AC4"/>
    <w:rsid w:val="002F2139"/>
    <w:rsid w:val="002F4871"/>
    <w:rsid w:val="003021A3"/>
    <w:rsid w:val="00302C0D"/>
    <w:rsid w:val="003108CA"/>
    <w:rsid w:val="003138A6"/>
    <w:rsid w:val="00317A8F"/>
    <w:rsid w:val="00320693"/>
    <w:rsid w:val="0032090C"/>
    <w:rsid w:val="00322EA2"/>
    <w:rsid w:val="00323660"/>
    <w:rsid w:val="00327E1A"/>
    <w:rsid w:val="00331DCE"/>
    <w:rsid w:val="00334531"/>
    <w:rsid w:val="0033613C"/>
    <w:rsid w:val="003364AD"/>
    <w:rsid w:val="003432CC"/>
    <w:rsid w:val="0034457D"/>
    <w:rsid w:val="00345387"/>
    <w:rsid w:val="00345C02"/>
    <w:rsid w:val="00350C6E"/>
    <w:rsid w:val="00356D14"/>
    <w:rsid w:val="00360568"/>
    <w:rsid w:val="0036084A"/>
    <w:rsid w:val="00362A8A"/>
    <w:rsid w:val="003655A5"/>
    <w:rsid w:val="003719EA"/>
    <w:rsid w:val="00371DE5"/>
    <w:rsid w:val="00374CC9"/>
    <w:rsid w:val="00383E72"/>
    <w:rsid w:val="00390CF9"/>
    <w:rsid w:val="00391346"/>
    <w:rsid w:val="003920AA"/>
    <w:rsid w:val="00392874"/>
    <w:rsid w:val="003A02E3"/>
    <w:rsid w:val="003A4A85"/>
    <w:rsid w:val="003A6866"/>
    <w:rsid w:val="003B40AB"/>
    <w:rsid w:val="003B59A4"/>
    <w:rsid w:val="003B671A"/>
    <w:rsid w:val="003B7BC2"/>
    <w:rsid w:val="003C167B"/>
    <w:rsid w:val="003C2792"/>
    <w:rsid w:val="003C35EB"/>
    <w:rsid w:val="003C5354"/>
    <w:rsid w:val="003D0506"/>
    <w:rsid w:val="003D317D"/>
    <w:rsid w:val="003D3EF3"/>
    <w:rsid w:val="003E1C2F"/>
    <w:rsid w:val="003E1C87"/>
    <w:rsid w:val="003E7412"/>
    <w:rsid w:val="003F1DCE"/>
    <w:rsid w:val="003F6E63"/>
    <w:rsid w:val="004002E4"/>
    <w:rsid w:val="0040315D"/>
    <w:rsid w:val="00403C51"/>
    <w:rsid w:val="00404616"/>
    <w:rsid w:val="004076FD"/>
    <w:rsid w:val="00413388"/>
    <w:rsid w:val="004178A0"/>
    <w:rsid w:val="004214B7"/>
    <w:rsid w:val="004269F6"/>
    <w:rsid w:val="00427A0F"/>
    <w:rsid w:val="00442805"/>
    <w:rsid w:val="00442FCD"/>
    <w:rsid w:val="00445522"/>
    <w:rsid w:val="0044670F"/>
    <w:rsid w:val="004509C2"/>
    <w:rsid w:val="00451443"/>
    <w:rsid w:val="00455F5C"/>
    <w:rsid w:val="00461BCD"/>
    <w:rsid w:val="00465483"/>
    <w:rsid w:val="0048026B"/>
    <w:rsid w:val="00487B33"/>
    <w:rsid w:val="00487CB0"/>
    <w:rsid w:val="00487EDC"/>
    <w:rsid w:val="00492FB9"/>
    <w:rsid w:val="004A0D4C"/>
    <w:rsid w:val="004A3EC2"/>
    <w:rsid w:val="004B0621"/>
    <w:rsid w:val="004B285E"/>
    <w:rsid w:val="004B3FB3"/>
    <w:rsid w:val="004B6CAF"/>
    <w:rsid w:val="004C1076"/>
    <w:rsid w:val="004C1F77"/>
    <w:rsid w:val="004C78B3"/>
    <w:rsid w:val="004D1898"/>
    <w:rsid w:val="004D192B"/>
    <w:rsid w:val="004D375A"/>
    <w:rsid w:val="004D729C"/>
    <w:rsid w:val="004E0494"/>
    <w:rsid w:val="004E527C"/>
    <w:rsid w:val="004F6195"/>
    <w:rsid w:val="004F6A69"/>
    <w:rsid w:val="004F78B9"/>
    <w:rsid w:val="00501AA5"/>
    <w:rsid w:val="00502AF1"/>
    <w:rsid w:val="00506317"/>
    <w:rsid w:val="0050650D"/>
    <w:rsid w:val="00523859"/>
    <w:rsid w:val="0052721A"/>
    <w:rsid w:val="0053055C"/>
    <w:rsid w:val="005305FB"/>
    <w:rsid w:val="0053617B"/>
    <w:rsid w:val="00542997"/>
    <w:rsid w:val="00553576"/>
    <w:rsid w:val="00565ACE"/>
    <w:rsid w:val="00572769"/>
    <w:rsid w:val="00581503"/>
    <w:rsid w:val="00584C5A"/>
    <w:rsid w:val="00584FC4"/>
    <w:rsid w:val="00593616"/>
    <w:rsid w:val="00594E34"/>
    <w:rsid w:val="005A0F3C"/>
    <w:rsid w:val="005A2FA4"/>
    <w:rsid w:val="005A533D"/>
    <w:rsid w:val="005A751B"/>
    <w:rsid w:val="005B18D6"/>
    <w:rsid w:val="005B4D34"/>
    <w:rsid w:val="005B5AF1"/>
    <w:rsid w:val="005B6079"/>
    <w:rsid w:val="005C0588"/>
    <w:rsid w:val="005C5A42"/>
    <w:rsid w:val="005E25BA"/>
    <w:rsid w:val="005E3D7B"/>
    <w:rsid w:val="005E4B3C"/>
    <w:rsid w:val="005E6A53"/>
    <w:rsid w:val="005F10F4"/>
    <w:rsid w:val="005F153D"/>
    <w:rsid w:val="005F5A21"/>
    <w:rsid w:val="005F656D"/>
    <w:rsid w:val="0060665C"/>
    <w:rsid w:val="00610991"/>
    <w:rsid w:val="00616FEA"/>
    <w:rsid w:val="006212B9"/>
    <w:rsid w:val="00621321"/>
    <w:rsid w:val="006232E5"/>
    <w:rsid w:val="00623CEF"/>
    <w:rsid w:val="0062477C"/>
    <w:rsid w:val="006305D5"/>
    <w:rsid w:val="00634AD6"/>
    <w:rsid w:val="00635215"/>
    <w:rsid w:val="00636623"/>
    <w:rsid w:val="006451FB"/>
    <w:rsid w:val="00654A7C"/>
    <w:rsid w:val="00657F6E"/>
    <w:rsid w:val="006659B7"/>
    <w:rsid w:val="00676426"/>
    <w:rsid w:val="00681682"/>
    <w:rsid w:val="006821A5"/>
    <w:rsid w:val="00683DE9"/>
    <w:rsid w:val="00684849"/>
    <w:rsid w:val="00693DDC"/>
    <w:rsid w:val="00695C35"/>
    <w:rsid w:val="0069799F"/>
    <w:rsid w:val="006A2A33"/>
    <w:rsid w:val="006A31DC"/>
    <w:rsid w:val="006A4348"/>
    <w:rsid w:val="006A724E"/>
    <w:rsid w:val="006B1F33"/>
    <w:rsid w:val="006B6ED7"/>
    <w:rsid w:val="006B7D74"/>
    <w:rsid w:val="006C348F"/>
    <w:rsid w:val="006C46C9"/>
    <w:rsid w:val="006D53E7"/>
    <w:rsid w:val="006D6A1C"/>
    <w:rsid w:val="006D7DE8"/>
    <w:rsid w:val="006D7EC0"/>
    <w:rsid w:val="006E073E"/>
    <w:rsid w:val="006E3B4E"/>
    <w:rsid w:val="006E5B8E"/>
    <w:rsid w:val="006E7AEA"/>
    <w:rsid w:val="006F440F"/>
    <w:rsid w:val="00705181"/>
    <w:rsid w:val="0070745A"/>
    <w:rsid w:val="007114E0"/>
    <w:rsid w:val="007137F2"/>
    <w:rsid w:val="007172C4"/>
    <w:rsid w:val="00724815"/>
    <w:rsid w:val="00727C08"/>
    <w:rsid w:val="00727C31"/>
    <w:rsid w:val="00732FFD"/>
    <w:rsid w:val="007332AB"/>
    <w:rsid w:val="00734FC9"/>
    <w:rsid w:val="00740716"/>
    <w:rsid w:val="007429B8"/>
    <w:rsid w:val="007449EF"/>
    <w:rsid w:val="00745ADA"/>
    <w:rsid w:val="00750FCB"/>
    <w:rsid w:val="00752932"/>
    <w:rsid w:val="00753CFD"/>
    <w:rsid w:val="0075419D"/>
    <w:rsid w:val="00754949"/>
    <w:rsid w:val="00765D05"/>
    <w:rsid w:val="007663EB"/>
    <w:rsid w:val="0077325E"/>
    <w:rsid w:val="00773608"/>
    <w:rsid w:val="007815AE"/>
    <w:rsid w:val="0078262C"/>
    <w:rsid w:val="007876AA"/>
    <w:rsid w:val="00787AC5"/>
    <w:rsid w:val="00790995"/>
    <w:rsid w:val="007922B8"/>
    <w:rsid w:val="0079475C"/>
    <w:rsid w:val="007A35F8"/>
    <w:rsid w:val="007A485E"/>
    <w:rsid w:val="007A5A2A"/>
    <w:rsid w:val="007A7F06"/>
    <w:rsid w:val="007B3581"/>
    <w:rsid w:val="007B4CBA"/>
    <w:rsid w:val="007B54FC"/>
    <w:rsid w:val="007B69E7"/>
    <w:rsid w:val="007B6BC9"/>
    <w:rsid w:val="007C2DDE"/>
    <w:rsid w:val="007C3A48"/>
    <w:rsid w:val="007C5EF9"/>
    <w:rsid w:val="007C6DE5"/>
    <w:rsid w:val="007C7193"/>
    <w:rsid w:val="007C7214"/>
    <w:rsid w:val="007D47C5"/>
    <w:rsid w:val="007D677E"/>
    <w:rsid w:val="007D735F"/>
    <w:rsid w:val="007D7918"/>
    <w:rsid w:val="007E2462"/>
    <w:rsid w:val="007E2AD9"/>
    <w:rsid w:val="007E4F06"/>
    <w:rsid w:val="007E5BA2"/>
    <w:rsid w:val="007E7028"/>
    <w:rsid w:val="007F0826"/>
    <w:rsid w:val="007F26AE"/>
    <w:rsid w:val="007F6CD5"/>
    <w:rsid w:val="00803E0C"/>
    <w:rsid w:val="008069F6"/>
    <w:rsid w:val="00807A4D"/>
    <w:rsid w:val="008113E5"/>
    <w:rsid w:val="00811904"/>
    <w:rsid w:val="008131FF"/>
    <w:rsid w:val="008148B0"/>
    <w:rsid w:val="00816E06"/>
    <w:rsid w:val="008179AE"/>
    <w:rsid w:val="00817F06"/>
    <w:rsid w:val="008243E4"/>
    <w:rsid w:val="00825F5B"/>
    <w:rsid w:val="008260F3"/>
    <w:rsid w:val="008269A0"/>
    <w:rsid w:val="00833571"/>
    <w:rsid w:val="00844369"/>
    <w:rsid w:val="008472AB"/>
    <w:rsid w:val="00851898"/>
    <w:rsid w:val="0085302F"/>
    <w:rsid w:val="00853264"/>
    <w:rsid w:val="00855C82"/>
    <w:rsid w:val="008566F9"/>
    <w:rsid w:val="00862A51"/>
    <w:rsid w:val="0087248C"/>
    <w:rsid w:val="00872643"/>
    <w:rsid w:val="00883D24"/>
    <w:rsid w:val="00887D0E"/>
    <w:rsid w:val="00897339"/>
    <w:rsid w:val="008A0281"/>
    <w:rsid w:val="008A23CE"/>
    <w:rsid w:val="008A71CE"/>
    <w:rsid w:val="008A7402"/>
    <w:rsid w:val="008B5365"/>
    <w:rsid w:val="008C1929"/>
    <w:rsid w:val="008D016D"/>
    <w:rsid w:val="008D0191"/>
    <w:rsid w:val="008D01EF"/>
    <w:rsid w:val="008D11E6"/>
    <w:rsid w:val="008E2E33"/>
    <w:rsid w:val="008E54D3"/>
    <w:rsid w:val="008E550E"/>
    <w:rsid w:val="008F02E0"/>
    <w:rsid w:val="008F05CE"/>
    <w:rsid w:val="008F47A7"/>
    <w:rsid w:val="00905557"/>
    <w:rsid w:val="00907727"/>
    <w:rsid w:val="009146C4"/>
    <w:rsid w:val="00917A0F"/>
    <w:rsid w:val="00921C40"/>
    <w:rsid w:val="00922C0C"/>
    <w:rsid w:val="009274BB"/>
    <w:rsid w:val="009319FE"/>
    <w:rsid w:val="00936D72"/>
    <w:rsid w:val="00937A08"/>
    <w:rsid w:val="009412FB"/>
    <w:rsid w:val="00943820"/>
    <w:rsid w:val="00943B34"/>
    <w:rsid w:val="00944954"/>
    <w:rsid w:val="00952660"/>
    <w:rsid w:val="00954565"/>
    <w:rsid w:val="00963C1E"/>
    <w:rsid w:val="00967251"/>
    <w:rsid w:val="0097115B"/>
    <w:rsid w:val="009711E6"/>
    <w:rsid w:val="0097209E"/>
    <w:rsid w:val="00977231"/>
    <w:rsid w:val="00980B03"/>
    <w:rsid w:val="00983275"/>
    <w:rsid w:val="00983451"/>
    <w:rsid w:val="00993F4E"/>
    <w:rsid w:val="00994AD8"/>
    <w:rsid w:val="009A2156"/>
    <w:rsid w:val="009A28E1"/>
    <w:rsid w:val="009A30E1"/>
    <w:rsid w:val="009A53CA"/>
    <w:rsid w:val="009A740A"/>
    <w:rsid w:val="009B18B5"/>
    <w:rsid w:val="009B1908"/>
    <w:rsid w:val="009B3043"/>
    <w:rsid w:val="009B4739"/>
    <w:rsid w:val="009B5818"/>
    <w:rsid w:val="009B586B"/>
    <w:rsid w:val="009B6AC0"/>
    <w:rsid w:val="009B7DCB"/>
    <w:rsid w:val="009C1F25"/>
    <w:rsid w:val="009C5A14"/>
    <w:rsid w:val="009D18E7"/>
    <w:rsid w:val="009D1E41"/>
    <w:rsid w:val="009D2781"/>
    <w:rsid w:val="009D5BE9"/>
    <w:rsid w:val="009D6650"/>
    <w:rsid w:val="009D6E0F"/>
    <w:rsid w:val="009E4F97"/>
    <w:rsid w:val="009E7E4D"/>
    <w:rsid w:val="009F0895"/>
    <w:rsid w:val="009F1C22"/>
    <w:rsid w:val="009F4621"/>
    <w:rsid w:val="009F790A"/>
    <w:rsid w:val="00A06D28"/>
    <w:rsid w:val="00A06E3D"/>
    <w:rsid w:val="00A06EFD"/>
    <w:rsid w:val="00A1185D"/>
    <w:rsid w:val="00A15B83"/>
    <w:rsid w:val="00A17118"/>
    <w:rsid w:val="00A20CBF"/>
    <w:rsid w:val="00A30EF2"/>
    <w:rsid w:val="00A37CAF"/>
    <w:rsid w:val="00A41E28"/>
    <w:rsid w:val="00A44540"/>
    <w:rsid w:val="00A479CD"/>
    <w:rsid w:val="00A5147F"/>
    <w:rsid w:val="00A52FCF"/>
    <w:rsid w:val="00A538C7"/>
    <w:rsid w:val="00A62497"/>
    <w:rsid w:val="00A80206"/>
    <w:rsid w:val="00A90892"/>
    <w:rsid w:val="00A91C04"/>
    <w:rsid w:val="00A95F00"/>
    <w:rsid w:val="00A9709C"/>
    <w:rsid w:val="00AA09E9"/>
    <w:rsid w:val="00AA2400"/>
    <w:rsid w:val="00AA61C4"/>
    <w:rsid w:val="00AA6A62"/>
    <w:rsid w:val="00AB0979"/>
    <w:rsid w:val="00AB0C92"/>
    <w:rsid w:val="00AB64D8"/>
    <w:rsid w:val="00AB799A"/>
    <w:rsid w:val="00AC459B"/>
    <w:rsid w:val="00AD26DA"/>
    <w:rsid w:val="00AD2C41"/>
    <w:rsid w:val="00AD3D0C"/>
    <w:rsid w:val="00AD58E8"/>
    <w:rsid w:val="00AD7255"/>
    <w:rsid w:val="00AD7840"/>
    <w:rsid w:val="00AE1E1C"/>
    <w:rsid w:val="00AF1D17"/>
    <w:rsid w:val="00AF1E70"/>
    <w:rsid w:val="00AF59A2"/>
    <w:rsid w:val="00AF5B5F"/>
    <w:rsid w:val="00AF6700"/>
    <w:rsid w:val="00B05633"/>
    <w:rsid w:val="00B1392C"/>
    <w:rsid w:val="00B13B49"/>
    <w:rsid w:val="00B24D6D"/>
    <w:rsid w:val="00B3116A"/>
    <w:rsid w:val="00B31FC7"/>
    <w:rsid w:val="00B32C52"/>
    <w:rsid w:val="00B333AB"/>
    <w:rsid w:val="00B37769"/>
    <w:rsid w:val="00B4306F"/>
    <w:rsid w:val="00B43B6A"/>
    <w:rsid w:val="00B4495F"/>
    <w:rsid w:val="00B45304"/>
    <w:rsid w:val="00B45DF4"/>
    <w:rsid w:val="00B470CD"/>
    <w:rsid w:val="00B47A45"/>
    <w:rsid w:val="00B56AEC"/>
    <w:rsid w:val="00B603AB"/>
    <w:rsid w:val="00B64715"/>
    <w:rsid w:val="00B64BDE"/>
    <w:rsid w:val="00B670B5"/>
    <w:rsid w:val="00B67CB6"/>
    <w:rsid w:val="00B711B1"/>
    <w:rsid w:val="00B73736"/>
    <w:rsid w:val="00B754F4"/>
    <w:rsid w:val="00B8400A"/>
    <w:rsid w:val="00B85D13"/>
    <w:rsid w:val="00B87CDE"/>
    <w:rsid w:val="00B90A7D"/>
    <w:rsid w:val="00B95CB7"/>
    <w:rsid w:val="00B95EB4"/>
    <w:rsid w:val="00B97974"/>
    <w:rsid w:val="00BA3A67"/>
    <w:rsid w:val="00BA7DCF"/>
    <w:rsid w:val="00BA7F23"/>
    <w:rsid w:val="00BB5784"/>
    <w:rsid w:val="00BB79A4"/>
    <w:rsid w:val="00BC1F19"/>
    <w:rsid w:val="00BC35A8"/>
    <w:rsid w:val="00BD16C2"/>
    <w:rsid w:val="00BD5171"/>
    <w:rsid w:val="00BD56F1"/>
    <w:rsid w:val="00BD6B09"/>
    <w:rsid w:val="00BD7F0A"/>
    <w:rsid w:val="00BE17D3"/>
    <w:rsid w:val="00BE2AA1"/>
    <w:rsid w:val="00BE514A"/>
    <w:rsid w:val="00BE7B0A"/>
    <w:rsid w:val="00BF262B"/>
    <w:rsid w:val="00BF6C6E"/>
    <w:rsid w:val="00BF73E0"/>
    <w:rsid w:val="00BF7821"/>
    <w:rsid w:val="00BF7849"/>
    <w:rsid w:val="00BF7D18"/>
    <w:rsid w:val="00C03810"/>
    <w:rsid w:val="00C10DB7"/>
    <w:rsid w:val="00C149DC"/>
    <w:rsid w:val="00C16C1E"/>
    <w:rsid w:val="00C21CA8"/>
    <w:rsid w:val="00C22C60"/>
    <w:rsid w:val="00C2679D"/>
    <w:rsid w:val="00C32A31"/>
    <w:rsid w:val="00C45958"/>
    <w:rsid w:val="00C50624"/>
    <w:rsid w:val="00C55445"/>
    <w:rsid w:val="00C55587"/>
    <w:rsid w:val="00C55CEF"/>
    <w:rsid w:val="00C703E1"/>
    <w:rsid w:val="00C7313C"/>
    <w:rsid w:val="00C75C9E"/>
    <w:rsid w:val="00C76C61"/>
    <w:rsid w:val="00C80F5D"/>
    <w:rsid w:val="00C87F43"/>
    <w:rsid w:val="00C91DC0"/>
    <w:rsid w:val="00C9207B"/>
    <w:rsid w:val="00C92602"/>
    <w:rsid w:val="00C92618"/>
    <w:rsid w:val="00CA3D45"/>
    <w:rsid w:val="00CA3F16"/>
    <w:rsid w:val="00CA48ED"/>
    <w:rsid w:val="00CB269D"/>
    <w:rsid w:val="00CB79E8"/>
    <w:rsid w:val="00CB7A9A"/>
    <w:rsid w:val="00CC02FD"/>
    <w:rsid w:val="00CC17F4"/>
    <w:rsid w:val="00CC56AA"/>
    <w:rsid w:val="00CC5B87"/>
    <w:rsid w:val="00CD1099"/>
    <w:rsid w:val="00CD10D8"/>
    <w:rsid w:val="00CE1EC0"/>
    <w:rsid w:val="00CE2359"/>
    <w:rsid w:val="00CE35CE"/>
    <w:rsid w:val="00CE4E5F"/>
    <w:rsid w:val="00CF1112"/>
    <w:rsid w:val="00CF1312"/>
    <w:rsid w:val="00CF18B2"/>
    <w:rsid w:val="00CF37DE"/>
    <w:rsid w:val="00CF3E8C"/>
    <w:rsid w:val="00CF63BB"/>
    <w:rsid w:val="00D02822"/>
    <w:rsid w:val="00D05C91"/>
    <w:rsid w:val="00D0646D"/>
    <w:rsid w:val="00D124DB"/>
    <w:rsid w:val="00D204EF"/>
    <w:rsid w:val="00D23A7A"/>
    <w:rsid w:val="00D23D12"/>
    <w:rsid w:val="00D25FBF"/>
    <w:rsid w:val="00D26552"/>
    <w:rsid w:val="00D3068F"/>
    <w:rsid w:val="00D35420"/>
    <w:rsid w:val="00D3696C"/>
    <w:rsid w:val="00D40520"/>
    <w:rsid w:val="00D44DC0"/>
    <w:rsid w:val="00D50D95"/>
    <w:rsid w:val="00D51844"/>
    <w:rsid w:val="00D546A4"/>
    <w:rsid w:val="00D5475F"/>
    <w:rsid w:val="00D558E2"/>
    <w:rsid w:val="00D56772"/>
    <w:rsid w:val="00D57741"/>
    <w:rsid w:val="00D64D2B"/>
    <w:rsid w:val="00D666EA"/>
    <w:rsid w:val="00D70CB3"/>
    <w:rsid w:val="00D73BDA"/>
    <w:rsid w:val="00D849A5"/>
    <w:rsid w:val="00D87FD1"/>
    <w:rsid w:val="00D9485E"/>
    <w:rsid w:val="00D94CC8"/>
    <w:rsid w:val="00D956BA"/>
    <w:rsid w:val="00D95EAB"/>
    <w:rsid w:val="00D95FA8"/>
    <w:rsid w:val="00D96D8F"/>
    <w:rsid w:val="00DA0309"/>
    <w:rsid w:val="00DA2FA8"/>
    <w:rsid w:val="00DA40F7"/>
    <w:rsid w:val="00DA7DD9"/>
    <w:rsid w:val="00DB04A9"/>
    <w:rsid w:val="00DB1FEF"/>
    <w:rsid w:val="00DB2529"/>
    <w:rsid w:val="00DB7A39"/>
    <w:rsid w:val="00DC06FE"/>
    <w:rsid w:val="00DC49A2"/>
    <w:rsid w:val="00DE282F"/>
    <w:rsid w:val="00E043B1"/>
    <w:rsid w:val="00E101F3"/>
    <w:rsid w:val="00E10351"/>
    <w:rsid w:val="00E1277D"/>
    <w:rsid w:val="00E12B9A"/>
    <w:rsid w:val="00E21E4F"/>
    <w:rsid w:val="00E26676"/>
    <w:rsid w:val="00E268AB"/>
    <w:rsid w:val="00E331BA"/>
    <w:rsid w:val="00E331FE"/>
    <w:rsid w:val="00E335B9"/>
    <w:rsid w:val="00E41516"/>
    <w:rsid w:val="00E423A6"/>
    <w:rsid w:val="00E43B66"/>
    <w:rsid w:val="00E44CE6"/>
    <w:rsid w:val="00E53379"/>
    <w:rsid w:val="00E538E7"/>
    <w:rsid w:val="00E5638B"/>
    <w:rsid w:val="00E60A7A"/>
    <w:rsid w:val="00E64746"/>
    <w:rsid w:val="00E67F05"/>
    <w:rsid w:val="00E7049C"/>
    <w:rsid w:val="00E75F5B"/>
    <w:rsid w:val="00E7647B"/>
    <w:rsid w:val="00E77905"/>
    <w:rsid w:val="00E8612B"/>
    <w:rsid w:val="00E904AE"/>
    <w:rsid w:val="00E94475"/>
    <w:rsid w:val="00E95C77"/>
    <w:rsid w:val="00E97312"/>
    <w:rsid w:val="00EA1598"/>
    <w:rsid w:val="00EA4946"/>
    <w:rsid w:val="00EA6F60"/>
    <w:rsid w:val="00EB7088"/>
    <w:rsid w:val="00EB7811"/>
    <w:rsid w:val="00EC006C"/>
    <w:rsid w:val="00EC4714"/>
    <w:rsid w:val="00EC58C2"/>
    <w:rsid w:val="00ED190A"/>
    <w:rsid w:val="00ED1A8B"/>
    <w:rsid w:val="00ED442A"/>
    <w:rsid w:val="00ED531D"/>
    <w:rsid w:val="00EE05EF"/>
    <w:rsid w:val="00EE1069"/>
    <w:rsid w:val="00EE3E22"/>
    <w:rsid w:val="00EE5468"/>
    <w:rsid w:val="00EF0B14"/>
    <w:rsid w:val="00EF65DC"/>
    <w:rsid w:val="00EF75D1"/>
    <w:rsid w:val="00EF7F7A"/>
    <w:rsid w:val="00F00391"/>
    <w:rsid w:val="00F045AE"/>
    <w:rsid w:val="00F07A83"/>
    <w:rsid w:val="00F213AD"/>
    <w:rsid w:val="00F2593E"/>
    <w:rsid w:val="00F25E6E"/>
    <w:rsid w:val="00F345BF"/>
    <w:rsid w:val="00F35F31"/>
    <w:rsid w:val="00F36502"/>
    <w:rsid w:val="00F41EDB"/>
    <w:rsid w:val="00F433E2"/>
    <w:rsid w:val="00F46A6B"/>
    <w:rsid w:val="00F50448"/>
    <w:rsid w:val="00F5199D"/>
    <w:rsid w:val="00F51D3E"/>
    <w:rsid w:val="00F571D6"/>
    <w:rsid w:val="00F576E6"/>
    <w:rsid w:val="00F60588"/>
    <w:rsid w:val="00F63899"/>
    <w:rsid w:val="00F65911"/>
    <w:rsid w:val="00F65F9D"/>
    <w:rsid w:val="00F7226E"/>
    <w:rsid w:val="00F72E6E"/>
    <w:rsid w:val="00F77DC9"/>
    <w:rsid w:val="00F81F41"/>
    <w:rsid w:val="00F86E79"/>
    <w:rsid w:val="00F8729A"/>
    <w:rsid w:val="00F926AF"/>
    <w:rsid w:val="00F94708"/>
    <w:rsid w:val="00F95328"/>
    <w:rsid w:val="00FA1D1C"/>
    <w:rsid w:val="00FA395B"/>
    <w:rsid w:val="00FA43C2"/>
    <w:rsid w:val="00FA5789"/>
    <w:rsid w:val="00FA789B"/>
    <w:rsid w:val="00FA78B7"/>
    <w:rsid w:val="00FB08FD"/>
    <w:rsid w:val="00FB3ED7"/>
    <w:rsid w:val="00FB4157"/>
    <w:rsid w:val="00FB5BC9"/>
    <w:rsid w:val="00FC19B5"/>
    <w:rsid w:val="00FC37A8"/>
    <w:rsid w:val="00FD3D70"/>
    <w:rsid w:val="00FE1382"/>
    <w:rsid w:val="00FF39E4"/>
    <w:rsid w:val="00FF7179"/>
    <w:rsid w:val="0F43113D"/>
    <w:rsid w:val="129E9A81"/>
    <w:rsid w:val="2D7F953A"/>
    <w:rsid w:val="313B2EFA"/>
    <w:rsid w:val="37751942"/>
    <w:rsid w:val="46DF700D"/>
    <w:rsid w:val="5D880557"/>
    <w:rsid w:val="65E96159"/>
    <w:rsid w:val="766F2200"/>
    <w:rsid w:val="7C0B9CE1"/>
    <w:rsid w:val="7D5404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46F7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7">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sid w:val="00276B27"/>
  </w:style>
  <w:style w:type="paragraph" w:styleId="Heading1">
    <w:name w:val="heading 1"/>
    <w:basedOn w:val="Normal"/>
    <w:uiPriority w:val="1"/>
    <w:qFormat/>
    <w:pPr>
      <w:ind w:left="116"/>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736" w:hanging="36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customStyle="1" w:styleId="Default">
    <w:name w:val="Default"/>
    <w:rsid w:val="006C46C9"/>
    <w:pPr>
      <w:widowControl/>
      <w:autoSpaceDE w:val="0"/>
      <w:autoSpaceDN w:val="0"/>
      <w:adjustRightInd w:val="0"/>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E904AE"/>
    <w:pPr>
      <w:tabs>
        <w:tab w:val="center" w:pos="4680"/>
        <w:tab w:val="right" w:pos="9360"/>
      </w:tabs>
    </w:pPr>
  </w:style>
  <w:style w:type="character" w:customStyle="1" w:styleId="HeaderChar">
    <w:name w:val="Header Char"/>
    <w:basedOn w:val="DefaultParagraphFont"/>
    <w:link w:val="Header"/>
    <w:uiPriority w:val="99"/>
    <w:rsid w:val="00E904AE"/>
  </w:style>
  <w:style w:type="paragraph" w:styleId="Footer">
    <w:name w:val="footer"/>
    <w:basedOn w:val="Normal"/>
    <w:link w:val="FooterChar"/>
    <w:uiPriority w:val="99"/>
    <w:unhideWhenUsed/>
    <w:rsid w:val="00E904AE"/>
    <w:pPr>
      <w:tabs>
        <w:tab w:val="center" w:pos="4680"/>
        <w:tab w:val="right" w:pos="9360"/>
      </w:tabs>
    </w:pPr>
  </w:style>
  <w:style w:type="character" w:customStyle="1" w:styleId="FooterChar">
    <w:name w:val="Footer Char"/>
    <w:basedOn w:val="DefaultParagraphFont"/>
    <w:link w:val="Footer"/>
    <w:uiPriority w:val="99"/>
    <w:rsid w:val="00E904AE"/>
  </w:style>
  <w:style w:type="table" w:styleId="TableGrid">
    <w:name w:val="Table Grid"/>
    <w:basedOn w:val="TableNormal"/>
    <w:uiPriority w:val="39"/>
    <w:rsid w:val="002F4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0CB3"/>
    <w:rPr>
      <w:color w:val="0000FF" w:themeColor="hyperlink"/>
      <w:u w:val="single"/>
    </w:rPr>
  </w:style>
  <w:style w:type="character" w:styleId="Mention">
    <w:name w:val="Mention"/>
    <w:basedOn w:val="DefaultParagraphFont"/>
    <w:uiPriority w:val="99"/>
    <w:semiHidden/>
    <w:unhideWhenUsed/>
    <w:rsid w:val="00D70CB3"/>
    <w:rPr>
      <w:color w:val="2B579A"/>
      <w:shd w:val="clear" w:color="auto" w:fill="E6E6E6"/>
    </w:rPr>
  </w:style>
  <w:style w:type="character" w:styleId="CommentReference">
    <w:name w:val="annotation reference"/>
    <w:basedOn w:val="DefaultParagraphFont"/>
    <w:unhideWhenUsed/>
    <w:rsid w:val="003D317D"/>
    <w:rPr>
      <w:sz w:val="16"/>
      <w:szCs w:val="16"/>
    </w:rPr>
  </w:style>
  <w:style w:type="paragraph" w:styleId="CommentText">
    <w:name w:val="annotation text"/>
    <w:basedOn w:val="Normal"/>
    <w:link w:val="CommentTextChar"/>
    <w:unhideWhenUsed/>
    <w:rsid w:val="003D317D"/>
    <w:rPr>
      <w:sz w:val="20"/>
      <w:szCs w:val="20"/>
    </w:rPr>
  </w:style>
  <w:style w:type="character" w:customStyle="1" w:styleId="CommentTextChar">
    <w:name w:val="Comment Text Char"/>
    <w:basedOn w:val="DefaultParagraphFont"/>
    <w:link w:val="CommentText"/>
    <w:rsid w:val="003D317D"/>
    <w:rPr>
      <w:sz w:val="20"/>
      <w:szCs w:val="20"/>
    </w:rPr>
  </w:style>
  <w:style w:type="paragraph" w:styleId="CommentSubject">
    <w:name w:val="annotation subject"/>
    <w:basedOn w:val="CommentText"/>
    <w:next w:val="CommentText"/>
    <w:link w:val="CommentSubjectChar"/>
    <w:uiPriority w:val="99"/>
    <w:semiHidden/>
    <w:unhideWhenUsed/>
    <w:rsid w:val="003D317D"/>
    <w:rPr>
      <w:b/>
      <w:bCs/>
    </w:rPr>
  </w:style>
  <w:style w:type="character" w:customStyle="1" w:styleId="CommentSubjectChar">
    <w:name w:val="Comment Subject Char"/>
    <w:basedOn w:val="CommentTextChar"/>
    <w:link w:val="CommentSubject"/>
    <w:uiPriority w:val="99"/>
    <w:semiHidden/>
    <w:rsid w:val="003D317D"/>
    <w:rPr>
      <w:b/>
      <w:bCs/>
      <w:sz w:val="20"/>
      <w:szCs w:val="20"/>
    </w:rPr>
  </w:style>
  <w:style w:type="paragraph" w:styleId="BalloonText">
    <w:name w:val="Balloon Text"/>
    <w:basedOn w:val="Normal"/>
    <w:link w:val="BalloonTextChar"/>
    <w:uiPriority w:val="99"/>
    <w:semiHidden/>
    <w:unhideWhenUsed/>
    <w:rsid w:val="003D31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17D"/>
    <w:rPr>
      <w:rFonts w:ascii="Segoe UI" w:hAnsi="Segoe UI" w:cs="Segoe UI"/>
      <w:sz w:val="18"/>
      <w:szCs w:val="18"/>
    </w:rPr>
  </w:style>
  <w:style w:type="paragraph" w:styleId="FootnoteText">
    <w:name w:val="footnote text"/>
    <w:basedOn w:val="Normal"/>
    <w:link w:val="FootnoteTextChar"/>
    <w:uiPriority w:val="99"/>
    <w:semiHidden/>
    <w:unhideWhenUsed/>
    <w:rsid w:val="00B1392C"/>
    <w:rPr>
      <w:sz w:val="20"/>
      <w:szCs w:val="20"/>
    </w:rPr>
  </w:style>
  <w:style w:type="character" w:customStyle="1" w:styleId="FootnoteTextChar">
    <w:name w:val="Footnote Text Char"/>
    <w:basedOn w:val="DefaultParagraphFont"/>
    <w:link w:val="FootnoteText"/>
    <w:uiPriority w:val="99"/>
    <w:semiHidden/>
    <w:rsid w:val="00B1392C"/>
    <w:rPr>
      <w:sz w:val="20"/>
      <w:szCs w:val="20"/>
    </w:rPr>
  </w:style>
  <w:style w:type="character" w:styleId="FootnoteReference">
    <w:name w:val="footnote reference"/>
    <w:basedOn w:val="DefaultParagraphFont"/>
    <w:uiPriority w:val="99"/>
    <w:unhideWhenUsed/>
    <w:rsid w:val="00B1392C"/>
    <w:rPr>
      <w:vertAlign w:val="superscript"/>
    </w:rPr>
  </w:style>
  <w:style w:type="paragraph" w:styleId="Revision">
    <w:name w:val="Revision"/>
    <w:hidden/>
    <w:uiPriority w:val="99"/>
    <w:semiHidden/>
    <w:rsid w:val="0014783D"/>
    <w:pPr>
      <w:widowControl/>
    </w:pPr>
  </w:style>
  <w:style w:type="character" w:styleId="UnresolvedMention">
    <w:name w:val="Unresolved Mention"/>
    <w:basedOn w:val="DefaultParagraphFont"/>
    <w:uiPriority w:val="99"/>
    <w:semiHidden/>
    <w:unhideWhenUsed/>
    <w:rsid w:val="00090093"/>
    <w:rPr>
      <w:color w:val="808080"/>
      <w:shd w:val="clear" w:color="auto" w:fill="E6E6E6"/>
    </w:rPr>
  </w:style>
  <w:style w:type="character" w:styleId="Strong">
    <w:name w:val="Strong"/>
    <w:basedOn w:val="DefaultParagraphFont"/>
    <w:uiPriority w:val="22"/>
    <w:qFormat/>
    <w:rsid w:val="000C64AD"/>
    <w:rPr>
      <w:b/>
      <w:bCs/>
    </w:rPr>
  </w:style>
  <w:style w:type="paragraph" w:customStyle="1" w:styleId="Style2">
    <w:name w:val="Style2"/>
    <w:basedOn w:val="Normal"/>
    <w:link w:val="Style2Char"/>
    <w:qFormat/>
    <w:rsid w:val="00BD5171"/>
    <w:pPr>
      <w:widowControl/>
      <w:numPr>
        <w:numId w:val="26"/>
      </w:numPr>
      <w:spacing w:after="160"/>
    </w:pPr>
    <w:rPr>
      <w:rFonts w:ascii="Times New Roman" w:hAnsi="Times New Roman"/>
      <w:b/>
      <w:sz w:val="24"/>
    </w:rPr>
  </w:style>
  <w:style w:type="character" w:customStyle="1" w:styleId="Style2Char">
    <w:name w:val="Style2 Char"/>
    <w:basedOn w:val="DefaultParagraphFont"/>
    <w:link w:val="Style2"/>
    <w:rsid w:val="00BD5171"/>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211919">
      <w:bodyDiv w:val="1"/>
      <w:marLeft w:val="0"/>
      <w:marRight w:val="0"/>
      <w:marTop w:val="0"/>
      <w:marBottom w:val="0"/>
      <w:divBdr>
        <w:top w:val="none" w:sz="0" w:space="0" w:color="auto"/>
        <w:left w:val="none" w:sz="0" w:space="0" w:color="auto"/>
        <w:bottom w:val="none" w:sz="0" w:space="0" w:color="auto"/>
        <w:right w:val="none" w:sz="0" w:space="0" w:color="auto"/>
      </w:divBdr>
    </w:div>
    <w:div w:id="216867208">
      <w:bodyDiv w:val="1"/>
      <w:marLeft w:val="0"/>
      <w:marRight w:val="0"/>
      <w:marTop w:val="0"/>
      <w:marBottom w:val="0"/>
      <w:divBdr>
        <w:top w:val="none" w:sz="0" w:space="0" w:color="auto"/>
        <w:left w:val="none" w:sz="0" w:space="0" w:color="auto"/>
        <w:bottom w:val="none" w:sz="0" w:space="0" w:color="auto"/>
        <w:right w:val="none" w:sz="0" w:space="0" w:color="auto"/>
      </w:divBdr>
    </w:div>
    <w:div w:id="510293559">
      <w:bodyDiv w:val="1"/>
      <w:marLeft w:val="0"/>
      <w:marRight w:val="0"/>
      <w:marTop w:val="0"/>
      <w:marBottom w:val="0"/>
      <w:divBdr>
        <w:top w:val="none" w:sz="0" w:space="0" w:color="auto"/>
        <w:left w:val="none" w:sz="0" w:space="0" w:color="auto"/>
        <w:bottom w:val="none" w:sz="0" w:space="0" w:color="auto"/>
        <w:right w:val="none" w:sz="0" w:space="0" w:color="auto"/>
      </w:divBdr>
    </w:div>
    <w:div w:id="580911572">
      <w:bodyDiv w:val="1"/>
      <w:marLeft w:val="0"/>
      <w:marRight w:val="0"/>
      <w:marTop w:val="0"/>
      <w:marBottom w:val="0"/>
      <w:divBdr>
        <w:top w:val="none" w:sz="0" w:space="0" w:color="auto"/>
        <w:left w:val="none" w:sz="0" w:space="0" w:color="auto"/>
        <w:bottom w:val="none" w:sz="0" w:space="0" w:color="auto"/>
        <w:right w:val="none" w:sz="0" w:space="0" w:color="auto"/>
      </w:divBdr>
    </w:div>
    <w:div w:id="632056213">
      <w:bodyDiv w:val="1"/>
      <w:marLeft w:val="0"/>
      <w:marRight w:val="0"/>
      <w:marTop w:val="0"/>
      <w:marBottom w:val="0"/>
      <w:divBdr>
        <w:top w:val="none" w:sz="0" w:space="0" w:color="auto"/>
        <w:left w:val="none" w:sz="0" w:space="0" w:color="auto"/>
        <w:bottom w:val="none" w:sz="0" w:space="0" w:color="auto"/>
        <w:right w:val="none" w:sz="0" w:space="0" w:color="auto"/>
      </w:divBdr>
    </w:div>
    <w:div w:id="692339133">
      <w:bodyDiv w:val="1"/>
      <w:marLeft w:val="0"/>
      <w:marRight w:val="0"/>
      <w:marTop w:val="0"/>
      <w:marBottom w:val="0"/>
      <w:divBdr>
        <w:top w:val="none" w:sz="0" w:space="0" w:color="auto"/>
        <w:left w:val="none" w:sz="0" w:space="0" w:color="auto"/>
        <w:bottom w:val="none" w:sz="0" w:space="0" w:color="auto"/>
        <w:right w:val="none" w:sz="0" w:space="0" w:color="auto"/>
      </w:divBdr>
    </w:div>
    <w:div w:id="702898025">
      <w:bodyDiv w:val="1"/>
      <w:marLeft w:val="0"/>
      <w:marRight w:val="0"/>
      <w:marTop w:val="0"/>
      <w:marBottom w:val="0"/>
      <w:divBdr>
        <w:top w:val="none" w:sz="0" w:space="0" w:color="auto"/>
        <w:left w:val="none" w:sz="0" w:space="0" w:color="auto"/>
        <w:bottom w:val="none" w:sz="0" w:space="0" w:color="auto"/>
        <w:right w:val="none" w:sz="0" w:space="0" w:color="auto"/>
      </w:divBdr>
    </w:div>
    <w:div w:id="844049746">
      <w:bodyDiv w:val="1"/>
      <w:marLeft w:val="0"/>
      <w:marRight w:val="0"/>
      <w:marTop w:val="0"/>
      <w:marBottom w:val="0"/>
      <w:divBdr>
        <w:top w:val="none" w:sz="0" w:space="0" w:color="auto"/>
        <w:left w:val="none" w:sz="0" w:space="0" w:color="auto"/>
        <w:bottom w:val="none" w:sz="0" w:space="0" w:color="auto"/>
        <w:right w:val="none" w:sz="0" w:space="0" w:color="auto"/>
      </w:divBdr>
    </w:div>
    <w:div w:id="884489216">
      <w:bodyDiv w:val="1"/>
      <w:marLeft w:val="0"/>
      <w:marRight w:val="0"/>
      <w:marTop w:val="0"/>
      <w:marBottom w:val="0"/>
      <w:divBdr>
        <w:top w:val="none" w:sz="0" w:space="0" w:color="auto"/>
        <w:left w:val="none" w:sz="0" w:space="0" w:color="auto"/>
        <w:bottom w:val="none" w:sz="0" w:space="0" w:color="auto"/>
        <w:right w:val="none" w:sz="0" w:space="0" w:color="auto"/>
      </w:divBdr>
    </w:div>
    <w:div w:id="955865238">
      <w:bodyDiv w:val="1"/>
      <w:marLeft w:val="0"/>
      <w:marRight w:val="0"/>
      <w:marTop w:val="0"/>
      <w:marBottom w:val="0"/>
      <w:divBdr>
        <w:top w:val="none" w:sz="0" w:space="0" w:color="auto"/>
        <w:left w:val="none" w:sz="0" w:space="0" w:color="auto"/>
        <w:bottom w:val="none" w:sz="0" w:space="0" w:color="auto"/>
        <w:right w:val="none" w:sz="0" w:space="0" w:color="auto"/>
      </w:divBdr>
    </w:div>
    <w:div w:id="958223024">
      <w:bodyDiv w:val="1"/>
      <w:marLeft w:val="0"/>
      <w:marRight w:val="0"/>
      <w:marTop w:val="0"/>
      <w:marBottom w:val="0"/>
      <w:divBdr>
        <w:top w:val="none" w:sz="0" w:space="0" w:color="auto"/>
        <w:left w:val="none" w:sz="0" w:space="0" w:color="auto"/>
        <w:bottom w:val="none" w:sz="0" w:space="0" w:color="auto"/>
        <w:right w:val="none" w:sz="0" w:space="0" w:color="auto"/>
      </w:divBdr>
    </w:div>
    <w:div w:id="1052540690">
      <w:bodyDiv w:val="1"/>
      <w:marLeft w:val="0"/>
      <w:marRight w:val="0"/>
      <w:marTop w:val="0"/>
      <w:marBottom w:val="0"/>
      <w:divBdr>
        <w:top w:val="none" w:sz="0" w:space="0" w:color="auto"/>
        <w:left w:val="none" w:sz="0" w:space="0" w:color="auto"/>
        <w:bottom w:val="none" w:sz="0" w:space="0" w:color="auto"/>
        <w:right w:val="none" w:sz="0" w:space="0" w:color="auto"/>
      </w:divBdr>
    </w:div>
    <w:div w:id="1090853413">
      <w:bodyDiv w:val="1"/>
      <w:marLeft w:val="0"/>
      <w:marRight w:val="0"/>
      <w:marTop w:val="0"/>
      <w:marBottom w:val="0"/>
      <w:divBdr>
        <w:top w:val="none" w:sz="0" w:space="0" w:color="auto"/>
        <w:left w:val="none" w:sz="0" w:space="0" w:color="auto"/>
        <w:bottom w:val="none" w:sz="0" w:space="0" w:color="auto"/>
        <w:right w:val="none" w:sz="0" w:space="0" w:color="auto"/>
      </w:divBdr>
    </w:div>
    <w:div w:id="1119035392">
      <w:bodyDiv w:val="1"/>
      <w:marLeft w:val="0"/>
      <w:marRight w:val="0"/>
      <w:marTop w:val="0"/>
      <w:marBottom w:val="0"/>
      <w:divBdr>
        <w:top w:val="none" w:sz="0" w:space="0" w:color="auto"/>
        <w:left w:val="none" w:sz="0" w:space="0" w:color="auto"/>
        <w:bottom w:val="none" w:sz="0" w:space="0" w:color="auto"/>
        <w:right w:val="none" w:sz="0" w:space="0" w:color="auto"/>
      </w:divBdr>
    </w:div>
    <w:div w:id="1213423900">
      <w:bodyDiv w:val="1"/>
      <w:marLeft w:val="0"/>
      <w:marRight w:val="0"/>
      <w:marTop w:val="0"/>
      <w:marBottom w:val="0"/>
      <w:divBdr>
        <w:top w:val="none" w:sz="0" w:space="0" w:color="auto"/>
        <w:left w:val="none" w:sz="0" w:space="0" w:color="auto"/>
        <w:bottom w:val="none" w:sz="0" w:space="0" w:color="auto"/>
        <w:right w:val="none" w:sz="0" w:space="0" w:color="auto"/>
      </w:divBdr>
    </w:div>
    <w:div w:id="1374430312">
      <w:bodyDiv w:val="1"/>
      <w:marLeft w:val="0"/>
      <w:marRight w:val="0"/>
      <w:marTop w:val="0"/>
      <w:marBottom w:val="0"/>
      <w:divBdr>
        <w:top w:val="none" w:sz="0" w:space="0" w:color="auto"/>
        <w:left w:val="none" w:sz="0" w:space="0" w:color="auto"/>
        <w:bottom w:val="none" w:sz="0" w:space="0" w:color="auto"/>
        <w:right w:val="none" w:sz="0" w:space="0" w:color="auto"/>
      </w:divBdr>
    </w:div>
    <w:div w:id="1494679555">
      <w:bodyDiv w:val="1"/>
      <w:marLeft w:val="0"/>
      <w:marRight w:val="0"/>
      <w:marTop w:val="0"/>
      <w:marBottom w:val="0"/>
      <w:divBdr>
        <w:top w:val="none" w:sz="0" w:space="0" w:color="auto"/>
        <w:left w:val="none" w:sz="0" w:space="0" w:color="auto"/>
        <w:bottom w:val="none" w:sz="0" w:space="0" w:color="auto"/>
        <w:right w:val="none" w:sz="0" w:space="0" w:color="auto"/>
      </w:divBdr>
    </w:div>
    <w:div w:id="1617591661">
      <w:bodyDiv w:val="1"/>
      <w:marLeft w:val="0"/>
      <w:marRight w:val="0"/>
      <w:marTop w:val="0"/>
      <w:marBottom w:val="0"/>
      <w:divBdr>
        <w:top w:val="none" w:sz="0" w:space="0" w:color="auto"/>
        <w:left w:val="none" w:sz="0" w:space="0" w:color="auto"/>
        <w:bottom w:val="none" w:sz="0" w:space="0" w:color="auto"/>
        <w:right w:val="none" w:sz="0" w:space="0" w:color="auto"/>
      </w:divBdr>
    </w:div>
    <w:div w:id="1719087552">
      <w:bodyDiv w:val="1"/>
      <w:marLeft w:val="0"/>
      <w:marRight w:val="0"/>
      <w:marTop w:val="0"/>
      <w:marBottom w:val="0"/>
      <w:divBdr>
        <w:top w:val="none" w:sz="0" w:space="0" w:color="auto"/>
        <w:left w:val="none" w:sz="0" w:space="0" w:color="auto"/>
        <w:bottom w:val="none" w:sz="0" w:space="0" w:color="auto"/>
        <w:right w:val="none" w:sz="0" w:space="0" w:color="auto"/>
      </w:divBdr>
    </w:div>
    <w:div w:id="1769425821">
      <w:bodyDiv w:val="1"/>
      <w:marLeft w:val="0"/>
      <w:marRight w:val="0"/>
      <w:marTop w:val="0"/>
      <w:marBottom w:val="0"/>
      <w:divBdr>
        <w:top w:val="none" w:sz="0" w:space="0" w:color="auto"/>
        <w:left w:val="none" w:sz="0" w:space="0" w:color="auto"/>
        <w:bottom w:val="none" w:sz="0" w:space="0" w:color="auto"/>
        <w:right w:val="none" w:sz="0" w:space="0" w:color="auto"/>
      </w:divBdr>
    </w:div>
    <w:div w:id="1861239891">
      <w:bodyDiv w:val="1"/>
      <w:marLeft w:val="0"/>
      <w:marRight w:val="0"/>
      <w:marTop w:val="0"/>
      <w:marBottom w:val="0"/>
      <w:divBdr>
        <w:top w:val="none" w:sz="0" w:space="0" w:color="auto"/>
        <w:left w:val="none" w:sz="0" w:space="0" w:color="auto"/>
        <w:bottom w:val="none" w:sz="0" w:space="0" w:color="auto"/>
        <w:right w:val="none" w:sz="0" w:space="0" w:color="auto"/>
      </w:divBdr>
    </w:div>
    <w:div w:id="2053963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1F627085820B45ABDC82DD35D4FDFD" ma:contentTypeVersion="4" ma:contentTypeDescription="Create a new document." ma:contentTypeScope="" ma:versionID="737ec10dc4eac5fc3b4adce81d1e61aa">
  <xsd:schema xmlns:xsd="http://www.w3.org/2001/XMLSchema" xmlns:xs="http://www.w3.org/2001/XMLSchema" xmlns:p="http://schemas.microsoft.com/office/2006/metadata/properties" xmlns:ns2="c67951e0-1750-45b8-a06c-ba7fb743eef7" targetNamespace="http://schemas.microsoft.com/office/2006/metadata/properties" ma:root="true" ma:fieldsID="b92c95fef94f627e1dcf25923dcf2342" ns2:_="">
    <xsd:import namespace="c67951e0-1750-45b8-a06c-ba7fb743ee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951e0-1750-45b8-a06c-ba7fb743eef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CF3EA-8166-42A8-93D8-AAAC74EE5D15}">
  <ds:schemaRefs>
    <ds:schemaRef ds:uri="http://schemas.microsoft.com/sharepoint/v3/contenttype/forms"/>
  </ds:schemaRefs>
</ds:datastoreItem>
</file>

<file path=customXml/itemProps2.xml><?xml version="1.0" encoding="utf-8"?>
<ds:datastoreItem xmlns:ds="http://schemas.openxmlformats.org/officeDocument/2006/customXml" ds:itemID="{71A4E25B-52EB-4B0A-AD88-1B72258B8131}">
  <ds:schemaRefs>
    <ds:schemaRef ds:uri="c67951e0-1750-45b8-a06c-ba7fb743eef7"/>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61609242-E3EA-491B-B554-A9C183142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951e0-1750-45b8-a06c-ba7fb743ee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24CBCF-2DC6-40B6-B00D-D48CE4906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3250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2020-05-05T18:33:00Z</dcterms:created>
  <dcterms:modified xsi:type="dcterms:W3CDTF">2020-06-30T17:23:00Z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0x010100421F627085820B45ABDC82DD35D4FDFD</vt:lpwstr>
  </property>
</Properties>
</file>