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F65B" w14:textId="77777777" w:rsidR="00F571D6" w:rsidRPr="00B31FC7" w:rsidRDefault="00F571D6">
      <w:pPr>
        <w:spacing w:before="3" w:line="120" w:lineRule="exact"/>
        <w:rPr>
          <w:rFonts w:ascii="Times New Roman" w:hAnsi="Times New Roman" w:cs="Times New Roman"/>
          <w:sz w:val="24"/>
          <w:szCs w:val="24"/>
        </w:rPr>
      </w:pPr>
    </w:p>
    <w:p w14:paraId="7A88CEE8" w14:textId="2B0D7D55" w:rsidR="00F571D6" w:rsidRPr="00B31FC7" w:rsidRDefault="00C03810">
      <w:pPr>
        <w:ind w:right="297"/>
        <w:jc w:val="center"/>
        <w:rPr>
          <w:rFonts w:ascii="Times New Roman" w:eastAsia="Times New Roman" w:hAnsi="Times New Roman" w:cs="Times New Roman"/>
          <w:b/>
          <w:bCs/>
          <w:sz w:val="24"/>
          <w:szCs w:val="24"/>
          <w:u w:val="thick" w:color="000000"/>
        </w:rPr>
      </w:pPr>
      <w:r w:rsidRPr="00B31FC7">
        <w:rPr>
          <w:rFonts w:ascii="Times New Roman" w:eastAsia="Times New Roman" w:hAnsi="Times New Roman" w:cs="Times New Roman"/>
          <w:b/>
          <w:bCs/>
          <w:spacing w:val="-2"/>
          <w:sz w:val="24"/>
          <w:szCs w:val="24"/>
          <w:u w:val="thick" w:color="000000"/>
        </w:rPr>
        <w:t>DA</w:t>
      </w:r>
      <w:r w:rsidRPr="00B31FC7">
        <w:rPr>
          <w:rFonts w:ascii="Times New Roman" w:eastAsia="Times New Roman" w:hAnsi="Times New Roman" w:cs="Times New Roman"/>
          <w:b/>
          <w:bCs/>
          <w:spacing w:val="-1"/>
          <w:sz w:val="24"/>
          <w:szCs w:val="24"/>
          <w:u w:val="thick" w:color="000000"/>
        </w:rPr>
        <w:t>T</w:t>
      </w:r>
      <w:r w:rsidRPr="00B31FC7">
        <w:rPr>
          <w:rFonts w:ascii="Times New Roman" w:eastAsia="Times New Roman" w:hAnsi="Times New Roman" w:cs="Times New Roman"/>
          <w:b/>
          <w:bCs/>
          <w:sz w:val="24"/>
          <w:szCs w:val="24"/>
          <w:u w:val="thick" w:color="000000"/>
        </w:rPr>
        <w:t>A</w:t>
      </w:r>
      <w:r w:rsidRPr="00B31FC7">
        <w:rPr>
          <w:rFonts w:ascii="Times New Roman" w:eastAsia="Times New Roman" w:hAnsi="Times New Roman" w:cs="Times New Roman"/>
          <w:b/>
          <w:bCs/>
          <w:spacing w:val="-2"/>
          <w:sz w:val="24"/>
          <w:szCs w:val="24"/>
          <w:u w:val="thick" w:color="000000"/>
        </w:rPr>
        <w:t xml:space="preserve"> R</w:t>
      </w:r>
      <w:r w:rsidRPr="00B31FC7">
        <w:rPr>
          <w:rFonts w:ascii="Times New Roman" w:eastAsia="Times New Roman" w:hAnsi="Times New Roman" w:cs="Times New Roman"/>
          <w:b/>
          <w:bCs/>
          <w:spacing w:val="-1"/>
          <w:sz w:val="24"/>
          <w:szCs w:val="24"/>
          <w:u w:val="thick" w:color="000000"/>
        </w:rPr>
        <w:t>E</w:t>
      </w:r>
      <w:r w:rsidRPr="00B31FC7">
        <w:rPr>
          <w:rFonts w:ascii="Times New Roman" w:eastAsia="Times New Roman" w:hAnsi="Times New Roman" w:cs="Times New Roman"/>
          <w:b/>
          <w:bCs/>
          <w:sz w:val="24"/>
          <w:szCs w:val="24"/>
          <w:u w:val="thick" w:color="000000"/>
        </w:rPr>
        <w:t>Q</w:t>
      </w:r>
      <w:r w:rsidRPr="00B31FC7">
        <w:rPr>
          <w:rFonts w:ascii="Times New Roman" w:eastAsia="Times New Roman" w:hAnsi="Times New Roman" w:cs="Times New Roman"/>
          <w:b/>
          <w:bCs/>
          <w:spacing w:val="-2"/>
          <w:sz w:val="24"/>
          <w:szCs w:val="24"/>
          <w:u w:val="thick" w:color="000000"/>
        </w:rPr>
        <w:t>U</w:t>
      </w:r>
      <w:r w:rsidRPr="00B31FC7">
        <w:rPr>
          <w:rFonts w:ascii="Times New Roman" w:eastAsia="Times New Roman" w:hAnsi="Times New Roman" w:cs="Times New Roman"/>
          <w:b/>
          <w:bCs/>
          <w:spacing w:val="-1"/>
          <w:sz w:val="24"/>
          <w:szCs w:val="24"/>
          <w:u w:val="thick" w:color="000000"/>
        </w:rPr>
        <w:t>E</w:t>
      </w:r>
      <w:r w:rsidRPr="00B31FC7">
        <w:rPr>
          <w:rFonts w:ascii="Times New Roman" w:eastAsia="Times New Roman" w:hAnsi="Times New Roman" w:cs="Times New Roman"/>
          <w:b/>
          <w:bCs/>
          <w:sz w:val="24"/>
          <w:szCs w:val="24"/>
          <w:u w:val="thick" w:color="000000"/>
        </w:rPr>
        <w:t>ST</w:t>
      </w:r>
    </w:p>
    <w:p w14:paraId="3F8DE7D1" w14:textId="3F8B55EB" w:rsidR="00F25E6E" w:rsidRPr="00B31FC7" w:rsidRDefault="00F25E6E">
      <w:pPr>
        <w:ind w:right="297"/>
        <w:jc w:val="center"/>
        <w:rPr>
          <w:rFonts w:ascii="Times New Roman" w:eastAsia="Times New Roman" w:hAnsi="Times New Roman" w:cs="Times New Roman"/>
          <w:b/>
          <w:bCs/>
          <w:sz w:val="24"/>
          <w:szCs w:val="24"/>
          <w:u w:val="thick" w:color="000000"/>
        </w:rPr>
      </w:pPr>
    </w:p>
    <w:p w14:paraId="5F6BF91A" w14:textId="4C404764" w:rsidR="00C55445" w:rsidRPr="00B31FC7" w:rsidRDefault="00C55445">
      <w:pPr>
        <w:ind w:right="297"/>
        <w:jc w:val="center"/>
        <w:rPr>
          <w:rFonts w:ascii="Times New Roman" w:eastAsia="Times New Roman" w:hAnsi="Times New Roman" w:cs="Times New Roman"/>
          <w:b/>
          <w:bCs/>
          <w:sz w:val="24"/>
          <w:szCs w:val="24"/>
          <w:u w:val="thick" w:color="000000"/>
        </w:rPr>
      </w:pPr>
    </w:p>
    <w:p w14:paraId="510D0B51" w14:textId="77777777" w:rsidR="00F60588" w:rsidRPr="00B31FC7" w:rsidRDefault="00F60588" w:rsidP="00F60588">
      <w:pPr>
        <w:autoSpaceDE w:val="0"/>
        <w:autoSpaceDN w:val="0"/>
        <w:adjustRightInd w:val="0"/>
        <w:rPr>
          <w:rFonts w:ascii="Times New Roman" w:hAnsi="Times New Roman" w:cs="Times New Roman"/>
          <w:b/>
          <w:sz w:val="24"/>
          <w:szCs w:val="24"/>
        </w:rPr>
      </w:pPr>
      <w:r w:rsidRPr="00B31FC7">
        <w:rPr>
          <w:rFonts w:ascii="Times New Roman" w:hAnsi="Times New Roman" w:cs="Times New Roman"/>
          <w:b/>
          <w:sz w:val="24"/>
          <w:szCs w:val="24"/>
        </w:rPr>
        <w:t>Please respond to the following questions regarding the VGI tariff, which states in part:</w:t>
      </w:r>
    </w:p>
    <w:p w14:paraId="7C77FAC3" w14:textId="77777777" w:rsidR="00F60588" w:rsidRPr="00B31FC7" w:rsidRDefault="00F60588" w:rsidP="00F60588">
      <w:pPr>
        <w:autoSpaceDE w:val="0"/>
        <w:autoSpaceDN w:val="0"/>
        <w:adjustRightInd w:val="0"/>
        <w:rPr>
          <w:rFonts w:ascii="Times New Roman" w:hAnsi="Times New Roman" w:cs="Times New Roman"/>
          <w:sz w:val="24"/>
          <w:szCs w:val="24"/>
        </w:rPr>
      </w:pPr>
    </w:p>
    <w:p w14:paraId="21DC10F7" w14:textId="77777777" w:rsidR="00F60588" w:rsidRPr="00B31FC7" w:rsidRDefault="00F60588" w:rsidP="00F60588">
      <w:pPr>
        <w:autoSpaceDE w:val="0"/>
        <w:autoSpaceDN w:val="0"/>
        <w:adjustRightInd w:val="0"/>
        <w:rPr>
          <w:rFonts w:ascii="Times New Roman" w:hAnsi="Times New Roman" w:cs="Times New Roman"/>
          <w:sz w:val="24"/>
          <w:szCs w:val="24"/>
        </w:rPr>
      </w:pPr>
      <w:r w:rsidRPr="00B31FC7">
        <w:rPr>
          <w:rFonts w:ascii="Times New Roman" w:hAnsi="Times New Roman" w:cs="Times New Roman"/>
          <w:sz w:val="24"/>
          <w:szCs w:val="24"/>
        </w:rPr>
        <w:t>Total Base Rate:</w:t>
      </w:r>
    </w:p>
    <w:p w14:paraId="12838C9B" w14:textId="77777777" w:rsidR="00F60588" w:rsidRPr="00B31FC7" w:rsidRDefault="00F60588" w:rsidP="00F60588">
      <w:pPr>
        <w:autoSpaceDE w:val="0"/>
        <w:autoSpaceDN w:val="0"/>
        <w:adjustRightInd w:val="0"/>
        <w:rPr>
          <w:rFonts w:ascii="Times New Roman" w:hAnsi="Times New Roman" w:cs="Times New Roman"/>
          <w:sz w:val="24"/>
          <w:szCs w:val="24"/>
        </w:rPr>
      </w:pPr>
      <w:r w:rsidRPr="00B31FC7">
        <w:rPr>
          <w:rFonts w:ascii="Times New Roman" w:hAnsi="Times New Roman" w:cs="Times New Roman"/>
          <w:sz w:val="24"/>
          <w:szCs w:val="24"/>
        </w:rPr>
        <w:t>The hourly Total Base Rate will be charged on a volumetric (per kWh) basis.</w:t>
      </w:r>
    </w:p>
    <w:p w14:paraId="5BB5C49D" w14:textId="77777777" w:rsidR="00F60588" w:rsidRPr="00B31FC7" w:rsidRDefault="00F60588" w:rsidP="00F60588">
      <w:pPr>
        <w:autoSpaceDE w:val="0"/>
        <w:autoSpaceDN w:val="0"/>
        <w:adjustRightInd w:val="0"/>
        <w:rPr>
          <w:rFonts w:ascii="Times New Roman" w:hAnsi="Times New Roman" w:cs="Times New Roman"/>
          <w:sz w:val="24"/>
          <w:szCs w:val="24"/>
        </w:rPr>
      </w:pPr>
      <w:r w:rsidRPr="00B31FC7">
        <w:rPr>
          <w:rFonts w:ascii="Times New Roman" w:hAnsi="Times New Roman" w:cs="Times New Roman"/>
          <w:sz w:val="24"/>
          <w:szCs w:val="24"/>
        </w:rPr>
        <w:t>Total Base Rate</w:t>
      </w:r>
    </w:p>
    <w:p w14:paraId="67449E9D" w14:textId="77777777" w:rsidR="00F60588" w:rsidRPr="00B31FC7" w:rsidRDefault="00F60588" w:rsidP="00F60588">
      <w:pPr>
        <w:pStyle w:val="ListParagraph"/>
        <w:numPr>
          <w:ilvl w:val="0"/>
          <w:numId w:val="14"/>
        </w:numPr>
        <w:autoSpaceDE w:val="0"/>
        <w:autoSpaceDN w:val="0"/>
        <w:adjustRightInd w:val="0"/>
        <w:contextualSpacing/>
        <w:rPr>
          <w:rFonts w:ascii="Times New Roman" w:hAnsi="Times New Roman" w:cs="Times New Roman"/>
          <w:sz w:val="24"/>
          <w:szCs w:val="24"/>
        </w:rPr>
      </w:pPr>
      <w:r w:rsidRPr="00B31FC7">
        <w:rPr>
          <w:rFonts w:ascii="Times New Roman" w:hAnsi="Times New Roman" w:cs="Times New Roman"/>
          <w:sz w:val="24"/>
          <w:szCs w:val="24"/>
        </w:rPr>
        <w:t xml:space="preserve">Subtotal Base Rate         0.05647 </w:t>
      </w:r>
    </w:p>
    <w:p w14:paraId="4E85D63C" w14:textId="77777777" w:rsidR="00F60588" w:rsidRPr="00B31FC7" w:rsidRDefault="00F60588" w:rsidP="00F60588">
      <w:pPr>
        <w:pStyle w:val="ListParagraph"/>
        <w:numPr>
          <w:ilvl w:val="0"/>
          <w:numId w:val="14"/>
        </w:numPr>
        <w:autoSpaceDE w:val="0"/>
        <w:autoSpaceDN w:val="0"/>
        <w:adjustRightInd w:val="0"/>
        <w:contextualSpacing/>
        <w:rPr>
          <w:rFonts w:ascii="Times New Roman" w:hAnsi="Times New Roman" w:cs="Times New Roman"/>
          <w:sz w:val="24"/>
          <w:szCs w:val="24"/>
        </w:rPr>
      </w:pPr>
      <w:r w:rsidRPr="00B31FC7">
        <w:rPr>
          <w:rFonts w:ascii="Times New Roman" w:hAnsi="Times New Roman" w:cs="Times New Roman"/>
          <w:sz w:val="24"/>
          <w:szCs w:val="24"/>
        </w:rPr>
        <w:t xml:space="preserve">Commodity Base Rate   0.05729 </w:t>
      </w:r>
    </w:p>
    <w:p w14:paraId="7F789688" w14:textId="77777777" w:rsidR="00F60588" w:rsidRPr="00B31FC7" w:rsidRDefault="00F60588" w:rsidP="00F60588">
      <w:pPr>
        <w:pStyle w:val="ListParagraph"/>
        <w:numPr>
          <w:ilvl w:val="0"/>
          <w:numId w:val="14"/>
        </w:numPr>
        <w:autoSpaceDE w:val="0"/>
        <w:autoSpaceDN w:val="0"/>
        <w:adjustRightInd w:val="0"/>
        <w:contextualSpacing/>
        <w:rPr>
          <w:rFonts w:ascii="Times New Roman" w:hAnsi="Times New Roman" w:cs="Times New Roman"/>
          <w:sz w:val="24"/>
          <w:szCs w:val="24"/>
        </w:rPr>
      </w:pPr>
      <w:r w:rsidRPr="00B31FC7">
        <w:rPr>
          <w:rFonts w:ascii="Times New Roman" w:hAnsi="Times New Roman" w:cs="Times New Roman"/>
          <w:sz w:val="24"/>
          <w:szCs w:val="24"/>
        </w:rPr>
        <w:t>Distribution Base Rate  0.03476</w:t>
      </w:r>
    </w:p>
    <w:p w14:paraId="5033DE56" w14:textId="77777777" w:rsidR="00F60588" w:rsidRPr="00B31FC7" w:rsidRDefault="00F60588" w:rsidP="00F60588">
      <w:pPr>
        <w:autoSpaceDE w:val="0"/>
        <w:autoSpaceDN w:val="0"/>
        <w:adjustRightInd w:val="0"/>
        <w:rPr>
          <w:rFonts w:ascii="Times New Roman" w:hAnsi="Times New Roman" w:cs="Times New Roman"/>
          <w:sz w:val="24"/>
          <w:szCs w:val="24"/>
        </w:rPr>
      </w:pPr>
    </w:p>
    <w:p w14:paraId="70E557B0" w14:textId="77777777" w:rsidR="00F60588" w:rsidRPr="00B31FC7" w:rsidRDefault="00F60588" w:rsidP="00F60588">
      <w:pPr>
        <w:autoSpaceDE w:val="0"/>
        <w:autoSpaceDN w:val="0"/>
        <w:adjustRightInd w:val="0"/>
        <w:rPr>
          <w:rFonts w:ascii="Times New Roman" w:hAnsi="Times New Roman" w:cs="Times New Roman"/>
          <w:sz w:val="24"/>
          <w:szCs w:val="24"/>
        </w:rPr>
      </w:pPr>
      <w:r w:rsidRPr="00B31FC7">
        <w:rPr>
          <w:rFonts w:ascii="Times New Roman" w:hAnsi="Times New Roman" w:cs="Times New Roman"/>
          <w:sz w:val="24"/>
          <w:szCs w:val="24"/>
        </w:rPr>
        <w:t xml:space="preserve">Total Base Rate                              0.14852 </w:t>
      </w:r>
    </w:p>
    <w:p w14:paraId="296201F6"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 xml:space="preserve"> </w:t>
      </w:r>
    </w:p>
    <w:p w14:paraId="2FF1FA22"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Q1.   Please  confirm or correct the following statements:</w:t>
      </w:r>
    </w:p>
    <w:p w14:paraId="7115B3EE" w14:textId="77777777" w:rsidR="00F60588" w:rsidRPr="00B31FC7" w:rsidRDefault="00F60588" w:rsidP="00F60588">
      <w:pPr>
        <w:rPr>
          <w:rFonts w:ascii="Times New Roman" w:hAnsi="Times New Roman" w:cs="Times New Roman"/>
          <w:sz w:val="24"/>
          <w:szCs w:val="24"/>
        </w:rPr>
      </w:pPr>
    </w:p>
    <w:p w14:paraId="68A49989" w14:textId="77777777" w:rsidR="00F60588" w:rsidRPr="00B31FC7" w:rsidRDefault="00F60588" w:rsidP="00F60588">
      <w:pPr>
        <w:pStyle w:val="ListParagraph"/>
        <w:widowControl/>
        <w:numPr>
          <w:ilvl w:val="0"/>
          <w:numId w:val="15"/>
        </w:numPr>
        <w:contextualSpacing/>
        <w:rPr>
          <w:rFonts w:ascii="Times New Roman" w:hAnsi="Times New Roman" w:cs="Times New Roman"/>
          <w:sz w:val="24"/>
          <w:szCs w:val="24"/>
        </w:rPr>
      </w:pPr>
      <w:r w:rsidRPr="00B31FC7">
        <w:rPr>
          <w:rFonts w:ascii="Times New Roman" w:hAnsi="Times New Roman" w:cs="Times New Roman"/>
          <w:sz w:val="24"/>
          <w:szCs w:val="24"/>
        </w:rPr>
        <w:t>The “Subtotal Base Rate” consists of all UDC rate components except Distribution.</w:t>
      </w:r>
    </w:p>
    <w:p w14:paraId="0DA30227" w14:textId="77777777" w:rsidR="00F60588" w:rsidRPr="00B31FC7" w:rsidRDefault="00F60588" w:rsidP="00F60588">
      <w:pPr>
        <w:pStyle w:val="ListParagraph"/>
        <w:widowControl/>
        <w:numPr>
          <w:ilvl w:val="0"/>
          <w:numId w:val="15"/>
        </w:numPr>
        <w:contextualSpacing/>
        <w:rPr>
          <w:rFonts w:ascii="Times New Roman" w:hAnsi="Times New Roman" w:cs="Times New Roman"/>
          <w:sz w:val="24"/>
          <w:szCs w:val="24"/>
        </w:rPr>
      </w:pPr>
      <w:r w:rsidRPr="00B31FC7">
        <w:rPr>
          <w:rFonts w:ascii="Times New Roman" w:hAnsi="Times New Roman" w:cs="Times New Roman"/>
          <w:sz w:val="24"/>
          <w:szCs w:val="24"/>
        </w:rPr>
        <w:t>The “Commodity Base Rate” consists of nonmarginal commodity or generation costs.</w:t>
      </w:r>
    </w:p>
    <w:p w14:paraId="41963C6E" w14:textId="77777777" w:rsidR="00F60588" w:rsidRPr="00B31FC7" w:rsidRDefault="00F60588" w:rsidP="00F60588">
      <w:pPr>
        <w:pStyle w:val="ListParagraph"/>
        <w:widowControl/>
        <w:numPr>
          <w:ilvl w:val="0"/>
          <w:numId w:val="15"/>
        </w:numPr>
        <w:contextualSpacing/>
        <w:rPr>
          <w:rFonts w:ascii="Times New Roman" w:hAnsi="Times New Roman" w:cs="Times New Roman"/>
          <w:sz w:val="24"/>
          <w:szCs w:val="24"/>
        </w:rPr>
      </w:pPr>
      <w:r w:rsidRPr="00B31FC7">
        <w:rPr>
          <w:rFonts w:ascii="Times New Roman" w:hAnsi="Times New Roman" w:cs="Times New Roman"/>
          <w:sz w:val="24"/>
          <w:szCs w:val="24"/>
        </w:rPr>
        <w:t xml:space="preserve">All marginal commodity or generation costs are mapped into either the CAISO </w:t>
      </w:r>
      <w:bookmarkStart w:id="0" w:name="_Hlk27995017"/>
      <w:r w:rsidRPr="00B31FC7">
        <w:rPr>
          <w:rFonts w:ascii="Times New Roman" w:hAnsi="Times New Roman" w:cs="Times New Roman"/>
          <w:sz w:val="24"/>
          <w:szCs w:val="24"/>
        </w:rPr>
        <w:t>day-ahead hourly price, or the VGI day-ahead C-CPP Hourly Adder</w:t>
      </w:r>
      <w:bookmarkEnd w:id="0"/>
    </w:p>
    <w:p w14:paraId="3B990C85" w14:textId="77777777" w:rsidR="00F60588" w:rsidRPr="00B31FC7" w:rsidRDefault="00F60588" w:rsidP="00F60588">
      <w:pPr>
        <w:pStyle w:val="ListParagraph"/>
        <w:widowControl/>
        <w:numPr>
          <w:ilvl w:val="0"/>
          <w:numId w:val="15"/>
        </w:numPr>
        <w:contextualSpacing/>
        <w:rPr>
          <w:rFonts w:ascii="Times New Roman" w:hAnsi="Times New Roman" w:cs="Times New Roman"/>
          <w:sz w:val="24"/>
          <w:szCs w:val="24"/>
        </w:rPr>
      </w:pPr>
      <w:r w:rsidRPr="00B31FC7">
        <w:rPr>
          <w:rFonts w:ascii="Times New Roman" w:hAnsi="Times New Roman" w:cs="Times New Roman"/>
          <w:sz w:val="24"/>
          <w:szCs w:val="24"/>
        </w:rPr>
        <w:t>All marginal generation capacity costs are mapped into the VGI day-ahead C-CPP Hourly Adder</w:t>
      </w:r>
    </w:p>
    <w:p w14:paraId="79822BDF" w14:textId="5D84A6EF" w:rsidR="00F60588" w:rsidRPr="00B31FC7" w:rsidRDefault="00F60588" w:rsidP="00F60588">
      <w:pPr>
        <w:pStyle w:val="ListParagraph"/>
        <w:widowControl/>
        <w:numPr>
          <w:ilvl w:val="0"/>
          <w:numId w:val="15"/>
        </w:numPr>
        <w:contextualSpacing/>
        <w:rPr>
          <w:rFonts w:ascii="Times New Roman" w:hAnsi="Times New Roman" w:cs="Times New Roman"/>
          <w:sz w:val="24"/>
          <w:szCs w:val="24"/>
        </w:rPr>
      </w:pPr>
      <w:r w:rsidRPr="00B31FC7">
        <w:rPr>
          <w:rFonts w:ascii="Times New Roman" w:hAnsi="Times New Roman" w:cs="Times New Roman"/>
          <w:sz w:val="24"/>
          <w:szCs w:val="24"/>
        </w:rPr>
        <w:t>Distribution costs are mapped either into the “Distribution Base Rate” or VGI Distribution Critical Peak Pricing (D-CPP) Hourly Adder</w:t>
      </w:r>
    </w:p>
    <w:p w14:paraId="45050E18" w14:textId="20266D3A" w:rsidR="00465483" w:rsidRPr="00B31FC7" w:rsidRDefault="00465483" w:rsidP="00465483">
      <w:pPr>
        <w:widowControl/>
        <w:contextualSpacing/>
        <w:rPr>
          <w:rFonts w:ascii="Times New Roman" w:hAnsi="Times New Roman" w:cs="Times New Roman"/>
          <w:sz w:val="24"/>
          <w:szCs w:val="24"/>
        </w:rPr>
      </w:pPr>
    </w:p>
    <w:p w14:paraId="7D3910B9" w14:textId="54E198B8" w:rsidR="00465483" w:rsidRPr="00B31FC7" w:rsidRDefault="00465483" w:rsidP="00465483">
      <w:pPr>
        <w:widowControl/>
        <w:contextualSpacing/>
        <w:rPr>
          <w:rFonts w:ascii="Times New Roman" w:hAnsi="Times New Roman" w:cs="Times New Roman"/>
          <w:sz w:val="24"/>
          <w:szCs w:val="24"/>
        </w:rPr>
      </w:pPr>
      <w:r w:rsidRPr="00B31FC7">
        <w:rPr>
          <w:rFonts w:ascii="Times New Roman" w:hAnsi="Times New Roman" w:cs="Times New Roman"/>
          <w:b/>
          <w:sz w:val="24"/>
          <w:szCs w:val="24"/>
        </w:rPr>
        <w:t>SDG&amp;E Response:</w:t>
      </w:r>
      <w:r w:rsidR="0097115B" w:rsidRPr="00B31FC7">
        <w:rPr>
          <w:rFonts w:ascii="Times New Roman" w:hAnsi="Times New Roman" w:cs="Times New Roman"/>
          <w:b/>
          <w:sz w:val="24"/>
          <w:szCs w:val="24"/>
        </w:rPr>
        <w:t xml:space="preserve"> </w:t>
      </w:r>
    </w:p>
    <w:p w14:paraId="6DACB7DD" w14:textId="16167E24" w:rsidR="002C7328" w:rsidRPr="00B31FC7" w:rsidRDefault="002C7328" w:rsidP="00465483">
      <w:pPr>
        <w:widowControl/>
        <w:contextualSpacing/>
        <w:rPr>
          <w:rFonts w:ascii="Times New Roman" w:hAnsi="Times New Roman" w:cs="Times New Roman"/>
          <w:sz w:val="24"/>
          <w:szCs w:val="24"/>
        </w:rPr>
      </w:pPr>
    </w:p>
    <w:p w14:paraId="77F1F16F" w14:textId="7F487F99" w:rsidR="002C7328" w:rsidRPr="00B31FC7" w:rsidRDefault="002C7328" w:rsidP="00994AD8">
      <w:pPr>
        <w:widowControl/>
        <w:ind w:left="630" w:hanging="270"/>
        <w:contextualSpacing/>
        <w:rPr>
          <w:rFonts w:ascii="Times New Roman" w:hAnsi="Times New Roman" w:cs="Times New Roman"/>
          <w:sz w:val="24"/>
          <w:szCs w:val="24"/>
        </w:rPr>
      </w:pPr>
      <w:r w:rsidRPr="00B31FC7">
        <w:rPr>
          <w:rFonts w:ascii="Times New Roman" w:hAnsi="Times New Roman" w:cs="Times New Roman"/>
          <w:sz w:val="24"/>
          <w:szCs w:val="24"/>
        </w:rPr>
        <w:t xml:space="preserve">a.  </w:t>
      </w:r>
      <w:r w:rsidR="00994AD8" w:rsidRPr="00B31FC7">
        <w:rPr>
          <w:rFonts w:ascii="Times New Roman" w:hAnsi="Times New Roman" w:cs="Times New Roman"/>
          <w:sz w:val="24"/>
          <w:szCs w:val="24"/>
        </w:rPr>
        <w:t xml:space="preserve">Yes. The "Subtotal Base Rate" presented on Sheet 2 of Schedule VGI consists of </w:t>
      </w:r>
      <w:r w:rsidR="00F35F31" w:rsidRPr="00B31FC7">
        <w:rPr>
          <w:rFonts w:ascii="Times New Roman" w:hAnsi="Times New Roman" w:cs="Times New Roman"/>
          <w:sz w:val="24"/>
          <w:szCs w:val="24"/>
        </w:rPr>
        <w:t xml:space="preserve">the </w:t>
      </w:r>
      <w:r w:rsidR="003C5354" w:rsidRPr="00B31FC7">
        <w:rPr>
          <w:rFonts w:ascii="Times New Roman" w:hAnsi="Times New Roman" w:cs="Times New Roman"/>
          <w:sz w:val="24"/>
          <w:szCs w:val="24"/>
        </w:rPr>
        <w:t xml:space="preserve">Medium/Large Commercial &amp; Industrial (M/L C&amp;I) </w:t>
      </w:r>
      <w:r w:rsidR="00F35F31" w:rsidRPr="00B31FC7">
        <w:rPr>
          <w:rFonts w:ascii="Times New Roman" w:hAnsi="Times New Roman" w:cs="Times New Roman"/>
          <w:sz w:val="24"/>
          <w:szCs w:val="24"/>
        </w:rPr>
        <w:t xml:space="preserve">class </w:t>
      </w:r>
      <w:r w:rsidR="00B95EB4" w:rsidRPr="00B31FC7">
        <w:rPr>
          <w:rFonts w:ascii="Times New Roman" w:hAnsi="Times New Roman" w:cs="Times New Roman"/>
          <w:sz w:val="24"/>
          <w:szCs w:val="24"/>
        </w:rPr>
        <w:t xml:space="preserve">average </w:t>
      </w:r>
      <w:r w:rsidR="00C16C1E" w:rsidRPr="00B31FC7">
        <w:rPr>
          <w:rFonts w:ascii="Times New Roman" w:hAnsi="Times New Roman" w:cs="Times New Roman"/>
          <w:sz w:val="24"/>
          <w:szCs w:val="24"/>
        </w:rPr>
        <w:t xml:space="preserve">UDC </w:t>
      </w:r>
      <w:r w:rsidR="00740716" w:rsidRPr="00B31FC7">
        <w:rPr>
          <w:rFonts w:ascii="Times New Roman" w:hAnsi="Times New Roman" w:cs="Times New Roman"/>
          <w:sz w:val="24"/>
          <w:szCs w:val="24"/>
        </w:rPr>
        <w:t>rates</w:t>
      </w:r>
      <w:r w:rsidR="00B64715" w:rsidRPr="00B31FC7">
        <w:rPr>
          <w:rFonts w:ascii="Times New Roman" w:hAnsi="Times New Roman" w:cs="Times New Roman"/>
          <w:sz w:val="24"/>
          <w:szCs w:val="24"/>
        </w:rPr>
        <w:t xml:space="preserve"> </w:t>
      </w:r>
      <w:r w:rsidR="00C703E1" w:rsidRPr="00B31FC7">
        <w:rPr>
          <w:rFonts w:ascii="Times New Roman" w:hAnsi="Times New Roman" w:cs="Times New Roman"/>
          <w:sz w:val="24"/>
          <w:szCs w:val="24"/>
        </w:rPr>
        <w:t>except distribution rates</w:t>
      </w:r>
      <w:r w:rsidR="00BD56F1" w:rsidRPr="00B31FC7">
        <w:rPr>
          <w:rFonts w:ascii="Times New Roman" w:hAnsi="Times New Roman" w:cs="Times New Roman"/>
          <w:sz w:val="24"/>
          <w:szCs w:val="24"/>
        </w:rPr>
        <w:t xml:space="preserve">, and thus, consists of </w:t>
      </w:r>
      <w:r w:rsidR="00B64715" w:rsidRPr="00B31FC7">
        <w:rPr>
          <w:rFonts w:ascii="Times New Roman" w:hAnsi="Times New Roman" w:cs="Times New Roman"/>
          <w:sz w:val="24"/>
          <w:szCs w:val="24"/>
        </w:rPr>
        <w:t xml:space="preserve">the M/L C&amp;I class average </w:t>
      </w:r>
      <w:r w:rsidR="006821A5">
        <w:rPr>
          <w:rFonts w:ascii="Times New Roman" w:hAnsi="Times New Roman" w:cs="Times New Roman"/>
          <w:sz w:val="24"/>
          <w:szCs w:val="24"/>
        </w:rPr>
        <w:t>T</w:t>
      </w:r>
      <w:r w:rsidR="00F2593E" w:rsidRPr="00B31FC7">
        <w:rPr>
          <w:rFonts w:ascii="Times New Roman" w:hAnsi="Times New Roman" w:cs="Times New Roman"/>
          <w:sz w:val="24"/>
          <w:szCs w:val="24"/>
        </w:rPr>
        <w:t xml:space="preserve">ransmission, </w:t>
      </w:r>
      <w:r w:rsidR="00023728" w:rsidRPr="00B31FC7">
        <w:rPr>
          <w:rFonts w:ascii="Times New Roman" w:hAnsi="Times New Roman" w:cs="Times New Roman"/>
          <w:sz w:val="24"/>
          <w:szCs w:val="24"/>
        </w:rPr>
        <w:t xml:space="preserve">Public Purpose Program </w:t>
      </w:r>
      <w:r w:rsidR="00BD56F1" w:rsidRPr="00B31FC7">
        <w:rPr>
          <w:rFonts w:ascii="Times New Roman" w:hAnsi="Times New Roman" w:cs="Times New Roman"/>
          <w:sz w:val="24"/>
          <w:szCs w:val="24"/>
        </w:rPr>
        <w:t>(</w:t>
      </w:r>
      <w:r w:rsidR="00023728" w:rsidRPr="00B31FC7">
        <w:rPr>
          <w:rFonts w:ascii="Times New Roman" w:hAnsi="Times New Roman" w:cs="Times New Roman"/>
          <w:sz w:val="24"/>
          <w:szCs w:val="24"/>
        </w:rPr>
        <w:t>PPP</w:t>
      </w:r>
      <w:r w:rsidR="00BD56F1" w:rsidRPr="00B31FC7">
        <w:rPr>
          <w:rFonts w:ascii="Times New Roman" w:hAnsi="Times New Roman" w:cs="Times New Roman"/>
          <w:sz w:val="24"/>
          <w:szCs w:val="24"/>
        </w:rPr>
        <w:t>)</w:t>
      </w:r>
      <w:r w:rsidR="00023728" w:rsidRPr="00B31FC7">
        <w:rPr>
          <w:rFonts w:ascii="Times New Roman" w:hAnsi="Times New Roman" w:cs="Times New Roman"/>
          <w:sz w:val="24"/>
          <w:szCs w:val="24"/>
        </w:rPr>
        <w:t xml:space="preserve">, Nuclear Decommissioning </w:t>
      </w:r>
      <w:r w:rsidR="00BD56F1" w:rsidRPr="00B31FC7">
        <w:rPr>
          <w:rFonts w:ascii="Times New Roman" w:hAnsi="Times New Roman" w:cs="Times New Roman"/>
          <w:sz w:val="24"/>
          <w:szCs w:val="24"/>
        </w:rPr>
        <w:t>(</w:t>
      </w:r>
      <w:r w:rsidR="00023728" w:rsidRPr="00B31FC7">
        <w:rPr>
          <w:rFonts w:ascii="Times New Roman" w:hAnsi="Times New Roman" w:cs="Times New Roman"/>
          <w:sz w:val="24"/>
          <w:szCs w:val="24"/>
        </w:rPr>
        <w:t>ND</w:t>
      </w:r>
      <w:r w:rsidR="00BD56F1" w:rsidRPr="00B31FC7">
        <w:rPr>
          <w:rFonts w:ascii="Times New Roman" w:hAnsi="Times New Roman" w:cs="Times New Roman"/>
          <w:sz w:val="24"/>
          <w:szCs w:val="24"/>
        </w:rPr>
        <w:t>)</w:t>
      </w:r>
      <w:r w:rsidR="00023728" w:rsidRPr="00B31FC7">
        <w:rPr>
          <w:rFonts w:ascii="Times New Roman" w:hAnsi="Times New Roman" w:cs="Times New Roman"/>
          <w:sz w:val="24"/>
          <w:szCs w:val="24"/>
        </w:rPr>
        <w:t xml:space="preserve">, </w:t>
      </w:r>
      <w:r w:rsidR="00825F5B" w:rsidRPr="00B31FC7">
        <w:rPr>
          <w:rFonts w:ascii="Times New Roman" w:hAnsi="Times New Roman" w:cs="Times New Roman"/>
          <w:sz w:val="24"/>
          <w:szCs w:val="24"/>
        </w:rPr>
        <w:t xml:space="preserve">Competition Transition Charge </w:t>
      </w:r>
      <w:r w:rsidR="00BD56F1" w:rsidRPr="00B31FC7">
        <w:rPr>
          <w:rFonts w:ascii="Times New Roman" w:hAnsi="Times New Roman" w:cs="Times New Roman"/>
          <w:sz w:val="24"/>
          <w:szCs w:val="24"/>
        </w:rPr>
        <w:t>(</w:t>
      </w:r>
      <w:r w:rsidR="00825F5B" w:rsidRPr="00B31FC7">
        <w:rPr>
          <w:rFonts w:ascii="Times New Roman" w:hAnsi="Times New Roman" w:cs="Times New Roman"/>
          <w:sz w:val="24"/>
          <w:szCs w:val="24"/>
        </w:rPr>
        <w:t>CTC</w:t>
      </w:r>
      <w:r w:rsidR="00BD56F1" w:rsidRPr="00B31FC7">
        <w:rPr>
          <w:rFonts w:ascii="Times New Roman" w:hAnsi="Times New Roman" w:cs="Times New Roman"/>
          <w:sz w:val="24"/>
          <w:szCs w:val="24"/>
        </w:rPr>
        <w:t>)</w:t>
      </w:r>
      <w:r w:rsidR="00825F5B" w:rsidRPr="00B31FC7">
        <w:rPr>
          <w:rFonts w:ascii="Times New Roman" w:hAnsi="Times New Roman" w:cs="Times New Roman"/>
          <w:sz w:val="24"/>
          <w:szCs w:val="24"/>
        </w:rPr>
        <w:t xml:space="preserve">, </w:t>
      </w:r>
      <w:r w:rsidR="00334531" w:rsidRPr="00B31FC7">
        <w:rPr>
          <w:rFonts w:ascii="Times New Roman" w:hAnsi="Times New Roman" w:cs="Times New Roman"/>
          <w:sz w:val="24"/>
          <w:szCs w:val="24"/>
        </w:rPr>
        <w:t xml:space="preserve">Local Generation Charge </w:t>
      </w:r>
      <w:r w:rsidR="00BD56F1" w:rsidRPr="00B31FC7">
        <w:rPr>
          <w:rFonts w:ascii="Times New Roman" w:hAnsi="Times New Roman" w:cs="Times New Roman"/>
          <w:sz w:val="24"/>
          <w:szCs w:val="24"/>
        </w:rPr>
        <w:t>(</w:t>
      </w:r>
      <w:r w:rsidR="00334531" w:rsidRPr="00B31FC7">
        <w:rPr>
          <w:rFonts w:ascii="Times New Roman" w:hAnsi="Times New Roman" w:cs="Times New Roman"/>
          <w:sz w:val="24"/>
          <w:szCs w:val="24"/>
        </w:rPr>
        <w:t>LGC</w:t>
      </w:r>
      <w:r w:rsidR="00BD56F1" w:rsidRPr="00B31FC7">
        <w:rPr>
          <w:rFonts w:ascii="Times New Roman" w:hAnsi="Times New Roman" w:cs="Times New Roman"/>
          <w:sz w:val="24"/>
          <w:szCs w:val="24"/>
        </w:rPr>
        <w:t>)</w:t>
      </w:r>
      <w:r w:rsidR="00334531" w:rsidRPr="00B31FC7">
        <w:rPr>
          <w:rFonts w:ascii="Times New Roman" w:hAnsi="Times New Roman" w:cs="Times New Roman"/>
          <w:sz w:val="24"/>
          <w:szCs w:val="24"/>
        </w:rPr>
        <w:t xml:space="preserve">, Reliability Services </w:t>
      </w:r>
      <w:r w:rsidR="00BD56F1" w:rsidRPr="00B31FC7">
        <w:rPr>
          <w:rFonts w:ascii="Times New Roman" w:hAnsi="Times New Roman" w:cs="Times New Roman"/>
          <w:sz w:val="24"/>
          <w:szCs w:val="24"/>
        </w:rPr>
        <w:t>(</w:t>
      </w:r>
      <w:r w:rsidR="00334531" w:rsidRPr="00B31FC7">
        <w:rPr>
          <w:rFonts w:ascii="Times New Roman" w:hAnsi="Times New Roman" w:cs="Times New Roman"/>
          <w:sz w:val="24"/>
          <w:szCs w:val="24"/>
        </w:rPr>
        <w:t>RS</w:t>
      </w:r>
      <w:r w:rsidR="00BD56F1" w:rsidRPr="00B31FC7">
        <w:rPr>
          <w:rFonts w:ascii="Times New Roman" w:hAnsi="Times New Roman" w:cs="Times New Roman"/>
          <w:sz w:val="24"/>
          <w:szCs w:val="24"/>
        </w:rPr>
        <w:t>)</w:t>
      </w:r>
      <w:r w:rsidR="00334531" w:rsidRPr="00B31FC7">
        <w:rPr>
          <w:rFonts w:ascii="Times New Roman" w:hAnsi="Times New Roman" w:cs="Times New Roman"/>
          <w:sz w:val="24"/>
          <w:szCs w:val="24"/>
        </w:rPr>
        <w:t xml:space="preserve">, </w:t>
      </w:r>
      <w:r w:rsidR="004D1898" w:rsidRPr="00B31FC7">
        <w:rPr>
          <w:rFonts w:ascii="Times New Roman" w:hAnsi="Times New Roman" w:cs="Times New Roman"/>
          <w:sz w:val="24"/>
          <w:szCs w:val="24"/>
        </w:rPr>
        <w:t xml:space="preserve">Department of Water Resources Bond Charge </w:t>
      </w:r>
      <w:r w:rsidR="00BD56F1" w:rsidRPr="00B31FC7">
        <w:rPr>
          <w:rFonts w:ascii="Times New Roman" w:hAnsi="Times New Roman" w:cs="Times New Roman"/>
          <w:sz w:val="24"/>
          <w:szCs w:val="24"/>
        </w:rPr>
        <w:t>(</w:t>
      </w:r>
      <w:r w:rsidR="004D1898" w:rsidRPr="00B31FC7">
        <w:rPr>
          <w:rFonts w:ascii="Times New Roman" w:hAnsi="Times New Roman" w:cs="Times New Roman"/>
          <w:sz w:val="24"/>
          <w:szCs w:val="24"/>
        </w:rPr>
        <w:t>DWR</w:t>
      </w:r>
      <w:r w:rsidR="002E0C4B" w:rsidRPr="00B31FC7">
        <w:rPr>
          <w:rFonts w:ascii="Times New Roman" w:hAnsi="Times New Roman" w:cs="Times New Roman"/>
          <w:sz w:val="24"/>
          <w:szCs w:val="24"/>
        </w:rPr>
        <w:t>-BC</w:t>
      </w:r>
      <w:r w:rsidR="00BD56F1" w:rsidRPr="00B31FC7">
        <w:rPr>
          <w:rFonts w:ascii="Times New Roman" w:hAnsi="Times New Roman" w:cs="Times New Roman"/>
          <w:sz w:val="24"/>
          <w:szCs w:val="24"/>
        </w:rPr>
        <w:t>) rates</w:t>
      </w:r>
      <w:r w:rsidR="00740716" w:rsidRPr="00B31FC7">
        <w:rPr>
          <w:rFonts w:ascii="Times New Roman" w:hAnsi="Times New Roman" w:cs="Times New Roman"/>
          <w:sz w:val="24"/>
          <w:szCs w:val="24"/>
        </w:rPr>
        <w:t>.</w:t>
      </w:r>
      <w:r w:rsidR="00F65F9D" w:rsidRPr="00B31FC7">
        <w:rPr>
          <w:rFonts w:ascii="Times New Roman" w:hAnsi="Times New Roman" w:cs="Times New Roman"/>
          <w:sz w:val="24"/>
          <w:szCs w:val="24"/>
        </w:rPr>
        <w:t xml:space="preserve"> </w:t>
      </w:r>
    </w:p>
    <w:p w14:paraId="0B6DBE1F" w14:textId="734DB188" w:rsidR="00267ADB" w:rsidRPr="00B31FC7" w:rsidRDefault="00994AD8" w:rsidP="00267ADB">
      <w:pPr>
        <w:widowControl/>
        <w:ind w:left="630" w:hanging="270"/>
        <w:contextualSpacing/>
        <w:rPr>
          <w:rFonts w:ascii="Times New Roman" w:hAnsi="Times New Roman" w:cs="Times New Roman"/>
          <w:sz w:val="24"/>
          <w:szCs w:val="24"/>
        </w:rPr>
      </w:pPr>
      <w:r w:rsidRPr="00B31FC7">
        <w:rPr>
          <w:rFonts w:ascii="Times New Roman" w:hAnsi="Times New Roman" w:cs="Times New Roman"/>
          <w:sz w:val="24"/>
          <w:szCs w:val="24"/>
        </w:rPr>
        <w:t xml:space="preserve">b.  </w:t>
      </w:r>
      <w:r w:rsidR="00A15B83" w:rsidRPr="00B31FC7">
        <w:rPr>
          <w:rFonts w:ascii="Times New Roman" w:hAnsi="Times New Roman" w:cs="Times New Roman"/>
          <w:sz w:val="24"/>
          <w:szCs w:val="24"/>
        </w:rPr>
        <w:t xml:space="preserve">The "Commodity Base Rate" </w:t>
      </w:r>
      <w:r w:rsidR="00594E34" w:rsidRPr="00B31FC7">
        <w:rPr>
          <w:rFonts w:ascii="Times New Roman" w:hAnsi="Times New Roman" w:cs="Times New Roman"/>
          <w:sz w:val="24"/>
          <w:szCs w:val="24"/>
        </w:rPr>
        <w:t xml:space="preserve">reflects recovery of </w:t>
      </w:r>
      <w:r w:rsidR="00267ADB" w:rsidRPr="00B31FC7">
        <w:rPr>
          <w:rFonts w:ascii="Times New Roman" w:hAnsi="Times New Roman" w:cs="Times New Roman"/>
          <w:sz w:val="24"/>
          <w:szCs w:val="24"/>
        </w:rPr>
        <w:t xml:space="preserve">the </w:t>
      </w:r>
      <w:r w:rsidR="00AF1D17" w:rsidRPr="00B31FC7">
        <w:rPr>
          <w:rFonts w:ascii="Times New Roman" w:hAnsi="Times New Roman" w:cs="Times New Roman"/>
          <w:sz w:val="24"/>
          <w:szCs w:val="24"/>
        </w:rPr>
        <w:t xml:space="preserve">total </w:t>
      </w:r>
      <w:r w:rsidR="002A11D5" w:rsidRPr="00B31FC7">
        <w:rPr>
          <w:rFonts w:ascii="Times New Roman" w:hAnsi="Times New Roman" w:cs="Times New Roman"/>
          <w:sz w:val="24"/>
          <w:szCs w:val="24"/>
        </w:rPr>
        <w:t>commodity</w:t>
      </w:r>
      <w:r w:rsidR="00AF1D17" w:rsidRPr="00B31FC7">
        <w:rPr>
          <w:rFonts w:ascii="Times New Roman" w:hAnsi="Times New Roman" w:cs="Times New Roman"/>
          <w:sz w:val="24"/>
          <w:szCs w:val="24"/>
        </w:rPr>
        <w:t xml:space="preserve"> revenue requirement </w:t>
      </w:r>
      <w:r w:rsidR="00905557" w:rsidRPr="00B31FC7">
        <w:rPr>
          <w:rFonts w:ascii="Times New Roman" w:hAnsi="Times New Roman" w:cs="Times New Roman"/>
          <w:sz w:val="24"/>
          <w:szCs w:val="24"/>
        </w:rPr>
        <w:t xml:space="preserve">allocated to the </w:t>
      </w:r>
      <w:r w:rsidR="00267ADB" w:rsidRPr="00B31FC7">
        <w:rPr>
          <w:rFonts w:ascii="Times New Roman" w:hAnsi="Times New Roman" w:cs="Times New Roman"/>
          <w:sz w:val="24"/>
          <w:szCs w:val="24"/>
        </w:rPr>
        <w:t xml:space="preserve">M/L C&amp;I </w:t>
      </w:r>
      <w:r w:rsidR="00905557" w:rsidRPr="00B31FC7">
        <w:rPr>
          <w:rFonts w:ascii="Times New Roman" w:hAnsi="Times New Roman" w:cs="Times New Roman"/>
          <w:sz w:val="24"/>
          <w:szCs w:val="24"/>
        </w:rPr>
        <w:t xml:space="preserve">customer </w:t>
      </w:r>
      <w:r w:rsidR="006212B9" w:rsidRPr="00B31FC7">
        <w:rPr>
          <w:rFonts w:ascii="Times New Roman" w:hAnsi="Times New Roman" w:cs="Times New Roman"/>
          <w:sz w:val="24"/>
          <w:szCs w:val="24"/>
        </w:rPr>
        <w:t xml:space="preserve">class </w:t>
      </w:r>
      <w:r w:rsidR="00267ADB" w:rsidRPr="00B31FC7">
        <w:rPr>
          <w:rFonts w:ascii="Times New Roman" w:hAnsi="Times New Roman" w:cs="Times New Roman"/>
          <w:sz w:val="24"/>
          <w:szCs w:val="24"/>
        </w:rPr>
        <w:t xml:space="preserve">less </w:t>
      </w:r>
      <w:r w:rsidR="002A11D5" w:rsidRPr="00B31FC7">
        <w:rPr>
          <w:rFonts w:ascii="Times New Roman" w:hAnsi="Times New Roman" w:cs="Times New Roman"/>
          <w:sz w:val="24"/>
          <w:szCs w:val="24"/>
        </w:rPr>
        <w:t>commodity</w:t>
      </w:r>
      <w:r w:rsidR="0028191F" w:rsidRPr="00B31FC7">
        <w:rPr>
          <w:rFonts w:ascii="Times New Roman" w:hAnsi="Times New Roman" w:cs="Times New Roman"/>
          <w:sz w:val="24"/>
          <w:szCs w:val="24"/>
        </w:rPr>
        <w:t xml:space="preserve"> capacity </w:t>
      </w:r>
      <w:r w:rsidR="00267ADB" w:rsidRPr="00B31FC7">
        <w:rPr>
          <w:rFonts w:ascii="Times New Roman" w:hAnsi="Times New Roman" w:cs="Times New Roman"/>
          <w:sz w:val="24"/>
          <w:szCs w:val="24"/>
        </w:rPr>
        <w:t>revenues forecasted to be collected in the C-CPP Hourly Adder</w:t>
      </w:r>
      <w:r w:rsidR="00EE5468" w:rsidRPr="00B31FC7">
        <w:rPr>
          <w:rFonts w:ascii="Times New Roman" w:hAnsi="Times New Roman" w:cs="Times New Roman"/>
          <w:sz w:val="24"/>
          <w:szCs w:val="24"/>
        </w:rPr>
        <w:t xml:space="preserve"> </w:t>
      </w:r>
      <w:r w:rsidR="00DE282F" w:rsidRPr="00B31FC7">
        <w:rPr>
          <w:rFonts w:ascii="Times New Roman" w:hAnsi="Times New Roman" w:cs="Times New Roman"/>
          <w:sz w:val="24"/>
          <w:szCs w:val="24"/>
        </w:rPr>
        <w:t xml:space="preserve">during the </w:t>
      </w:r>
      <w:r w:rsidR="008E2E33" w:rsidRPr="00B31FC7">
        <w:rPr>
          <w:rFonts w:ascii="Times New Roman" w:hAnsi="Times New Roman" w:cs="Times New Roman"/>
          <w:sz w:val="24"/>
          <w:szCs w:val="24"/>
        </w:rPr>
        <w:t xml:space="preserve">system's top 150 hours </w:t>
      </w:r>
      <w:r w:rsidR="00F41EDB" w:rsidRPr="00B31FC7">
        <w:rPr>
          <w:rFonts w:ascii="Times New Roman" w:hAnsi="Times New Roman" w:cs="Times New Roman"/>
          <w:sz w:val="24"/>
          <w:szCs w:val="24"/>
        </w:rPr>
        <w:t xml:space="preserve">less </w:t>
      </w:r>
      <w:r w:rsidR="00765D05" w:rsidRPr="00B31FC7">
        <w:rPr>
          <w:rFonts w:ascii="Times New Roman" w:hAnsi="Times New Roman" w:cs="Times New Roman"/>
          <w:sz w:val="24"/>
          <w:szCs w:val="24"/>
        </w:rPr>
        <w:t xml:space="preserve">California </w:t>
      </w:r>
      <w:r w:rsidR="001E7575" w:rsidRPr="00B31FC7">
        <w:rPr>
          <w:rFonts w:ascii="Times New Roman" w:hAnsi="Times New Roman" w:cs="Times New Roman"/>
          <w:sz w:val="24"/>
          <w:szCs w:val="24"/>
        </w:rPr>
        <w:t>Indep</w:t>
      </w:r>
      <w:r w:rsidR="007B4CBA" w:rsidRPr="00B31FC7">
        <w:rPr>
          <w:rFonts w:ascii="Times New Roman" w:hAnsi="Times New Roman" w:cs="Times New Roman"/>
          <w:sz w:val="24"/>
          <w:szCs w:val="24"/>
        </w:rPr>
        <w:t>e</w:t>
      </w:r>
      <w:r w:rsidR="001E7575" w:rsidRPr="00B31FC7">
        <w:rPr>
          <w:rFonts w:ascii="Times New Roman" w:hAnsi="Times New Roman" w:cs="Times New Roman"/>
          <w:sz w:val="24"/>
          <w:szCs w:val="24"/>
        </w:rPr>
        <w:t xml:space="preserve">ndent </w:t>
      </w:r>
      <w:r w:rsidR="007B4CBA" w:rsidRPr="00B31FC7">
        <w:rPr>
          <w:rFonts w:ascii="Times New Roman" w:hAnsi="Times New Roman" w:cs="Times New Roman"/>
          <w:sz w:val="24"/>
          <w:szCs w:val="24"/>
        </w:rPr>
        <w:t>System Operator (</w:t>
      </w:r>
      <w:r w:rsidR="00765D05" w:rsidRPr="00B31FC7">
        <w:rPr>
          <w:rFonts w:ascii="Times New Roman" w:hAnsi="Times New Roman" w:cs="Times New Roman"/>
          <w:sz w:val="24"/>
          <w:szCs w:val="24"/>
        </w:rPr>
        <w:t>CAISO</w:t>
      </w:r>
      <w:r w:rsidR="007B4CBA" w:rsidRPr="00B31FC7">
        <w:rPr>
          <w:rFonts w:ascii="Times New Roman" w:hAnsi="Times New Roman" w:cs="Times New Roman"/>
          <w:sz w:val="24"/>
          <w:szCs w:val="24"/>
        </w:rPr>
        <w:t>)</w:t>
      </w:r>
      <w:r w:rsidR="00765D05" w:rsidRPr="00B31FC7">
        <w:rPr>
          <w:rFonts w:ascii="Times New Roman" w:hAnsi="Times New Roman" w:cs="Times New Roman"/>
          <w:sz w:val="24"/>
          <w:szCs w:val="24"/>
        </w:rPr>
        <w:t xml:space="preserve"> </w:t>
      </w:r>
      <w:r w:rsidR="00B47A45">
        <w:rPr>
          <w:rFonts w:ascii="Times New Roman" w:hAnsi="Times New Roman" w:cs="Times New Roman"/>
          <w:sz w:val="24"/>
          <w:szCs w:val="24"/>
        </w:rPr>
        <w:t xml:space="preserve">day-ahead </w:t>
      </w:r>
      <w:r w:rsidR="00765D05" w:rsidRPr="00B31FC7">
        <w:rPr>
          <w:rFonts w:ascii="Times New Roman" w:hAnsi="Times New Roman" w:cs="Times New Roman"/>
          <w:sz w:val="24"/>
          <w:szCs w:val="24"/>
        </w:rPr>
        <w:t>variable cost</w:t>
      </w:r>
      <w:r w:rsidR="006D7EC0" w:rsidRPr="00B31FC7">
        <w:rPr>
          <w:rFonts w:ascii="Times New Roman" w:hAnsi="Times New Roman" w:cs="Times New Roman"/>
          <w:sz w:val="24"/>
          <w:szCs w:val="24"/>
        </w:rPr>
        <w:t xml:space="preserve"> adjustment revenues</w:t>
      </w:r>
      <w:r w:rsidR="00267ADB" w:rsidRPr="00B31FC7">
        <w:rPr>
          <w:rFonts w:ascii="Times New Roman" w:hAnsi="Times New Roman" w:cs="Times New Roman"/>
          <w:sz w:val="24"/>
          <w:szCs w:val="24"/>
        </w:rPr>
        <w:t>.</w:t>
      </w:r>
    </w:p>
    <w:p w14:paraId="740ED57F" w14:textId="659740C2" w:rsidR="007F26AE" w:rsidRPr="007F26AE" w:rsidRDefault="00267ADB" w:rsidP="007F26AE">
      <w:pPr>
        <w:widowControl/>
        <w:ind w:left="630" w:hanging="270"/>
        <w:contextualSpacing/>
        <w:rPr>
          <w:rFonts w:ascii="Times New Roman" w:hAnsi="Times New Roman" w:cs="Times New Roman"/>
          <w:sz w:val="24"/>
          <w:szCs w:val="24"/>
        </w:rPr>
      </w:pPr>
      <w:r w:rsidRPr="00B31FC7">
        <w:rPr>
          <w:rFonts w:ascii="Times New Roman" w:hAnsi="Times New Roman" w:cs="Times New Roman"/>
          <w:sz w:val="24"/>
          <w:szCs w:val="24"/>
        </w:rPr>
        <w:t xml:space="preserve">c.  </w:t>
      </w:r>
      <w:r w:rsidR="006A31DC" w:rsidRPr="00B31FC7">
        <w:rPr>
          <w:rFonts w:ascii="Times New Roman" w:hAnsi="Times New Roman" w:cs="Times New Roman"/>
          <w:sz w:val="24"/>
          <w:szCs w:val="24"/>
        </w:rPr>
        <w:t xml:space="preserve">The C-CPP </w:t>
      </w:r>
      <w:r w:rsidR="004C1F77" w:rsidRPr="00B31FC7">
        <w:rPr>
          <w:rFonts w:ascii="Times New Roman" w:hAnsi="Times New Roman" w:cs="Times New Roman"/>
          <w:sz w:val="24"/>
          <w:szCs w:val="24"/>
        </w:rPr>
        <w:t xml:space="preserve">Hourly Adder is designed to recover </w:t>
      </w:r>
      <w:r w:rsidR="00AA2400">
        <w:rPr>
          <w:rFonts w:ascii="Times New Roman" w:hAnsi="Times New Roman" w:cs="Times New Roman"/>
          <w:sz w:val="24"/>
          <w:szCs w:val="24"/>
        </w:rPr>
        <w:t xml:space="preserve">50% of the </w:t>
      </w:r>
      <w:r w:rsidR="00EF65DC" w:rsidRPr="00B31FC7">
        <w:rPr>
          <w:rFonts w:ascii="Times New Roman" w:hAnsi="Times New Roman" w:cs="Times New Roman"/>
          <w:sz w:val="24"/>
          <w:szCs w:val="24"/>
        </w:rPr>
        <w:t xml:space="preserve">marginal </w:t>
      </w:r>
      <w:r w:rsidR="002A11D5" w:rsidRPr="00B31FC7">
        <w:rPr>
          <w:rFonts w:ascii="Times New Roman" w:hAnsi="Times New Roman" w:cs="Times New Roman"/>
          <w:sz w:val="24"/>
          <w:szCs w:val="24"/>
        </w:rPr>
        <w:t>commodity</w:t>
      </w:r>
      <w:r w:rsidR="00B37769" w:rsidRPr="00B31FC7">
        <w:rPr>
          <w:rFonts w:ascii="Times New Roman" w:hAnsi="Times New Roman" w:cs="Times New Roman"/>
          <w:sz w:val="24"/>
          <w:szCs w:val="24"/>
        </w:rPr>
        <w:t xml:space="preserve"> capacity costs</w:t>
      </w:r>
      <w:r w:rsidR="00AA2400">
        <w:rPr>
          <w:rFonts w:ascii="Times New Roman" w:hAnsi="Times New Roman" w:cs="Times New Roman"/>
          <w:sz w:val="24"/>
          <w:szCs w:val="24"/>
        </w:rPr>
        <w:t xml:space="preserve"> associated with the M/L C&amp;I class</w:t>
      </w:r>
      <w:r w:rsidR="00B37769" w:rsidRPr="00B31FC7">
        <w:rPr>
          <w:rFonts w:ascii="Times New Roman" w:hAnsi="Times New Roman" w:cs="Times New Roman"/>
          <w:sz w:val="24"/>
          <w:szCs w:val="24"/>
        </w:rPr>
        <w:t xml:space="preserve">. </w:t>
      </w:r>
      <w:r w:rsidR="00AA2400">
        <w:rPr>
          <w:rFonts w:ascii="Times New Roman" w:hAnsi="Times New Roman" w:cs="Times New Roman"/>
          <w:sz w:val="24"/>
          <w:szCs w:val="24"/>
        </w:rPr>
        <w:t xml:space="preserve">The remaining 50% of </w:t>
      </w:r>
      <w:r w:rsidR="00E5638B">
        <w:rPr>
          <w:rFonts w:ascii="Times New Roman" w:hAnsi="Times New Roman" w:cs="Times New Roman"/>
          <w:sz w:val="24"/>
          <w:szCs w:val="24"/>
        </w:rPr>
        <w:t>the commodity</w:t>
      </w:r>
      <w:r w:rsidR="00AA2400">
        <w:rPr>
          <w:rFonts w:ascii="Times New Roman" w:hAnsi="Times New Roman" w:cs="Times New Roman"/>
          <w:sz w:val="24"/>
          <w:szCs w:val="24"/>
        </w:rPr>
        <w:t xml:space="preserve"> capacity costs are recovered through the commodity base rate. </w:t>
      </w:r>
      <w:r w:rsidR="007F26AE" w:rsidRPr="007F26AE">
        <w:rPr>
          <w:rFonts w:ascii="Times New Roman" w:hAnsi="Times New Roman" w:cs="Times New Roman"/>
          <w:sz w:val="24"/>
          <w:szCs w:val="24"/>
        </w:rPr>
        <w:t>The CAISO day-of hourly adjustment for surplus energy is applied when the day-of prices are lower than day-ahead prices by one cent or greater.</w:t>
      </w:r>
    </w:p>
    <w:p w14:paraId="596D6091" w14:textId="490D315D" w:rsidR="00455F5C" w:rsidRPr="00B31FC7" w:rsidRDefault="00455F5C" w:rsidP="00267ADB">
      <w:pPr>
        <w:widowControl/>
        <w:ind w:left="630" w:hanging="270"/>
        <w:contextualSpacing/>
        <w:rPr>
          <w:rFonts w:ascii="Times New Roman" w:hAnsi="Times New Roman" w:cs="Times New Roman"/>
          <w:sz w:val="24"/>
          <w:szCs w:val="24"/>
        </w:rPr>
      </w:pPr>
      <w:r w:rsidRPr="00B31FC7">
        <w:rPr>
          <w:rFonts w:ascii="Times New Roman" w:hAnsi="Times New Roman" w:cs="Times New Roman"/>
          <w:sz w:val="24"/>
          <w:szCs w:val="24"/>
        </w:rPr>
        <w:t xml:space="preserve">d. </w:t>
      </w:r>
      <w:r w:rsidR="009C1F25" w:rsidRPr="00B31FC7">
        <w:rPr>
          <w:rFonts w:ascii="Times New Roman" w:hAnsi="Times New Roman" w:cs="Times New Roman"/>
          <w:sz w:val="24"/>
          <w:szCs w:val="24"/>
        </w:rPr>
        <w:t xml:space="preserve"> See response to c.</w:t>
      </w:r>
    </w:p>
    <w:p w14:paraId="1A2BA790" w14:textId="1A2B0010" w:rsidR="009C1F25" w:rsidRPr="00B31FC7" w:rsidRDefault="009C1F25" w:rsidP="00267ADB">
      <w:pPr>
        <w:widowControl/>
        <w:ind w:left="630" w:hanging="270"/>
        <w:contextualSpacing/>
        <w:rPr>
          <w:rFonts w:ascii="Times New Roman" w:hAnsi="Times New Roman" w:cs="Times New Roman"/>
          <w:sz w:val="24"/>
          <w:szCs w:val="24"/>
        </w:rPr>
      </w:pPr>
      <w:r w:rsidRPr="00B31FC7">
        <w:rPr>
          <w:rFonts w:ascii="Times New Roman" w:hAnsi="Times New Roman" w:cs="Times New Roman"/>
          <w:sz w:val="24"/>
          <w:szCs w:val="24"/>
        </w:rPr>
        <w:t xml:space="preserve">e.  </w:t>
      </w:r>
      <w:r w:rsidR="00565ACE" w:rsidRPr="00B31FC7">
        <w:rPr>
          <w:rFonts w:ascii="Times New Roman" w:hAnsi="Times New Roman" w:cs="Times New Roman"/>
          <w:sz w:val="24"/>
          <w:szCs w:val="24"/>
        </w:rPr>
        <w:t xml:space="preserve">Yes, </w:t>
      </w:r>
      <w:r w:rsidR="00214014" w:rsidRPr="00B31FC7">
        <w:rPr>
          <w:rFonts w:ascii="Times New Roman" w:hAnsi="Times New Roman" w:cs="Times New Roman"/>
          <w:sz w:val="24"/>
          <w:szCs w:val="24"/>
        </w:rPr>
        <w:t xml:space="preserve">the VGI rates are designed to recover </w:t>
      </w:r>
      <w:r w:rsidR="00565ACE" w:rsidRPr="00B31FC7">
        <w:rPr>
          <w:rFonts w:ascii="Times New Roman" w:hAnsi="Times New Roman" w:cs="Times New Roman"/>
          <w:sz w:val="24"/>
          <w:szCs w:val="24"/>
        </w:rPr>
        <w:t>distribution</w:t>
      </w:r>
      <w:r w:rsidR="00214014" w:rsidRPr="00B31FC7">
        <w:rPr>
          <w:rFonts w:ascii="Times New Roman" w:hAnsi="Times New Roman" w:cs="Times New Roman"/>
          <w:sz w:val="24"/>
          <w:szCs w:val="24"/>
        </w:rPr>
        <w:t xml:space="preserve"> costs </w:t>
      </w:r>
      <w:r w:rsidR="00F433E2" w:rsidRPr="00B31FC7">
        <w:rPr>
          <w:rFonts w:ascii="Times New Roman" w:hAnsi="Times New Roman" w:cs="Times New Roman"/>
          <w:sz w:val="24"/>
          <w:szCs w:val="24"/>
        </w:rPr>
        <w:t xml:space="preserve">through </w:t>
      </w:r>
      <w:r w:rsidR="00214014" w:rsidRPr="00B31FC7">
        <w:rPr>
          <w:rFonts w:ascii="Times New Roman" w:hAnsi="Times New Roman" w:cs="Times New Roman"/>
          <w:sz w:val="24"/>
          <w:szCs w:val="24"/>
        </w:rPr>
        <w:t>either</w:t>
      </w:r>
      <w:r w:rsidR="00F433E2" w:rsidRPr="00B31FC7">
        <w:rPr>
          <w:rFonts w:ascii="Times New Roman" w:hAnsi="Times New Roman" w:cs="Times New Roman"/>
          <w:sz w:val="24"/>
          <w:szCs w:val="24"/>
        </w:rPr>
        <w:t xml:space="preserve"> the "Distribution Base Rate" or </w:t>
      </w:r>
      <w:r w:rsidR="007D47C5" w:rsidRPr="00B31FC7">
        <w:rPr>
          <w:rFonts w:ascii="Times New Roman" w:hAnsi="Times New Roman" w:cs="Times New Roman"/>
          <w:sz w:val="24"/>
          <w:szCs w:val="24"/>
        </w:rPr>
        <w:t>D-CPP Hourly Adder.</w:t>
      </w:r>
      <w:r w:rsidR="00214014" w:rsidRPr="00B31FC7">
        <w:rPr>
          <w:rFonts w:ascii="Times New Roman" w:hAnsi="Times New Roman" w:cs="Times New Roman"/>
          <w:sz w:val="24"/>
          <w:szCs w:val="24"/>
        </w:rPr>
        <w:t xml:space="preserve">  </w:t>
      </w:r>
      <w:r w:rsidR="00565ACE" w:rsidRPr="00B31FC7">
        <w:rPr>
          <w:rFonts w:ascii="Times New Roman" w:hAnsi="Times New Roman" w:cs="Times New Roman"/>
          <w:sz w:val="24"/>
          <w:szCs w:val="24"/>
        </w:rPr>
        <w:t xml:space="preserve"> </w:t>
      </w:r>
    </w:p>
    <w:p w14:paraId="69E69896" w14:textId="77777777" w:rsidR="00455F5C" w:rsidRPr="00B31FC7" w:rsidRDefault="00455F5C" w:rsidP="00267ADB">
      <w:pPr>
        <w:widowControl/>
        <w:ind w:left="630" w:hanging="270"/>
        <w:contextualSpacing/>
        <w:rPr>
          <w:rFonts w:ascii="Times New Roman" w:hAnsi="Times New Roman" w:cs="Times New Roman"/>
          <w:sz w:val="24"/>
          <w:szCs w:val="24"/>
        </w:rPr>
      </w:pPr>
    </w:p>
    <w:p w14:paraId="11D9F6E3" w14:textId="77777777" w:rsidR="00F60588" w:rsidRPr="00B31FC7" w:rsidRDefault="00F60588" w:rsidP="00F60588">
      <w:pPr>
        <w:rPr>
          <w:rFonts w:ascii="Times New Roman" w:hAnsi="Times New Roman" w:cs="Times New Roman"/>
          <w:sz w:val="24"/>
          <w:szCs w:val="24"/>
        </w:rPr>
      </w:pPr>
    </w:p>
    <w:p w14:paraId="71E11317"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Q2.  SDG&amp;E witness Cyndee Fang wrote the following description of the proposed “Grid Integration Rate” day-ahead C-CPP Hourly Adder:</w:t>
      </w:r>
      <w:r w:rsidRPr="00B31FC7">
        <w:rPr>
          <w:rFonts w:ascii="Times New Roman" w:hAnsi="Times New Roman" w:cs="Times New Roman"/>
          <w:i/>
          <w:sz w:val="24"/>
          <w:szCs w:val="24"/>
          <w:vertAlign w:val="superscript"/>
        </w:rPr>
        <w:t xml:space="preserve"> </w:t>
      </w:r>
      <w:r w:rsidRPr="00B31FC7">
        <w:rPr>
          <w:rFonts w:ascii="Times New Roman" w:hAnsi="Times New Roman" w:cs="Times New Roman"/>
          <w:i/>
          <w:sz w:val="24"/>
          <w:szCs w:val="24"/>
          <w:vertAlign w:val="superscript"/>
        </w:rPr>
        <w:footnoteReference w:id="2"/>
      </w:r>
    </w:p>
    <w:p w14:paraId="62A65523" w14:textId="77777777" w:rsidR="00F60588" w:rsidRPr="00B31FC7" w:rsidRDefault="00F60588" w:rsidP="00F60588">
      <w:pPr>
        <w:rPr>
          <w:rFonts w:ascii="Times New Roman" w:hAnsi="Times New Roman" w:cs="Times New Roman"/>
          <w:sz w:val="24"/>
          <w:szCs w:val="24"/>
        </w:rPr>
      </w:pPr>
    </w:p>
    <w:p w14:paraId="221CFC41" w14:textId="77777777" w:rsidR="00F60588" w:rsidRPr="00B31FC7" w:rsidRDefault="00F60588" w:rsidP="00F60588">
      <w:pPr>
        <w:rPr>
          <w:rFonts w:ascii="Times New Roman" w:hAnsi="Times New Roman" w:cs="Times New Roman"/>
          <w:i/>
          <w:sz w:val="24"/>
          <w:szCs w:val="24"/>
        </w:rPr>
      </w:pPr>
      <w:r w:rsidRPr="00B31FC7">
        <w:rPr>
          <w:rFonts w:ascii="Times New Roman" w:hAnsi="Times New Roman" w:cs="Times New Roman"/>
          <w:i/>
          <w:sz w:val="24"/>
          <w:szCs w:val="24"/>
        </w:rPr>
        <w:t>“The Commodity CPP Adder provides an alternative to peak demand charges that still provide incentives for customers to avoid adding to system load which may delay the need for new capacity investments. Customers will be notified on a day-ahead basis when forecasted load exceeds an established threshold with the threshold calculated based on the top 150 system hours from the previous year, which represents approximately 1.71% of annual hours.”</w:t>
      </w:r>
    </w:p>
    <w:p w14:paraId="4D06099A" w14:textId="77777777" w:rsidR="00F60588" w:rsidRPr="00B31FC7" w:rsidRDefault="00F60588" w:rsidP="00F60588">
      <w:pPr>
        <w:rPr>
          <w:rFonts w:ascii="Times New Roman" w:hAnsi="Times New Roman" w:cs="Times New Roman"/>
          <w:sz w:val="24"/>
          <w:szCs w:val="24"/>
        </w:rPr>
      </w:pPr>
    </w:p>
    <w:p w14:paraId="7BAB376D"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a.  Does the above testimony correctly describe the current VGI day-ahead C-CPP Hourly Adder?  If not, please correct this description so that it would apply to the current VGI day-ahead C-CPP Hourly Adder.</w:t>
      </w:r>
    </w:p>
    <w:p w14:paraId="727A52AC"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b.  Please confirm that the total number of C-CPP event hours in a given year may exceed 150 hours, and that total number of C-CPP event hours in a given year may be fewer than 150 hours</w:t>
      </w:r>
    </w:p>
    <w:p w14:paraId="59C276E9" w14:textId="5231E0F5"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c.   What is the maximum number of days in on which C-CPP events can be called a given year?</w:t>
      </w:r>
    </w:p>
    <w:p w14:paraId="5E8FFE67" w14:textId="551FA8BB" w:rsidR="00465483" w:rsidRPr="00B31FC7" w:rsidRDefault="00465483" w:rsidP="00F60588">
      <w:pPr>
        <w:rPr>
          <w:rFonts w:ascii="Times New Roman" w:hAnsi="Times New Roman" w:cs="Times New Roman"/>
          <w:sz w:val="24"/>
          <w:szCs w:val="24"/>
        </w:rPr>
      </w:pPr>
    </w:p>
    <w:p w14:paraId="52AD45C9" w14:textId="77777777" w:rsidR="00465483" w:rsidRPr="00B31FC7" w:rsidRDefault="00465483" w:rsidP="00465483">
      <w:pPr>
        <w:widowControl/>
        <w:contextualSpacing/>
        <w:rPr>
          <w:rFonts w:ascii="Times New Roman" w:hAnsi="Times New Roman" w:cs="Times New Roman"/>
          <w:b/>
          <w:sz w:val="24"/>
          <w:szCs w:val="24"/>
        </w:rPr>
      </w:pPr>
      <w:r w:rsidRPr="00B31FC7">
        <w:rPr>
          <w:rFonts w:ascii="Times New Roman" w:hAnsi="Times New Roman" w:cs="Times New Roman"/>
          <w:b/>
          <w:sz w:val="24"/>
          <w:szCs w:val="24"/>
        </w:rPr>
        <w:t>SDG&amp;E Response:</w:t>
      </w:r>
    </w:p>
    <w:p w14:paraId="3A98FCAE" w14:textId="5CB458CF" w:rsidR="00465483" w:rsidRPr="00B31FC7" w:rsidRDefault="00EE3E22" w:rsidP="008E54D3">
      <w:pPr>
        <w:ind w:left="720" w:hanging="360"/>
        <w:rPr>
          <w:rFonts w:ascii="Times New Roman" w:hAnsi="Times New Roman" w:cs="Times New Roman"/>
          <w:sz w:val="24"/>
          <w:szCs w:val="24"/>
        </w:rPr>
      </w:pPr>
      <w:r w:rsidRPr="00B31FC7">
        <w:rPr>
          <w:rFonts w:ascii="Times New Roman" w:hAnsi="Times New Roman" w:cs="Times New Roman"/>
          <w:sz w:val="24"/>
          <w:szCs w:val="24"/>
        </w:rPr>
        <w:t>a.</w:t>
      </w:r>
      <w:r w:rsidR="008E54D3" w:rsidRPr="00B31FC7">
        <w:rPr>
          <w:rFonts w:ascii="Times New Roman" w:hAnsi="Times New Roman" w:cs="Times New Roman"/>
          <w:sz w:val="24"/>
          <w:szCs w:val="24"/>
        </w:rPr>
        <w:t xml:space="preserve">    </w:t>
      </w:r>
      <w:r w:rsidR="00862A51" w:rsidRPr="00B31FC7">
        <w:rPr>
          <w:rFonts w:ascii="Times New Roman" w:hAnsi="Times New Roman" w:cs="Times New Roman"/>
          <w:sz w:val="24"/>
          <w:szCs w:val="24"/>
        </w:rPr>
        <w:t>Yes.</w:t>
      </w:r>
      <w:r w:rsidR="002D4D22">
        <w:rPr>
          <w:rFonts w:ascii="Times New Roman" w:hAnsi="Times New Roman" w:cs="Times New Roman"/>
          <w:sz w:val="24"/>
          <w:szCs w:val="24"/>
        </w:rPr>
        <w:t xml:space="preserve"> </w:t>
      </w:r>
      <w:r w:rsidR="00862A51" w:rsidRPr="00B31FC7">
        <w:rPr>
          <w:rFonts w:ascii="Times New Roman" w:hAnsi="Times New Roman" w:cs="Times New Roman"/>
          <w:sz w:val="24"/>
          <w:szCs w:val="24"/>
        </w:rPr>
        <w:t xml:space="preserve">The testimony </w:t>
      </w:r>
      <w:r w:rsidR="0032090C" w:rsidRPr="00B31FC7">
        <w:rPr>
          <w:rFonts w:ascii="Times New Roman" w:hAnsi="Times New Roman" w:cs="Times New Roman"/>
          <w:sz w:val="24"/>
          <w:szCs w:val="24"/>
        </w:rPr>
        <w:t xml:space="preserve">cited above </w:t>
      </w:r>
      <w:r w:rsidR="00862A51" w:rsidRPr="00B31FC7">
        <w:rPr>
          <w:rFonts w:ascii="Times New Roman" w:hAnsi="Times New Roman" w:cs="Times New Roman"/>
          <w:sz w:val="24"/>
          <w:szCs w:val="24"/>
        </w:rPr>
        <w:t xml:space="preserve">correctly describes </w:t>
      </w:r>
      <w:r w:rsidR="00B67CB6" w:rsidRPr="00B31FC7">
        <w:rPr>
          <w:rFonts w:ascii="Times New Roman" w:hAnsi="Times New Roman" w:cs="Times New Roman"/>
          <w:sz w:val="24"/>
          <w:szCs w:val="24"/>
        </w:rPr>
        <w:t xml:space="preserve">the fact that both </w:t>
      </w:r>
      <w:r w:rsidR="002A11D5" w:rsidRPr="00B31FC7">
        <w:rPr>
          <w:rFonts w:ascii="Times New Roman" w:hAnsi="Times New Roman" w:cs="Times New Roman"/>
          <w:sz w:val="24"/>
          <w:szCs w:val="24"/>
        </w:rPr>
        <w:t>commodity</w:t>
      </w:r>
      <w:r w:rsidR="00B67CB6" w:rsidRPr="00B31FC7">
        <w:rPr>
          <w:rFonts w:ascii="Times New Roman" w:hAnsi="Times New Roman" w:cs="Times New Roman"/>
          <w:sz w:val="24"/>
          <w:szCs w:val="24"/>
        </w:rPr>
        <w:t xml:space="preserve"> </w:t>
      </w:r>
      <w:r w:rsidR="005B4D34" w:rsidRPr="00B31FC7">
        <w:rPr>
          <w:rFonts w:ascii="Times New Roman" w:hAnsi="Times New Roman" w:cs="Times New Roman"/>
          <w:sz w:val="24"/>
          <w:szCs w:val="24"/>
        </w:rPr>
        <w:t xml:space="preserve">demand charges and the Schedule VGI C-CPP Hourly Adder are designed to recover </w:t>
      </w:r>
      <w:r w:rsidR="002A11D5" w:rsidRPr="00B31FC7">
        <w:rPr>
          <w:rFonts w:ascii="Times New Roman" w:hAnsi="Times New Roman" w:cs="Times New Roman"/>
          <w:sz w:val="24"/>
          <w:szCs w:val="24"/>
        </w:rPr>
        <w:t xml:space="preserve">commodity </w:t>
      </w:r>
      <w:r w:rsidR="008E54D3" w:rsidRPr="00B31FC7">
        <w:rPr>
          <w:rFonts w:ascii="Times New Roman" w:hAnsi="Times New Roman" w:cs="Times New Roman"/>
          <w:sz w:val="24"/>
          <w:szCs w:val="24"/>
        </w:rPr>
        <w:t>capacity costs from customers.</w:t>
      </w:r>
    </w:p>
    <w:p w14:paraId="0D5AA638" w14:textId="592C36A8" w:rsidR="008E54D3" w:rsidRPr="00B31FC7" w:rsidRDefault="008E54D3" w:rsidP="008E54D3">
      <w:pPr>
        <w:ind w:left="720" w:hanging="360"/>
        <w:rPr>
          <w:rFonts w:ascii="Times New Roman" w:hAnsi="Times New Roman" w:cs="Times New Roman"/>
          <w:sz w:val="24"/>
          <w:szCs w:val="24"/>
        </w:rPr>
      </w:pPr>
      <w:r w:rsidRPr="00B31FC7">
        <w:rPr>
          <w:rFonts w:ascii="Times New Roman" w:hAnsi="Times New Roman" w:cs="Times New Roman"/>
          <w:sz w:val="24"/>
          <w:szCs w:val="24"/>
        </w:rPr>
        <w:t>b.</w:t>
      </w:r>
      <w:r w:rsidRPr="00B31FC7">
        <w:rPr>
          <w:rFonts w:ascii="Times New Roman" w:hAnsi="Times New Roman" w:cs="Times New Roman"/>
          <w:sz w:val="24"/>
          <w:szCs w:val="24"/>
        </w:rPr>
        <w:tab/>
      </w:r>
      <w:r w:rsidR="007C6DE5" w:rsidRPr="00B31FC7">
        <w:rPr>
          <w:rFonts w:ascii="Times New Roman" w:hAnsi="Times New Roman" w:cs="Times New Roman"/>
          <w:sz w:val="24"/>
          <w:szCs w:val="24"/>
        </w:rPr>
        <w:t xml:space="preserve">The C-CPP Hourly adder is applied </w:t>
      </w:r>
      <w:r w:rsidR="00F81F41">
        <w:rPr>
          <w:rFonts w:ascii="Times New Roman" w:hAnsi="Times New Roman" w:cs="Times New Roman"/>
          <w:sz w:val="24"/>
          <w:szCs w:val="24"/>
        </w:rPr>
        <w:t>to any hour that is forecasted to exceed the C-CPP threshold for the year. If the actual number of hours that exceed the threshold</w:t>
      </w:r>
      <w:r w:rsidR="00116BEB">
        <w:rPr>
          <w:rFonts w:ascii="Times New Roman" w:hAnsi="Times New Roman" w:cs="Times New Roman"/>
          <w:sz w:val="24"/>
          <w:szCs w:val="24"/>
        </w:rPr>
        <w:t xml:space="preserve"> is greater or less than 150</w:t>
      </w:r>
      <w:r w:rsidR="00F81F41">
        <w:rPr>
          <w:rFonts w:ascii="Times New Roman" w:hAnsi="Times New Roman" w:cs="Times New Roman"/>
          <w:sz w:val="24"/>
          <w:szCs w:val="24"/>
        </w:rPr>
        <w:t xml:space="preserve">, then the number of hours the C-CPP adder is applied </w:t>
      </w:r>
      <w:r w:rsidR="00116BEB">
        <w:rPr>
          <w:rFonts w:ascii="Times New Roman" w:hAnsi="Times New Roman" w:cs="Times New Roman"/>
          <w:sz w:val="24"/>
          <w:szCs w:val="24"/>
        </w:rPr>
        <w:t>will also be greater or less than 150 hours</w:t>
      </w:r>
      <w:r w:rsidR="00F81F41">
        <w:rPr>
          <w:rFonts w:ascii="Times New Roman" w:hAnsi="Times New Roman" w:cs="Times New Roman"/>
          <w:sz w:val="24"/>
          <w:szCs w:val="24"/>
        </w:rPr>
        <w:t xml:space="preserve">. </w:t>
      </w:r>
    </w:p>
    <w:p w14:paraId="71AAEA21" w14:textId="2E85BA9F" w:rsidR="00572769" w:rsidRPr="00B31FC7" w:rsidRDefault="00572769" w:rsidP="008E54D3">
      <w:pPr>
        <w:ind w:left="720" w:hanging="360"/>
        <w:rPr>
          <w:rFonts w:ascii="Times New Roman" w:hAnsi="Times New Roman" w:cs="Times New Roman"/>
          <w:sz w:val="24"/>
          <w:szCs w:val="24"/>
        </w:rPr>
      </w:pPr>
      <w:r w:rsidRPr="00B31FC7">
        <w:rPr>
          <w:rFonts w:ascii="Times New Roman" w:hAnsi="Times New Roman" w:cs="Times New Roman"/>
          <w:sz w:val="24"/>
          <w:szCs w:val="24"/>
        </w:rPr>
        <w:t>c.</w:t>
      </w:r>
      <w:r w:rsidRPr="00B31FC7">
        <w:rPr>
          <w:rFonts w:ascii="Times New Roman" w:hAnsi="Times New Roman" w:cs="Times New Roman"/>
          <w:sz w:val="24"/>
          <w:szCs w:val="24"/>
        </w:rPr>
        <w:tab/>
      </w:r>
      <w:r w:rsidR="008179AE">
        <w:rPr>
          <w:rFonts w:ascii="Times New Roman" w:hAnsi="Times New Roman" w:cs="Times New Roman"/>
          <w:sz w:val="24"/>
          <w:szCs w:val="24"/>
        </w:rPr>
        <w:t>T</w:t>
      </w:r>
      <w:r w:rsidR="009E7E4D" w:rsidRPr="00B31FC7">
        <w:rPr>
          <w:rFonts w:ascii="Times New Roman" w:hAnsi="Times New Roman" w:cs="Times New Roman"/>
          <w:sz w:val="24"/>
          <w:szCs w:val="24"/>
        </w:rPr>
        <w:t xml:space="preserve">he C-CPP Hourly Adder will be </w:t>
      </w:r>
      <w:r w:rsidR="007C2DDE" w:rsidRPr="00B31FC7">
        <w:rPr>
          <w:rFonts w:ascii="Times New Roman" w:hAnsi="Times New Roman" w:cs="Times New Roman"/>
          <w:sz w:val="24"/>
          <w:szCs w:val="24"/>
        </w:rPr>
        <w:t>added</w:t>
      </w:r>
      <w:r w:rsidR="007922B8" w:rsidRPr="00B31FC7">
        <w:rPr>
          <w:rFonts w:ascii="Times New Roman" w:hAnsi="Times New Roman" w:cs="Times New Roman"/>
          <w:sz w:val="24"/>
          <w:szCs w:val="24"/>
        </w:rPr>
        <w:t xml:space="preserve"> to the</w:t>
      </w:r>
      <w:r w:rsidR="00F81F41">
        <w:rPr>
          <w:rFonts w:ascii="Times New Roman" w:hAnsi="Times New Roman" w:cs="Times New Roman"/>
          <w:sz w:val="24"/>
          <w:szCs w:val="24"/>
        </w:rPr>
        <w:t xml:space="preserve"> hours that exceed the C-CPP threshold</w:t>
      </w:r>
      <w:r w:rsidR="007922B8" w:rsidRPr="00B31FC7">
        <w:rPr>
          <w:rFonts w:ascii="Times New Roman" w:hAnsi="Times New Roman" w:cs="Times New Roman"/>
          <w:sz w:val="24"/>
          <w:szCs w:val="24"/>
        </w:rPr>
        <w:t xml:space="preserve"> </w:t>
      </w:r>
      <w:r w:rsidR="00F81F41">
        <w:rPr>
          <w:rFonts w:ascii="Times New Roman" w:hAnsi="Times New Roman" w:cs="Times New Roman"/>
          <w:sz w:val="24"/>
          <w:szCs w:val="24"/>
        </w:rPr>
        <w:t>of</w:t>
      </w:r>
      <w:r w:rsidR="002D4D22">
        <w:rPr>
          <w:rFonts w:ascii="Times New Roman" w:hAnsi="Times New Roman" w:cs="Times New Roman"/>
          <w:sz w:val="24"/>
          <w:szCs w:val="24"/>
        </w:rPr>
        <w:t xml:space="preserve"> the</w:t>
      </w:r>
      <w:r w:rsidR="00F81F41">
        <w:rPr>
          <w:rFonts w:ascii="Times New Roman" w:hAnsi="Times New Roman" w:cs="Times New Roman"/>
          <w:sz w:val="24"/>
          <w:szCs w:val="24"/>
        </w:rPr>
        <w:t xml:space="preserve"> </w:t>
      </w:r>
      <w:r w:rsidR="00E95C77">
        <w:rPr>
          <w:rFonts w:ascii="Times New Roman" w:hAnsi="Times New Roman" w:cs="Times New Roman"/>
          <w:sz w:val="24"/>
          <w:szCs w:val="24"/>
        </w:rPr>
        <w:t xml:space="preserve">forecasted </w:t>
      </w:r>
      <w:r w:rsidR="007922B8" w:rsidRPr="00B31FC7">
        <w:rPr>
          <w:rFonts w:ascii="Times New Roman" w:hAnsi="Times New Roman" w:cs="Times New Roman"/>
          <w:sz w:val="24"/>
          <w:szCs w:val="24"/>
        </w:rPr>
        <w:t>top 150 SDG&amp;E system peak hours on a day-ahead basis based on the CAISO day-ahead demand forecast.</w:t>
      </w:r>
      <w:r w:rsidR="00F81F41">
        <w:rPr>
          <w:rFonts w:ascii="Times New Roman" w:hAnsi="Times New Roman" w:cs="Times New Roman"/>
          <w:sz w:val="24"/>
          <w:szCs w:val="24"/>
        </w:rPr>
        <w:t xml:space="preserve"> There </w:t>
      </w:r>
      <w:r w:rsidR="00E8612B">
        <w:rPr>
          <w:rFonts w:ascii="Times New Roman" w:hAnsi="Times New Roman" w:cs="Times New Roman"/>
          <w:sz w:val="24"/>
          <w:szCs w:val="24"/>
        </w:rPr>
        <w:t>are</w:t>
      </w:r>
      <w:r w:rsidR="00F81F41">
        <w:rPr>
          <w:rFonts w:ascii="Times New Roman" w:hAnsi="Times New Roman" w:cs="Times New Roman"/>
          <w:sz w:val="24"/>
          <w:szCs w:val="24"/>
        </w:rPr>
        <w:t xml:space="preserve"> no maximum number of days </w:t>
      </w:r>
      <w:r w:rsidR="00E8612B">
        <w:rPr>
          <w:rFonts w:ascii="Times New Roman" w:hAnsi="Times New Roman" w:cs="Times New Roman"/>
          <w:sz w:val="24"/>
          <w:szCs w:val="24"/>
        </w:rPr>
        <w:t xml:space="preserve">to </w:t>
      </w:r>
      <w:r w:rsidR="00F81F41">
        <w:rPr>
          <w:rFonts w:ascii="Times New Roman" w:hAnsi="Times New Roman" w:cs="Times New Roman"/>
          <w:sz w:val="24"/>
          <w:szCs w:val="24"/>
        </w:rPr>
        <w:t>which the adder may be applied</w:t>
      </w:r>
      <w:r w:rsidR="00213AFF">
        <w:rPr>
          <w:rFonts w:ascii="Times New Roman" w:hAnsi="Times New Roman" w:cs="Times New Roman"/>
          <w:sz w:val="24"/>
          <w:szCs w:val="24"/>
        </w:rPr>
        <w:t>. The event hours are determined based on the threshold set at the beginning of the year. All hours with a forecasted load greater than the</w:t>
      </w:r>
      <w:r w:rsidR="00116BEB">
        <w:rPr>
          <w:rFonts w:ascii="Times New Roman" w:hAnsi="Times New Roman" w:cs="Times New Roman"/>
          <w:sz w:val="24"/>
          <w:szCs w:val="24"/>
        </w:rPr>
        <w:t xml:space="preserve"> threshold are deemed event hours</w:t>
      </w:r>
      <w:r w:rsidR="00F81F41">
        <w:rPr>
          <w:rFonts w:ascii="Times New Roman" w:hAnsi="Times New Roman" w:cs="Times New Roman"/>
          <w:sz w:val="24"/>
          <w:szCs w:val="24"/>
        </w:rPr>
        <w:t xml:space="preserve">. </w:t>
      </w:r>
    </w:p>
    <w:p w14:paraId="1458AE2D" w14:textId="6F8FD64D" w:rsidR="00F60588" w:rsidRPr="00B31FC7" w:rsidRDefault="00F60588" w:rsidP="00F60588">
      <w:pPr>
        <w:rPr>
          <w:rFonts w:ascii="Times New Roman" w:hAnsi="Times New Roman" w:cs="Times New Roman"/>
          <w:sz w:val="24"/>
          <w:szCs w:val="24"/>
        </w:rPr>
      </w:pPr>
    </w:p>
    <w:p w14:paraId="7C1D282D" w14:textId="77777777" w:rsidR="0032090C" w:rsidRPr="00B31FC7" w:rsidRDefault="0032090C" w:rsidP="00F60588">
      <w:pPr>
        <w:rPr>
          <w:rFonts w:ascii="Times New Roman" w:hAnsi="Times New Roman" w:cs="Times New Roman"/>
          <w:sz w:val="24"/>
          <w:szCs w:val="24"/>
        </w:rPr>
      </w:pPr>
    </w:p>
    <w:p w14:paraId="291EAC8C"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Q3.  The following question pertains to July 24, 2018, a day on which the CAISO day-ahead hourly price exceeded $1.00 per kWh (in hour 20).</w:t>
      </w:r>
    </w:p>
    <w:p w14:paraId="18CE332E" w14:textId="24DD23BA" w:rsidR="00F60588"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a.   Did SDG&amp;E call any C-CPP events on that day?   If so, in which hours?</w:t>
      </w:r>
    </w:p>
    <w:p w14:paraId="398E27A7" w14:textId="6F42256B" w:rsidR="00F60588"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b.   Did SDG&amp;E call any D-CPP events on that day?</w:t>
      </w:r>
    </w:p>
    <w:p w14:paraId="1D94177F" w14:textId="564949BE" w:rsidR="00F60588"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c.    Did SDG&amp;E call any D-CPP events for customers on Distribution line 0491 on that day?   If so, in which hours?</w:t>
      </w:r>
    </w:p>
    <w:p w14:paraId="55563735" w14:textId="048AA482"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d.   What was the highest hourly rate per kWh paid by any SDG&amp;E VGI customer on July 24, 2018, including the hourly base rate, CAISO hourly energy charges, and any CPP adders?</w:t>
      </w:r>
    </w:p>
    <w:p w14:paraId="6790BE73" w14:textId="77777777"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e.   In which hour was that highest rate reached?</w:t>
      </w:r>
    </w:p>
    <w:p w14:paraId="36E72595" w14:textId="5D1C488B" w:rsidR="00F60588" w:rsidRPr="00B31FC7" w:rsidRDefault="00F60588" w:rsidP="00F60588">
      <w:pPr>
        <w:rPr>
          <w:rFonts w:ascii="Times New Roman" w:hAnsi="Times New Roman" w:cs="Times New Roman"/>
          <w:sz w:val="24"/>
          <w:szCs w:val="24"/>
        </w:rPr>
      </w:pPr>
      <w:r w:rsidRPr="00B31FC7">
        <w:rPr>
          <w:rFonts w:ascii="Times New Roman" w:hAnsi="Times New Roman" w:cs="Times New Roman"/>
          <w:sz w:val="24"/>
          <w:szCs w:val="24"/>
        </w:rPr>
        <w:t xml:space="preserve">f.    What was the highest hourly rate per kWh paid by SDG&amp;E VGI customers served on Distribution </w:t>
      </w:r>
      <w:r w:rsidRPr="00B31FC7">
        <w:rPr>
          <w:rFonts w:ascii="Times New Roman" w:hAnsi="Times New Roman" w:cs="Times New Roman"/>
          <w:sz w:val="24"/>
          <w:szCs w:val="24"/>
        </w:rPr>
        <w:lastRenderedPageBreak/>
        <w:t>line 0491 on July 24, 2018, including the hourly base rate, CAISO hourly energy charges, and any CPP adders?</w:t>
      </w:r>
    </w:p>
    <w:p w14:paraId="2117EFBD" w14:textId="2E54E713" w:rsidR="00623CEF" w:rsidRPr="00B31FC7" w:rsidRDefault="00623CEF" w:rsidP="00F60588">
      <w:pPr>
        <w:rPr>
          <w:rFonts w:ascii="Times New Roman" w:hAnsi="Times New Roman" w:cs="Times New Roman"/>
          <w:sz w:val="24"/>
          <w:szCs w:val="24"/>
        </w:rPr>
      </w:pPr>
    </w:p>
    <w:p w14:paraId="2A07D005" w14:textId="77777777" w:rsidR="00623CEF" w:rsidRPr="00B31FC7" w:rsidRDefault="00623CEF" w:rsidP="00623CEF">
      <w:pPr>
        <w:widowControl/>
        <w:contextualSpacing/>
        <w:rPr>
          <w:rFonts w:ascii="Times New Roman" w:hAnsi="Times New Roman" w:cs="Times New Roman"/>
          <w:b/>
          <w:sz w:val="24"/>
          <w:szCs w:val="24"/>
        </w:rPr>
      </w:pPr>
      <w:r w:rsidRPr="00B31FC7">
        <w:rPr>
          <w:rFonts w:ascii="Times New Roman" w:hAnsi="Times New Roman" w:cs="Times New Roman"/>
          <w:b/>
          <w:sz w:val="24"/>
          <w:szCs w:val="24"/>
        </w:rPr>
        <w:t>SDG&amp;E Response:</w:t>
      </w:r>
    </w:p>
    <w:p w14:paraId="0A318D56" w14:textId="56F032FE" w:rsidR="00623CEF" w:rsidRPr="00292BC0" w:rsidRDefault="00623CEF" w:rsidP="00F60588">
      <w:pPr>
        <w:rPr>
          <w:rFonts w:ascii="Times New Roman" w:hAnsi="Times New Roman" w:cs="Times New Roman"/>
          <w:color w:val="000000" w:themeColor="text1"/>
          <w:sz w:val="24"/>
          <w:szCs w:val="24"/>
        </w:rPr>
      </w:pPr>
    </w:p>
    <w:p w14:paraId="717B652A" w14:textId="55C9317E"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a. Yes, SDG&amp;E called C-CPP events for hours</w:t>
      </w:r>
      <w:r w:rsidR="00383E72" w:rsidRPr="00292BC0">
        <w:rPr>
          <w:rFonts w:ascii="Times New Roman" w:hAnsi="Times New Roman" w:cs="Times New Roman"/>
          <w:color w:val="000000" w:themeColor="text1"/>
          <w:sz w:val="24"/>
          <w:szCs w:val="24"/>
        </w:rPr>
        <w:t xml:space="preserve"> beginning</w:t>
      </w:r>
      <w:r w:rsidRPr="00292BC0">
        <w:rPr>
          <w:rFonts w:ascii="Times New Roman" w:hAnsi="Times New Roman" w:cs="Times New Roman"/>
          <w:color w:val="000000" w:themeColor="text1"/>
          <w:sz w:val="24"/>
          <w:szCs w:val="24"/>
        </w:rPr>
        <w:t xml:space="preserve"> </w:t>
      </w:r>
      <w:r w:rsidR="00752932" w:rsidRPr="00292BC0">
        <w:rPr>
          <w:rFonts w:ascii="Times New Roman" w:hAnsi="Times New Roman" w:cs="Times New Roman"/>
          <w:color w:val="000000" w:themeColor="text1"/>
          <w:sz w:val="24"/>
          <w:szCs w:val="24"/>
        </w:rPr>
        <w:t>14, 15, 16, 17, 18, 19, 20, 21, and 22.</w:t>
      </w:r>
    </w:p>
    <w:p w14:paraId="7237C959" w14:textId="77777777"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b. Yes.</w:t>
      </w:r>
    </w:p>
    <w:p w14:paraId="43648C07" w14:textId="3CF11BC7"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c. Yes, SDG&amp;E called D-CPP events for hours</w:t>
      </w:r>
      <w:r w:rsidR="00383E72" w:rsidRPr="00292BC0">
        <w:rPr>
          <w:rFonts w:ascii="Times New Roman" w:hAnsi="Times New Roman" w:cs="Times New Roman"/>
          <w:color w:val="000000" w:themeColor="text1"/>
          <w:sz w:val="24"/>
          <w:szCs w:val="24"/>
        </w:rPr>
        <w:t xml:space="preserve"> beginning</w:t>
      </w:r>
      <w:r w:rsidRPr="00292BC0">
        <w:rPr>
          <w:rFonts w:ascii="Times New Roman" w:hAnsi="Times New Roman" w:cs="Times New Roman"/>
          <w:color w:val="000000" w:themeColor="text1"/>
          <w:sz w:val="24"/>
          <w:szCs w:val="24"/>
        </w:rPr>
        <w:t xml:space="preserve"> </w:t>
      </w:r>
      <w:r w:rsidR="00292BC0" w:rsidRPr="00292BC0">
        <w:rPr>
          <w:rFonts w:ascii="Times New Roman" w:hAnsi="Times New Roman" w:cs="Times New Roman"/>
          <w:color w:val="000000" w:themeColor="text1"/>
          <w:sz w:val="24"/>
          <w:szCs w:val="24"/>
        </w:rPr>
        <w:t>11, 12, 13, 14, 15, and 16.</w:t>
      </w:r>
    </w:p>
    <w:p w14:paraId="1A23C98F" w14:textId="12F16008"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d.</w:t>
      </w:r>
      <w:r w:rsidR="007172C4" w:rsidRPr="00292BC0">
        <w:rPr>
          <w:rFonts w:ascii="Times New Roman" w:hAnsi="Times New Roman" w:cs="Times New Roman"/>
          <w:color w:val="000000" w:themeColor="text1"/>
          <w:sz w:val="24"/>
          <w:szCs w:val="24"/>
        </w:rPr>
        <w:t xml:space="preserve"> The highest hourly rate per kWh paid by a customer was $1.73/kWh, at hour</w:t>
      </w:r>
      <w:r w:rsidR="007E7028" w:rsidRPr="00292BC0">
        <w:rPr>
          <w:rFonts w:ascii="Times New Roman" w:hAnsi="Times New Roman" w:cs="Times New Roman"/>
          <w:color w:val="000000" w:themeColor="text1"/>
          <w:sz w:val="24"/>
          <w:szCs w:val="24"/>
        </w:rPr>
        <w:t xml:space="preserve"> beginning</w:t>
      </w:r>
      <w:r w:rsidR="007172C4" w:rsidRPr="00292BC0">
        <w:rPr>
          <w:rFonts w:ascii="Times New Roman" w:hAnsi="Times New Roman" w:cs="Times New Roman"/>
          <w:color w:val="000000" w:themeColor="text1"/>
          <w:sz w:val="24"/>
          <w:szCs w:val="24"/>
        </w:rPr>
        <w:t xml:space="preserve"> 19.</w:t>
      </w:r>
    </w:p>
    <w:p w14:paraId="5851AFEA" w14:textId="16401578"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e.</w:t>
      </w:r>
      <w:r w:rsidR="00635215" w:rsidRPr="00292BC0">
        <w:rPr>
          <w:rFonts w:ascii="Times New Roman" w:hAnsi="Times New Roman" w:cs="Times New Roman"/>
          <w:color w:val="000000" w:themeColor="text1"/>
          <w:sz w:val="24"/>
          <w:szCs w:val="24"/>
        </w:rPr>
        <w:t xml:space="preserve"> The highest hourly rate per kWh paid by a customer was $1.73/kWh, at hour </w:t>
      </w:r>
      <w:r w:rsidR="007E7028" w:rsidRPr="00292BC0">
        <w:rPr>
          <w:rFonts w:ascii="Times New Roman" w:hAnsi="Times New Roman" w:cs="Times New Roman"/>
          <w:color w:val="000000" w:themeColor="text1"/>
          <w:sz w:val="24"/>
          <w:szCs w:val="24"/>
        </w:rPr>
        <w:t xml:space="preserve">beginning </w:t>
      </w:r>
      <w:r w:rsidR="00635215" w:rsidRPr="00292BC0">
        <w:rPr>
          <w:rFonts w:ascii="Times New Roman" w:hAnsi="Times New Roman" w:cs="Times New Roman"/>
          <w:color w:val="000000" w:themeColor="text1"/>
          <w:sz w:val="24"/>
          <w:szCs w:val="24"/>
        </w:rPr>
        <w:t>19.</w:t>
      </w:r>
    </w:p>
    <w:p w14:paraId="0C29DBA9" w14:textId="1F70070D" w:rsidR="00D87FD1" w:rsidRPr="00292BC0" w:rsidRDefault="00D87FD1" w:rsidP="00D87FD1">
      <w:pPr>
        <w:rPr>
          <w:rFonts w:ascii="Times New Roman" w:hAnsi="Times New Roman" w:cs="Times New Roman"/>
          <w:color w:val="000000" w:themeColor="text1"/>
          <w:sz w:val="24"/>
          <w:szCs w:val="24"/>
        </w:rPr>
      </w:pPr>
      <w:r w:rsidRPr="00292BC0">
        <w:rPr>
          <w:rFonts w:ascii="Times New Roman" w:hAnsi="Times New Roman" w:cs="Times New Roman"/>
          <w:color w:val="000000" w:themeColor="text1"/>
          <w:sz w:val="24"/>
          <w:szCs w:val="24"/>
        </w:rPr>
        <w:t>f.</w:t>
      </w:r>
      <w:r w:rsidR="007E7028" w:rsidRPr="00292BC0">
        <w:rPr>
          <w:rFonts w:ascii="Times New Roman" w:hAnsi="Times New Roman" w:cs="Times New Roman"/>
          <w:color w:val="000000" w:themeColor="text1"/>
          <w:sz w:val="24"/>
          <w:szCs w:val="24"/>
        </w:rPr>
        <w:t xml:space="preserve"> The highest hourly rate per kWh paid by a customer on circuit 0491 was $1.55/kWh, at hour beginning 16.</w:t>
      </w:r>
    </w:p>
    <w:p w14:paraId="57E1154F" w14:textId="473E7D95" w:rsidR="00D87FD1" w:rsidRPr="00B31FC7" w:rsidRDefault="00D87FD1" w:rsidP="00F60588">
      <w:pPr>
        <w:rPr>
          <w:rFonts w:ascii="Times New Roman" w:hAnsi="Times New Roman" w:cs="Times New Roman"/>
          <w:sz w:val="24"/>
          <w:szCs w:val="24"/>
        </w:rPr>
      </w:pPr>
    </w:p>
    <w:p w14:paraId="58FFA536" w14:textId="131B54C0" w:rsidR="00C55445" w:rsidRDefault="00C55445">
      <w:pPr>
        <w:ind w:right="297"/>
        <w:jc w:val="center"/>
        <w:rPr>
          <w:rFonts w:ascii="Times New Roman" w:eastAsia="Times New Roman" w:hAnsi="Times New Roman" w:cs="Times New Roman"/>
          <w:b/>
          <w:bCs/>
          <w:sz w:val="24"/>
          <w:szCs w:val="24"/>
          <w:u w:val="thick" w:color="000000"/>
        </w:rPr>
      </w:pPr>
    </w:p>
    <w:p w14:paraId="1A8F1594" w14:textId="77EFEE9E" w:rsidR="00DA40F7" w:rsidRPr="00DA40F7" w:rsidRDefault="00DA40F7" w:rsidP="00DA40F7">
      <w:pPr>
        <w:ind w:right="297"/>
        <w:rPr>
          <w:rFonts w:ascii="Times New Roman" w:eastAsia="Times New Roman" w:hAnsi="Times New Roman" w:cs="Times New Roman"/>
          <w:b/>
          <w:bCs/>
          <w:sz w:val="24"/>
          <w:szCs w:val="24"/>
          <w:u w:color="000000"/>
        </w:rPr>
      </w:pPr>
      <w:r w:rsidRPr="00DA40F7">
        <w:rPr>
          <w:rFonts w:ascii="Times New Roman" w:eastAsia="Times New Roman" w:hAnsi="Times New Roman" w:cs="Times New Roman"/>
          <w:b/>
          <w:bCs/>
          <w:sz w:val="24"/>
          <w:szCs w:val="24"/>
          <w:u w:color="000000"/>
        </w:rPr>
        <w:t>End Request</w:t>
      </w:r>
      <w:bookmarkStart w:id="1" w:name="_GoBack"/>
      <w:bookmarkEnd w:id="1"/>
    </w:p>
    <w:sectPr w:rsidR="00DA40F7" w:rsidRPr="00DA40F7">
      <w:headerReference w:type="default" r:id="rId8"/>
      <w:footerReference w:type="default" r:id="rId9"/>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F913" w14:textId="77777777" w:rsidR="00F576E6" w:rsidRDefault="00F576E6">
      <w:r>
        <w:separator/>
      </w:r>
    </w:p>
  </w:endnote>
  <w:endnote w:type="continuationSeparator" w:id="0">
    <w:p w14:paraId="0F1D7DDD" w14:textId="77777777" w:rsidR="00F576E6" w:rsidRDefault="00F576E6">
      <w:r>
        <w:continuationSeparator/>
      </w:r>
    </w:p>
  </w:endnote>
  <w:endnote w:type="continuationNotice" w:id="1">
    <w:p w14:paraId="2DDDA12B" w14:textId="77777777" w:rsidR="00F576E6" w:rsidRDefault="00F57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5EA3" w14:textId="77777777" w:rsidR="00F576E6" w:rsidRDefault="00F576E6">
      <w:r>
        <w:separator/>
      </w:r>
    </w:p>
  </w:footnote>
  <w:footnote w:type="continuationSeparator" w:id="0">
    <w:p w14:paraId="475811BA" w14:textId="77777777" w:rsidR="00F576E6" w:rsidRDefault="00F576E6">
      <w:r>
        <w:continuationSeparator/>
      </w:r>
    </w:p>
  </w:footnote>
  <w:footnote w:type="continuationNotice" w:id="1">
    <w:p w14:paraId="39B476FA" w14:textId="77777777" w:rsidR="00F576E6" w:rsidRDefault="00F576E6"/>
  </w:footnote>
  <w:footnote w:id="2">
    <w:p w14:paraId="5C999CDE" w14:textId="77777777" w:rsidR="00F60588" w:rsidRPr="00B31FC7" w:rsidRDefault="00F60588" w:rsidP="00F60588">
      <w:pPr>
        <w:autoSpaceDE w:val="0"/>
        <w:autoSpaceDN w:val="0"/>
        <w:adjustRightInd w:val="0"/>
        <w:rPr>
          <w:rFonts w:ascii="Times New Roman" w:hAnsi="Times New Roman" w:cs="Times New Roman"/>
          <w:sz w:val="20"/>
          <w:szCs w:val="20"/>
        </w:rPr>
      </w:pPr>
      <w:r w:rsidRPr="00B31FC7">
        <w:rPr>
          <w:rStyle w:val="FootnoteReference"/>
          <w:rFonts w:ascii="Times New Roman" w:hAnsi="Times New Roman" w:cs="Times New Roman"/>
          <w:sz w:val="20"/>
          <w:szCs w:val="20"/>
        </w:rPr>
        <w:footnoteRef/>
      </w:r>
      <w:r w:rsidRPr="00B31FC7">
        <w:rPr>
          <w:rFonts w:ascii="Times New Roman" w:hAnsi="Times New Roman" w:cs="Times New Roman"/>
          <w:sz w:val="20"/>
          <w:szCs w:val="20"/>
        </w:rPr>
        <w:t xml:space="preserve"> Testimony of C. Fang, p. CF-18, filed January 20, 2017, Application of SAN DIEGO GAS &amp; ELECTRIC COMPANY (U902-E) for Approval of SB 350 Transportation Electrification Proposals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6931D75B" w:rsidR="009D6650" w:rsidRPr="00BB3B03" w:rsidRDefault="009B4739" w:rsidP="009D6650">
    <w:pPr>
      <w:pStyle w:val="ListParagraph"/>
      <w:jc w:val="center"/>
      <w:rPr>
        <w:rFonts w:ascii="Times New Roman" w:hAnsi="Times New Roman" w:cs="Times New Roman"/>
        <w:b/>
      </w:rPr>
    </w:pPr>
    <w:r>
      <w:rPr>
        <w:rFonts w:ascii="Times New Roman" w:hAnsi="Times New Roman" w:cs="Times New Roman"/>
        <w:b/>
      </w:rPr>
      <w:t>SDAP Data Request</w:t>
    </w:r>
    <w:r w:rsidR="004B285E">
      <w:rPr>
        <w:rFonts w:ascii="Times New Roman" w:hAnsi="Times New Roman" w:cs="Times New Roman"/>
        <w:b/>
      </w:rPr>
      <w:t xml:space="preserve"> 0</w:t>
    </w:r>
    <w:r w:rsidR="00C55445">
      <w:rPr>
        <w:rFonts w:ascii="Times New Roman" w:hAnsi="Times New Roman" w:cs="Times New Roman"/>
        <w:b/>
      </w:rPr>
      <w:t>3</w:t>
    </w:r>
    <w:r w:rsidR="009D6650" w:rsidRPr="00BB3B03">
      <w:rPr>
        <w:rFonts w:ascii="Times New Roman" w:hAnsi="Times New Roman" w:cs="Times New Roman"/>
        <w:b/>
      </w:rPr>
      <w:br/>
      <w:t>SDG&amp;E PHASE 2 GRC PROCEEDING</w:t>
    </w:r>
    <w:r>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D0646D">
      <w:rPr>
        <w:rFonts w:ascii="Times New Roman" w:hAnsi="Times New Roman" w:cs="Times New Roman"/>
        <w:b/>
      </w:rPr>
      <w:t xml:space="preserve">December </w:t>
    </w:r>
    <w:r w:rsidR="00C55445">
      <w:rPr>
        <w:rFonts w:ascii="Times New Roman" w:hAnsi="Times New Roman" w:cs="Times New Roman"/>
        <w:b/>
      </w:rPr>
      <w:t>18</w:t>
    </w:r>
    <w:r w:rsidR="009D6650" w:rsidRPr="00BB3B03">
      <w:rPr>
        <w:rFonts w:ascii="Times New Roman" w:hAnsi="Times New Roman" w:cs="Times New Roman"/>
        <w:b/>
      </w:rPr>
      <w:t>, 2019</w:t>
    </w:r>
  </w:p>
  <w:p w14:paraId="46DCAB12" w14:textId="13B80DC2"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C55445">
      <w:rPr>
        <w:rFonts w:ascii="Times New Roman" w:hAnsi="Times New Roman" w:cs="Times New Roman"/>
        <w:b/>
      </w:rPr>
      <w:t xml:space="preserve">January </w:t>
    </w:r>
    <w:r w:rsidR="007114E0">
      <w:rPr>
        <w:rFonts w:ascii="Times New Roman" w:hAnsi="Times New Roman" w:cs="Times New Roman"/>
        <w:b/>
      </w:rPr>
      <w:t>3</w:t>
    </w:r>
    <w:r w:rsidR="00F25E6E">
      <w:rPr>
        <w:rFonts w:ascii="Times New Roman" w:hAnsi="Times New Roman" w:cs="Times New Roman"/>
        <w:b/>
      </w:rPr>
      <w:t>, 20</w:t>
    </w:r>
    <w:r w:rsidR="009B5818">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483F0A"/>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6D155CC"/>
    <w:multiLevelType w:val="hybridMultilevel"/>
    <w:tmpl w:val="7A7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8"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71058"/>
    <w:multiLevelType w:val="hybridMultilevel"/>
    <w:tmpl w:val="235A9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C405B9"/>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F6608"/>
    <w:multiLevelType w:val="hybridMultilevel"/>
    <w:tmpl w:val="F6909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
  </w:num>
  <w:num w:numId="9">
    <w:abstractNumId w:val="13"/>
  </w:num>
  <w:num w:numId="10">
    <w:abstractNumId w:val="8"/>
  </w:num>
  <w:num w:numId="11">
    <w:abstractNumId w:val="12"/>
  </w:num>
  <w:num w:numId="12">
    <w:abstractNumId w:val="4"/>
  </w:num>
  <w:num w:numId="13">
    <w:abstractNumId w:val="9"/>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30F"/>
    <w:rsid w:val="00000730"/>
    <w:rsid w:val="00002286"/>
    <w:rsid w:val="00002A05"/>
    <w:rsid w:val="000133A9"/>
    <w:rsid w:val="00015BD1"/>
    <w:rsid w:val="000205E3"/>
    <w:rsid w:val="00023728"/>
    <w:rsid w:val="000249E4"/>
    <w:rsid w:val="00030A20"/>
    <w:rsid w:val="00036BA1"/>
    <w:rsid w:val="00040384"/>
    <w:rsid w:val="000473F3"/>
    <w:rsid w:val="00052D0B"/>
    <w:rsid w:val="00062B49"/>
    <w:rsid w:val="00067D4D"/>
    <w:rsid w:val="00090093"/>
    <w:rsid w:val="00092932"/>
    <w:rsid w:val="000932E2"/>
    <w:rsid w:val="000A1CE4"/>
    <w:rsid w:val="000A6F05"/>
    <w:rsid w:val="000B2C0E"/>
    <w:rsid w:val="000B3494"/>
    <w:rsid w:val="000B710B"/>
    <w:rsid w:val="000C0424"/>
    <w:rsid w:val="000C102C"/>
    <w:rsid w:val="000C64AD"/>
    <w:rsid w:val="000D1EF9"/>
    <w:rsid w:val="000D24BA"/>
    <w:rsid w:val="000D2BBD"/>
    <w:rsid w:val="000D6ECD"/>
    <w:rsid w:val="000E4373"/>
    <w:rsid w:val="000E4C99"/>
    <w:rsid w:val="000F422F"/>
    <w:rsid w:val="000F5557"/>
    <w:rsid w:val="000F6F65"/>
    <w:rsid w:val="000F7616"/>
    <w:rsid w:val="00101039"/>
    <w:rsid w:val="00101D98"/>
    <w:rsid w:val="00104F5E"/>
    <w:rsid w:val="0010718F"/>
    <w:rsid w:val="0011484B"/>
    <w:rsid w:val="00116BEB"/>
    <w:rsid w:val="00117124"/>
    <w:rsid w:val="00120178"/>
    <w:rsid w:val="00120746"/>
    <w:rsid w:val="00121E7C"/>
    <w:rsid w:val="00134C25"/>
    <w:rsid w:val="00137417"/>
    <w:rsid w:val="00137E43"/>
    <w:rsid w:val="001428CB"/>
    <w:rsid w:val="00142C40"/>
    <w:rsid w:val="0014783D"/>
    <w:rsid w:val="00151C1A"/>
    <w:rsid w:val="00153101"/>
    <w:rsid w:val="0015405C"/>
    <w:rsid w:val="00163795"/>
    <w:rsid w:val="00166C29"/>
    <w:rsid w:val="00167CF6"/>
    <w:rsid w:val="001729AE"/>
    <w:rsid w:val="00185196"/>
    <w:rsid w:val="00192F9B"/>
    <w:rsid w:val="001933F6"/>
    <w:rsid w:val="001A2DEB"/>
    <w:rsid w:val="001A5210"/>
    <w:rsid w:val="001A739A"/>
    <w:rsid w:val="001B2957"/>
    <w:rsid w:val="001B6807"/>
    <w:rsid w:val="001B7186"/>
    <w:rsid w:val="001C2241"/>
    <w:rsid w:val="001C5F92"/>
    <w:rsid w:val="001E043B"/>
    <w:rsid w:val="001E66E7"/>
    <w:rsid w:val="001E73D1"/>
    <w:rsid w:val="001E7575"/>
    <w:rsid w:val="001F1F3B"/>
    <w:rsid w:val="00212614"/>
    <w:rsid w:val="00213AFF"/>
    <w:rsid w:val="00214014"/>
    <w:rsid w:val="0021744C"/>
    <w:rsid w:val="00224F0B"/>
    <w:rsid w:val="00227922"/>
    <w:rsid w:val="00227AD1"/>
    <w:rsid w:val="00230361"/>
    <w:rsid w:val="00242383"/>
    <w:rsid w:val="00242CBC"/>
    <w:rsid w:val="00245778"/>
    <w:rsid w:val="00247644"/>
    <w:rsid w:val="00250FB4"/>
    <w:rsid w:val="0025155C"/>
    <w:rsid w:val="002540A5"/>
    <w:rsid w:val="00256561"/>
    <w:rsid w:val="0025725C"/>
    <w:rsid w:val="00257835"/>
    <w:rsid w:val="00264F5F"/>
    <w:rsid w:val="00267ADB"/>
    <w:rsid w:val="002730A7"/>
    <w:rsid w:val="00273D1D"/>
    <w:rsid w:val="00274084"/>
    <w:rsid w:val="00275311"/>
    <w:rsid w:val="0027631B"/>
    <w:rsid w:val="0027658B"/>
    <w:rsid w:val="00276B27"/>
    <w:rsid w:val="0028191F"/>
    <w:rsid w:val="00290C30"/>
    <w:rsid w:val="00292BC0"/>
    <w:rsid w:val="00294908"/>
    <w:rsid w:val="00295D51"/>
    <w:rsid w:val="002A11D5"/>
    <w:rsid w:val="002A19BC"/>
    <w:rsid w:val="002A48B2"/>
    <w:rsid w:val="002B219C"/>
    <w:rsid w:val="002B7723"/>
    <w:rsid w:val="002C0F11"/>
    <w:rsid w:val="002C110B"/>
    <w:rsid w:val="002C3FC3"/>
    <w:rsid w:val="002C4272"/>
    <w:rsid w:val="002C51C0"/>
    <w:rsid w:val="002C7328"/>
    <w:rsid w:val="002C7B61"/>
    <w:rsid w:val="002D0D9B"/>
    <w:rsid w:val="002D4D22"/>
    <w:rsid w:val="002E0C4B"/>
    <w:rsid w:val="002E0D01"/>
    <w:rsid w:val="002E1AC4"/>
    <w:rsid w:val="002F2139"/>
    <w:rsid w:val="002F4871"/>
    <w:rsid w:val="00302C0D"/>
    <w:rsid w:val="003108CA"/>
    <w:rsid w:val="003138A6"/>
    <w:rsid w:val="00317A8F"/>
    <w:rsid w:val="00320693"/>
    <w:rsid w:val="0032090C"/>
    <w:rsid w:val="00322EA2"/>
    <w:rsid w:val="00323660"/>
    <w:rsid w:val="00331DCE"/>
    <w:rsid w:val="00334531"/>
    <w:rsid w:val="003364AD"/>
    <w:rsid w:val="003432CC"/>
    <w:rsid w:val="0034457D"/>
    <w:rsid w:val="00350C6E"/>
    <w:rsid w:val="00356D14"/>
    <w:rsid w:val="00360568"/>
    <w:rsid w:val="0036084A"/>
    <w:rsid w:val="00362A8A"/>
    <w:rsid w:val="003655A5"/>
    <w:rsid w:val="003719EA"/>
    <w:rsid w:val="00371DE5"/>
    <w:rsid w:val="00374CC9"/>
    <w:rsid w:val="00383E72"/>
    <w:rsid w:val="00391346"/>
    <w:rsid w:val="003920AA"/>
    <w:rsid w:val="00392874"/>
    <w:rsid w:val="003A02E3"/>
    <w:rsid w:val="003A4A85"/>
    <w:rsid w:val="003A6866"/>
    <w:rsid w:val="003B40AB"/>
    <w:rsid w:val="003B671A"/>
    <w:rsid w:val="003B7BC2"/>
    <w:rsid w:val="003C2792"/>
    <w:rsid w:val="003C5354"/>
    <w:rsid w:val="003D0506"/>
    <w:rsid w:val="003D317D"/>
    <w:rsid w:val="003D3EF3"/>
    <w:rsid w:val="003E1C2F"/>
    <w:rsid w:val="003E1C87"/>
    <w:rsid w:val="003E7412"/>
    <w:rsid w:val="003F1DCE"/>
    <w:rsid w:val="004002E4"/>
    <w:rsid w:val="00403C51"/>
    <w:rsid w:val="00404616"/>
    <w:rsid w:val="004076FD"/>
    <w:rsid w:val="004178A0"/>
    <w:rsid w:val="004214B7"/>
    <w:rsid w:val="004269F6"/>
    <w:rsid w:val="00427A0F"/>
    <w:rsid w:val="00442805"/>
    <w:rsid w:val="00442FCD"/>
    <w:rsid w:val="00445522"/>
    <w:rsid w:val="0044670F"/>
    <w:rsid w:val="004509C2"/>
    <w:rsid w:val="00455F5C"/>
    <w:rsid w:val="00465483"/>
    <w:rsid w:val="00487B33"/>
    <w:rsid w:val="00492FB9"/>
    <w:rsid w:val="004A0D4C"/>
    <w:rsid w:val="004B0621"/>
    <w:rsid w:val="004B285E"/>
    <w:rsid w:val="004B3FB3"/>
    <w:rsid w:val="004C1F77"/>
    <w:rsid w:val="004D1898"/>
    <w:rsid w:val="004D375A"/>
    <w:rsid w:val="004D729C"/>
    <w:rsid w:val="004E0494"/>
    <w:rsid w:val="004E527C"/>
    <w:rsid w:val="004F6195"/>
    <w:rsid w:val="004F6A69"/>
    <w:rsid w:val="004F78B9"/>
    <w:rsid w:val="00502AF1"/>
    <w:rsid w:val="00506317"/>
    <w:rsid w:val="0050650D"/>
    <w:rsid w:val="00523859"/>
    <w:rsid w:val="0052721A"/>
    <w:rsid w:val="0053055C"/>
    <w:rsid w:val="00542997"/>
    <w:rsid w:val="00565ACE"/>
    <w:rsid w:val="00572769"/>
    <w:rsid w:val="00581503"/>
    <w:rsid w:val="00584C5A"/>
    <w:rsid w:val="00584FC4"/>
    <w:rsid w:val="00593616"/>
    <w:rsid w:val="00594E34"/>
    <w:rsid w:val="005A0F3C"/>
    <w:rsid w:val="005A533D"/>
    <w:rsid w:val="005B18D6"/>
    <w:rsid w:val="005B4D34"/>
    <w:rsid w:val="005B5AF1"/>
    <w:rsid w:val="005C5A42"/>
    <w:rsid w:val="005E25BA"/>
    <w:rsid w:val="005E4B3C"/>
    <w:rsid w:val="005E6A53"/>
    <w:rsid w:val="005F153D"/>
    <w:rsid w:val="005F5A21"/>
    <w:rsid w:val="005F656D"/>
    <w:rsid w:val="0060665C"/>
    <w:rsid w:val="00610991"/>
    <w:rsid w:val="00616FEA"/>
    <w:rsid w:val="006212B9"/>
    <w:rsid w:val="00621321"/>
    <w:rsid w:val="00623CEF"/>
    <w:rsid w:val="006305D5"/>
    <w:rsid w:val="00634AD6"/>
    <w:rsid w:val="00635215"/>
    <w:rsid w:val="00654A7C"/>
    <w:rsid w:val="00657F6E"/>
    <w:rsid w:val="006659B7"/>
    <w:rsid w:val="00676426"/>
    <w:rsid w:val="00681682"/>
    <w:rsid w:val="006821A5"/>
    <w:rsid w:val="00683DE9"/>
    <w:rsid w:val="00684849"/>
    <w:rsid w:val="00693DDC"/>
    <w:rsid w:val="00695C35"/>
    <w:rsid w:val="0069799F"/>
    <w:rsid w:val="006A2A33"/>
    <w:rsid w:val="006A31DC"/>
    <w:rsid w:val="006A4348"/>
    <w:rsid w:val="006A724E"/>
    <w:rsid w:val="006B1F33"/>
    <w:rsid w:val="006B6ED7"/>
    <w:rsid w:val="006B7D74"/>
    <w:rsid w:val="006C348F"/>
    <w:rsid w:val="006C46C9"/>
    <w:rsid w:val="006D53E7"/>
    <w:rsid w:val="006D7EC0"/>
    <w:rsid w:val="006E073E"/>
    <w:rsid w:val="006E3B4E"/>
    <w:rsid w:val="006E5B8E"/>
    <w:rsid w:val="006E7AEA"/>
    <w:rsid w:val="006F440F"/>
    <w:rsid w:val="0070745A"/>
    <w:rsid w:val="007114E0"/>
    <w:rsid w:val="007172C4"/>
    <w:rsid w:val="00724815"/>
    <w:rsid w:val="00727C08"/>
    <w:rsid w:val="00727C31"/>
    <w:rsid w:val="007332AB"/>
    <w:rsid w:val="00740716"/>
    <w:rsid w:val="007429B8"/>
    <w:rsid w:val="007449EF"/>
    <w:rsid w:val="00745ADA"/>
    <w:rsid w:val="00752932"/>
    <w:rsid w:val="00753CFD"/>
    <w:rsid w:val="0075419D"/>
    <w:rsid w:val="00765D05"/>
    <w:rsid w:val="007663EB"/>
    <w:rsid w:val="0077325E"/>
    <w:rsid w:val="00773608"/>
    <w:rsid w:val="007815AE"/>
    <w:rsid w:val="0078262C"/>
    <w:rsid w:val="007876AA"/>
    <w:rsid w:val="00787AC5"/>
    <w:rsid w:val="007922B8"/>
    <w:rsid w:val="0079475C"/>
    <w:rsid w:val="007A35F8"/>
    <w:rsid w:val="007A5A2A"/>
    <w:rsid w:val="007A7F06"/>
    <w:rsid w:val="007B4CBA"/>
    <w:rsid w:val="007C2DDE"/>
    <w:rsid w:val="007C3A48"/>
    <w:rsid w:val="007C5EF9"/>
    <w:rsid w:val="007C6DE5"/>
    <w:rsid w:val="007C7193"/>
    <w:rsid w:val="007C7214"/>
    <w:rsid w:val="007D47C5"/>
    <w:rsid w:val="007D677E"/>
    <w:rsid w:val="007D735F"/>
    <w:rsid w:val="007D7918"/>
    <w:rsid w:val="007E2AD9"/>
    <w:rsid w:val="007E4F06"/>
    <w:rsid w:val="007E5BA2"/>
    <w:rsid w:val="007E7028"/>
    <w:rsid w:val="007F0826"/>
    <w:rsid w:val="007F26AE"/>
    <w:rsid w:val="00803E0C"/>
    <w:rsid w:val="008069F6"/>
    <w:rsid w:val="00807A4D"/>
    <w:rsid w:val="008113E5"/>
    <w:rsid w:val="00811904"/>
    <w:rsid w:val="008131FF"/>
    <w:rsid w:val="008148B0"/>
    <w:rsid w:val="008179AE"/>
    <w:rsid w:val="00817F06"/>
    <w:rsid w:val="008243E4"/>
    <w:rsid w:val="00825F5B"/>
    <w:rsid w:val="008260F3"/>
    <w:rsid w:val="008269A0"/>
    <w:rsid w:val="00833571"/>
    <w:rsid w:val="00844369"/>
    <w:rsid w:val="008472AB"/>
    <w:rsid w:val="00851898"/>
    <w:rsid w:val="0085302F"/>
    <w:rsid w:val="00853264"/>
    <w:rsid w:val="00855C82"/>
    <w:rsid w:val="008566F9"/>
    <w:rsid w:val="00862A51"/>
    <w:rsid w:val="0087248C"/>
    <w:rsid w:val="00883D24"/>
    <w:rsid w:val="00887D0E"/>
    <w:rsid w:val="00897339"/>
    <w:rsid w:val="008A0281"/>
    <w:rsid w:val="008A23CE"/>
    <w:rsid w:val="008A71CE"/>
    <w:rsid w:val="008A7402"/>
    <w:rsid w:val="008B5365"/>
    <w:rsid w:val="008C1929"/>
    <w:rsid w:val="008D0191"/>
    <w:rsid w:val="008D01EF"/>
    <w:rsid w:val="008D11E6"/>
    <w:rsid w:val="008E2E33"/>
    <w:rsid w:val="008E54D3"/>
    <w:rsid w:val="008E550E"/>
    <w:rsid w:val="008F02E0"/>
    <w:rsid w:val="008F05CE"/>
    <w:rsid w:val="00905557"/>
    <w:rsid w:val="00907727"/>
    <w:rsid w:val="009146C4"/>
    <w:rsid w:val="00917A0F"/>
    <w:rsid w:val="00921C40"/>
    <w:rsid w:val="00922C0C"/>
    <w:rsid w:val="009274BB"/>
    <w:rsid w:val="009319FE"/>
    <w:rsid w:val="00936D72"/>
    <w:rsid w:val="00937A08"/>
    <w:rsid w:val="009412FB"/>
    <w:rsid w:val="00943820"/>
    <w:rsid w:val="00943B34"/>
    <w:rsid w:val="00944954"/>
    <w:rsid w:val="00967251"/>
    <w:rsid w:val="0097115B"/>
    <w:rsid w:val="009711E6"/>
    <w:rsid w:val="0097209E"/>
    <w:rsid w:val="00977231"/>
    <w:rsid w:val="00980B03"/>
    <w:rsid w:val="00983275"/>
    <w:rsid w:val="00993F4E"/>
    <w:rsid w:val="00994AD8"/>
    <w:rsid w:val="009A2156"/>
    <w:rsid w:val="009A28E1"/>
    <w:rsid w:val="009A30E1"/>
    <w:rsid w:val="009A740A"/>
    <w:rsid w:val="009B18B5"/>
    <w:rsid w:val="009B3043"/>
    <w:rsid w:val="009B4739"/>
    <w:rsid w:val="009B5818"/>
    <w:rsid w:val="009B6AC0"/>
    <w:rsid w:val="009B7DCB"/>
    <w:rsid w:val="009C1F25"/>
    <w:rsid w:val="009D18E7"/>
    <w:rsid w:val="009D2781"/>
    <w:rsid w:val="009D5BE9"/>
    <w:rsid w:val="009D6650"/>
    <w:rsid w:val="009D6E0F"/>
    <w:rsid w:val="009E7E4D"/>
    <w:rsid w:val="009F0895"/>
    <w:rsid w:val="009F1C22"/>
    <w:rsid w:val="009F4621"/>
    <w:rsid w:val="009F790A"/>
    <w:rsid w:val="00A06D28"/>
    <w:rsid w:val="00A06E3D"/>
    <w:rsid w:val="00A06EFD"/>
    <w:rsid w:val="00A1185D"/>
    <w:rsid w:val="00A15B83"/>
    <w:rsid w:val="00A17118"/>
    <w:rsid w:val="00A20CBF"/>
    <w:rsid w:val="00A30EF2"/>
    <w:rsid w:val="00A37CAF"/>
    <w:rsid w:val="00A44540"/>
    <w:rsid w:val="00A479CD"/>
    <w:rsid w:val="00A5147F"/>
    <w:rsid w:val="00A52FCF"/>
    <w:rsid w:val="00A538C7"/>
    <w:rsid w:val="00A80206"/>
    <w:rsid w:val="00A90892"/>
    <w:rsid w:val="00A95F00"/>
    <w:rsid w:val="00AA09E9"/>
    <w:rsid w:val="00AA2400"/>
    <w:rsid w:val="00AA61C4"/>
    <w:rsid w:val="00AA6A62"/>
    <w:rsid w:val="00AB0C92"/>
    <w:rsid w:val="00AB64D8"/>
    <w:rsid w:val="00AC459B"/>
    <w:rsid w:val="00AD26DA"/>
    <w:rsid w:val="00AD2C41"/>
    <w:rsid w:val="00AD3D0C"/>
    <w:rsid w:val="00AD58E8"/>
    <w:rsid w:val="00AD7255"/>
    <w:rsid w:val="00AD7840"/>
    <w:rsid w:val="00AE1E1C"/>
    <w:rsid w:val="00AF1D17"/>
    <w:rsid w:val="00AF1E70"/>
    <w:rsid w:val="00AF59A2"/>
    <w:rsid w:val="00AF5B5F"/>
    <w:rsid w:val="00AF6700"/>
    <w:rsid w:val="00B05633"/>
    <w:rsid w:val="00B1392C"/>
    <w:rsid w:val="00B13B49"/>
    <w:rsid w:val="00B24D6D"/>
    <w:rsid w:val="00B3116A"/>
    <w:rsid w:val="00B31FC7"/>
    <w:rsid w:val="00B32C52"/>
    <w:rsid w:val="00B333AB"/>
    <w:rsid w:val="00B37769"/>
    <w:rsid w:val="00B4306F"/>
    <w:rsid w:val="00B43B6A"/>
    <w:rsid w:val="00B45304"/>
    <w:rsid w:val="00B45DF4"/>
    <w:rsid w:val="00B470CD"/>
    <w:rsid w:val="00B47A45"/>
    <w:rsid w:val="00B603AB"/>
    <w:rsid w:val="00B64715"/>
    <w:rsid w:val="00B64BDE"/>
    <w:rsid w:val="00B670B5"/>
    <w:rsid w:val="00B67CB6"/>
    <w:rsid w:val="00B73736"/>
    <w:rsid w:val="00B754F4"/>
    <w:rsid w:val="00B8400A"/>
    <w:rsid w:val="00B85D13"/>
    <w:rsid w:val="00B87CDE"/>
    <w:rsid w:val="00B95CB7"/>
    <w:rsid w:val="00B95EB4"/>
    <w:rsid w:val="00B97974"/>
    <w:rsid w:val="00BA3A67"/>
    <w:rsid w:val="00BA7F23"/>
    <w:rsid w:val="00BB79A4"/>
    <w:rsid w:val="00BC1F19"/>
    <w:rsid w:val="00BC35A8"/>
    <w:rsid w:val="00BD16C2"/>
    <w:rsid w:val="00BD56F1"/>
    <w:rsid w:val="00BD6B09"/>
    <w:rsid w:val="00BD7F0A"/>
    <w:rsid w:val="00BE2AA1"/>
    <w:rsid w:val="00BE514A"/>
    <w:rsid w:val="00BE7B0A"/>
    <w:rsid w:val="00BF262B"/>
    <w:rsid w:val="00BF6C6E"/>
    <w:rsid w:val="00BF7849"/>
    <w:rsid w:val="00BF7D18"/>
    <w:rsid w:val="00C03810"/>
    <w:rsid w:val="00C10DB7"/>
    <w:rsid w:val="00C16C1E"/>
    <w:rsid w:val="00C22C60"/>
    <w:rsid w:val="00C2679D"/>
    <w:rsid w:val="00C32A31"/>
    <w:rsid w:val="00C45958"/>
    <w:rsid w:val="00C55445"/>
    <w:rsid w:val="00C55587"/>
    <w:rsid w:val="00C55CEF"/>
    <w:rsid w:val="00C703E1"/>
    <w:rsid w:val="00C75C9E"/>
    <w:rsid w:val="00C80F5D"/>
    <w:rsid w:val="00C9207B"/>
    <w:rsid w:val="00C92602"/>
    <w:rsid w:val="00CA3D45"/>
    <w:rsid w:val="00CA3F16"/>
    <w:rsid w:val="00CA48ED"/>
    <w:rsid w:val="00CB269D"/>
    <w:rsid w:val="00CB79E8"/>
    <w:rsid w:val="00CB7A9A"/>
    <w:rsid w:val="00CC02FD"/>
    <w:rsid w:val="00CC17F4"/>
    <w:rsid w:val="00CC56AA"/>
    <w:rsid w:val="00CC5B87"/>
    <w:rsid w:val="00CD10D8"/>
    <w:rsid w:val="00CE1EC0"/>
    <w:rsid w:val="00CE2359"/>
    <w:rsid w:val="00CE35CE"/>
    <w:rsid w:val="00CF1112"/>
    <w:rsid w:val="00CF1312"/>
    <w:rsid w:val="00CF18B2"/>
    <w:rsid w:val="00CF3E8C"/>
    <w:rsid w:val="00CF63BB"/>
    <w:rsid w:val="00D05C91"/>
    <w:rsid w:val="00D0646D"/>
    <w:rsid w:val="00D204EF"/>
    <w:rsid w:val="00D23A7A"/>
    <w:rsid w:val="00D23D12"/>
    <w:rsid w:val="00D26552"/>
    <w:rsid w:val="00D35420"/>
    <w:rsid w:val="00D3696C"/>
    <w:rsid w:val="00D40520"/>
    <w:rsid w:val="00D50D95"/>
    <w:rsid w:val="00D51844"/>
    <w:rsid w:val="00D546A4"/>
    <w:rsid w:val="00D5475F"/>
    <w:rsid w:val="00D558E2"/>
    <w:rsid w:val="00D56772"/>
    <w:rsid w:val="00D57741"/>
    <w:rsid w:val="00D64D2B"/>
    <w:rsid w:val="00D666EA"/>
    <w:rsid w:val="00D70CB3"/>
    <w:rsid w:val="00D849A5"/>
    <w:rsid w:val="00D87FD1"/>
    <w:rsid w:val="00D9485E"/>
    <w:rsid w:val="00D94CC8"/>
    <w:rsid w:val="00D956BA"/>
    <w:rsid w:val="00D95EAB"/>
    <w:rsid w:val="00D95FA8"/>
    <w:rsid w:val="00DA0309"/>
    <w:rsid w:val="00DA2FA8"/>
    <w:rsid w:val="00DA40F7"/>
    <w:rsid w:val="00DA7DD9"/>
    <w:rsid w:val="00DB04A9"/>
    <w:rsid w:val="00DB1FEF"/>
    <w:rsid w:val="00DB2529"/>
    <w:rsid w:val="00DC49A2"/>
    <w:rsid w:val="00DE282F"/>
    <w:rsid w:val="00E043B1"/>
    <w:rsid w:val="00E101F3"/>
    <w:rsid w:val="00E10351"/>
    <w:rsid w:val="00E1277D"/>
    <w:rsid w:val="00E12B9A"/>
    <w:rsid w:val="00E21E4F"/>
    <w:rsid w:val="00E268AB"/>
    <w:rsid w:val="00E331BA"/>
    <w:rsid w:val="00E335B9"/>
    <w:rsid w:val="00E41516"/>
    <w:rsid w:val="00E44CE6"/>
    <w:rsid w:val="00E538E7"/>
    <w:rsid w:val="00E5638B"/>
    <w:rsid w:val="00E7049C"/>
    <w:rsid w:val="00E75F5B"/>
    <w:rsid w:val="00E7647B"/>
    <w:rsid w:val="00E77905"/>
    <w:rsid w:val="00E8612B"/>
    <w:rsid w:val="00E904AE"/>
    <w:rsid w:val="00E94475"/>
    <w:rsid w:val="00E95C77"/>
    <w:rsid w:val="00E97312"/>
    <w:rsid w:val="00EA1598"/>
    <w:rsid w:val="00EA6F60"/>
    <w:rsid w:val="00EB7088"/>
    <w:rsid w:val="00EB7811"/>
    <w:rsid w:val="00EC006C"/>
    <w:rsid w:val="00EC58C2"/>
    <w:rsid w:val="00ED190A"/>
    <w:rsid w:val="00ED1A8B"/>
    <w:rsid w:val="00ED442A"/>
    <w:rsid w:val="00ED531D"/>
    <w:rsid w:val="00EE05EF"/>
    <w:rsid w:val="00EE1069"/>
    <w:rsid w:val="00EE3E22"/>
    <w:rsid w:val="00EE5468"/>
    <w:rsid w:val="00EF0B14"/>
    <w:rsid w:val="00EF65DC"/>
    <w:rsid w:val="00EF75D1"/>
    <w:rsid w:val="00F07A83"/>
    <w:rsid w:val="00F213AD"/>
    <w:rsid w:val="00F2593E"/>
    <w:rsid w:val="00F25E6E"/>
    <w:rsid w:val="00F35F31"/>
    <w:rsid w:val="00F36502"/>
    <w:rsid w:val="00F41EDB"/>
    <w:rsid w:val="00F433E2"/>
    <w:rsid w:val="00F46A6B"/>
    <w:rsid w:val="00F50448"/>
    <w:rsid w:val="00F5199D"/>
    <w:rsid w:val="00F51D3E"/>
    <w:rsid w:val="00F571D6"/>
    <w:rsid w:val="00F576E6"/>
    <w:rsid w:val="00F60588"/>
    <w:rsid w:val="00F65911"/>
    <w:rsid w:val="00F65F9D"/>
    <w:rsid w:val="00F7226E"/>
    <w:rsid w:val="00F72E6E"/>
    <w:rsid w:val="00F81F41"/>
    <w:rsid w:val="00F86E79"/>
    <w:rsid w:val="00F8729A"/>
    <w:rsid w:val="00F926AF"/>
    <w:rsid w:val="00F94708"/>
    <w:rsid w:val="00FA1D1C"/>
    <w:rsid w:val="00FA395B"/>
    <w:rsid w:val="00FA43C2"/>
    <w:rsid w:val="00FA5789"/>
    <w:rsid w:val="00FA789B"/>
    <w:rsid w:val="00FA78B7"/>
    <w:rsid w:val="00FB3ED7"/>
    <w:rsid w:val="00FB4157"/>
    <w:rsid w:val="00FB5BC9"/>
    <w:rsid w:val="00FC19B5"/>
    <w:rsid w:val="00FC37A8"/>
    <w:rsid w:val="00FD3D70"/>
    <w:rsid w:val="00FE1382"/>
    <w:rsid w:val="00FF39E4"/>
    <w:rsid w:val="00FF7179"/>
    <w:rsid w:val="313B2EFA"/>
    <w:rsid w:val="5D880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76B27"/>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nhideWhenUsed/>
    <w:rsid w:val="003D317D"/>
    <w:rPr>
      <w:sz w:val="16"/>
      <w:szCs w:val="16"/>
    </w:rPr>
  </w:style>
  <w:style w:type="paragraph" w:styleId="CommentText">
    <w:name w:val="annotation text"/>
    <w:basedOn w:val="Normal"/>
    <w:link w:val="CommentTextChar"/>
    <w:unhideWhenUsed/>
    <w:rsid w:val="003D317D"/>
    <w:rPr>
      <w:sz w:val="20"/>
      <w:szCs w:val="20"/>
    </w:rPr>
  </w:style>
  <w:style w:type="character" w:customStyle="1" w:styleId="CommentTextChar">
    <w:name w:val="Comment Text Char"/>
    <w:basedOn w:val="DefaultParagraphFont"/>
    <w:link w:val="CommentText"/>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styleId="Strong">
    <w:name w:val="Strong"/>
    <w:basedOn w:val="DefaultParagraphFont"/>
    <w:uiPriority w:val="22"/>
    <w:qFormat/>
    <w:rsid w:val="000C6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191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090853413">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94679555">
      <w:bodyDiv w:val="1"/>
      <w:marLeft w:val="0"/>
      <w:marRight w:val="0"/>
      <w:marTop w:val="0"/>
      <w:marBottom w:val="0"/>
      <w:divBdr>
        <w:top w:val="none" w:sz="0" w:space="0" w:color="auto"/>
        <w:left w:val="none" w:sz="0" w:space="0" w:color="auto"/>
        <w:bottom w:val="none" w:sz="0" w:space="0" w:color="auto"/>
        <w:right w:val="none" w:sz="0" w:space="0" w:color="auto"/>
      </w:divBdr>
    </w:div>
    <w:div w:id="1617591661">
      <w:bodyDiv w:val="1"/>
      <w:marLeft w:val="0"/>
      <w:marRight w:val="0"/>
      <w:marTop w:val="0"/>
      <w:marBottom w:val="0"/>
      <w:divBdr>
        <w:top w:val="none" w:sz="0" w:space="0" w:color="auto"/>
        <w:left w:val="none" w:sz="0" w:space="0" w:color="auto"/>
        <w:bottom w:val="none" w:sz="0" w:space="0" w:color="auto"/>
        <w:right w:val="none" w:sz="0" w:space="0" w:color="auto"/>
      </w:divBdr>
    </w:div>
    <w:div w:id="1719087552">
      <w:bodyDiv w:val="1"/>
      <w:marLeft w:val="0"/>
      <w:marRight w:val="0"/>
      <w:marTop w:val="0"/>
      <w:marBottom w:val="0"/>
      <w:divBdr>
        <w:top w:val="none" w:sz="0" w:space="0" w:color="auto"/>
        <w:left w:val="none" w:sz="0" w:space="0" w:color="auto"/>
        <w:bottom w:val="none" w:sz="0" w:space="0" w:color="auto"/>
        <w:right w:val="none" w:sz="0" w:space="0" w:color="auto"/>
      </w:divBdr>
    </w:div>
    <w:div w:id="1769425821">
      <w:bodyDiv w:val="1"/>
      <w:marLeft w:val="0"/>
      <w:marRight w:val="0"/>
      <w:marTop w:val="0"/>
      <w:marBottom w:val="0"/>
      <w:divBdr>
        <w:top w:val="none" w:sz="0" w:space="0" w:color="auto"/>
        <w:left w:val="none" w:sz="0" w:space="0" w:color="auto"/>
        <w:bottom w:val="none" w:sz="0" w:space="0" w:color="auto"/>
        <w:right w:val="none" w:sz="0" w:space="0" w:color="auto"/>
      </w:divBdr>
    </w:div>
    <w:div w:id="1861239891">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F1E5-28D5-4929-AF7E-632D290B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Links>
    <vt:vector size="12" baseType="variant">
      <vt:variant>
        <vt:i4>5046351</vt:i4>
      </vt:variant>
      <vt:variant>
        <vt:i4>3</vt:i4>
      </vt:variant>
      <vt:variant>
        <vt:i4>0</vt:i4>
      </vt:variant>
      <vt:variant>
        <vt:i4>5</vt:i4>
      </vt:variant>
      <vt:variant>
        <vt:lpwstr>http://oasis.caiso.com/mrioasis/logon.do</vt:lpwstr>
      </vt:variant>
      <vt:variant>
        <vt:lpwstr/>
      </vt:variant>
      <vt:variant>
        <vt:i4>3997717</vt:i4>
      </vt:variant>
      <vt:variant>
        <vt:i4>0</vt:i4>
      </vt:variant>
      <vt:variant>
        <vt:i4>0</vt:i4>
      </vt:variant>
      <vt:variant>
        <vt:i4>5</vt:i4>
      </vt:variant>
      <vt:variant>
        <vt:lpwstr>https://www.google.com/search?rlz=1C1CHBF_enUS771US771&amp;ei=CcLmXbriGOu7tgX_g5L4Aw&amp;q=carb+california+average+electricy+used&amp;oq=carb+california+average+electricy+used&amp;gs_l=psy-ab.3..33i10i299l3.72159.79149..79423...0.1..1.276.4429.10j27j1......0....1..gws-wiz.......0i71j0i273j0i67j0i131j0j0i333j0i22i30j33i160j33i299j33i22i29i30j33i10i160.kHS28PuemAg&amp;ved=0ahUKEwj6ipCypZrmAhXrna0KHf-BBD8Q4dUDCAs&amp;uact=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2020-01-03T20:42:00Z</dcterms:created>
  <dcterms:modified xsi:type="dcterms:W3CDTF">2020-01-03T20:48:00Z</dcterms:modified>
</cp:coreProperties>
</file>