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4DC9" w14:textId="6B79B482" w:rsidR="006C46C9" w:rsidRDefault="006C46C9" w:rsidP="00ED1A8B">
      <w:pPr>
        <w:pStyle w:val="Default"/>
        <w:rPr>
          <w:b/>
          <w:bCs/>
          <w:color w:val="auto"/>
        </w:rPr>
      </w:pPr>
    </w:p>
    <w:p w14:paraId="370EC5E1" w14:textId="4CCA1CE2" w:rsidR="00E970F6" w:rsidRDefault="00E970F6" w:rsidP="00ED1A8B">
      <w:pPr>
        <w:pStyle w:val="Default"/>
        <w:rPr>
          <w:b/>
          <w:bCs/>
          <w:color w:val="auto"/>
        </w:rPr>
      </w:pPr>
    </w:p>
    <w:p w14:paraId="4F958763" w14:textId="77777777" w:rsidR="00E970F6" w:rsidRDefault="00E970F6" w:rsidP="00E970F6">
      <w:pPr>
        <w:pStyle w:val="ListParagraph"/>
        <w:widowControl/>
        <w:numPr>
          <w:ilvl w:val="0"/>
          <w:numId w:val="2"/>
        </w:numPr>
        <w:spacing w:after="160" w:line="259" w:lineRule="auto"/>
        <w:contextualSpacing/>
      </w:pPr>
      <w:r>
        <w:t xml:space="preserve">Regarding the dynamic load profile data that was provided in response to UCAN Data Request Set 2, question 6: </w:t>
      </w:r>
    </w:p>
    <w:p w14:paraId="3677B915" w14:textId="77777777" w:rsidR="00E970F6" w:rsidRDefault="00E970F6" w:rsidP="00E970F6">
      <w:pPr>
        <w:pStyle w:val="ListParagraph"/>
        <w:widowControl/>
        <w:numPr>
          <w:ilvl w:val="1"/>
          <w:numId w:val="2"/>
        </w:numPr>
        <w:spacing w:after="160" w:line="259" w:lineRule="auto"/>
        <w:contextualSpacing/>
      </w:pPr>
      <w:r>
        <w:t>Is the hour column hour beginning or hour ending?</w:t>
      </w:r>
    </w:p>
    <w:p w14:paraId="2A0430F3" w14:textId="33169971" w:rsidR="00E970F6" w:rsidRDefault="00E970F6" w:rsidP="00E970F6">
      <w:pPr>
        <w:pStyle w:val="ListParagraph"/>
        <w:widowControl/>
        <w:numPr>
          <w:ilvl w:val="1"/>
          <w:numId w:val="2"/>
        </w:numPr>
        <w:spacing w:after="160" w:line="259" w:lineRule="auto"/>
        <w:contextualSpacing/>
      </w:pPr>
      <w:r>
        <w:t>Is the data presented in standard time, daylight savings time, or apparent time?</w:t>
      </w:r>
    </w:p>
    <w:p w14:paraId="7D254467" w14:textId="77777777" w:rsidR="00F16C7C" w:rsidRDefault="3BE24386" w:rsidP="7DB85A26">
      <w:pPr>
        <w:spacing w:after="160" w:line="259" w:lineRule="auto"/>
        <w:ind w:left="720"/>
        <w:rPr>
          <w:b/>
          <w:bCs/>
        </w:rPr>
      </w:pPr>
      <w:r w:rsidRPr="7DB85A26">
        <w:rPr>
          <w:b/>
          <w:bCs/>
        </w:rPr>
        <w:t xml:space="preserve">SDG&amp;E Response: </w:t>
      </w:r>
    </w:p>
    <w:p w14:paraId="2CBD0FDB" w14:textId="77777777" w:rsidR="00F16C7C" w:rsidRPr="00F16C7C" w:rsidRDefault="200EAA52" w:rsidP="7DB85A26">
      <w:pPr>
        <w:spacing w:after="160" w:line="259" w:lineRule="auto"/>
        <w:ind w:left="720"/>
        <w:rPr>
          <w:rFonts w:ascii="Calibri" w:eastAsia="Calibri" w:hAnsi="Calibri" w:cs="Calibri"/>
        </w:rPr>
      </w:pPr>
      <w:r w:rsidRPr="00F16C7C">
        <w:t>a</w:t>
      </w:r>
      <w:r w:rsidRPr="00F16C7C">
        <w:rPr>
          <w:rFonts w:ascii="Calibri" w:eastAsia="Calibri" w:hAnsi="Calibri" w:cs="Calibri"/>
        </w:rPr>
        <w:t xml:space="preserve">. The columns in dynamic load profiles are energy at hour ending. </w:t>
      </w:r>
    </w:p>
    <w:p w14:paraId="0467DB69" w14:textId="19BE1875" w:rsidR="3BE24386" w:rsidRPr="00F16C7C" w:rsidRDefault="200EAA52" w:rsidP="7DB85A26">
      <w:pPr>
        <w:spacing w:after="160" w:line="259" w:lineRule="auto"/>
        <w:ind w:left="720"/>
      </w:pPr>
      <w:r w:rsidRPr="00F16C7C">
        <w:rPr>
          <w:rFonts w:ascii="Calibri" w:eastAsia="Calibri" w:hAnsi="Calibri" w:cs="Calibri"/>
        </w:rPr>
        <w:t>b. The data is presented in Pacific Standard Time</w:t>
      </w:r>
      <w:r w:rsidR="008C20CE" w:rsidRPr="00F16C7C">
        <w:rPr>
          <w:rFonts w:ascii="Calibri" w:eastAsia="Calibri" w:hAnsi="Calibri" w:cs="Calibri"/>
        </w:rPr>
        <w:t>.</w:t>
      </w:r>
    </w:p>
    <w:p w14:paraId="64E2A498" w14:textId="77777777" w:rsidR="00E970F6" w:rsidRDefault="00E970F6" w:rsidP="00E970F6">
      <w:pPr>
        <w:pStyle w:val="ListParagraph"/>
        <w:widowControl/>
        <w:numPr>
          <w:ilvl w:val="0"/>
          <w:numId w:val="2"/>
        </w:numPr>
        <w:spacing w:after="160" w:line="259" w:lineRule="auto"/>
        <w:contextualSpacing/>
      </w:pPr>
      <w:r>
        <w:t>Regarding the behind-the-meter generation and consumption data provided in response to UCAN Data Request Set 2, question 14: total generation exported to the grid by behind-the-meter generation in the residential class was approximately 1,301 GWh in 2019 and total energy imported from the grid by the residential class that year was 6,526 GWh. Dividing those numbers means that behind-the-meter exports supplied 20% of residential grid-supplied energy in 2019. Is that correct? If not, please explain what the 20% fraction represents.</w:t>
      </w:r>
    </w:p>
    <w:p w14:paraId="1D810CC8" w14:textId="77777777" w:rsidR="00E970F6" w:rsidRDefault="00E970F6" w:rsidP="00E970F6">
      <w:pPr>
        <w:pStyle w:val="ListParagraph"/>
        <w:widowControl/>
        <w:spacing w:after="160" w:line="259" w:lineRule="auto"/>
        <w:ind w:left="720"/>
        <w:contextualSpacing/>
      </w:pPr>
    </w:p>
    <w:p w14:paraId="569396F5" w14:textId="22AC0525" w:rsidR="3BE24386" w:rsidRDefault="3BE24386" w:rsidP="7DB85A26">
      <w:pPr>
        <w:pStyle w:val="ListParagraph"/>
        <w:spacing w:after="160" w:line="259" w:lineRule="auto"/>
        <w:ind w:left="720"/>
        <w:rPr>
          <w:highlight w:val="yellow"/>
        </w:rPr>
      </w:pPr>
      <w:r w:rsidRPr="7DB85A26">
        <w:rPr>
          <w:b/>
          <w:bCs/>
        </w:rPr>
        <w:t xml:space="preserve">SDG&amp;E Response: </w:t>
      </w:r>
      <w:r w:rsidR="79CE868E" w:rsidRPr="00796A15">
        <w:rPr>
          <w:rFonts w:ascii="Calibri" w:eastAsia="Calibri" w:hAnsi="Calibri" w:cs="Calibri"/>
        </w:rPr>
        <w:t>The data provided in response to UCAN Data Request 2 question 14 has two components. 14a was the estimated rooftop solar generation, while 14b represents the hourly energy delivered to customers by the Utility. While some a portion of the rooftop generation is exported to the grid, and subsequently delivered to other customers, that ratio cannot be calculated using the sets of data provided in that response. The response to question 5 and 6 in this data request contains the amount of</w:t>
      </w:r>
      <w:r w:rsidR="00041810" w:rsidRPr="00796A15">
        <w:rPr>
          <w:rFonts w:ascii="Calibri" w:eastAsia="Calibri" w:hAnsi="Calibri" w:cs="Calibri"/>
        </w:rPr>
        <w:t xml:space="preserve"> </w:t>
      </w:r>
      <w:r w:rsidR="79CE868E" w:rsidRPr="00796A15">
        <w:rPr>
          <w:rFonts w:ascii="Calibri" w:eastAsia="Calibri" w:hAnsi="Calibri" w:cs="Calibri"/>
        </w:rPr>
        <w:t>excess generation exported to the grid by customers with rooftop solar, and can be used to calculate the ratio between generation and exports.</w:t>
      </w:r>
    </w:p>
    <w:p w14:paraId="4B69C9CA" w14:textId="77777777" w:rsidR="00E970F6" w:rsidRDefault="00E970F6" w:rsidP="00E970F6">
      <w:pPr>
        <w:widowControl/>
        <w:spacing w:after="160" w:line="259" w:lineRule="auto"/>
        <w:contextualSpacing/>
      </w:pPr>
    </w:p>
    <w:p w14:paraId="2C78E63C" w14:textId="77777777" w:rsidR="00E970F6" w:rsidRDefault="00E970F6" w:rsidP="00E970F6">
      <w:pPr>
        <w:pStyle w:val="ListParagraph"/>
        <w:widowControl/>
        <w:numPr>
          <w:ilvl w:val="0"/>
          <w:numId w:val="2"/>
        </w:numPr>
        <w:spacing w:after="160" w:line="259" w:lineRule="auto"/>
        <w:contextualSpacing/>
      </w:pPr>
      <w:r>
        <w:t>Regarding SDG&amp;E’s response to UCAN Data Request Set 2, question 5, on rate and sales forecast changes between GRCs:</w:t>
      </w:r>
    </w:p>
    <w:p w14:paraId="35254891" w14:textId="77777777" w:rsidR="00E970F6" w:rsidRDefault="00E970F6" w:rsidP="00E970F6">
      <w:pPr>
        <w:pStyle w:val="ListParagraph"/>
        <w:widowControl/>
        <w:numPr>
          <w:ilvl w:val="1"/>
          <w:numId w:val="2"/>
        </w:numPr>
        <w:spacing w:after="160" w:line="259" w:lineRule="auto"/>
        <w:contextualSpacing/>
      </w:pPr>
      <w:r>
        <w:t>Please explain SDG&amp;E’s rationale for updating its sales forecast in between GRCs without updating the revenue allocation factors to reflect changes to the sales forecast?</w:t>
      </w:r>
    </w:p>
    <w:p w14:paraId="725DA210" w14:textId="77777777" w:rsidR="00E970F6" w:rsidRDefault="00E970F6" w:rsidP="00E970F6">
      <w:pPr>
        <w:pStyle w:val="ListParagraph"/>
        <w:widowControl/>
        <w:numPr>
          <w:ilvl w:val="1"/>
          <w:numId w:val="2"/>
        </w:numPr>
        <w:spacing w:after="160" w:line="259" w:lineRule="auto"/>
        <w:contextualSpacing/>
      </w:pPr>
      <w:r>
        <w:t>Does SDG&amp;E intend to update its revenue allocation factors between this proceeding and its next GRC Phase 2 proceeding? Why or why not?</w:t>
      </w:r>
    </w:p>
    <w:p w14:paraId="0D1F3348" w14:textId="7AD428CC" w:rsidR="00E970F6" w:rsidRDefault="00E970F6" w:rsidP="00E970F6">
      <w:pPr>
        <w:pStyle w:val="ListParagraph"/>
        <w:widowControl/>
        <w:numPr>
          <w:ilvl w:val="1"/>
          <w:numId w:val="2"/>
        </w:numPr>
        <w:spacing w:after="160" w:line="259" w:lineRule="auto"/>
        <w:contextualSpacing/>
      </w:pPr>
      <w:r>
        <w:t>When the rates are updated for the consolidated rate filing, are the billing determinants used to estimate rates adjusted to reflect the current year’s sales forecast? Meaning a January 1, 2023 consolidated rate change would use a sales forecast for 2023? If not, what sales forecast is used?</w:t>
      </w:r>
    </w:p>
    <w:p w14:paraId="382E19A3" w14:textId="46565E7B" w:rsidR="00E970F6" w:rsidRDefault="00E970F6" w:rsidP="00E970F6">
      <w:pPr>
        <w:widowControl/>
        <w:spacing w:after="160" w:line="259" w:lineRule="auto"/>
        <w:contextualSpacing/>
      </w:pPr>
    </w:p>
    <w:p w14:paraId="39EDD625" w14:textId="3999C053" w:rsidR="00E970F6" w:rsidRPr="00E970F6" w:rsidRDefault="00E970F6" w:rsidP="00E970F6">
      <w:pPr>
        <w:widowControl/>
        <w:spacing w:after="160" w:line="259" w:lineRule="auto"/>
        <w:contextualSpacing/>
        <w:rPr>
          <w:b/>
          <w:bCs/>
        </w:rPr>
      </w:pPr>
      <w:r>
        <w:rPr>
          <w:b/>
          <w:bCs/>
        </w:rPr>
        <w:tab/>
      </w:r>
      <w:r w:rsidRPr="00E970F6">
        <w:rPr>
          <w:b/>
          <w:bCs/>
        </w:rPr>
        <w:t>SDG&amp;E Response:</w:t>
      </w:r>
    </w:p>
    <w:p w14:paraId="27E8C5D1" w14:textId="67A70553" w:rsidR="0941D13A" w:rsidRDefault="0941D13A" w:rsidP="0941D13A">
      <w:pPr>
        <w:ind w:left="360"/>
        <w:rPr>
          <w:rFonts w:ascii="Calibri" w:eastAsia="Calibri" w:hAnsi="Calibri" w:cs="Calibri"/>
          <w:i/>
          <w:iCs/>
          <w:color w:val="0000FF"/>
        </w:rPr>
      </w:pPr>
    </w:p>
    <w:p w14:paraId="3156DF72" w14:textId="1A0A4682" w:rsidR="00B171D0" w:rsidRDefault="00A01D4E" w:rsidP="00147B22">
      <w:pPr>
        <w:pStyle w:val="ListParagraph"/>
        <w:numPr>
          <w:ilvl w:val="0"/>
          <w:numId w:val="1"/>
        </w:numPr>
      </w:pPr>
      <w:r>
        <w:t>Decision (</w:t>
      </w:r>
      <w:r w:rsidR="238993CD" w:rsidRPr="00B171D0">
        <w:t>D.</w:t>
      </w:r>
      <w:r>
        <w:t xml:space="preserve">) </w:t>
      </w:r>
      <w:r w:rsidR="238993CD" w:rsidRPr="00B171D0">
        <w:t>17-08-030, which addressed SDG&amp;E’s 201</w:t>
      </w:r>
      <w:r w:rsidR="00EC0CED">
        <w:t>6</w:t>
      </w:r>
      <w:r w:rsidR="238993CD" w:rsidRPr="00B171D0">
        <w:t xml:space="preserve"> GRC Phase 2 application, approved SDG&amp;E’s 2016, 201</w:t>
      </w:r>
      <w:r w:rsidR="00893D69">
        <w:t>7</w:t>
      </w:r>
      <w:r w:rsidR="238993CD" w:rsidRPr="00B171D0">
        <w:t xml:space="preserve">, and 2018 electric sales forecasts. In D.17-08-030, the Commission also approved SDG&amp;E’s request for an extension of time to file its 2019 GRC Phase 2 application and to bifurcate the </w:t>
      </w:r>
      <w:r w:rsidR="238993CD" w:rsidRPr="00B171D0">
        <w:lastRenderedPageBreak/>
        <w:t>submittal of SDG&amp;E’s proposed 2019 electric sales forecast from all other aspects of its 2019 GRC Phase 2 application.</w:t>
      </w:r>
      <w:r w:rsidR="006A1C18" w:rsidRPr="00B171D0">
        <w:t xml:space="preserve"> </w:t>
      </w:r>
      <w:r w:rsidR="238993CD" w:rsidRPr="00B171D0">
        <w:t>As SDG&amp;E stated in its 201</w:t>
      </w:r>
      <w:r w:rsidR="00EC0CED">
        <w:t>6</w:t>
      </w:r>
      <w:r w:rsidR="238993CD" w:rsidRPr="00B171D0">
        <w:t xml:space="preserve"> GRC Phase 2 application, there is no mechanism for adjustments of sales forecasts in interim years between Phase 2 proceedings. </w:t>
      </w:r>
      <w:r w:rsidR="00B60274">
        <w:t xml:space="preserve">Because </w:t>
      </w:r>
      <w:r w:rsidR="00B60274" w:rsidRPr="00B171D0">
        <w:t xml:space="preserve">SDG&amp;E requested an extension to file its 2019 GRC Phase 2, SDG&amp;E filed Application (A.) 18-03-003, </w:t>
      </w:r>
      <w:r w:rsidR="00B60274">
        <w:t>“</w:t>
      </w:r>
      <w:r w:rsidR="00B60274" w:rsidRPr="00B171D0">
        <w:t>Application of SDG&amp;E for Approval of its 2019 Electric Sales Forecast</w:t>
      </w:r>
      <w:r w:rsidR="00B60274">
        <w:t>,”</w:t>
      </w:r>
      <w:r w:rsidR="00B60274" w:rsidRPr="00B171D0">
        <w:t xml:space="preserve"> to update its 2019 sales</w:t>
      </w:r>
      <w:r w:rsidR="00B60274">
        <w:t xml:space="preserve"> </w:t>
      </w:r>
      <w:r w:rsidR="00B60274" w:rsidRPr="00B171D0">
        <w:t>to be able to implement a more accurate sales forecast prior to the resolution of the 2019 Phase 2.</w:t>
      </w:r>
      <w:r w:rsidR="00DB27E3">
        <w:t xml:space="preserve"> </w:t>
      </w:r>
      <w:r w:rsidR="238993CD" w:rsidRPr="00B171D0">
        <w:t xml:space="preserve">If SDG&amp;E had not filed </w:t>
      </w:r>
      <w:r w:rsidR="00DB27E3">
        <w:t>A.18-03-003</w:t>
      </w:r>
      <w:r w:rsidR="238993CD" w:rsidRPr="00B171D0">
        <w:t>, the 2018 sales approved in D.17-08-030 would still be in effect</w:t>
      </w:r>
      <w:r w:rsidR="00CB4E47">
        <w:t xml:space="preserve"> </w:t>
      </w:r>
      <w:r w:rsidR="00F412A2">
        <w:t xml:space="preserve">until the implementation of a decision in this </w:t>
      </w:r>
      <w:r w:rsidR="007537A0">
        <w:t>proceeding</w:t>
      </w:r>
      <w:r w:rsidR="0045205B">
        <w:t>, and t</w:t>
      </w:r>
      <w:r w:rsidR="0045205B" w:rsidRPr="00B171D0">
        <w:t>he variance between actual and authorized sales creates greater volatility to customer rates and bills due to the impact of balancing accounts intended to capture these differences.</w:t>
      </w:r>
    </w:p>
    <w:p w14:paraId="2284A03F" w14:textId="77777777" w:rsidR="00B317E5" w:rsidRPr="00B171D0" w:rsidRDefault="00B317E5" w:rsidP="00B317E5">
      <w:pPr>
        <w:pStyle w:val="ListParagraph"/>
        <w:ind w:left="720"/>
      </w:pPr>
    </w:p>
    <w:p w14:paraId="2B82FEC9" w14:textId="6CC6E8F6" w:rsidR="238993CD" w:rsidRDefault="238993CD" w:rsidP="006A1C18">
      <w:pPr>
        <w:pStyle w:val="ListParagraph"/>
        <w:numPr>
          <w:ilvl w:val="0"/>
          <w:numId w:val="1"/>
        </w:numPr>
      </w:pPr>
      <w:r w:rsidRPr="00B171D0">
        <w:t xml:space="preserve">SDG&amp;E had no plans to update revenue allocation factors outside of a GRC Phase 2 proceeding at this time. </w:t>
      </w:r>
    </w:p>
    <w:p w14:paraId="25E40953" w14:textId="77777777" w:rsidR="00B171D0" w:rsidRPr="00B171D0" w:rsidRDefault="00B171D0" w:rsidP="00B171D0">
      <w:pPr>
        <w:pStyle w:val="ListParagraph"/>
        <w:ind w:left="720"/>
      </w:pPr>
    </w:p>
    <w:p w14:paraId="3153FB3B" w14:textId="0C3ED68B" w:rsidR="0941D13A" w:rsidRDefault="006A1C18" w:rsidP="005E3459">
      <w:pPr>
        <w:pStyle w:val="ListParagraph"/>
        <w:numPr>
          <w:ilvl w:val="0"/>
          <w:numId w:val="1"/>
        </w:numPr>
        <w:spacing w:after="160" w:line="259" w:lineRule="auto"/>
      </w:pPr>
      <w:r w:rsidRPr="00B171D0">
        <w:t xml:space="preserve">When rates are updated for the consolidated rate filing annually on January 1, the sales forecast used is the most recently adopted sales forecast. If a decision had adopted a 2023 sales forecast, then the adopted 2023 sales forecast would be implemented on January 1, 2023. However, if there is no updated adopted sales forecast, no update </w:t>
      </w:r>
      <w:r w:rsidR="00F852DD">
        <w:t xml:space="preserve">will be made </w:t>
      </w:r>
      <w:r w:rsidR="001B524B" w:rsidRPr="00B171D0">
        <w:t>to the sales forecast in the consolidated rate filing</w:t>
      </w:r>
      <w:r w:rsidR="00F852DD">
        <w:t>.</w:t>
      </w:r>
    </w:p>
    <w:p w14:paraId="00FF0131" w14:textId="678DDDB0" w:rsidR="00E970F6" w:rsidRDefault="00E970F6" w:rsidP="00E970F6">
      <w:pPr>
        <w:pStyle w:val="ListParagraph"/>
        <w:widowControl/>
        <w:numPr>
          <w:ilvl w:val="0"/>
          <w:numId w:val="2"/>
        </w:numPr>
        <w:spacing w:after="160" w:line="259" w:lineRule="auto"/>
        <w:contextualSpacing/>
      </w:pPr>
      <w:r>
        <w:t>Regarding SDG&amp;E’s response to UCAN Data Request Set 2, questions 11 and 12: why didn’t SDG&amp;E update the allocation factors to be consistent with the sales forecast from D.18-11-035 when implementing the current PPP component rates referenced in the data request?</w:t>
      </w:r>
    </w:p>
    <w:p w14:paraId="7C1D6423" w14:textId="77777777" w:rsidR="00E970F6" w:rsidRDefault="00E970F6" w:rsidP="00E970F6">
      <w:pPr>
        <w:pStyle w:val="ListParagraph"/>
        <w:widowControl/>
        <w:spacing w:after="160" w:line="259" w:lineRule="auto"/>
        <w:ind w:left="720"/>
        <w:contextualSpacing/>
        <w:rPr>
          <w:b/>
          <w:bCs/>
        </w:rPr>
      </w:pPr>
    </w:p>
    <w:p w14:paraId="487EA9BD" w14:textId="7ADC47D9" w:rsidR="00E970F6" w:rsidRDefault="00E970F6" w:rsidP="004011F9">
      <w:pPr>
        <w:pStyle w:val="ListParagraph"/>
        <w:widowControl/>
        <w:spacing w:after="160" w:line="259" w:lineRule="auto"/>
        <w:ind w:left="720"/>
        <w:contextualSpacing/>
        <w:rPr>
          <w:rFonts w:ascii="Calibri" w:eastAsia="Calibri" w:hAnsi="Calibri" w:cs="Calibri"/>
        </w:rPr>
      </w:pPr>
      <w:r w:rsidRPr="00E970F6">
        <w:rPr>
          <w:b/>
          <w:bCs/>
        </w:rPr>
        <w:t xml:space="preserve">SDG&amp;E Response: </w:t>
      </w:r>
      <w:r w:rsidR="002716DF" w:rsidRPr="003902F8">
        <w:rPr>
          <w:rFonts w:ascii="Calibri" w:eastAsia="Calibri" w:hAnsi="Calibri" w:cs="Calibri"/>
        </w:rPr>
        <w:t xml:space="preserve">SDG&amp;E updates its allocation factors in its GRC Phase 2 applications, there is no mechanism for adjustments of the allocation factors in interim years between Phase 2 proceedings. </w:t>
      </w:r>
    </w:p>
    <w:p w14:paraId="6FBD4372" w14:textId="77777777" w:rsidR="004011F9" w:rsidRPr="004011F9" w:rsidRDefault="004011F9" w:rsidP="004011F9">
      <w:pPr>
        <w:pStyle w:val="ListParagraph"/>
        <w:widowControl/>
        <w:spacing w:after="160" w:line="259" w:lineRule="auto"/>
        <w:ind w:left="720"/>
        <w:contextualSpacing/>
        <w:rPr>
          <w:b/>
          <w:bCs/>
        </w:rPr>
      </w:pPr>
    </w:p>
    <w:p w14:paraId="51DD5279" w14:textId="0E979FF5" w:rsidR="00E970F6" w:rsidRDefault="00E970F6" w:rsidP="00E970F6">
      <w:pPr>
        <w:pStyle w:val="ListParagraph"/>
        <w:widowControl/>
        <w:numPr>
          <w:ilvl w:val="0"/>
          <w:numId w:val="2"/>
        </w:numPr>
        <w:spacing w:after="160" w:line="259" w:lineRule="auto"/>
        <w:contextualSpacing/>
      </w:pPr>
      <w:r>
        <w:t>Regarding SDG&amp;E’s response to UCAN Data Request Set 2, question 10: Please explain why SDG&amp;E’s proposal to keep revenue allocation fractions from the prior GRC Phase II proceeding, fractions that are based on an outdated sales forecast of prior years, is a better way to “balance the Commission’s adopted RDPs” and decrease rate shock than just giving all rate classes the same average rate increase?</w:t>
      </w:r>
    </w:p>
    <w:p w14:paraId="4F9D9C3C" w14:textId="77777777" w:rsidR="00E970F6" w:rsidRDefault="00E970F6" w:rsidP="00E970F6">
      <w:pPr>
        <w:pStyle w:val="ListParagraph"/>
        <w:widowControl/>
        <w:spacing w:after="160" w:line="259" w:lineRule="auto"/>
        <w:ind w:left="720"/>
        <w:contextualSpacing/>
        <w:rPr>
          <w:b/>
          <w:bCs/>
        </w:rPr>
      </w:pPr>
    </w:p>
    <w:p w14:paraId="6AF20875" w14:textId="35940888" w:rsidR="00E970F6" w:rsidRPr="00E970F6" w:rsidRDefault="3BE24386" w:rsidP="00F16C7C">
      <w:pPr>
        <w:pStyle w:val="ListParagraph"/>
        <w:widowControl/>
        <w:spacing w:after="160" w:line="259" w:lineRule="auto"/>
        <w:ind w:left="720"/>
        <w:contextualSpacing/>
        <w:rPr>
          <w:b/>
          <w:bCs/>
        </w:rPr>
      </w:pPr>
      <w:r w:rsidRPr="7DB85A26">
        <w:rPr>
          <w:b/>
          <w:bCs/>
        </w:rPr>
        <w:t xml:space="preserve">SDG&amp;E Response: </w:t>
      </w:r>
      <w:r w:rsidR="668AAECA" w:rsidRPr="7DB85A26">
        <w:rPr>
          <w:rFonts w:ascii="Calibri" w:eastAsia="Calibri" w:hAnsi="Calibri" w:cs="Calibri"/>
        </w:rPr>
        <w:t>As indicated in SDG&amp;E’s response to UCAN Data Request Set 2, question 10, the revenue allocations for the Distribution, Commodity, Competition Transition Charge (“CTC”), and Local Generation Charge (“LGC”) rate components are based on current effective revenue allocations, which were adopted in the Revenue Allocation Settlement of SDG&amp;E’s 2016 GRC Phase Decision D.17-08-030. SDG&amp;E believes that maintaining the current revenue allocations (except as to accommodate the new Schools Customer Class) is the best way to balance the Commission’s adopted R</w:t>
      </w:r>
      <w:r w:rsidR="00E66CA9">
        <w:rPr>
          <w:rFonts w:ascii="Calibri" w:eastAsia="Calibri" w:hAnsi="Calibri" w:cs="Calibri"/>
        </w:rPr>
        <w:t>ate Design Principals</w:t>
      </w:r>
      <w:r w:rsidR="668AAECA" w:rsidRPr="7DB85A26">
        <w:rPr>
          <w:rFonts w:ascii="Calibri" w:eastAsia="Calibri" w:hAnsi="Calibri" w:cs="Calibri"/>
        </w:rPr>
        <w:t xml:space="preserve"> of customer understanding and rate stability in this Application. </w:t>
      </w:r>
    </w:p>
    <w:p w14:paraId="69E03C9D" w14:textId="77777777" w:rsidR="00E970F6" w:rsidRDefault="00E970F6" w:rsidP="00E970F6">
      <w:pPr>
        <w:widowControl/>
        <w:spacing w:after="160" w:line="259" w:lineRule="auto"/>
        <w:contextualSpacing/>
      </w:pPr>
    </w:p>
    <w:p w14:paraId="32B1C31A" w14:textId="0B14B8A8" w:rsidR="00E970F6" w:rsidRDefault="00E970F6" w:rsidP="00E970F6">
      <w:pPr>
        <w:pStyle w:val="ListParagraph"/>
        <w:widowControl/>
        <w:numPr>
          <w:ilvl w:val="0"/>
          <w:numId w:val="2"/>
        </w:numPr>
        <w:spacing w:after="160" w:line="259" w:lineRule="auto"/>
        <w:contextualSpacing/>
      </w:pPr>
      <w:r>
        <w:lastRenderedPageBreak/>
        <w:t>Similar to the data provided in response to CalPA data request #21, p</w:t>
      </w:r>
      <w:r w:rsidRPr="00F14478">
        <w:t>lease provide annual hourly DG export data (channel 2 meter readings) for each rate class for year 201</w:t>
      </w:r>
      <w:r>
        <w:t>8 and 2019 (if available)</w:t>
      </w:r>
      <w:r w:rsidRPr="00F14478">
        <w:t>, including the new schools class</w:t>
      </w:r>
      <w:r>
        <w:t>. Please provide the data in Microsoft Excel format.</w:t>
      </w:r>
    </w:p>
    <w:p w14:paraId="4194F75A" w14:textId="77777777" w:rsidR="008F559C" w:rsidRDefault="008F559C" w:rsidP="008F559C">
      <w:pPr>
        <w:pStyle w:val="ListParagraph"/>
        <w:widowControl/>
        <w:spacing w:after="160" w:line="259" w:lineRule="auto"/>
        <w:ind w:left="720"/>
        <w:contextualSpacing/>
        <w:rPr>
          <w:b/>
          <w:bCs/>
        </w:rPr>
      </w:pPr>
    </w:p>
    <w:p w14:paraId="5C1D5565" w14:textId="1FB28BBC" w:rsidR="7DB85A26" w:rsidRDefault="2B0639F4" w:rsidP="7DB85A26">
      <w:pPr>
        <w:pStyle w:val="ListParagraph"/>
        <w:spacing w:after="160" w:line="259" w:lineRule="auto"/>
        <w:ind w:left="720"/>
      </w:pPr>
      <w:r w:rsidRPr="7DB85A26">
        <w:rPr>
          <w:b/>
          <w:bCs/>
        </w:rPr>
        <w:t xml:space="preserve">SDG&amp;E Response: </w:t>
      </w:r>
      <w:r w:rsidR="5B346225" w:rsidRPr="7DB85A26">
        <w:t xml:space="preserve">See </w:t>
      </w:r>
      <w:r w:rsidR="008572FA">
        <w:t xml:space="preserve">embedded Excel </w:t>
      </w:r>
      <w:r w:rsidR="5B346225" w:rsidRPr="7DB85A26">
        <w:t>file labeled UCAN_DR_03_SDG&amp;E Responses Q6 and Q7</w:t>
      </w:r>
      <w:r w:rsidR="00EC3341">
        <w:t>.</w:t>
      </w:r>
    </w:p>
    <w:p w14:paraId="09BF8F59" w14:textId="37CBB6B0" w:rsidR="000D1AD9" w:rsidRDefault="00680172" w:rsidP="7DB85A26">
      <w:pPr>
        <w:pStyle w:val="ListParagraph"/>
        <w:spacing w:after="160" w:line="259" w:lineRule="auto"/>
        <w:ind w:left="720"/>
      </w:pPr>
      <w:r>
        <w:object w:dxaOrig="1538" w:dyaOrig="994" w14:anchorId="1A7E3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8" o:title=""/>
          </v:shape>
          <o:OLEObject Type="Embed" ProgID="Excel.Sheet.8" ShapeID="_x0000_i1025" DrawAspect="Icon" ObjectID="_1644159690" r:id="rId9"/>
        </w:object>
      </w:r>
    </w:p>
    <w:p w14:paraId="689684E6" w14:textId="0AE21FA0" w:rsidR="00E970F6" w:rsidRDefault="00E970F6" w:rsidP="00E970F6">
      <w:pPr>
        <w:pStyle w:val="ListParagraph"/>
        <w:widowControl/>
        <w:numPr>
          <w:ilvl w:val="0"/>
          <w:numId w:val="2"/>
        </w:numPr>
        <w:spacing w:after="160" w:line="259" w:lineRule="auto"/>
        <w:contextualSpacing/>
      </w:pPr>
      <w:r>
        <w:t>Similar to the data provided in response to CalPA data request #21, p</w:t>
      </w:r>
      <w:r w:rsidRPr="00F14478">
        <w:t xml:space="preserve">lease provide annual hourly DG export data (channel 2 meter readings) for each rate class for year </w:t>
      </w:r>
      <w:r>
        <w:t xml:space="preserve">2017, </w:t>
      </w:r>
      <w:r w:rsidRPr="00F14478">
        <w:t>201</w:t>
      </w:r>
      <w:r>
        <w:t>8 and 2019 (if available)</w:t>
      </w:r>
      <w:r w:rsidRPr="00F14478">
        <w:t xml:space="preserve">, </w:t>
      </w:r>
      <w:r>
        <w:t>but without putting schools into their own rate class. Please provide the data in Microsoft Excel format.</w:t>
      </w:r>
    </w:p>
    <w:p w14:paraId="505FC9AD" w14:textId="77777777" w:rsidR="008F559C" w:rsidRDefault="008F559C" w:rsidP="008F559C">
      <w:pPr>
        <w:pStyle w:val="ListParagraph"/>
        <w:widowControl/>
        <w:spacing w:after="160" w:line="259" w:lineRule="auto"/>
        <w:ind w:left="720"/>
        <w:contextualSpacing/>
        <w:rPr>
          <w:b/>
          <w:bCs/>
        </w:rPr>
      </w:pPr>
    </w:p>
    <w:p w14:paraId="1FE3EE21" w14:textId="7E40723A" w:rsidR="008F559C" w:rsidRDefault="2B0639F4" w:rsidP="00362335">
      <w:pPr>
        <w:pStyle w:val="ListParagraph"/>
        <w:spacing w:after="160" w:line="259" w:lineRule="auto"/>
        <w:ind w:left="720"/>
      </w:pPr>
      <w:r w:rsidRPr="7DB85A26">
        <w:rPr>
          <w:b/>
          <w:bCs/>
        </w:rPr>
        <w:t xml:space="preserve">SDG&amp;E Response: </w:t>
      </w:r>
      <w:r w:rsidR="46E82C3B" w:rsidRPr="7DB85A26">
        <w:t xml:space="preserve">See </w:t>
      </w:r>
      <w:r w:rsidR="008572FA">
        <w:t xml:space="preserve">the embedded </w:t>
      </w:r>
      <w:r w:rsidR="46E82C3B" w:rsidRPr="7DB85A26">
        <w:t xml:space="preserve">file </w:t>
      </w:r>
      <w:r w:rsidR="00E842DD">
        <w:t xml:space="preserve">in Q6 </w:t>
      </w:r>
      <w:r w:rsidR="46E82C3B" w:rsidRPr="7DB85A26">
        <w:t>labeled UCAN_DR_03_SDG&amp;E Responses Q6 and Q7</w:t>
      </w:r>
      <w:r w:rsidR="00EC3341">
        <w:t>.</w:t>
      </w:r>
    </w:p>
    <w:p w14:paraId="71755E31" w14:textId="05C8E0AC" w:rsidR="00E970F6" w:rsidRDefault="00E970F6" w:rsidP="00E970F6">
      <w:pPr>
        <w:pStyle w:val="ListParagraph"/>
        <w:widowControl/>
        <w:numPr>
          <w:ilvl w:val="0"/>
          <w:numId w:val="2"/>
        </w:numPr>
        <w:spacing w:after="160" w:line="259" w:lineRule="auto"/>
        <w:contextualSpacing/>
      </w:pPr>
      <w:r>
        <w:t>Has SDG&amp;E studied how exports of behind-the-meter generation to the grid by net-energy metered customers impact revenue allocation and/or rate class average rates? If so, when was the most recent study? Please provide a copy of the results of the study or a link to where those results can be found. If not, why not, and does SDG&amp;E plan to do such a study in its next GRC Phase II Application?</w:t>
      </w:r>
    </w:p>
    <w:p w14:paraId="617BBFAC" w14:textId="77777777" w:rsidR="008F559C" w:rsidRDefault="008F559C" w:rsidP="008F559C">
      <w:pPr>
        <w:pStyle w:val="ListParagraph"/>
        <w:widowControl/>
        <w:spacing w:after="160" w:line="259" w:lineRule="auto"/>
        <w:ind w:left="720"/>
        <w:contextualSpacing/>
        <w:rPr>
          <w:b/>
          <w:bCs/>
        </w:rPr>
      </w:pPr>
    </w:p>
    <w:p w14:paraId="6B695563" w14:textId="217CBECB" w:rsidR="008F559C" w:rsidRPr="00714DF0" w:rsidRDefault="008F559C" w:rsidP="008F559C">
      <w:pPr>
        <w:pStyle w:val="ListParagraph"/>
        <w:widowControl/>
        <w:spacing w:after="160" w:line="259" w:lineRule="auto"/>
        <w:ind w:left="720"/>
        <w:contextualSpacing/>
      </w:pPr>
      <w:r w:rsidRPr="008F559C">
        <w:rPr>
          <w:b/>
          <w:bCs/>
        </w:rPr>
        <w:t>SDG&amp;E Response:</w:t>
      </w:r>
    </w:p>
    <w:p w14:paraId="065FCC67" w14:textId="6C43B587" w:rsidR="008F559C" w:rsidRPr="00B171D0" w:rsidRDefault="00B539D3" w:rsidP="00B539D3">
      <w:pPr>
        <w:widowControl/>
        <w:spacing w:after="160" w:line="259" w:lineRule="auto"/>
        <w:ind w:left="720"/>
        <w:contextualSpacing/>
      </w:pPr>
      <w:r w:rsidRPr="00B171D0">
        <w:t>To date, SDG&amp;E has not studied how exports of behind-the-meter generation to the grid by NEM customers impact</w:t>
      </w:r>
      <w:r w:rsidR="00875EE4">
        <w:t>s</w:t>
      </w:r>
      <w:r w:rsidRPr="00B171D0">
        <w:t xml:space="preserve"> revenue allocation and/or class average rates. </w:t>
      </w:r>
      <w:r w:rsidR="00184913" w:rsidRPr="00B171D0">
        <w:t>SDG&amp;E is considering whether to undertake a study of this nature in its next GRC Phase 2 application.</w:t>
      </w:r>
    </w:p>
    <w:p w14:paraId="2546DF2F" w14:textId="77777777" w:rsidR="00B539D3" w:rsidRDefault="00B539D3" w:rsidP="008F559C">
      <w:pPr>
        <w:widowControl/>
        <w:spacing w:after="160" w:line="259" w:lineRule="auto"/>
        <w:contextualSpacing/>
      </w:pPr>
    </w:p>
    <w:p w14:paraId="3EAB7A8F" w14:textId="637524D1" w:rsidR="00E970F6" w:rsidRDefault="00E970F6" w:rsidP="00E970F6">
      <w:pPr>
        <w:pStyle w:val="ListParagraph"/>
        <w:widowControl/>
        <w:numPr>
          <w:ilvl w:val="0"/>
          <w:numId w:val="2"/>
        </w:numPr>
        <w:spacing w:after="160" w:line="259" w:lineRule="auto"/>
        <w:contextualSpacing/>
      </w:pPr>
      <w:r>
        <w:t>SDG&amp;E’s responses to UCAN Data Request Set 2, questions 32 and 33 state that both substation and circuit peak loads are based on the maximum demand of substations. How do the circuit peak loads and substation peak loads vary if they are both based on the maximum annual demand of substations?</w:t>
      </w:r>
    </w:p>
    <w:p w14:paraId="665EA815" w14:textId="77777777" w:rsidR="008F559C" w:rsidRDefault="008F559C" w:rsidP="008F559C">
      <w:pPr>
        <w:pStyle w:val="ListParagraph"/>
        <w:widowControl/>
        <w:spacing w:after="160" w:line="259" w:lineRule="auto"/>
        <w:ind w:left="720"/>
        <w:contextualSpacing/>
        <w:rPr>
          <w:b/>
          <w:bCs/>
        </w:rPr>
      </w:pPr>
    </w:p>
    <w:p w14:paraId="26BB510C" w14:textId="0F55C5B3" w:rsidR="008F559C" w:rsidRDefault="008F559C" w:rsidP="008F559C">
      <w:pPr>
        <w:pStyle w:val="ListParagraph"/>
        <w:widowControl/>
        <w:spacing w:after="160" w:line="259" w:lineRule="auto"/>
        <w:ind w:left="720"/>
        <w:contextualSpacing/>
        <w:rPr>
          <w:b/>
          <w:bCs/>
        </w:rPr>
      </w:pPr>
      <w:r w:rsidRPr="008F559C">
        <w:rPr>
          <w:b/>
          <w:bCs/>
        </w:rPr>
        <w:t>SDG&amp;E Response:</w:t>
      </w:r>
    </w:p>
    <w:p w14:paraId="688E146E" w14:textId="2DB2A6D7" w:rsidR="004F58BD" w:rsidRDefault="004F58BD" w:rsidP="008F559C">
      <w:pPr>
        <w:pStyle w:val="ListParagraph"/>
        <w:widowControl/>
        <w:spacing w:after="160" w:line="259" w:lineRule="auto"/>
        <w:ind w:left="720"/>
        <w:contextualSpacing/>
        <w:rPr>
          <w:b/>
          <w:bCs/>
        </w:rPr>
      </w:pPr>
    </w:p>
    <w:p w14:paraId="26B27FE6" w14:textId="54A40A8F" w:rsidR="00E77318" w:rsidRPr="003F7247" w:rsidRDefault="00E77318" w:rsidP="00E77318">
      <w:pPr>
        <w:pStyle w:val="ListParagraph"/>
        <w:widowControl/>
        <w:spacing w:after="160" w:line="259" w:lineRule="auto"/>
        <w:ind w:left="720"/>
        <w:contextualSpacing/>
        <w:rPr>
          <w:bCs/>
        </w:rPr>
      </w:pPr>
      <w:r>
        <w:rPr>
          <w:bCs/>
        </w:rPr>
        <w:t xml:space="preserve">The response to Question 33 of UCAN DR-02 </w:t>
      </w:r>
      <w:r w:rsidR="00875EE4">
        <w:rPr>
          <w:bCs/>
        </w:rPr>
        <w:t>should</w:t>
      </w:r>
      <w:r>
        <w:rPr>
          <w:bCs/>
        </w:rPr>
        <w:t xml:space="preserve"> state that </w:t>
      </w:r>
      <w:r w:rsidRPr="003F7247">
        <w:rPr>
          <w:rFonts w:cstheme="minorHAnsi"/>
          <w:bCs/>
        </w:rPr>
        <w:t>“</w:t>
      </w:r>
      <w:r w:rsidRPr="003F7247">
        <w:rPr>
          <w:rFonts w:cstheme="minorHAnsi"/>
        </w:rPr>
        <w:t xml:space="preserve">The circuit peak loads used in the regression analysis are based on </w:t>
      </w:r>
      <w:r w:rsidR="00BC7D3D">
        <w:rPr>
          <w:rFonts w:cstheme="minorHAnsi"/>
        </w:rPr>
        <w:t xml:space="preserve">the </w:t>
      </w:r>
      <w:r w:rsidRPr="003F7247">
        <w:rPr>
          <w:rFonts w:cstheme="minorHAnsi"/>
        </w:rPr>
        <w:t xml:space="preserve">sum of the annual maximum demand of </w:t>
      </w:r>
      <w:r>
        <w:rPr>
          <w:rFonts w:cstheme="minorHAnsi"/>
        </w:rPr>
        <w:t>circuits</w:t>
      </w:r>
      <w:r w:rsidRPr="003F7247">
        <w:rPr>
          <w:rFonts w:cstheme="minorHAnsi"/>
        </w:rPr>
        <w:t>.</w:t>
      </w:r>
      <w:r>
        <w:rPr>
          <w:bCs/>
        </w:rPr>
        <w:t>”</w:t>
      </w:r>
      <w:r w:rsidRPr="003F7247">
        <w:rPr>
          <w:bCs/>
        </w:rPr>
        <w:t xml:space="preserve">  </w:t>
      </w:r>
    </w:p>
    <w:p w14:paraId="20123F05" w14:textId="77777777" w:rsidR="008F559C" w:rsidRDefault="008F559C" w:rsidP="008F559C">
      <w:pPr>
        <w:widowControl/>
        <w:spacing w:after="160" w:line="259" w:lineRule="auto"/>
        <w:contextualSpacing/>
      </w:pPr>
    </w:p>
    <w:p w14:paraId="5389840F" w14:textId="77777777" w:rsidR="00E970F6" w:rsidRDefault="00E970F6" w:rsidP="00E970F6">
      <w:pPr>
        <w:pStyle w:val="ListParagraph"/>
        <w:widowControl/>
        <w:numPr>
          <w:ilvl w:val="0"/>
          <w:numId w:val="2"/>
        </w:numPr>
        <w:spacing w:after="160" w:line="259" w:lineRule="auto"/>
        <w:contextualSpacing/>
      </w:pPr>
      <w:r>
        <w:t>Regarding SDG&amp;E’s response to UCAN Data Request Set 2, question 40: based on this response, “number of runs” does not refer to the number of meters connected to each service drop.</w:t>
      </w:r>
    </w:p>
    <w:p w14:paraId="5D9C118F" w14:textId="77777777" w:rsidR="00E970F6" w:rsidRDefault="00E970F6" w:rsidP="00E970F6">
      <w:pPr>
        <w:pStyle w:val="ListParagraph"/>
        <w:widowControl/>
        <w:numPr>
          <w:ilvl w:val="1"/>
          <w:numId w:val="2"/>
        </w:numPr>
        <w:spacing w:after="160" w:line="259" w:lineRule="auto"/>
        <w:contextualSpacing/>
      </w:pPr>
      <w:r>
        <w:t xml:space="preserve">Does SDG&amp;E account for the number of meters connected to each service drop in estimating marginal TSM costs? </w:t>
      </w:r>
    </w:p>
    <w:p w14:paraId="475A7A2F" w14:textId="77777777" w:rsidR="00E970F6" w:rsidRDefault="00E970F6" w:rsidP="00E970F6">
      <w:pPr>
        <w:pStyle w:val="ListParagraph"/>
        <w:widowControl/>
        <w:numPr>
          <w:ilvl w:val="1"/>
          <w:numId w:val="2"/>
        </w:numPr>
        <w:spacing w:after="160" w:line="259" w:lineRule="auto"/>
        <w:contextualSpacing/>
      </w:pPr>
      <w:r>
        <w:lastRenderedPageBreak/>
        <w:t>If so, please explain how the number of meters per service drop is accounted for and provide the estimated number of meters per service drop for each rate class.</w:t>
      </w:r>
    </w:p>
    <w:p w14:paraId="750E31BE" w14:textId="58631507" w:rsidR="00E970F6" w:rsidRDefault="00E970F6" w:rsidP="00E970F6">
      <w:pPr>
        <w:pStyle w:val="ListParagraph"/>
        <w:widowControl/>
        <w:numPr>
          <w:ilvl w:val="1"/>
          <w:numId w:val="2"/>
        </w:numPr>
        <w:spacing w:after="160" w:line="259" w:lineRule="auto"/>
        <w:contextualSpacing/>
      </w:pPr>
      <w:r>
        <w:t>If not, why not?</w:t>
      </w:r>
    </w:p>
    <w:p w14:paraId="2BE33BFA" w14:textId="77777777" w:rsidR="008F559C" w:rsidRDefault="008F559C" w:rsidP="008F559C">
      <w:pPr>
        <w:pStyle w:val="ListParagraph"/>
        <w:widowControl/>
        <w:spacing w:after="160" w:line="259" w:lineRule="auto"/>
        <w:ind w:left="720"/>
        <w:contextualSpacing/>
        <w:rPr>
          <w:b/>
          <w:bCs/>
        </w:rPr>
      </w:pPr>
    </w:p>
    <w:p w14:paraId="3CB4C412" w14:textId="307B3FC3" w:rsidR="008F559C" w:rsidRDefault="008F559C" w:rsidP="008F559C">
      <w:pPr>
        <w:pStyle w:val="ListParagraph"/>
        <w:widowControl/>
        <w:spacing w:after="160" w:line="259" w:lineRule="auto"/>
        <w:ind w:left="720"/>
        <w:contextualSpacing/>
        <w:rPr>
          <w:b/>
          <w:bCs/>
        </w:rPr>
      </w:pPr>
      <w:r w:rsidRPr="008F559C">
        <w:rPr>
          <w:b/>
          <w:bCs/>
        </w:rPr>
        <w:t>SDG&amp;E Response:</w:t>
      </w:r>
    </w:p>
    <w:p w14:paraId="49E7DF4A" w14:textId="77777777" w:rsidR="008F490D" w:rsidRPr="00905C61" w:rsidRDefault="008F490D" w:rsidP="008F490D">
      <w:pPr>
        <w:pStyle w:val="ListParagraph"/>
        <w:widowControl/>
        <w:spacing w:after="160" w:line="259" w:lineRule="auto"/>
        <w:contextualSpacing/>
        <w:rPr>
          <w:bCs/>
        </w:rPr>
      </w:pPr>
    </w:p>
    <w:p w14:paraId="5F6DEB19" w14:textId="77777777" w:rsidR="008F490D" w:rsidRDefault="008F490D" w:rsidP="008F490D">
      <w:pPr>
        <w:pStyle w:val="ListParagraph"/>
        <w:widowControl/>
        <w:numPr>
          <w:ilvl w:val="0"/>
          <w:numId w:val="28"/>
        </w:numPr>
        <w:spacing w:after="160" w:line="259" w:lineRule="auto"/>
        <w:ind w:left="1080"/>
        <w:contextualSpacing/>
        <w:rPr>
          <w:bCs/>
        </w:rPr>
      </w:pPr>
      <w:r>
        <w:rPr>
          <w:bCs/>
        </w:rPr>
        <w:t>Yes.</w:t>
      </w:r>
    </w:p>
    <w:p w14:paraId="16E10A22" w14:textId="77777777" w:rsidR="008F490D" w:rsidRDefault="008F490D" w:rsidP="008F490D">
      <w:pPr>
        <w:pStyle w:val="ListParagraph"/>
        <w:widowControl/>
        <w:spacing w:after="160" w:line="259" w:lineRule="auto"/>
        <w:ind w:left="1080"/>
        <w:contextualSpacing/>
        <w:rPr>
          <w:bCs/>
        </w:rPr>
      </w:pPr>
    </w:p>
    <w:p w14:paraId="524E6AFB" w14:textId="173FB415" w:rsidR="008F490D" w:rsidRDefault="008F490D" w:rsidP="008F490D">
      <w:pPr>
        <w:pStyle w:val="ListParagraph"/>
        <w:widowControl/>
        <w:numPr>
          <w:ilvl w:val="0"/>
          <w:numId w:val="28"/>
        </w:numPr>
        <w:spacing w:after="160" w:line="259" w:lineRule="auto"/>
        <w:ind w:left="1080"/>
        <w:contextualSpacing/>
        <w:rPr>
          <w:bCs/>
        </w:rPr>
      </w:pPr>
      <w:r w:rsidRPr="00905C61">
        <w:rPr>
          <w:bCs/>
        </w:rPr>
        <w:t xml:space="preserve">The TSM costs calculated for each customer account reflects service drops to hook-up one meter to serve each customer. </w:t>
      </w:r>
      <w:bookmarkStart w:id="0" w:name="_GoBack"/>
      <w:bookmarkEnd w:id="0"/>
      <w:r w:rsidRPr="00905C61">
        <w:rPr>
          <w:bCs/>
        </w:rPr>
        <w:t xml:space="preserve">The number of meters for each rate class is equal to the number of customers for </w:t>
      </w:r>
      <w:r w:rsidR="00231475">
        <w:rPr>
          <w:bCs/>
        </w:rPr>
        <w:t xml:space="preserve">each </w:t>
      </w:r>
      <w:r w:rsidRPr="00905C61">
        <w:rPr>
          <w:bCs/>
        </w:rPr>
        <w:t>rate class</w:t>
      </w:r>
      <w:r w:rsidR="00231475">
        <w:rPr>
          <w:bCs/>
        </w:rPr>
        <w:t>,</w:t>
      </w:r>
      <w:r w:rsidRPr="00905C61">
        <w:rPr>
          <w:bCs/>
        </w:rPr>
        <w:t xml:space="preserve"> which can be found in the “Total Customers” tab of 2019 GRC Phase 2 Chapter 5 revised workpaper titled “Ch_5_WP#2_Marg Cust Costs for Non School Class Revised” for the number of meters for non-school customers and </w:t>
      </w:r>
      <w:r w:rsidR="001D319D">
        <w:rPr>
          <w:bCs/>
        </w:rPr>
        <w:t xml:space="preserve">in </w:t>
      </w:r>
      <w:r w:rsidRPr="00905C61">
        <w:rPr>
          <w:bCs/>
        </w:rPr>
        <w:t xml:space="preserve">the </w:t>
      </w:r>
      <w:r w:rsidR="004B2630" w:rsidRPr="00905C61">
        <w:rPr>
          <w:bCs/>
        </w:rPr>
        <w:t xml:space="preserve">“Total Customers” tab </w:t>
      </w:r>
      <w:r w:rsidR="0067057C">
        <w:rPr>
          <w:bCs/>
        </w:rPr>
        <w:t xml:space="preserve">of </w:t>
      </w:r>
      <w:r w:rsidRPr="00905C61">
        <w:rPr>
          <w:bCs/>
        </w:rPr>
        <w:t>2019 GRC Phase 2 Chapter 5 revised workpaper titled “Ch_5_WP#3_Marg Cust Costs for School Class Revised” for the number of meters for school customers</w:t>
      </w:r>
      <w:r>
        <w:rPr>
          <w:bCs/>
        </w:rPr>
        <w:t>.</w:t>
      </w:r>
    </w:p>
    <w:p w14:paraId="256AF49B" w14:textId="77777777" w:rsidR="008F490D" w:rsidRPr="00633839" w:rsidRDefault="008F490D" w:rsidP="008F490D">
      <w:pPr>
        <w:pStyle w:val="ListParagraph"/>
        <w:rPr>
          <w:bCs/>
        </w:rPr>
      </w:pPr>
    </w:p>
    <w:p w14:paraId="1336947C" w14:textId="77777777" w:rsidR="008F490D" w:rsidRDefault="008F490D" w:rsidP="008F490D">
      <w:pPr>
        <w:pStyle w:val="ListParagraph"/>
        <w:widowControl/>
        <w:numPr>
          <w:ilvl w:val="0"/>
          <w:numId w:val="28"/>
        </w:numPr>
        <w:spacing w:after="160" w:line="259" w:lineRule="auto"/>
        <w:ind w:left="1080"/>
        <w:contextualSpacing/>
        <w:rPr>
          <w:bCs/>
        </w:rPr>
      </w:pPr>
      <w:r>
        <w:rPr>
          <w:bCs/>
        </w:rPr>
        <w:t>See response to Question 10b.</w:t>
      </w:r>
    </w:p>
    <w:p w14:paraId="6C2AA0DB" w14:textId="77777777" w:rsidR="008F559C" w:rsidRDefault="008F559C" w:rsidP="008F490D">
      <w:pPr>
        <w:widowControl/>
        <w:spacing w:after="160" w:line="259" w:lineRule="auto"/>
        <w:contextualSpacing/>
      </w:pPr>
    </w:p>
    <w:p w14:paraId="03AB8620" w14:textId="77777777" w:rsidR="00CA3F3C" w:rsidRDefault="00E970F6" w:rsidP="00E970F6">
      <w:pPr>
        <w:pStyle w:val="ListParagraph"/>
        <w:widowControl/>
        <w:numPr>
          <w:ilvl w:val="0"/>
          <w:numId w:val="2"/>
        </w:numPr>
        <w:spacing w:after="160" w:line="259" w:lineRule="auto"/>
        <w:contextualSpacing/>
      </w:pPr>
      <w:r>
        <w:t xml:space="preserve">The following question refers to the Supplemental Testimony of Kenneth E. Schiermeyer. </w:t>
      </w:r>
    </w:p>
    <w:p w14:paraId="0772A986" w14:textId="77777777" w:rsidR="00CA3F3C" w:rsidRDefault="00CA3F3C" w:rsidP="00CA3F3C">
      <w:pPr>
        <w:pStyle w:val="ListParagraph"/>
        <w:widowControl/>
        <w:spacing w:after="160" w:line="259" w:lineRule="auto"/>
        <w:ind w:left="720"/>
        <w:contextualSpacing/>
      </w:pPr>
    </w:p>
    <w:p w14:paraId="3C97299B" w14:textId="664530EC" w:rsidR="00E970F6" w:rsidRDefault="00E970F6" w:rsidP="00CA3F3C">
      <w:pPr>
        <w:pStyle w:val="ListParagraph"/>
        <w:widowControl/>
        <w:spacing w:after="160" w:line="259" w:lineRule="auto"/>
        <w:ind w:left="720"/>
        <w:contextualSpacing/>
      </w:pPr>
      <w:r>
        <w:t>If the sales forecast is adjusted as SDG&amp;E proposes, will SDG&amp;E also adjust the revenue allocation fractions? Why or why not?</w:t>
      </w:r>
    </w:p>
    <w:p w14:paraId="3051330F" w14:textId="6BF0A2CE" w:rsidR="008F559C" w:rsidRDefault="008F559C" w:rsidP="008F559C">
      <w:pPr>
        <w:widowControl/>
        <w:spacing w:after="160" w:line="259" w:lineRule="auto"/>
        <w:contextualSpacing/>
      </w:pPr>
    </w:p>
    <w:p w14:paraId="1EBBFD42" w14:textId="531FF87C" w:rsidR="000522B0" w:rsidRDefault="00CA3F3C" w:rsidP="000522B0">
      <w:pPr>
        <w:widowControl/>
        <w:spacing w:after="160" w:line="259" w:lineRule="auto"/>
        <w:contextualSpacing/>
        <w:rPr>
          <w:b/>
          <w:bCs/>
        </w:rPr>
      </w:pPr>
      <w:r>
        <w:rPr>
          <w:b/>
          <w:bCs/>
        </w:rPr>
        <w:tab/>
      </w:r>
      <w:r w:rsidR="008F559C" w:rsidRPr="00E970F6">
        <w:rPr>
          <w:b/>
          <w:bCs/>
        </w:rPr>
        <w:t>SDG&amp;E Response:</w:t>
      </w:r>
    </w:p>
    <w:p w14:paraId="7DCE3354" w14:textId="02A0ACD1" w:rsidR="008F559C" w:rsidRDefault="008F559C" w:rsidP="0941D13A">
      <w:pPr>
        <w:widowControl/>
        <w:spacing w:after="160" w:line="259" w:lineRule="auto"/>
        <w:contextualSpacing/>
        <w:rPr>
          <w:b/>
          <w:bCs/>
        </w:rPr>
      </w:pPr>
    </w:p>
    <w:p w14:paraId="3019D3A7" w14:textId="3D2486B5" w:rsidR="008F559C" w:rsidRPr="003E7F11" w:rsidRDefault="11B4B57A" w:rsidP="0941D13A">
      <w:pPr>
        <w:spacing w:line="259" w:lineRule="auto"/>
        <w:ind w:left="720"/>
      </w:pPr>
      <w:r w:rsidRPr="003E7F11">
        <w:t xml:space="preserve">At this time, SDG&amp;E does not plan to adjust the revenue allocation fractions if the Commission approves the 2022 forecast through a separate application filed at a later date. </w:t>
      </w:r>
      <w:r w:rsidR="004163DE" w:rsidRPr="003E7F11">
        <w:t xml:space="preserve">As described in the Supplemental Testimony of Kenneth E. Schiermeyer, the </w:t>
      </w:r>
      <w:r w:rsidR="1B407970" w:rsidRPr="003E7F11">
        <w:t xml:space="preserve">scope of the proposed 2022 Sales Forecast application would be very similar to SDG&amp;E’s 2019 electric sales forecast application (A.18-03-003) and would not include marginal costs or revenue allocations. </w:t>
      </w:r>
    </w:p>
    <w:p w14:paraId="5E5F8DC0" w14:textId="688B0586" w:rsidR="008F559C" w:rsidRDefault="008F559C" w:rsidP="0941D13A">
      <w:pPr>
        <w:spacing w:line="259" w:lineRule="auto"/>
        <w:ind w:left="720"/>
      </w:pPr>
    </w:p>
    <w:p w14:paraId="6D656772" w14:textId="663E7EBE" w:rsidR="00CA3F3C" w:rsidRDefault="00CA3F3C" w:rsidP="008F559C">
      <w:pPr>
        <w:widowControl/>
        <w:spacing w:after="160" w:line="259" w:lineRule="auto"/>
        <w:contextualSpacing/>
        <w:rPr>
          <w:b/>
          <w:bCs/>
        </w:rPr>
      </w:pPr>
    </w:p>
    <w:p w14:paraId="0E23E239" w14:textId="4F8FD667" w:rsidR="00E970F6" w:rsidRDefault="00D844EC" w:rsidP="00E970F6">
      <w:pPr>
        <w:ind w:left="360"/>
      </w:pPr>
      <w:r>
        <w:tab/>
      </w:r>
      <w:r w:rsidR="00E970F6">
        <w:t>The following questions refer to the Second Revised Direct Testimony of Gwendolyn R. Morien.</w:t>
      </w:r>
    </w:p>
    <w:p w14:paraId="02811322" w14:textId="77777777" w:rsidR="00CA3F3C" w:rsidRDefault="00CA3F3C" w:rsidP="00E970F6">
      <w:pPr>
        <w:ind w:left="360"/>
      </w:pPr>
    </w:p>
    <w:p w14:paraId="11AA600E" w14:textId="77777777" w:rsidR="00E970F6" w:rsidRDefault="00E970F6" w:rsidP="00E970F6">
      <w:pPr>
        <w:pStyle w:val="ListParagraph"/>
        <w:widowControl/>
        <w:numPr>
          <w:ilvl w:val="0"/>
          <w:numId w:val="2"/>
        </w:numPr>
        <w:spacing w:after="160" w:line="259" w:lineRule="auto"/>
        <w:contextualSpacing/>
      </w:pPr>
      <w:r>
        <w:t>Please refer to page GRM-17 lines 16-17, where SDG&amp;E proposes: “[t]o maintain the commodity cost recovery rate design for EECC schedules TOU-DR-1, TOU-DR-2, DR-SES, EV-TOU, EV-TOU-2, and EV-TOU-5.”</w:t>
      </w:r>
    </w:p>
    <w:p w14:paraId="5033A72B" w14:textId="77777777" w:rsidR="00E970F6" w:rsidRDefault="00E970F6" w:rsidP="00E970F6">
      <w:pPr>
        <w:pStyle w:val="ListParagraph"/>
        <w:widowControl/>
        <w:numPr>
          <w:ilvl w:val="1"/>
          <w:numId w:val="2"/>
        </w:numPr>
        <w:spacing w:after="160" w:line="259" w:lineRule="auto"/>
        <w:contextualSpacing/>
      </w:pPr>
      <w:r>
        <w:t>Please explain why SDG&amp;E has three separate EV rates for residential customers instead of one?</w:t>
      </w:r>
    </w:p>
    <w:p w14:paraId="68A0EB4B" w14:textId="77777777" w:rsidR="00E970F6" w:rsidRDefault="00E970F6" w:rsidP="00E970F6">
      <w:pPr>
        <w:pStyle w:val="ListParagraph"/>
        <w:widowControl/>
        <w:numPr>
          <w:ilvl w:val="1"/>
          <w:numId w:val="2"/>
        </w:numPr>
        <w:spacing w:after="160" w:line="259" w:lineRule="auto"/>
        <w:contextualSpacing/>
      </w:pPr>
      <w:r>
        <w:t>Please provide the number of customers and the amount of retail sales in kWh billed under each of the following rate tariffs for each month of 2018 and 2019:</w:t>
      </w:r>
    </w:p>
    <w:p w14:paraId="006F91D0" w14:textId="77777777" w:rsidR="00E970F6" w:rsidRDefault="00E970F6" w:rsidP="00E970F6">
      <w:pPr>
        <w:pStyle w:val="ListParagraph"/>
        <w:widowControl/>
        <w:numPr>
          <w:ilvl w:val="2"/>
          <w:numId w:val="2"/>
        </w:numPr>
        <w:spacing w:after="160" w:line="259" w:lineRule="auto"/>
        <w:contextualSpacing/>
      </w:pPr>
      <w:r>
        <w:t>EV-TOU</w:t>
      </w:r>
    </w:p>
    <w:p w14:paraId="53398BD0" w14:textId="77777777" w:rsidR="00E970F6" w:rsidRDefault="00E970F6" w:rsidP="00E970F6">
      <w:pPr>
        <w:pStyle w:val="ListParagraph"/>
        <w:widowControl/>
        <w:numPr>
          <w:ilvl w:val="2"/>
          <w:numId w:val="2"/>
        </w:numPr>
        <w:spacing w:after="160" w:line="259" w:lineRule="auto"/>
        <w:contextualSpacing/>
      </w:pPr>
      <w:r>
        <w:lastRenderedPageBreak/>
        <w:t>EV-TOU-2</w:t>
      </w:r>
    </w:p>
    <w:p w14:paraId="61B58DB1" w14:textId="77777777" w:rsidR="00E970F6" w:rsidRDefault="00E970F6" w:rsidP="00E970F6">
      <w:pPr>
        <w:pStyle w:val="ListParagraph"/>
        <w:widowControl/>
        <w:numPr>
          <w:ilvl w:val="2"/>
          <w:numId w:val="2"/>
        </w:numPr>
        <w:spacing w:after="160" w:line="259" w:lineRule="auto"/>
        <w:contextualSpacing/>
      </w:pPr>
      <w:r>
        <w:t>EV-TOU-5</w:t>
      </w:r>
    </w:p>
    <w:p w14:paraId="0D09B085" w14:textId="77777777" w:rsidR="00E970F6" w:rsidRDefault="00E970F6" w:rsidP="00E970F6">
      <w:pPr>
        <w:pStyle w:val="ListParagraph"/>
        <w:widowControl/>
        <w:numPr>
          <w:ilvl w:val="1"/>
          <w:numId w:val="2"/>
        </w:numPr>
        <w:spacing w:after="160" w:line="259" w:lineRule="auto"/>
        <w:contextualSpacing/>
      </w:pPr>
      <w:r>
        <w:t>What are the TOU pricing differentials used to set rates for each of the following rate tariffs and how were they determined?</w:t>
      </w:r>
    </w:p>
    <w:p w14:paraId="47C5A366" w14:textId="77777777" w:rsidR="00E970F6" w:rsidRDefault="00E970F6" w:rsidP="00E970F6">
      <w:pPr>
        <w:pStyle w:val="ListParagraph"/>
        <w:widowControl/>
        <w:numPr>
          <w:ilvl w:val="2"/>
          <w:numId w:val="2"/>
        </w:numPr>
        <w:spacing w:after="160" w:line="259" w:lineRule="auto"/>
        <w:contextualSpacing/>
      </w:pPr>
      <w:r>
        <w:t>EV-TOU</w:t>
      </w:r>
    </w:p>
    <w:p w14:paraId="041A6C08" w14:textId="77777777" w:rsidR="00E970F6" w:rsidRDefault="00E970F6" w:rsidP="00E970F6">
      <w:pPr>
        <w:pStyle w:val="ListParagraph"/>
        <w:widowControl/>
        <w:numPr>
          <w:ilvl w:val="2"/>
          <w:numId w:val="2"/>
        </w:numPr>
        <w:spacing w:after="160" w:line="259" w:lineRule="auto"/>
        <w:contextualSpacing/>
      </w:pPr>
      <w:r>
        <w:t>EV-TOU-2</w:t>
      </w:r>
    </w:p>
    <w:p w14:paraId="04AF1892" w14:textId="08E39768" w:rsidR="00E970F6" w:rsidRDefault="00E970F6" w:rsidP="00E970F6">
      <w:pPr>
        <w:pStyle w:val="ListParagraph"/>
        <w:widowControl/>
        <w:numPr>
          <w:ilvl w:val="2"/>
          <w:numId w:val="2"/>
        </w:numPr>
        <w:spacing w:after="160" w:line="259" w:lineRule="auto"/>
        <w:contextualSpacing/>
      </w:pPr>
      <w:r>
        <w:t>EV-TOU-5</w:t>
      </w:r>
    </w:p>
    <w:p w14:paraId="4642B1AA" w14:textId="77777777" w:rsidR="00CA3F3C" w:rsidRDefault="00CA3F3C" w:rsidP="00CA3F3C">
      <w:pPr>
        <w:pStyle w:val="ListParagraph"/>
        <w:widowControl/>
        <w:spacing w:after="160" w:line="259" w:lineRule="auto"/>
        <w:ind w:left="720"/>
        <w:contextualSpacing/>
        <w:rPr>
          <w:b/>
          <w:bCs/>
        </w:rPr>
      </w:pPr>
    </w:p>
    <w:p w14:paraId="6F1A9950" w14:textId="198C5F60" w:rsidR="00CA3F3C" w:rsidRPr="00CA3F3C" w:rsidRDefault="00CA3F3C" w:rsidP="00CA3F3C">
      <w:pPr>
        <w:pStyle w:val="ListParagraph"/>
        <w:widowControl/>
        <w:spacing w:after="160" w:line="259" w:lineRule="auto"/>
        <w:ind w:left="720"/>
        <w:contextualSpacing/>
        <w:rPr>
          <w:b/>
          <w:bCs/>
        </w:rPr>
      </w:pPr>
      <w:r w:rsidRPr="00CA3F3C">
        <w:rPr>
          <w:b/>
          <w:bCs/>
        </w:rPr>
        <w:t>SDG&amp;E Response:</w:t>
      </w:r>
    </w:p>
    <w:p w14:paraId="64DBA279" w14:textId="3F0DBD37" w:rsidR="000522B0" w:rsidRPr="003E7F11" w:rsidRDefault="000522B0" w:rsidP="000522B0">
      <w:pPr>
        <w:pStyle w:val="ListParagraph"/>
        <w:widowControl/>
        <w:numPr>
          <w:ilvl w:val="0"/>
          <w:numId w:val="29"/>
        </w:numPr>
        <w:spacing w:after="160" w:line="259" w:lineRule="auto"/>
        <w:contextualSpacing/>
      </w:pPr>
      <w:r w:rsidRPr="003E7F11">
        <w:t xml:space="preserve">SDG&amp;E offers residential customers three options for EV rates. Schedule EV-TOU is a rate that is applicable to separately metered EV charging, while Schedule EV-TOU2 is a whole house EV rate where EV consumption is not separately metered. Schedules EV-TOU and EV-TOU2 have a lower super off-peak rate relative to SDG&amp;E’s untiered TOU non-EV optional rate. Schedule EV-TOU5 is a whole house rate with a $16 monthly service fee and an untiered TOU rate that has a distribution and transmission exemption for the super-off-peak period. </w:t>
      </w:r>
    </w:p>
    <w:p w14:paraId="58F4F4F7" w14:textId="77777777" w:rsidR="000522B0" w:rsidRPr="003E7F11" w:rsidRDefault="000522B0" w:rsidP="000522B0">
      <w:pPr>
        <w:widowControl/>
        <w:spacing w:after="160" w:line="259" w:lineRule="auto"/>
        <w:contextualSpacing/>
      </w:pPr>
    </w:p>
    <w:p w14:paraId="48668EFB" w14:textId="208A1A86" w:rsidR="000522B0" w:rsidRPr="003E7F11" w:rsidRDefault="000522B0" w:rsidP="000522B0">
      <w:pPr>
        <w:widowControl/>
        <w:spacing w:after="160" w:line="259" w:lineRule="auto"/>
        <w:ind w:left="1440"/>
        <w:contextualSpacing/>
      </w:pPr>
      <w:r w:rsidRPr="003E7F11">
        <w:t xml:space="preserve">SDG&amp;E believes in providing customers with meaningful choices so they can make economical decisions based on price signals. </w:t>
      </w:r>
    </w:p>
    <w:p w14:paraId="6D285A5F" w14:textId="701C5D28" w:rsidR="00A42DF1" w:rsidRPr="003E7F11" w:rsidRDefault="00A42DF1" w:rsidP="00A42DF1">
      <w:pPr>
        <w:pStyle w:val="ListParagraph"/>
        <w:widowControl/>
        <w:numPr>
          <w:ilvl w:val="0"/>
          <w:numId w:val="29"/>
        </w:numPr>
        <w:spacing w:after="160" w:line="259" w:lineRule="auto"/>
        <w:contextualSpacing/>
      </w:pPr>
      <w:r w:rsidRPr="003E7F11">
        <w:t>See the attached file “UCAN_DR02_Q1</w:t>
      </w:r>
      <w:r w:rsidR="00CD001A" w:rsidRPr="003E7F11">
        <w:t>2b</w:t>
      </w:r>
      <w:r w:rsidRPr="003E7F11">
        <w:t>.xlsx”</w:t>
      </w:r>
    </w:p>
    <w:p w14:paraId="1E342D67" w14:textId="646E4AE1" w:rsidR="00CA3F3C" w:rsidRDefault="00CD001A" w:rsidP="00A42DF1">
      <w:pPr>
        <w:widowControl/>
        <w:spacing w:after="160" w:line="259" w:lineRule="auto"/>
        <w:ind w:left="360" w:firstLine="720"/>
        <w:contextualSpacing/>
      </w:pPr>
      <w:r>
        <w:object w:dxaOrig="1535" w:dyaOrig="1000" w14:anchorId="763B9691">
          <v:shape id="_x0000_i1026" type="#_x0000_t75" style="width:76.5pt;height:50.5pt" o:ole="">
            <v:imagedata r:id="rId10" o:title=""/>
          </v:shape>
          <o:OLEObject Type="Embed" ProgID="Excel.Sheet.12" ShapeID="_x0000_i1026" DrawAspect="Icon" ObjectID="_1644159691" r:id="rId11"/>
        </w:object>
      </w:r>
    </w:p>
    <w:p w14:paraId="7BBE9FFF" w14:textId="02139B23" w:rsidR="00CD001A" w:rsidRPr="003E7F11" w:rsidRDefault="00CD001A" w:rsidP="00CD001A">
      <w:pPr>
        <w:pStyle w:val="ListParagraph"/>
        <w:widowControl/>
        <w:numPr>
          <w:ilvl w:val="0"/>
          <w:numId w:val="29"/>
        </w:numPr>
        <w:spacing w:after="160" w:line="259" w:lineRule="auto"/>
        <w:contextualSpacing/>
      </w:pPr>
      <w:r w:rsidRPr="003E7F11">
        <w:t xml:space="preserve">EV-TOU, EV-TOU2, and EV-TOU5 do not have set TOU differentials. </w:t>
      </w:r>
    </w:p>
    <w:p w14:paraId="4623EB4E" w14:textId="57D5AB70" w:rsidR="00CD001A" w:rsidRPr="003E7F11" w:rsidRDefault="00CD001A" w:rsidP="00CD001A">
      <w:pPr>
        <w:pStyle w:val="ListParagraph"/>
        <w:widowControl/>
        <w:numPr>
          <w:ilvl w:val="1"/>
          <w:numId w:val="29"/>
        </w:numPr>
        <w:spacing w:after="160" w:line="259" w:lineRule="auto"/>
        <w:contextualSpacing/>
      </w:pPr>
      <w:r w:rsidRPr="003E7F11">
        <w:t>EV-TOU – the commodity differential is cost based, from SDG&amp;E’s 2016 GRC Phase 2 Marginal Commodity Cost Study. The distribution rate component Super-Off-Peak TOU period excludes distribution demand costs per D.18-05-040.</w:t>
      </w:r>
      <w:r w:rsidR="00DE737B" w:rsidRPr="003E7F11">
        <w:t xml:space="preserve"> All distribution demand costs are recovered through the on-peak and off-peak periods.</w:t>
      </w:r>
    </w:p>
    <w:p w14:paraId="615C8D82" w14:textId="19BC366E" w:rsidR="00CD001A" w:rsidRPr="003E7F11" w:rsidRDefault="00CD001A" w:rsidP="00CD001A">
      <w:pPr>
        <w:pStyle w:val="ListParagraph"/>
        <w:widowControl/>
        <w:numPr>
          <w:ilvl w:val="1"/>
          <w:numId w:val="29"/>
        </w:numPr>
        <w:spacing w:after="160" w:line="259" w:lineRule="auto"/>
        <w:contextualSpacing/>
      </w:pPr>
      <w:r w:rsidRPr="003E7F11">
        <w:t>EV-TOU2 – the commodity differential is cost based, from SDG&amp;E’s 2016 GRC Phase 2 Marginal Commodity Cost Study. The distribution rate component Super-Off-Peak TOU period excludes distribution demand costs per D.18-05-040.</w:t>
      </w:r>
      <w:r w:rsidR="00DE737B" w:rsidRPr="003E7F11">
        <w:t xml:space="preserve"> All distribution demand costs are recovered through the on-peak and off-peak periods.</w:t>
      </w:r>
    </w:p>
    <w:p w14:paraId="4AB6C97D" w14:textId="771A25B5" w:rsidR="00CD001A" w:rsidRPr="003E7F11" w:rsidRDefault="00CD001A" w:rsidP="00CD001A">
      <w:pPr>
        <w:pStyle w:val="ListParagraph"/>
        <w:widowControl/>
        <w:numPr>
          <w:ilvl w:val="1"/>
          <w:numId w:val="29"/>
        </w:numPr>
        <w:spacing w:after="160" w:line="259" w:lineRule="auto"/>
        <w:contextualSpacing/>
      </w:pPr>
      <w:r w:rsidRPr="003E7F11">
        <w:t xml:space="preserve">EV-TOU5 – the commodity differential is cost based, from SDG&amp;E’s 2016 GRC Phase 2 Marginal Commodity Cost Study. </w:t>
      </w:r>
      <w:r w:rsidR="00DE737B" w:rsidRPr="003E7F11">
        <w:t>To encourage EV charging at night</w:t>
      </w:r>
      <w:r w:rsidR="00655A0A" w:rsidRPr="003E7F11">
        <w:t xml:space="preserve"> and when marginal prices are low</w:t>
      </w:r>
      <w:r w:rsidR="00047A3E" w:rsidRPr="003E7F11">
        <w:t>, t</w:t>
      </w:r>
      <w:r w:rsidRPr="003E7F11">
        <w:t>he super off-peak TOU period is exempt from transmission rate component charges</w:t>
      </w:r>
      <w:r w:rsidR="00047A3E" w:rsidRPr="003E7F11">
        <w:t>, and a</w:t>
      </w:r>
      <w:r w:rsidRPr="003E7F11">
        <w:t xml:space="preserve">ll distribution rate component costs are recovered through a monthly service fee </w:t>
      </w:r>
      <w:r w:rsidR="00DE737B" w:rsidRPr="003E7F11">
        <w:t>or</w:t>
      </w:r>
      <w:r w:rsidRPr="003E7F11">
        <w:t xml:space="preserve"> in the on-peak and off-peak TOU periods, so </w:t>
      </w:r>
      <w:r w:rsidR="00B561D5" w:rsidRPr="003E7F11">
        <w:t xml:space="preserve">there are no volumetric energy distribution charges during the super off-peak TOU period. </w:t>
      </w:r>
    </w:p>
    <w:p w14:paraId="0B093839" w14:textId="77777777" w:rsidR="00CD001A" w:rsidRDefault="00CD001A" w:rsidP="00A42DF1">
      <w:pPr>
        <w:widowControl/>
        <w:spacing w:after="160" w:line="259" w:lineRule="auto"/>
        <w:ind w:left="360" w:firstLine="720"/>
        <w:contextualSpacing/>
      </w:pPr>
    </w:p>
    <w:p w14:paraId="5FEF7EEC" w14:textId="77777777" w:rsidR="00CD001A" w:rsidRDefault="00CD001A" w:rsidP="00A42DF1">
      <w:pPr>
        <w:widowControl/>
        <w:spacing w:after="160" w:line="259" w:lineRule="auto"/>
        <w:ind w:left="360" w:firstLine="720"/>
        <w:contextualSpacing/>
      </w:pPr>
    </w:p>
    <w:p w14:paraId="4C4E4C37" w14:textId="07A69ECD" w:rsidR="00E970F6" w:rsidRDefault="00E970F6" w:rsidP="00E970F6">
      <w:pPr>
        <w:pStyle w:val="ListParagraph"/>
        <w:widowControl/>
        <w:numPr>
          <w:ilvl w:val="0"/>
          <w:numId w:val="2"/>
        </w:numPr>
        <w:spacing w:after="160" w:line="259" w:lineRule="auto"/>
        <w:contextualSpacing/>
      </w:pPr>
      <w:r>
        <w:lastRenderedPageBreak/>
        <w:t>Please refer to Attachment C, pages 12-13. Why are the total proposed rates for the residential EV rate tariffs (EV-TOU, EV-TOU-2, EV-TOU-5) so low in the overnight super off-peak period compared to midday off-peak period, even though charging EVs during the daytime can absorb solar generation and decrease pollutant emissions from electric generation?</w:t>
      </w:r>
    </w:p>
    <w:p w14:paraId="1E26E25C" w14:textId="2A3271CC" w:rsidR="00CA3F3C" w:rsidRDefault="00CA3F3C" w:rsidP="00CA3F3C">
      <w:pPr>
        <w:widowControl/>
        <w:spacing w:after="160" w:line="259" w:lineRule="auto"/>
        <w:contextualSpacing/>
      </w:pPr>
    </w:p>
    <w:p w14:paraId="10B0E3D7" w14:textId="7ACA6FEC" w:rsidR="00655A0A" w:rsidRPr="00D844EC" w:rsidRDefault="00CA3F3C" w:rsidP="00655A0A">
      <w:pPr>
        <w:widowControl/>
        <w:spacing w:after="160" w:line="259" w:lineRule="auto"/>
        <w:contextualSpacing/>
      </w:pPr>
      <w:r>
        <w:rPr>
          <w:b/>
          <w:bCs/>
        </w:rPr>
        <w:tab/>
      </w:r>
      <w:r w:rsidRPr="00E970F6">
        <w:rPr>
          <w:b/>
          <w:bCs/>
        </w:rPr>
        <w:t>SDG&amp;E Response:</w:t>
      </w:r>
    </w:p>
    <w:p w14:paraId="1420AF19" w14:textId="3379BD1D" w:rsidR="37B48CBD" w:rsidRDefault="37B48CBD" w:rsidP="38ED1E7A">
      <w:pPr>
        <w:spacing w:line="257" w:lineRule="auto"/>
        <w:ind w:left="720"/>
      </w:pPr>
      <w:r w:rsidRPr="00DE210E">
        <w:t>As stated in SDG&amp;E’s response to question 12, the Super off-peak period rates for EV-TOU, EV-TOU2, and EV-TOU5 are lower compared to other TOU period pricing to encourage overnight charging year-round when marginal energy prices are low. SDG&amp;E’s TOU periods were adopted in the 2016 GRC Phase 2 and implemented on December 1, 2017. The TOU periods adopted reflect marginal energy and generation costs. Additionally, the 2016 GRC Phase 2 decision required an additional Super Off-peak period from 10AM – 2PM in March and April, which will encourage charging during the middle of the day. SDG&amp;E’s current standard TOU periods are consistent across all customer classes, as commodity TOU prices reflect system conditions.</w:t>
      </w:r>
    </w:p>
    <w:p w14:paraId="69BDF0FC" w14:textId="39C89499" w:rsidR="38ED1E7A" w:rsidRDefault="38ED1E7A" w:rsidP="38ED1E7A">
      <w:pPr>
        <w:spacing w:after="160" w:line="259" w:lineRule="auto"/>
        <w:ind w:left="720"/>
      </w:pPr>
    </w:p>
    <w:sectPr w:rsidR="38ED1E7A">
      <w:headerReference w:type="default" r:id="rId12"/>
      <w:footerReference w:type="default" r:id="rId13"/>
      <w:pgSz w:w="12240" w:h="15840"/>
      <w:pgMar w:top="1480" w:right="1220" w:bottom="1140" w:left="11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723E" w14:textId="77777777" w:rsidR="0045337B" w:rsidRDefault="0045337B">
      <w:r>
        <w:separator/>
      </w:r>
    </w:p>
  </w:endnote>
  <w:endnote w:type="continuationSeparator" w:id="0">
    <w:p w14:paraId="52499EF5" w14:textId="77777777" w:rsidR="0045337B" w:rsidRDefault="0045337B">
      <w:r>
        <w:continuationSeparator/>
      </w:r>
    </w:p>
  </w:endnote>
  <w:endnote w:type="continuationNotice" w:id="1">
    <w:p w14:paraId="30437FA8" w14:textId="77777777" w:rsidR="0045337B" w:rsidRDefault="00453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332641"/>
      <w:docPartObj>
        <w:docPartGallery w:val="Page Numbers (Bottom of Page)"/>
        <w:docPartUnique/>
      </w:docPartObj>
    </w:sdtPr>
    <w:sdtEndPr>
      <w:rPr>
        <w:noProof/>
      </w:rPr>
    </w:sdtEndPr>
    <w:sdtContent>
      <w:p w14:paraId="3F6DD083" w14:textId="129CA02B" w:rsidR="00257835" w:rsidRDefault="00257835">
        <w:pPr>
          <w:pStyle w:val="Footer"/>
          <w:jc w:val="right"/>
        </w:pPr>
        <w:r>
          <w:fldChar w:fldCharType="begin"/>
        </w:r>
        <w:r>
          <w:instrText xml:space="preserve"> PAGE   \* MERGEFORMAT </w:instrText>
        </w:r>
        <w:r>
          <w:fldChar w:fldCharType="separate"/>
        </w:r>
        <w:r w:rsidR="00B670B5">
          <w:rPr>
            <w:noProof/>
          </w:rPr>
          <w:t>1</w:t>
        </w:r>
        <w:r>
          <w:rPr>
            <w:noProof/>
          </w:rPr>
          <w:fldChar w:fldCharType="end"/>
        </w:r>
      </w:p>
    </w:sdtContent>
  </w:sdt>
  <w:p w14:paraId="30DA468B" w14:textId="1C52C22D" w:rsidR="00257835" w:rsidRDefault="0025783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25B2" w14:textId="77777777" w:rsidR="0045337B" w:rsidRDefault="0045337B">
      <w:r>
        <w:separator/>
      </w:r>
    </w:p>
  </w:footnote>
  <w:footnote w:type="continuationSeparator" w:id="0">
    <w:p w14:paraId="20BE9E10" w14:textId="77777777" w:rsidR="0045337B" w:rsidRDefault="0045337B">
      <w:r>
        <w:continuationSeparator/>
      </w:r>
    </w:p>
  </w:footnote>
  <w:footnote w:type="continuationNotice" w:id="1">
    <w:p w14:paraId="02D30671" w14:textId="77777777" w:rsidR="0045337B" w:rsidRDefault="00453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1B7" w14:textId="77777777" w:rsidR="00257835" w:rsidRDefault="00257835" w:rsidP="00E904AE">
    <w:pPr>
      <w:pStyle w:val="Default"/>
      <w:jc w:val="center"/>
      <w:rPr>
        <w:b/>
        <w:bCs/>
        <w:sz w:val="23"/>
        <w:szCs w:val="23"/>
      </w:rPr>
    </w:pP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r>
      <w:rPr>
        <w:b/>
        <w:bCs/>
        <w:sz w:val="23"/>
        <w:szCs w:val="23"/>
      </w:rPr>
      <w:softHyphen/>
    </w:r>
  </w:p>
  <w:p w14:paraId="66AAF096" w14:textId="4BE5D5E9"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 xml:space="preserve">UCAN DATA REQUEST </w:t>
    </w:r>
    <w:r w:rsidRPr="00BB3B03">
      <w:rPr>
        <w:rFonts w:ascii="Times New Roman" w:hAnsi="Times New Roman" w:cs="Times New Roman"/>
        <w:b/>
      </w:rPr>
      <w:br/>
      <w:t>UCAN-SDG&amp;E DR-0</w:t>
    </w:r>
    <w:r w:rsidR="00B6329A">
      <w:rPr>
        <w:rFonts w:ascii="Times New Roman" w:hAnsi="Times New Roman" w:cs="Times New Roman"/>
        <w:b/>
      </w:rPr>
      <w:t>3</w:t>
    </w:r>
    <w:r w:rsidRPr="00BB3B03">
      <w:rPr>
        <w:rFonts w:ascii="Times New Roman" w:hAnsi="Times New Roman" w:cs="Times New Roman"/>
        <w:b/>
      </w:rPr>
      <w:br/>
      <w:t>SDG&amp;E PHASE 2 GRC PROCEEDING- A.19-0</w:t>
    </w:r>
    <w:r w:rsidR="00770BE7">
      <w:rPr>
        <w:rFonts w:ascii="Times New Roman" w:hAnsi="Times New Roman" w:cs="Times New Roman"/>
        <w:b/>
      </w:rPr>
      <w:t>3</w:t>
    </w:r>
    <w:r w:rsidRPr="00BB3B03">
      <w:rPr>
        <w:rFonts w:ascii="Times New Roman" w:hAnsi="Times New Roman" w:cs="Times New Roman"/>
        <w:b/>
      </w:rPr>
      <w:t>-00</w:t>
    </w:r>
    <w:r w:rsidR="00770BE7">
      <w:rPr>
        <w:rFonts w:ascii="Times New Roman" w:hAnsi="Times New Roman" w:cs="Times New Roman"/>
        <w:b/>
      </w:rPr>
      <w:t>2</w:t>
    </w:r>
    <w:r w:rsidRPr="00BB3B03">
      <w:rPr>
        <w:rFonts w:ascii="Times New Roman" w:hAnsi="Times New Roman" w:cs="Times New Roman"/>
        <w:b/>
      </w:rPr>
      <w:br/>
      <w:t xml:space="preserve">DATE </w:t>
    </w:r>
    <w:r w:rsidR="00CD3A56">
      <w:rPr>
        <w:rFonts w:ascii="Times New Roman" w:hAnsi="Times New Roman" w:cs="Times New Roman"/>
        <w:b/>
      </w:rPr>
      <w:t>RECEIVED</w:t>
    </w:r>
    <w:r w:rsidRPr="00BB3B03">
      <w:rPr>
        <w:rFonts w:ascii="Times New Roman" w:hAnsi="Times New Roman" w:cs="Times New Roman"/>
        <w:b/>
      </w:rPr>
      <w:t xml:space="preserve">: </w:t>
    </w:r>
    <w:r w:rsidR="001F0524">
      <w:rPr>
        <w:rFonts w:ascii="Times New Roman" w:hAnsi="Times New Roman" w:cs="Times New Roman"/>
        <w:b/>
      </w:rPr>
      <w:t xml:space="preserve">February </w:t>
    </w:r>
    <w:r w:rsidR="00CD3A56">
      <w:rPr>
        <w:rFonts w:ascii="Times New Roman" w:hAnsi="Times New Roman" w:cs="Times New Roman"/>
        <w:b/>
      </w:rPr>
      <w:t>10</w:t>
    </w:r>
    <w:r w:rsidRPr="00BB3B03">
      <w:rPr>
        <w:rFonts w:ascii="Times New Roman" w:hAnsi="Times New Roman" w:cs="Times New Roman"/>
        <w:b/>
      </w:rPr>
      <w:t>, 20</w:t>
    </w:r>
    <w:r w:rsidR="00CD3A56">
      <w:rPr>
        <w:rFonts w:ascii="Times New Roman" w:hAnsi="Times New Roman" w:cs="Times New Roman"/>
        <w:b/>
      </w:rPr>
      <w:t>20</w:t>
    </w:r>
  </w:p>
  <w:p w14:paraId="46DCAB12" w14:textId="5383E832" w:rsidR="009D6650" w:rsidRPr="00BB3B03" w:rsidRDefault="009D6650" w:rsidP="009D6650">
    <w:pPr>
      <w:pStyle w:val="ListParagraph"/>
      <w:jc w:val="center"/>
      <w:rPr>
        <w:rFonts w:ascii="Times New Roman" w:hAnsi="Times New Roman" w:cs="Times New Roman"/>
        <w:b/>
      </w:rPr>
    </w:pPr>
    <w:r w:rsidRPr="00BB3B03">
      <w:rPr>
        <w:rFonts w:ascii="Times New Roman" w:hAnsi="Times New Roman" w:cs="Times New Roman"/>
        <w:b/>
      </w:rPr>
      <w:t>DATE RESPONDED:</w:t>
    </w:r>
    <w:r>
      <w:rPr>
        <w:rFonts w:ascii="Times New Roman" w:hAnsi="Times New Roman" w:cs="Times New Roman"/>
        <w:b/>
      </w:rPr>
      <w:t xml:space="preserve"> </w:t>
    </w:r>
    <w:r w:rsidR="001F0524">
      <w:rPr>
        <w:rFonts w:ascii="Times New Roman" w:hAnsi="Times New Roman" w:cs="Times New Roman"/>
        <w:b/>
      </w:rPr>
      <w:t xml:space="preserve">February </w:t>
    </w:r>
    <w:r w:rsidR="009313D7">
      <w:rPr>
        <w:rFonts w:ascii="Times New Roman" w:hAnsi="Times New Roman" w:cs="Times New Roman"/>
        <w:b/>
      </w:rPr>
      <w:t>25, 2020</w:t>
    </w:r>
  </w:p>
  <w:p w14:paraId="25BD10E8" w14:textId="77777777" w:rsidR="00257835" w:rsidRDefault="0025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4242"/>
    <w:multiLevelType w:val="hybridMultilevel"/>
    <w:tmpl w:val="2A5C79BA"/>
    <w:lvl w:ilvl="0" w:tplc="4250443E">
      <w:start w:val="1"/>
      <w:numFmt w:val="lowerLetter"/>
      <w:lvlText w:val="%1."/>
      <w:lvlJc w:val="left"/>
      <w:pPr>
        <w:ind w:left="720" w:hanging="360"/>
      </w:pPr>
    </w:lvl>
    <w:lvl w:ilvl="1" w:tplc="7BF8559A">
      <w:start w:val="1"/>
      <w:numFmt w:val="lowerLetter"/>
      <w:lvlText w:val="%2."/>
      <w:lvlJc w:val="left"/>
      <w:pPr>
        <w:ind w:left="1440" w:hanging="360"/>
      </w:pPr>
    </w:lvl>
    <w:lvl w:ilvl="2" w:tplc="47085F3C">
      <w:start w:val="1"/>
      <w:numFmt w:val="lowerRoman"/>
      <w:lvlText w:val="%3."/>
      <w:lvlJc w:val="right"/>
      <w:pPr>
        <w:ind w:left="2160" w:hanging="180"/>
      </w:pPr>
    </w:lvl>
    <w:lvl w:ilvl="3" w:tplc="03A09078">
      <w:start w:val="1"/>
      <w:numFmt w:val="decimal"/>
      <w:lvlText w:val="%4."/>
      <w:lvlJc w:val="left"/>
      <w:pPr>
        <w:ind w:left="2880" w:hanging="360"/>
      </w:pPr>
    </w:lvl>
    <w:lvl w:ilvl="4" w:tplc="AEF8ED84">
      <w:start w:val="1"/>
      <w:numFmt w:val="lowerLetter"/>
      <w:lvlText w:val="%5."/>
      <w:lvlJc w:val="left"/>
      <w:pPr>
        <w:ind w:left="3600" w:hanging="360"/>
      </w:pPr>
    </w:lvl>
    <w:lvl w:ilvl="5" w:tplc="61821D60">
      <w:start w:val="1"/>
      <w:numFmt w:val="lowerRoman"/>
      <w:lvlText w:val="%6."/>
      <w:lvlJc w:val="right"/>
      <w:pPr>
        <w:ind w:left="4320" w:hanging="180"/>
      </w:pPr>
    </w:lvl>
    <w:lvl w:ilvl="6" w:tplc="74041F8E">
      <w:start w:val="1"/>
      <w:numFmt w:val="decimal"/>
      <w:lvlText w:val="%7."/>
      <w:lvlJc w:val="left"/>
      <w:pPr>
        <w:ind w:left="5040" w:hanging="360"/>
      </w:pPr>
    </w:lvl>
    <w:lvl w:ilvl="7" w:tplc="D952DB5E">
      <w:start w:val="1"/>
      <w:numFmt w:val="lowerLetter"/>
      <w:lvlText w:val="%8."/>
      <w:lvlJc w:val="left"/>
      <w:pPr>
        <w:ind w:left="5760" w:hanging="360"/>
      </w:pPr>
    </w:lvl>
    <w:lvl w:ilvl="8" w:tplc="59CAF3B4">
      <w:start w:val="1"/>
      <w:numFmt w:val="lowerRoman"/>
      <w:lvlText w:val="%9."/>
      <w:lvlJc w:val="right"/>
      <w:pPr>
        <w:ind w:left="6480" w:hanging="180"/>
      </w:pPr>
    </w:lvl>
  </w:abstractNum>
  <w:abstractNum w:abstractNumId="1" w15:restartNumberingAfterBreak="0">
    <w:nsid w:val="09BC276D"/>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F313F"/>
    <w:multiLevelType w:val="hybridMultilevel"/>
    <w:tmpl w:val="6EB44B64"/>
    <w:lvl w:ilvl="0" w:tplc="0C5C7B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E92CEA"/>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3B43C8"/>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909C9"/>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F74DD5"/>
    <w:multiLevelType w:val="hybridMultilevel"/>
    <w:tmpl w:val="44E6A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F3BDD"/>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144C0D"/>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12B70"/>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334A1A"/>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4B3E5D"/>
    <w:multiLevelType w:val="hybridMultilevel"/>
    <w:tmpl w:val="05225E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010B8"/>
    <w:multiLevelType w:val="hybridMultilevel"/>
    <w:tmpl w:val="1CF2E48A"/>
    <w:lvl w:ilvl="0" w:tplc="44CA6412">
      <w:start w:val="1"/>
      <w:numFmt w:val="bullet"/>
      <w:lvlText w:val=""/>
      <w:lvlJc w:val="left"/>
      <w:pPr>
        <w:ind w:left="720" w:hanging="360"/>
      </w:pPr>
      <w:rPr>
        <w:rFonts w:ascii="Symbol" w:hAnsi="Symbol" w:hint="default"/>
      </w:rPr>
    </w:lvl>
    <w:lvl w:ilvl="1" w:tplc="66B6D650">
      <w:start w:val="1"/>
      <w:numFmt w:val="bullet"/>
      <w:lvlText w:val="o"/>
      <w:lvlJc w:val="left"/>
      <w:pPr>
        <w:ind w:left="1440" w:hanging="360"/>
      </w:pPr>
      <w:rPr>
        <w:rFonts w:ascii="Courier New" w:hAnsi="Courier New" w:hint="default"/>
      </w:rPr>
    </w:lvl>
    <w:lvl w:ilvl="2" w:tplc="410CBBF4">
      <w:start w:val="1"/>
      <w:numFmt w:val="bullet"/>
      <w:lvlText w:val=""/>
      <w:lvlJc w:val="left"/>
      <w:pPr>
        <w:ind w:left="2160" w:hanging="360"/>
      </w:pPr>
      <w:rPr>
        <w:rFonts w:ascii="Wingdings" w:hAnsi="Wingdings" w:hint="default"/>
      </w:rPr>
    </w:lvl>
    <w:lvl w:ilvl="3" w:tplc="05E46056">
      <w:start w:val="1"/>
      <w:numFmt w:val="bullet"/>
      <w:lvlText w:val=""/>
      <w:lvlJc w:val="left"/>
      <w:pPr>
        <w:ind w:left="2880" w:hanging="360"/>
      </w:pPr>
      <w:rPr>
        <w:rFonts w:ascii="Symbol" w:hAnsi="Symbol" w:hint="default"/>
      </w:rPr>
    </w:lvl>
    <w:lvl w:ilvl="4" w:tplc="2FA887B0">
      <w:start w:val="1"/>
      <w:numFmt w:val="bullet"/>
      <w:lvlText w:val="o"/>
      <w:lvlJc w:val="left"/>
      <w:pPr>
        <w:ind w:left="3600" w:hanging="360"/>
      </w:pPr>
      <w:rPr>
        <w:rFonts w:ascii="Courier New" w:hAnsi="Courier New" w:hint="default"/>
      </w:rPr>
    </w:lvl>
    <w:lvl w:ilvl="5" w:tplc="F29CD47E">
      <w:start w:val="1"/>
      <w:numFmt w:val="bullet"/>
      <w:lvlText w:val=""/>
      <w:lvlJc w:val="left"/>
      <w:pPr>
        <w:ind w:left="4320" w:hanging="360"/>
      </w:pPr>
      <w:rPr>
        <w:rFonts w:ascii="Wingdings" w:hAnsi="Wingdings" w:hint="default"/>
      </w:rPr>
    </w:lvl>
    <w:lvl w:ilvl="6" w:tplc="8464693C">
      <w:start w:val="1"/>
      <w:numFmt w:val="bullet"/>
      <w:lvlText w:val=""/>
      <w:lvlJc w:val="left"/>
      <w:pPr>
        <w:ind w:left="5040" w:hanging="360"/>
      </w:pPr>
      <w:rPr>
        <w:rFonts w:ascii="Symbol" w:hAnsi="Symbol" w:hint="default"/>
      </w:rPr>
    </w:lvl>
    <w:lvl w:ilvl="7" w:tplc="B860EC06">
      <w:start w:val="1"/>
      <w:numFmt w:val="bullet"/>
      <w:lvlText w:val="o"/>
      <w:lvlJc w:val="left"/>
      <w:pPr>
        <w:ind w:left="5760" w:hanging="360"/>
      </w:pPr>
      <w:rPr>
        <w:rFonts w:ascii="Courier New" w:hAnsi="Courier New" w:hint="default"/>
      </w:rPr>
    </w:lvl>
    <w:lvl w:ilvl="8" w:tplc="5B28995C">
      <w:start w:val="1"/>
      <w:numFmt w:val="bullet"/>
      <w:lvlText w:val=""/>
      <w:lvlJc w:val="left"/>
      <w:pPr>
        <w:ind w:left="6480" w:hanging="360"/>
      </w:pPr>
      <w:rPr>
        <w:rFonts w:ascii="Wingdings" w:hAnsi="Wingdings" w:hint="default"/>
      </w:rPr>
    </w:lvl>
  </w:abstractNum>
  <w:abstractNum w:abstractNumId="13" w15:restartNumberingAfterBreak="0">
    <w:nsid w:val="40A83E61"/>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386F41"/>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D43C0E"/>
    <w:multiLevelType w:val="hybridMultilevel"/>
    <w:tmpl w:val="39B66584"/>
    <w:lvl w:ilvl="0" w:tplc="CF2EAA0E">
      <w:start w:val="1"/>
      <w:numFmt w:val="decimal"/>
      <w:lvlText w:val="%1."/>
      <w:lvlJc w:val="left"/>
      <w:pPr>
        <w:ind w:left="720" w:hanging="360"/>
      </w:pPr>
    </w:lvl>
    <w:lvl w:ilvl="1" w:tplc="FFFFFFFF">
      <w:start w:val="1"/>
      <w:numFmt w:val="lowerLetter"/>
      <w:lvlText w:val="%2."/>
      <w:lvlJc w:val="left"/>
      <w:pPr>
        <w:ind w:left="1440" w:hanging="360"/>
      </w:pPr>
    </w:lvl>
    <w:lvl w:ilvl="2" w:tplc="BCBE5064">
      <w:start w:val="1"/>
      <w:numFmt w:val="lowerRoman"/>
      <w:lvlText w:val="%3."/>
      <w:lvlJc w:val="right"/>
      <w:pPr>
        <w:ind w:left="2160" w:hanging="180"/>
      </w:pPr>
    </w:lvl>
    <w:lvl w:ilvl="3" w:tplc="6292EAD2">
      <w:start w:val="1"/>
      <w:numFmt w:val="decimal"/>
      <w:lvlText w:val="%4."/>
      <w:lvlJc w:val="left"/>
      <w:pPr>
        <w:ind w:left="2880" w:hanging="360"/>
      </w:pPr>
    </w:lvl>
    <w:lvl w:ilvl="4" w:tplc="0284FA8E">
      <w:start w:val="1"/>
      <w:numFmt w:val="lowerLetter"/>
      <w:lvlText w:val="%5."/>
      <w:lvlJc w:val="left"/>
      <w:pPr>
        <w:ind w:left="3600" w:hanging="360"/>
      </w:pPr>
    </w:lvl>
    <w:lvl w:ilvl="5" w:tplc="D26E8246">
      <w:start w:val="1"/>
      <w:numFmt w:val="lowerRoman"/>
      <w:lvlText w:val="%6."/>
      <w:lvlJc w:val="right"/>
      <w:pPr>
        <w:ind w:left="4320" w:hanging="180"/>
      </w:pPr>
    </w:lvl>
    <w:lvl w:ilvl="6" w:tplc="5F3CD7FE">
      <w:start w:val="1"/>
      <w:numFmt w:val="decimal"/>
      <w:lvlText w:val="%7."/>
      <w:lvlJc w:val="left"/>
      <w:pPr>
        <w:ind w:left="5040" w:hanging="360"/>
      </w:pPr>
    </w:lvl>
    <w:lvl w:ilvl="7" w:tplc="DCB0F6D8">
      <w:start w:val="1"/>
      <w:numFmt w:val="lowerLetter"/>
      <w:lvlText w:val="%8."/>
      <w:lvlJc w:val="left"/>
      <w:pPr>
        <w:ind w:left="5760" w:hanging="360"/>
      </w:pPr>
    </w:lvl>
    <w:lvl w:ilvl="8" w:tplc="65B2ED50">
      <w:start w:val="1"/>
      <w:numFmt w:val="lowerRoman"/>
      <w:lvlText w:val="%9."/>
      <w:lvlJc w:val="right"/>
      <w:pPr>
        <w:ind w:left="6480" w:hanging="180"/>
      </w:pPr>
    </w:lvl>
  </w:abstractNum>
  <w:abstractNum w:abstractNumId="16" w15:restartNumberingAfterBreak="0">
    <w:nsid w:val="4D852318"/>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A9119B"/>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DD60B1"/>
    <w:multiLevelType w:val="hybridMultilevel"/>
    <w:tmpl w:val="692879FA"/>
    <w:lvl w:ilvl="0" w:tplc="063CAD82">
      <w:start w:val="1"/>
      <w:numFmt w:val="decimal"/>
      <w:lvlText w:val="%1."/>
      <w:lvlJc w:val="left"/>
      <w:pPr>
        <w:ind w:left="720" w:hanging="360"/>
      </w:pPr>
    </w:lvl>
    <w:lvl w:ilvl="1" w:tplc="D79400B2">
      <w:start w:val="1"/>
      <w:numFmt w:val="lowerLetter"/>
      <w:lvlText w:val="%2."/>
      <w:lvlJc w:val="left"/>
      <w:pPr>
        <w:ind w:left="1440" w:hanging="360"/>
      </w:pPr>
    </w:lvl>
    <w:lvl w:ilvl="2" w:tplc="1D7CA6C0">
      <w:start w:val="1"/>
      <w:numFmt w:val="lowerRoman"/>
      <w:lvlText w:val="%3."/>
      <w:lvlJc w:val="right"/>
      <w:pPr>
        <w:ind w:left="2160" w:hanging="180"/>
      </w:pPr>
    </w:lvl>
    <w:lvl w:ilvl="3" w:tplc="7D8CCE52">
      <w:start w:val="1"/>
      <w:numFmt w:val="decimal"/>
      <w:lvlText w:val="%4."/>
      <w:lvlJc w:val="left"/>
      <w:pPr>
        <w:ind w:left="2880" w:hanging="360"/>
      </w:pPr>
    </w:lvl>
    <w:lvl w:ilvl="4" w:tplc="A6D8293C">
      <w:start w:val="1"/>
      <w:numFmt w:val="lowerLetter"/>
      <w:lvlText w:val="%5."/>
      <w:lvlJc w:val="left"/>
      <w:pPr>
        <w:ind w:left="3600" w:hanging="360"/>
      </w:pPr>
    </w:lvl>
    <w:lvl w:ilvl="5" w:tplc="4998A038">
      <w:start w:val="1"/>
      <w:numFmt w:val="lowerRoman"/>
      <w:lvlText w:val="%6."/>
      <w:lvlJc w:val="right"/>
      <w:pPr>
        <w:ind w:left="4320" w:hanging="180"/>
      </w:pPr>
    </w:lvl>
    <w:lvl w:ilvl="6" w:tplc="0248FC70">
      <w:start w:val="1"/>
      <w:numFmt w:val="decimal"/>
      <w:lvlText w:val="%7."/>
      <w:lvlJc w:val="left"/>
      <w:pPr>
        <w:ind w:left="5040" w:hanging="360"/>
      </w:pPr>
    </w:lvl>
    <w:lvl w:ilvl="7" w:tplc="FBB85166">
      <w:start w:val="1"/>
      <w:numFmt w:val="lowerLetter"/>
      <w:lvlText w:val="%8."/>
      <w:lvlJc w:val="left"/>
      <w:pPr>
        <w:ind w:left="5760" w:hanging="360"/>
      </w:pPr>
    </w:lvl>
    <w:lvl w:ilvl="8" w:tplc="39829E12">
      <w:start w:val="1"/>
      <w:numFmt w:val="lowerRoman"/>
      <w:lvlText w:val="%9."/>
      <w:lvlJc w:val="right"/>
      <w:pPr>
        <w:ind w:left="6480" w:hanging="180"/>
      </w:pPr>
    </w:lvl>
  </w:abstractNum>
  <w:abstractNum w:abstractNumId="19" w15:restartNumberingAfterBreak="0">
    <w:nsid w:val="4E5C64C5"/>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216C44"/>
    <w:multiLevelType w:val="hybridMultilevel"/>
    <w:tmpl w:val="29924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D1613C"/>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63116F"/>
    <w:multiLevelType w:val="hybridMultilevel"/>
    <w:tmpl w:val="ED14C692"/>
    <w:lvl w:ilvl="0" w:tplc="84702952">
      <w:start w:val="1"/>
      <w:numFmt w:val="decimal"/>
      <w:lvlText w:val="%1."/>
      <w:lvlJc w:val="left"/>
      <w:pPr>
        <w:ind w:left="720" w:hanging="360"/>
      </w:pPr>
    </w:lvl>
    <w:lvl w:ilvl="1" w:tplc="B30425CE">
      <w:start w:val="1"/>
      <w:numFmt w:val="lowerLetter"/>
      <w:lvlText w:val="%2."/>
      <w:lvlJc w:val="left"/>
      <w:pPr>
        <w:ind w:left="1440" w:hanging="360"/>
      </w:pPr>
    </w:lvl>
    <w:lvl w:ilvl="2" w:tplc="B606A66A">
      <w:start w:val="1"/>
      <w:numFmt w:val="lowerRoman"/>
      <w:lvlText w:val="%3."/>
      <w:lvlJc w:val="right"/>
      <w:pPr>
        <w:ind w:left="2160" w:hanging="180"/>
      </w:pPr>
    </w:lvl>
    <w:lvl w:ilvl="3" w:tplc="C110151E">
      <w:start w:val="1"/>
      <w:numFmt w:val="decimal"/>
      <w:lvlText w:val="%4."/>
      <w:lvlJc w:val="left"/>
      <w:pPr>
        <w:ind w:left="2880" w:hanging="360"/>
      </w:pPr>
    </w:lvl>
    <w:lvl w:ilvl="4" w:tplc="667C1FC0">
      <w:start w:val="1"/>
      <w:numFmt w:val="lowerLetter"/>
      <w:lvlText w:val="%5."/>
      <w:lvlJc w:val="left"/>
      <w:pPr>
        <w:ind w:left="3600" w:hanging="360"/>
      </w:pPr>
    </w:lvl>
    <w:lvl w:ilvl="5" w:tplc="4C3C2598">
      <w:start w:val="1"/>
      <w:numFmt w:val="lowerRoman"/>
      <w:lvlText w:val="%6."/>
      <w:lvlJc w:val="right"/>
      <w:pPr>
        <w:ind w:left="4320" w:hanging="180"/>
      </w:pPr>
    </w:lvl>
    <w:lvl w:ilvl="6" w:tplc="AC140A0C">
      <w:start w:val="1"/>
      <w:numFmt w:val="decimal"/>
      <w:lvlText w:val="%7."/>
      <w:lvlJc w:val="left"/>
      <w:pPr>
        <w:ind w:left="5040" w:hanging="360"/>
      </w:pPr>
    </w:lvl>
    <w:lvl w:ilvl="7" w:tplc="AE0C71F2">
      <w:start w:val="1"/>
      <w:numFmt w:val="lowerLetter"/>
      <w:lvlText w:val="%8."/>
      <w:lvlJc w:val="left"/>
      <w:pPr>
        <w:ind w:left="5760" w:hanging="360"/>
      </w:pPr>
    </w:lvl>
    <w:lvl w:ilvl="8" w:tplc="C258423C">
      <w:start w:val="1"/>
      <w:numFmt w:val="lowerRoman"/>
      <w:lvlText w:val="%9."/>
      <w:lvlJc w:val="right"/>
      <w:pPr>
        <w:ind w:left="6480" w:hanging="180"/>
      </w:pPr>
    </w:lvl>
  </w:abstractNum>
  <w:abstractNum w:abstractNumId="23" w15:restartNumberingAfterBreak="0">
    <w:nsid w:val="631864D0"/>
    <w:multiLevelType w:val="hybridMultilevel"/>
    <w:tmpl w:val="8EBC4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87FF2"/>
    <w:multiLevelType w:val="hybridMultilevel"/>
    <w:tmpl w:val="FDF898B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5F30FB"/>
    <w:multiLevelType w:val="hybridMultilevel"/>
    <w:tmpl w:val="7AE05524"/>
    <w:lvl w:ilvl="0" w:tplc="9E2A5474">
      <w:start w:val="1"/>
      <w:numFmt w:val="decimal"/>
      <w:lvlText w:val="%1."/>
      <w:lvlJc w:val="left"/>
      <w:pPr>
        <w:ind w:left="720" w:hanging="360"/>
      </w:pPr>
    </w:lvl>
    <w:lvl w:ilvl="1" w:tplc="5242FEDA">
      <w:start w:val="1"/>
      <w:numFmt w:val="lowerLetter"/>
      <w:lvlText w:val="%2."/>
      <w:lvlJc w:val="left"/>
      <w:pPr>
        <w:ind w:left="1440" w:hanging="360"/>
      </w:pPr>
    </w:lvl>
    <w:lvl w:ilvl="2" w:tplc="B5840638">
      <w:start w:val="1"/>
      <w:numFmt w:val="lowerRoman"/>
      <w:lvlText w:val="%3."/>
      <w:lvlJc w:val="right"/>
      <w:pPr>
        <w:ind w:left="2160" w:hanging="180"/>
      </w:pPr>
    </w:lvl>
    <w:lvl w:ilvl="3" w:tplc="D18ECFAE">
      <w:start w:val="1"/>
      <w:numFmt w:val="decimal"/>
      <w:lvlText w:val="%4."/>
      <w:lvlJc w:val="left"/>
      <w:pPr>
        <w:ind w:left="2880" w:hanging="360"/>
      </w:pPr>
    </w:lvl>
    <w:lvl w:ilvl="4" w:tplc="EBF6BF26">
      <w:start w:val="1"/>
      <w:numFmt w:val="lowerLetter"/>
      <w:lvlText w:val="%5."/>
      <w:lvlJc w:val="left"/>
      <w:pPr>
        <w:ind w:left="3600" w:hanging="360"/>
      </w:pPr>
    </w:lvl>
    <w:lvl w:ilvl="5" w:tplc="CC743522">
      <w:start w:val="1"/>
      <w:numFmt w:val="lowerRoman"/>
      <w:lvlText w:val="%6."/>
      <w:lvlJc w:val="right"/>
      <w:pPr>
        <w:ind w:left="4320" w:hanging="180"/>
      </w:pPr>
    </w:lvl>
    <w:lvl w:ilvl="6" w:tplc="C9AE97BE">
      <w:start w:val="1"/>
      <w:numFmt w:val="decimal"/>
      <w:lvlText w:val="%7."/>
      <w:lvlJc w:val="left"/>
      <w:pPr>
        <w:ind w:left="5040" w:hanging="360"/>
      </w:pPr>
    </w:lvl>
    <w:lvl w:ilvl="7" w:tplc="F30E0910">
      <w:start w:val="1"/>
      <w:numFmt w:val="lowerLetter"/>
      <w:lvlText w:val="%8."/>
      <w:lvlJc w:val="left"/>
      <w:pPr>
        <w:ind w:left="5760" w:hanging="360"/>
      </w:pPr>
    </w:lvl>
    <w:lvl w:ilvl="8" w:tplc="EF24FEA4">
      <w:start w:val="1"/>
      <w:numFmt w:val="lowerRoman"/>
      <w:lvlText w:val="%9."/>
      <w:lvlJc w:val="right"/>
      <w:pPr>
        <w:ind w:left="6480" w:hanging="180"/>
      </w:pPr>
    </w:lvl>
  </w:abstractNum>
  <w:abstractNum w:abstractNumId="26" w15:restartNumberingAfterBreak="0">
    <w:nsid w:val="69FE0629"/>
    <w:multiLevelType w:val="hybridMultilevel"/>
    <w:tmpl w:val="0A7A5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0834F4"/>
    <w:multiLevelType w:val="hybridMultilevel"/>
    <w:tmpl w:val="3AE4A626"/>
    <w:lvl w:ilvl="0" w:tplc="04090011">
      <w:start w:val="1"/>
      <w:numFmt w:val="decimal"/>
      <w:lvlText w:val="%1)"/>
      <w:lvlJc w:val="left"/>
      <w:pPr>
        <w:ind w:left="720" w:hanging="360"/>
      </w:pPr>
      <w:rPr>
        <w:rFonts w:hint="default"/>
      </w:rPr>
    </w:lvl>
    <w:lvl w:ilvl="1" w:tplc="CC2E8AAE">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4CBC567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E46C9"/>
    <w:multiLevelType w:val="hybridMultilevel"/>
    <w:tmpl w:val="A3301B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11"/>
  </w:num>
  <w:num w:numId="4">
    <w:abstractNumId w:val="26"/>
  </w:num>
  <w:num w:numId="5">
    <w:abstractNumId w:val="14"/>
  </w:num>
  <w:num w:numId="6">
    <w:abstractNumId w:val="17"/>
  </w:num>
  <w:num w:numId="7">
    <w:abstractNumId w:val="21"/>
  </w:num>
  <w:num w:numId="8">
    <w:abstractNumId w:val="23"/>
  </w:num>
  <w:num w:numId="9">
    <w:abstractNumId w:val="6"/>
  </w:num>
  <w:num w:numId="10">
    <w:abstractNumId w:val="28"/>
  </w:num>
  <w:num w:numId="11">
    <w:abstractNumId w:val="4"/>
  </w:num>
  <w:num w:numId="12">
    <w:abstractNumId w:val="19"/>
  </w:num>
  <w:num w:numId="13">
    <w:abstractNumId w:val="8"/>
  </w:num>
  <w:num w:numId="14">
    <w:abstractNumId w:val="16"/>
  </w:num>
  <w:num w:numId="15">
    <w:abstractNumId w:val="1"/>
  </w:num>
  <w:num w:numId="16">
    <w:abstractNumId w:val="9"/>
  </w:num>
  <w:num w:numId="17">
    <w:abstractNumId w:val="7"/>
  </w:num>
  <w:num w:numId="18">
    <w:abstractNumId w:val="20"/>
  </w:num>
  <w:num w:numId="19">
    <w:abstractNumId w:val="10"/>
  </w:num>
  <w:num w:numId="20">
    <w:abstractNumId w:val="5"/>
  </w:num>
  <w:num w:numId="21">
    <w:abstractNumId w:val="3"/>
  </w:num>
  <w:num w:numId="22">
    <w:abstractNumId w:val="13"/>
  </w:num>
  <w:num w:numId="23">
    <w:abstractNumId w:val="12"/>
  </w:num>
  <w:num w:numId="24">
    <w:abstractNumId w:val="25"/>
  </w:num>
  <w:num w:numId="25">
    <w:abstractNumId w:val="18"/>
  </w:num>
  <w:num w:numId="26">
    <w:abstractNumId w:val="22"/>
  </w:num>
  <w:num w:numId="27">
    <w:abstractNumId w:val="15"/>
  </w:num>
  <w:num w:numId="28">
    <w:abstractNumId w:val="2"/>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6"/>
    <w:rsid w:val="00000E57"/>
    <w:rsid w:val="00000EEA"/>
    <w:rsid w:val="00006E40"/>
    <w:rsid w:val="000119F1"/>
    <w:rsid w:val="000133A9"/>
    <w:rsid w:val="000149DA"/>
    <w:rsid w:val="00015BD1"/>
    <w:rsid w:val="00015D09"/>
    <w:rsid w:val="00021AFC"/>
    <w:rsid w:val="00023B5A"/>
    <w:rsid w:val="000249E4"/>
    <w:rsid w:val="00027D18"/>
    <w:rsid w:val="00031D57"/>
    <w:rsid w:val="00033468"/>
    <w:rsid w:val="000403AA"/>
    <w:rsid w:val="000403FA"/>
    <w:rsid w:val="00041810"/>
    <w:rsid w:val="000473F3"/>
    <w:rsid w:val="00047A3E"/>
    <w:rsid w:val="00050E90"/>
    <w:rsid w:val="00051518"/>
    <w:rsid w:val="0005159C"/>
    <w:rsid w:val="000522B0"/>
    <w:rsid w:val="0006422C"/>
    <w:rsid w:val="00066A36"/>
    <w:rsid w:val="00066D40"/>
    <w:rsid w:val="00067739"/>
    <w:rsid w:val="00067D3B"/>
    <w:rsid w:val="00074F7A"/>
    <w:rsid w:val="00075687"/>
    <w:rsid w:val="000776AD"/>
    <w:rsid w:val="00086027"/>
    <w:rsid w:val="0008748D"/>
    <w:rsid w:val="00090093"/>
    <w:rsid w:val="0009138F"/>
    <w:rsid w:val="000932BD"/>
    <w:rsid w:val="000932E2"/>
    <w:rsid w:val="00093CEE"/>
    <w:rsid w:val="0009752B"/>
    <w:rsid w:val="000A6F05"/>
    <w:rsid w:val="000A7208"/>
    <w:rsid w:val="000A7C47"/>
    <w:rsid w:val="000B13A9"/>
    <w:rsid w:val="000B182D"/>
    <w:rsid w:val="000B2DF3"/>
    <w:rsid w:val="000B48F9"/>
    <w:rsid w:val="000B64FF"/>
    <w:rsid w:val="000B710B"/>
    <w:rsid w:val="000C07CC"/>
    <w:rsid w:val="000C0AEC"/>
    <w:rsid w:val="000C0CFE"/>
    <w:rsid w:val="000C663D"/>
    <w:rsid w:val="000D1AD9"/>
    <w:rsid w:val="000D24BA"/>
    <w:rsid w:val="000D28EF"/>
    <w:rsid w:val="000D4068"/>
    <w:rsid w:val="000D6ECD"/>
    <w:rsid w:val="000F1491"/>
    <w:rsid w:val="000F3F48"/>
    <w:rsid w:val="000F5557"/>
    <w:rsid w:val="000F596B"/>
    <w:rsid w:val="000F6F65"/>
    <w:rsid w:val="00100818"/>
    <w:rsid w:val="00101D98"/>
    <w:rsid w:val="001042D0"/>
    <w:rsid w:val="00104F5E"/>
    <w:rsid w:val="001060A3"/>
    <w:rsid w:val="0010718F"/>
    <w:rsid w:val="00107578"/>
    <w:rsid w:val="00113C13"/>
    <w:rsid w:val="00113DB8"/>
    <w:rsid w:val="001160E5"/>
    <w:rsid w:val="00117124"/>
    <w:rsid w:val="00121E7C"/>
    <w:rsid w:val="001249E9"/>
    <w:rsid w:val="00124FF1"/>
    <w:rsid w:val="00131E0A"/>
    <w:rsid w:val="00133C08"/>
    <w:rsid w:val="001344F0"/>
    <w:rsid w:val="00137417"/>
    <w:rsid w:val="0013790B"/>
    <w:rsid w:val="00137A9C"/>
    <w:rsid w:val="0014296A"/>
    <w:rsid w:val="00142C40"/>
    <w:rsid w:val="00142EBD"/>
    <w:rsid w:val="0014343C"/>
    <w:rsid w:val="00143B45"/>
    <w:rsid w:val="0014783D"/>
    <w:rsid w:val="00147B22"/>
    <w:rsid w:val="00151071"/>
    <w:rsid w:val="001534EE"/>
    <w:rsid w:val="0016089F"/>
    <w:rsid w:val="00160FBD"/>
    <w:rsid w:val="001631A9"/>
    <w:rsid w:val="00163795"/>
    <w:rsid w:val="00164FA7"/>
    <w:rsid w:val="0016681D"/>
    <w:rsid w:val="00166C29"/>
    <w:rsid w:val="00167CF6"/>
    <w:rsid w:val="001729AE"/>
    <w:rsid w:val="001756B6"/>
    <w:rsid w:val="001759DC"/>
    <w:rsid w:val="00175E71"/>
    <w:rsid w:val="001811CD"/>
    <w:rsid w:val="00184913"/>
    <w:rsid w:val="001901D1"/>
    <w:rsid w:val="0019274D"/>
    <w:rsid w:val="00192F9B"/>
    <w:rsid w:val="00193B31"/>
    <w:rsid w:val="00195D8F"/>
    <w:rsid w:val="00197022"/>
    <w:rsid w:val="00197F4F"/>
    <w:rsid w:val="001A10F8"/>
    <w:rsid w:val="001A41B2"/>
    <w:rsid w:val="001A6337"/>
    <w:rsid w:val="001A749B"/>
    <w:rsid w:val="001B013C"/>
    <w:rsid w:val="001B524B"/>
    <w:rsid w:val="001B52B7"/>
    <w:rsid w:val="001B6807"/>
    <w:rsid w:val="001B72D2"/>
    <w:rsid w:val="001C19AC"/>
    <w:rsid w:val="001C28E8"/>
    <w:rsid w:val="001C2F9B"/>
    <w:rsid w:val="001C6ED2"/>
    <w:rsid w:val="001C7913"/>
    <w:rsid w:val="001D319D"/>
    <w:rsid w:val="001D547F"/>
    <w:rsid w:val="001D609D"/>
    <w:rsid w:val="001D78FA"/>
    <w:rsid w:val="001E0D5D"/>
    <w:rsid w:val="001E73D1"/>
    <w:rsid w:val="001E7559"/>
    <w:rsid w:val="001F0524"/>
    <w:rsid w:val="001F1F3B"/>
    <w:rsid w:val="001F1FEC"/>
    <w:rsid w:val="00200554"/>
    <w:rsid w:val="00202D50"/>
    <w:rsid w:val="00203397"/>
    <w:rsid w:val="00203D6C"/>
    <w:rsid w:val="00205C54"/>
    <w:rsid w:val="0021110D"/>
    <w:rsid w:val="002140ED"/>
    <w:rsid w:val="00217254"/>
    <w:rsid w:val="0021782E"/>
    <w:rsid w:val="00224E98"/>
    <w:rsid w:val="00226354"/>
    <w:rsid w:val="00227922"/>
    <w:rsid w:val="00227AD1"/>
    <w:rsid w:val="00230361"/>
    <w:rsid w:val="00231475"/>
    <w:rsid w:val="00236599"/>
    <w:rsid w:val="0024166E"/>
    <w:rsid w:val="00242383"/>
    <w:rsid w:val="00243913"/>
    <w:rsid w:val="00243C7B"/>
    <w:rsid w:val="00247644"/>
    <w:rsid w:val="00250D82"/>
    <w:rsid w:val="002535F9"/>
    <w:rsid w:val="00253C4A"/>
    <w:rsid w:val="002540A5"/>
    <w:rsid w:val="00254256"/>
    <w:rsid w:val="00256561"/>
    <w:rsid w:val="00257835"/>
    <w:rsid w:val="0026016F"/>
    <w:rsid w:val="00264F5F"/>
    <w:rsid w:val="00266003"/>
    <w:rsid w:val="002716DF"/>
    <w:rsid w:val="00272452"/>
    <w:rsid w:val="0027631B"/>
    <w:rsid w:val="00280964"/>
    <w:rsid w:val="00294908"/>
    <w:rsid w:val="002A00E9"/>
    <w:rsid w:val="002A19BC"/>
    <w:rsid w:val="002A48B2"/>
    <w:rsid w:val="002A64B2"/>
    <w:rsid w:val="002B0F04"/>
    <w:rsid w:val="002B322C"/>
    <w:rsid w:val="002B5149"/>
    <w:rsid w:val="002B7723"/>
    <w:rsid w:val="002C2247"/>
    <w:rsid w:val="002C3FC3"/>
    <w:rsid w:val="002C487B"/>
    <w:rsid w:val="002C51C0"/>
    <w:rsid w:val="002D1177"/>
    <w:rsid w:val="002D144F"/>
    <w:rsid w:val="002D1F24"/>
    <w:rsid w:val="002D297C"/>
    <w:rsid w:val="002D517E"/>
    <w:rsid w:val="002D62EA"/>
    <w:rsid w:val="002D6907"/>
    <w:rsid w:val="002E0ACA"/>
    <w:rsid w:val="002E36BA"/>
    <w:rsid w:val="002E3C4A"/>
    <w:rsid w:val="002F0C06"/>
    <w:rsid w:val="002F18DE"/>
    <w:rsid w:val="002F2139"/>
    <w:rsid w:val="002F2419"/>
    <w:rsid w:val="002F2D2C"/>
    <w:rsid w:val="002F4871"/>
    <w:rsid w:val="002F4C7C"/>
    <w:rsid w:val="002F5698"/>
    <w:rsid w:val="002F7BB9"/>
    <w:rsid w:val="00303930"/>
    <w:rsid w:val="00303C18"/>
    <w:rsid w:val="0030540B"/>
    <w:rsid w:val="00305D44"/>
    <w:rsid w:val="00315EBB"/>
    <w:rsid w:val="00317A8F"/>
    <w:rsid w:val="00320693"/>
    <w:rsid w:val="00320F07"/>
    <w:rsid w:val="00322EA2"/>
    <w:rsid w:val="00324F60"/>
    <w:rsid w:val="00327ACB"/>
    <w:rsid w:val="00330C74"/>
    <w:rsid w:val="00331DCE"/>
    <w:rsid w:val="00332D7B"/>
    <w:rsid w:val="00342E00"/>
    <w:rsid w:val="00345E9F"/>
    <w:rsid w:val="00351B9C"/>
    <w:rsid w:val="0035251A"/>
    <w:rsid w:val="003536C4"/>
    <w:rsid w:val="00353ED0"/>
    <w:rsid w:val="00354E92"/>
    <w:rsid w:val="00360568"/>
    <w:rsid w:val="0036129D"/>
    <w:rsid w:val="00362335"/>
    <w:rsid w:val="003625C0"/>
    <w:rsid w:val="00362A8A"/>
    <w:rsid w:val="00365C27"/>
    <w:rsid w:val="003719EA"/>
    <w:rsid w:val="00373278"/>
    <w:rsid w:val="003750E3"/>
    <w:rsid w:val="0037711F"/>
    <w:rsid w:val="00377F16"/>
    <w:rsid w:val="00386DF1"/>
    <w:rsid w:val="00387123"/>
    <w:rsid w:val="003902F8"/>
    <w:rsid w:val="003920AA"/>
    <w:rsid w:val="003A0580"/>
    <w:rsid w:val="003A0665"/>
    <w:rsid w:val="003A073D"/>
    <w:rsid w:val="003A37AF"/>
    <w:rsid w:val="003A6866"/>
    <w:rsid w:val="003A686C"/>
    <w:rsid w:val="003B3470"/>
    <w:rsid w:val="003B4024"/>
    <w:rsid w:val="003B40AB"/>
    <w:rsid w:val="003B7BC2"/>
    <w:rsid w:val="003C11C4"/>
    <w:rsid w:val="003C7C55"/>
    <w:rsid w:val="003D0506"/>
    <w:rsid w:val="003D317D"/>
    <w:rsid w:val="003D50F1"/>
    <w:rsid w:val="003E0B77"/>
    <w:rsid w:val="003E1C2F"/>
    <w:rsid w:val="003E2737"/>
    <w:rsid w:val="003E6A33"/>
    <w:rsid w:val="003E7F11"/>
    <w:rsid w:val="003F4318"/>
    <w:rsid w:val="003F5205"/>
    <w:rsid w:val="003F5687"/>
    <w:rsid w:val="003F7AC2"/>
    <w:rsid w:val="00400318"/>
    <w:rsid w:val="004011F9"/>
    <w:rsid w:val="00403488"/>
    <w:rsid w:val="00404616"/>
    <w:rsid w:val="004049A9"/>
    <w:rsid w:val="00405E3C"/>
    <w:rsid w:val="00406666"/>
    <w:rsid w:val="00406B6D"/>
    <w:rsid w:val="0041626D"/>
    <w:rsid w:val="004163DE"/>
    <w:rsid w:val="004178A0"/>
    <w:rsid w:val="00417D80"/>
    <w:rsid w:val="00422233"/>
    <w:rsid w:val="00423FB5"/>
    <w:rsid w:val="00433526"/>
    <w:rsid w:val="00437D8A"/>
    <w:rsid w:val="004422EF"/>
    <w:rsid w:val="004438B9"/>
    <w:rsid w:val="00445522"/>
    <w:rsid w:val="0045205B"/>
    <w:rsid w:val="004529B1"/>
    <w:rsid w:val="00452CB2"/>
    <w:rsid w:val="0045337B"/>
    <w:rsid w:val="0045589F"/>
    <w:rsid w:val="004577DC"/>
    <w:rsid w:val="0046121A"/>
    <w:rsid w:val="00463F9E"/>
    <w:rsid w:val="00466417"/>
    <w:rsid w:val="00466B6C"/>
    <w:rsid w:val="0046700F"/>
    <w:rsid w:val="004670F3"/>
    <w:rsid w:val="00477ECF"/>
    <w:rsid w:val="0048486D"/>
    <w:rsid w:val="00494F4D"/>
    <w:rsid w:val="00497A9D"/>
    <w:rsid w:val="004A0D4C"/>
    <w:rsid w:val="004A227B"/>
    <w:rsid w:val="004A2F66"/>
    <w:rsid w:val="004A6017"/>
    <w:rsid w:val="004B0621"/>
    <w:rsid w:val="004B2630"/>
    <w:rsid w:val="004C10A4"/>
    <w:rsid w:val="004C3908"/>
    <w:rsid w:val="004C6F4D"/>
    <w:rsid w:val="004D375A"/>
    <w:rsid w:val="004D77A9"/>
    <w:rsid w:val="004E138C"/>
    <w:rsid w:val="004E60F4"/>
    <w:rsid w:val="004E6A30"/>
    <w:rsid w:val="004F0AA9"/>
    <w:rsid w:val="004F1F57"/>
    <w:rsid w:val="004F58BD"/>
    <w:rsid w:val="004F5AFD"/>
    <w:rsid w:val="004F6A69"/>
    <w:rsid w:val="00502116"/>
    <w:rsid w:val="00503A7E"/>
    <w:rsid w:val="0050650D"/>
    <w:rsid w:val="005110C3"/>
    <w:rsid w:val="00512BA8"/>
    <w:rsid w:val="00514902"/>
    <w:rsid w:val="00517C42"/>
    <w:rsid w:val="0052454B"/>
    <w:rsid w:val="00524DC9"/>
    <w:rsid w:val="005316D2"/>
    <w:rsid w:val="00531E08"/>
    <w:rsid w:val="00532730"/>
    <w:rsid w:val="00533E72"/>
    <w:rsid w:val="005349B2"/>
    <w:rsid w:val="00534DC8"/>
    <w:rsid w:val="005354BE"/>
    <w:rsid w:val="00542997"/>
    <w:rsid w:val="005511A6"/>
    <w:rsid w:val="00551791"/>
    <w:rsid w:val="005544AF"/>
    <w:rsid w:val="0055510F"/>
    <w:rsid w:val="005557E0"/>
    <w:rsid w:val="00556041"/>
    <w:rsid w:val="0055709C"/>
    <w:rsid w:val="00560457"/>
    <w:rsid w:val="00561C73"/>
    <w:rsid w:val="00570A96"/>
    <w:rsid w:val="005710E6"/>
    <w:rsid w:val="0057322F"/>
    <w:rsid w:val="00573898"/>
    <w:rsid w:val="00575A26"/>
    <w:rsid w:val="0057675F"/>
    <w:rsid w:val="00580E95"/>
    <w:rsid w:val="0058451E"/>
    <w:rsid w:val="00584E1D"/>
    <w:rsid w:val="00584FC4"/>
    <w:rsid w:val="00587D7B"/>
    <w:rsid w:val="00587E5D"/>
    <w:rsid w:val="005915E7"/>
    <w:rsid w:val="00591F32"/>
    <w:rsid w:val="00592FD3"/>
    <w:rsid w:val="00593616"/>
    <w:rsid w:val="0059490B"/>
    <w:rsid w:val="005A32A7"/>
    <w:rsid w:val="005A6011"/>
    <w:rsid w:val="005A6FE8"/>
    <w:rsid w:val="005B0B96"/>
    <w:rsid w:val="005B2A4A"/>
    <w:rsid w:val="005B5AF1"/>
    <w:rsid w:val="005B6002"/>
    <w:rsid w:val="005B6077"/>
    <w:rsid w:val="005B6E46"/>
    <w:rsid w:val="005B7BB3"/>
    <w:rsid w:val="005C1C97"/>
    <w:rsid w:val="005D0CCA"/>
    <w:rsid w:val="005D11CD"/>
    <w:rsid w:val="005D1514"/>
    <w:rsid w:val="005D19F6"/>
    <w:rsid w:val="005D2943"/>
    <w:rsid w:val="005D3399"/>
    <w:rsid w:val="005D3B8B"/>
    <w:rsid w:val="005D54BF"/>
    <w:rsid w:val="005D7E61"/>
    <w:rsid w:val="005E3459"/>
    <w:rsid w:val="005E6DF3"/>
    <w:rsid w:val="005E758C"/>
    <w:rsid w:val="005F1BE7"/>
    <w:rsid w:val="005F2A43"/>
    <w:rsid w:val="005F3B28"/>
    <w:rsid w:val="005F5FCF"/>
    <w:rsid w:val="005F7017"/>
    <w:rsid w:val="0060042B"/>
    <w:rsid w:val="006028AC"/>
    <w:rsid w:val="00602ED4"/>
    <w:rsid w:val="00613212"/>
    <w:rsid w:val="00613C98"/>
    <w:rsid w:val="00617932"/>
    <w:rsid w:val="00621321"/>
    <w:rsid w:val="006256F3"/>
    <w:rsid w:val="00625E3C"/>
    <w:rsid w:val="00626F7A"/>
    <w:rsid w:val="006319A7"/>
    <w:rsid w:val="00640527"/>
    <w:rsid w:val="00643706"/>
    <w:rsid w:val="00647463"/>
    <w:rsid w:val="0065096C"/>
    <w:rsid w:val="006514C6"/>
    <w:rsid w:val="0065429B"/>
    <w:rsid w:val="00655A0A"/>
    <w:rsid w:val="00657109"/>
    <w:rsid w:val="00657F6E"/>
    <w:rsid w:val="006603CE"/>
    <w:rsid w:val="0066082A"/>
    <w:rsid w:val="00661EE9"/>
    <w:rsid w:val="0066247F"/>
    <w:rsid w:val="00662C7F"/>
    <w:rsid w:val="00663429"/>
    <w:rsid w:val="00664351"/>
    <w:rsid w:val="00664F81"/>
    <w:rsid w:val="006659B7"/>
    <w:rsid w:val="0067057C"/>
    <w:rsid w:val="00673C2C"/>
    <w:rsid w:val="006740D7"/>
    <w:rsid w:val="00676426"/>
    <w:rsid w:val="00680172"/>
    <w:rsid w:val="00683370"/>
    <w:rsid w:val="00683DE9"/>
    <w:rsid w:val="00690AEE"/>
    <w:rsid w:val="00695C95"/>
    <w:rsid w:val="0069799F"/>
    <w:rsid w:val="00697BBF"/>
    <w:rsid w:val="006A0D28"/>
    <w:rsid w:val="006A1A64"/>
    <w:rsid w:val="006A1C18"/>
    <w:rsid w:val="006A2838"/>
    <w:rsid w:val="006A2A33"/>
    <w:rsid w:val="006A3B28"/>
    <w:rsid w:val="006A4FD8"/>
    <w:rsid w:val="006B1D3D"/>
    <w:rsid w:val="006B5478"/>
    <w:rsid w:val="006B55C1"/>
    <w:rsid w:val="006B6C72"/>
    <w:rsid w:val="006B7D74"/>
    <w:rsid w:val="006C46C9"/>
    <w:rsid w:val="006C5F71"/>
    <w:rsid w:val="006C6DA9"/>
    <w:rsid w:val="006C7B87"/>
    <w:rsid w:val="006D15D3"/>
    <w:rsid w:val="006D1C3D"/>
    <w:rsid w:val="006D739C"/>
    <w:rsid w:val="006E073E"/>
    <w:rsid w:val="006F19EC"/>
    <w:rsid w:val="006F3696"/>
    <w:rsid w:val="006F3A99"/>
    <w:rsid w:val="006F440F"/>
    <w:rsid w:val="006F4BCA"/>
    <w:rsid w:val="006F7EF8"/>
    <w:rsid w:val="0070753A"/>
    <w:rsid w:val="00711F2C"/>
    <w:rsid w:val="00714B01"/>
    <w:rsid w:val="00714DF0"/>
    <w:rsid w:val="00715D0C"/>
    <w:rsid w:val="00717402"/>
    <w:rsid w:val="00727C31"/>
    <w:rsid w:val="00730E0B"/>
    <w:rsid w:val="00732914"/>
    <w:rsid w:val="00734FFA"/>
    <w:rsid w:val="007449EF"/>
    <w:rsid w:val="00744C6E"/>
    <w:rsid w:val="00746CD4"/>
    <w:rsid w:val="00747A9A"/>
    <w:rsid w:val="007537A0"/>
    <w:rsid w:val="007563BC"/>
    <w:rsid w:val="007627CF"/>
    <w:rsid w:val="00763F45"/>
    <w:rsid w:val="00767DFD"/>
    <w:rsid w:val="00770BE7"/>
    <w:rsid w:val="00771896"/>
    <w:rsid w:val="007736FE"/>
    <w:rsid w:val="007753D0"/>
    <w:rsid w:val="00775905"/>
    <w:rsid w:val="00775D3D"/>
    <w:rsid w:val="007775C7"/>
    <w:rsid w:val="00777BD5"/>
    <w:rsid w:val="007803AD"/>
    <w:rsid w:val="0078262C"/>
    <w:rsid w:val="00782986"/>
    <w:rsid w:val="007876AA"/>
    <w:rsid w:val="00787AC5"/>
    <w:rsid w:val="00790639"/>
    <w:rsid w:val="00792038"/>
    <w:rsid w:val="00792419"/>
    <w:rsid w:val="00794C91"/>
    <w:rsid w:val="00796898"/>
    <w:rsid w:val="00796A15"/>
    <w:rsid w:val="007A5035"/>
    <w:rsid w:val="007A7F06"/>
    <w:rsid w:val="007B3300"/>
    <w:rsid w:val="007C1127"/>
    <w:rsid w:val="007C17A7"/>
    <w:rsid w:val="007C1A34"/>
    <w:rsid w:val="007C3A48"/>
    <w:rsid w:val="007C5EF9"/>
    <w:rsid w:val="007D35A7"/>
    <w:rsid w:val="007D3AAF"/>
    <w:rsid w:val="007D5827"/>
    <w:rsid w:val="007D677E"/>
    <w:rsid w:val="007E335C"/>
    <w:rsid w:val="007E4F06"/>
    <w:rsid w:val="007E6CE7"/>
    <w:rsid w:val="007F037F"/>
    <w:rsid w:val="007F0826"/>
    <w:rsid w:val="007F72A0"/>
    <w:rsid w:val="0080009E"/>
    <w:rsid w:val="00801B6C"/>
    <w:rsid w:val="00803E85"/>
    <w:rsid w:val="00805E13"/>
    <w:rsid w:val="00810884"/>
    <w:rsid w:val="008113E5"/>
    <w:rsid w:val="00811904"/>
    <w:rsid w:val="008131FF"/>
    <w:rsid w:val="00814921"/>
    <w:rsid w:val="00815839"/>
    <w:rsid w:val="00817F06"/>
    <w:rsid w:val="0082212A"/>
    <w:rsid w:val="00822EAB"/>
    <w:rsid w:val="008243E4"/>
    <w:rsid w:val="00835554"/>
    <w:rsid w:val="00837951"/>
    <w:rsid w:val="00841B62"/>
    <w:rsid w:val="00844369"/>
    <w:rsid w:val="008445D4"/>
    <w:rsid w:val="00844B27"/>
    <w:rsid w:val="00846114"/>
    <w:rsid w:val="00847DCD"/>
    <w:rsid w:val="0085302F"/>
    <w:rsid w:val="008544F0"/>
    <w:rsid w:val="00855C82"/>
    <w:rsid w:val="008572FA"/>
    <w:rsid w:val="00862C5A"/>
    <w:rsid w:val="00864B0A"/>
    <w:rsid w:val="008656B0"/>
    <w:rsid w:val="00865D70"/>
    <w:rsid w:val="00867478"/>
    <w:rsid w:val="00870492"/>
    <w:rsid w:val="0087248C"/>
    <w:rsid w:val="008744B2"/>
    <w:rsid w:val="008755B0"/>
    <w:rsid w:val="00875EE4"/>
    <w:rsid w:val="00881E1C"/>
    <w:rsid w:val="00882A4C"/>
    <w:rsid w:val="00883D24"/>
    <w:rsid w:val="008842B9"/>
    <w:rsid w:val="0088440D"/>
    <w:rsid w:val="008844AE"/>
    <w:rsid w:val="00885B1E"/>
    <w:rsid w:val="00885CC7"/>
    <w:rsid w:val="00885F15"/>
    <w:rsid w:val="00887FA8"/>
    <w:rsid w:val="008907F4"/>
    <w:rsid w:val="00890869"/>
    <w:rsid w:val="008908AE"/>
    <w:rsid w:val="00893D69"/>
    <w:rsid w:val="008A6DAD"/>
    <w:rsid w:val="008A7402"/>
    <w:rsid w:val="008B06DF"/>
    <w:rsid w:val="008B1C08"/>
    <w:rsid w:val="008B4DD3"/>
    <w:rsid w:val="008B5BE6"/>
    <w:rsid w:val="008B79FF"/>
    <w:rsid w:val="008C1929"/>
    <w:rsid w:val="008C20CE"/>
    <w:rsid w:val="008D0191"/>
    <w:rsid w:val="008D3A98"/>
    <w:rsid w:val="008E45E1"/>
    <w:rsid w:val="008F02E0"/>
    <w:rsid w:val="008F07FF"/>
    <w:rsid w:val="008F09B7"/>
    <w:rsid w:val="008F0FAB"/>
    <w:rsid w:val="008F22BB"/>
    <w:rsid w:val="008F2C0C"/>
    <w:rsid w:val="008F490D"/>
    <w:rsid w:val="008F559C"/>
    <w:rsid w:val="008F6D55"/>
    <w:rsid w:val="008F7975"/>
    <w:rsid w:val="00902065"/>
    <w:rsid w:val="0090738A"/>
    <w:rsid w:val="00907727"/>
    <w:rsid w:val="0091029D"/>
    <w:rsid w:val="009107F5"/>
    <w:rsid w:val="0091176B"/>
    <w:rsid w:val="009123A5"/>
    <w:rsid w:val="00913DA1"/>
    <w:rsid w:val="009146C4"/>
    <w:rsid w:val="00916C3E"/>
    <w:rsid w:val="00921C40"/>
    <w:rsid w:val="0092216D"/>
    <w:rsid w:val="00922C0C"/>
    <w:rsid w:val="00926A9C"/>
    <w:rsid w:val="009274BB"/>
    <w:rsid w:val="00927BB9"/>
    <w:rsid w:val="00927D77"/>
    <w:rsid w:val="009313D7"/>
    <w:rsid w:val="0093192E"/>
    <w:rsid w:val="009319FE"/>
    <w:rsid w:val="00931A7C"/>
    <w:rsid w:val="009412FB"/>
    <w:rsid w:val="00941B2B"/>
    <w:rsid w:val="00943820"/>
    <w:rsid w:val="00943B34"/>
    <w:rsid w:val="00945D97"/>
    <w:rsid w:val="00946DF0"/>
    <w:rsid w:val="009478DE"/>
    <w:rsid w:val="00951478"/>
    <w:rsid w:val="00957CB1"/>
    <w:rsid w:val="00963060"/>
    <w:rsid w:val="0096515A"/>
    <w:rsid w:val="00967387"/>
    <w:rsid w:val="009715A1"/>
    <w:rsid w:val="0097209E"/>
    <w:rsid w:val="00974F8E"/>
    <w:rsid w:val="009769C3"/>
    <w:rsid w:val="00976BEE"/>
    <w:rsid w:val="00980E10"/>
    <w:rsid w:val="0098456B"/>
    <w:rsid w:val="00985EEF"/>
    <w:rsid w:val="00990334"/>
    <w:rsid w:val="009910C7"/>
    <w:rsid w:val="00993F4E"/>
    <w:rsid w:val="009A15EE"/>
    <w:rsid w:val="009A27BF"/>
    <w:rsid w:val="009A740A"/>
    <w:rsid w:val="009B18B5"/>
    <w:rsid w:val="009B3D99"/>
    <w:rsid w:val="009B3FB4"/>
    <w:rsid w:val="009B5398"/>
    <w:rsid w:val="009B5D1C"/>
    <w:rsid w:val="009B6330"/>
    <w:rsid w:val="009B6AC0"/>
    <w:rsid w:val="009B7DCB"/>
    <w:rsid w:val="009C16E8"/>
    <w:rsid w:val="009D06A2"/>
    <w:rsid w:val="009D18E7"/>
    <w:rsid w:val="009D378F"/>
    <w:rsid w:val="009D5A40"/>
    <w:rsid w:val="009D6650"/>
    <w:rsid w:val="009D78FD"/>
    <w:rsid w:val="009E0509"/>
    <w:rsid w:val="009E0807"/>
    <w:rsid w:val="009E16BD"/>
    <w:rsid w:val="009E2284"/>
    <w:rsid w:val="009F4834"/>
    <w:rsid w:val="009F62FC"/>
    <w:rsid w:val="009F6B3E"/>
    <w:rsid w:val="009F790A"/>
    <w:rsid w:val="00A0171F"/>
    <w:rsid w:val="00A01D4E"/>
    <w:rsid w:val="00A06D28"/>
    <w:rsid w:val="00A06EFD"/>
    <w:rsid w:val="00A1443D"/>
    <w:rsid w:val="00A16C0D"/>
    <w:rsid w:val="00A20CBF"/>
    <w:rsid w:val="00A20E21"/>
    <w:rsid w:val="00A21304"/>
    <w:rsid w:val="00A21EA5"/>
    <w:rsid w:val="00A23161"/>
    <w:rsid w:val="00A233B3"/>
    <w:rsid w:val="00A24562"/>
    <w:rsid w:val="00A25BF4"/>
    <w:rsid w:val="00A25C63"/>
    <w:rsid w:val="00A264AC"/>
    <w:rsid w:val="00A30EF2"/>
    <w:rsid w:val="00A3378F"/>
    <w:rsid w:val="00A364AD"/>
    <w:rsid w:val="00A40A54"/>
    <w:rsid w:val="00A4243B"/>
    <w:rsid w:val="00A42DF1"/>
    <w:rsid w:val="00A462F1"/>
    <w:rsid w:val="00A479CD"/>
    <w:rsid w:val="00A523A8"/>
    <w:rsid w:val="00A52FCF"/>
    <w:rsid w:val="00A5502F"/>
    <w:rsid w:val="00A672D1"/>
    <w:rsid w:val="00A8360B"/>
    <w:rsid w:val="00A87991"/>
    <w:rsid w:val="00A90892"/>
    <w:rsid w:val="00A93EE2"/>
    <w:rsid w:val="00A95F00"/>
    <w:rsid w:val="00A9638E"/>
    <w:rsid w:val="00AA1291"/>
    <w:rsid w:val="00AA6591"/>
    <w:rsid w:val="00AA7706"/>
    <w:rsid w:val="00AB04C8"/>
    <w:rsid w:val="00AB10CD"/>
    <w:rsid w:val="00AB1910"/>
    <w:rsid w:val="00AB2F62"/>
    <w:rsid w:val="00AB6A3F"/>
    <w:rsid w:val="00AC29F1"/>
    <w:rsid w:val="00AC3BAF"/>
    <w:rsid w:val="00AC4D68"/>
    <w:rsid w:val="00AD6B14"/>
    <w:rsid w:val="00AD719E"/>
    <w:rsid w:val="00AD7840"/>
    <w:rsid w:val="00AE1E1C"/>
    <w:rsid w:val="00AE33EC"/>
    <w:rsid w:val="00AE4171"/>
    <w:rsid w:val="00AE4E69"/>
    <w:rsid w:val="00AE504D"/>
    <w:rsid w:val="00AF04D1"/>
    <w:rsid w:val="00AF2AD3"/>
    <w:rsid w:val="00AF519E"/>
    <w:rsid w:val="00AF59A2"/>
    <w:rsid w:val="00AF6700"/>
    <w:rsid w:val="00B01D29"/>
    <w:rsid w:val="00B05633"/>
    <w:rsid w:val="00B07431"/>
    <w:rsid w:val="00B10D2B"/>
    <w:rsid w:val="00B1392C"/>
    <w:rsid w:val="00B1611D"/>
    <w:rsid w:val="00B171D0"/>
    <w:rsid w:val="00B2363A"/>
    <w:rsid w:val="00B23E28"/>
    <w:rsid w:val="00B264BC"/>
    <w:rsid w:val="00B26ADB"/>
    <w:rsid w:val="00B302C4"/>
    <w:rsid w:val="00B30C27"/>
    <w:rsid w:val="00B3116A"/>
    <w:rsid w:val="00B317E5"/>
    <w:rsid w:val="00B333AB"/>
    <w:rsid w:val="00B353E2"/>
    <w:rsid w:val="00B37427"/>
    <w:rsid w:val="00B41128"/>
    <w:rsid w:val="00B42623"/>
    <w:rsid w:val="00B43D7F"/>
    <w:rsid w:val="00B45304"/>
    <w:rsid w:val="00B539D3"/>
    <w:rsid w:val="00B561D5"/>
    <w:rsid w:val="00B60274"/>
    <w:rsid w:val="00B603AB"/>
    <w:rsid w:val="00B61A98"/>
    <w:rsid w:val="00B6329A"/>
    <w:rsid w:val="00B6347E"/>
    <w:rsid w:val="00B6480B"/>
    <w:rsid w:val="00B64BDE"/>
    <w:rsid w:val="00B650B6"/>
    <w:rsid w:val="00B670B5"/>
    <w:rsid w:val="00B67E0E"/>
    <w:rsid w:val="00B70F01"/>
    <w:rsid w:val="00B72C11"/>
    <w:rsid w:val="00B73736"/>
    <w:rsid w:val="00B754F4"/>
    <w:rsid w:val="00B81D1E"/>
    <w:rsid w:val="00B8321B"/>
    <w:rsid w:val="00B8630A"/>
    <w:rsid w:val="00B943EF"/>
    <w:rsid w:val="00B94E1C"/>
    <w:rsid w:val="00B97974"/>
    <w:rsid w:val="00B97C10"/>
    <w:rsid w:val="00BA0AA6"/>
    <w:rsid w:val="00BA2865"/>
    <w:rsid w:val="00BA41E3"/>
    <w:rsid w:val="00BA6968"/>
    <w:rsid w:val="00BA6ABB"/>
    <w:rsid w:val="00BA7F23"/>
    <w:rsid w:val="00BB19C6"/>
    <w:rsid w:val="00BB686D"/>
    <w:rsid w:val="00BB79A4"/>
    <w:rsid w:val="00BC35A8"/>
    <w:rsid w:val="00BC40B0"/>
    <w:rsid w:val="00BC602D"/>
    <w:rsid w:val="00BC636D"/>
    <w:rsid w:val="00BC6FC1"/>
    <w:rsid w:val="00BC7D3D"/>
    <w:rsid w:val="00BD16C2"/>
    <w:rsid w:val="00BD66EC"/>
    <w:rsid w:val="00BD7195"/>
    <w:rsid w:val="00BE04C7"/>
    <w:rsid w:val="00BE0BA4"/>
    <w:rsid w:val="00BE2AA1"/>
    <w:rsid w:val="00BE39E6"/>
    <w:rsid w:val="00BE6893"/>
    <w:rsid w:val="00BE6900"/>
    <w:rsid w:val="00BE7DE9"/>
    <w:rsid w:val="00BF50E0"/>
    <w:rsid w:val="00BF6B54"/>
    <w:rsid w:val="00BF6F56"/>
    <w:rsid w:val="00C00D4A"/>
    <w:rsid w:val="00C02B68"/>
    <w:rsid w:val="00C03810"/>
    <w:rsid w:val="00C046B7"/>
    <w:rsid w:val="00C121B5"/>
    <w:rsid w:val="00C23D17"/>
    <w:rsid w:val="00C2679D"/>
    <w:rsid w:val="00C27327"/>
    <w:rsid w:val="00C32322"/>
    <w:rsid w:val="00C356BD"/>
    <w:rsid w:val="00C3586D"/>
    <w:rsid w:val="00C4103A"/>
    <w:rsid w:val="00C41225"/>
    <w:rsid w:val="00C46C21"/>
    <w:rsid w:val="00C47D8B"/>
    <w:rsid w:val="00C515F3"/>
    <w:rsid w:val="00C568CE"/>
    <w:rsid w:val="00C60066"/>
    <w:rsid w:val="00C657B2"/>
    <w:rsid w:val="00C72FF6"/>
    <w:rsid w:val="00C77797"/>
    <w:rsid w:val="00C81883"/>
    <w:rsid w:val="00C840DC"/>
    <w:rsid w:val="00C85271"/>
    <w:rsid w:val="00C90031"/>
    <w:rsid w:val="00C91FDF"/>
    <w:rsid w:val="00C92602"/>
    <w:rsid w:val="00C963C3"/>
    <w:rsid w:val="00C96A7B"/>
    <w:rsid w:val="00CA274A"/>
    <w:rsid w:val="00CA3F16"/>
    <w:rsid w:val="00CA3F3C"/>
    <w:rsid w:val="00CB269D"/>
    <w:rsid w:val="00CB2EB8"/>
    <w:rsid w:val="00CB41F3"/>
    <w:rsid w:val="00CB4E47"/>
    <w:rsid w:val="00CB7A9A"/>
    <w:rsid w:val="00CC1367"/>
    <w:rsid w:val="00CC5B87"/>
    <w:rsid w:val="00CC7CA2"/>
    <w:rsid w:val="00CD001A"/>
    <w:rsid w:val="00CD3A56"/>
    <w:rsid w:val="00CE0728"/>
    <w:rsid w:val="00CE35CE"/>
    <w:rsid w:val="00CE5FE8"/>
    <w:rsid w:val="00CF06EA"/>
    <w:rsid w:val="00CF4111"/>
    <w:rsid w:val="00CF78BC"/>
    <w:rsid w:val="00CF7B5B"/>
    <w:rsid w:val="00D04212"/>
    <w:rsid w:val="00D05B69"/>
    <w:rsid w:val="00D10FAC"/>
    <w:rsid w:val="00D12068"/>
    <w:rsid w:val="00D15ED3"/>
    <w:rsid w:val="00D23A7A"/>
    <w:rsid w:val="00D243AF"/>
    <w:rsid w:val="00D26552"/>
    <w:rsid w:val="00D31EED"/>
    <w:rsid w:val="00D35420"/>
    <w:rsid w:val="00D4144F"/>
    <w:rsid w:val="00D43144"/>
    <w:rsid w:val="00D43596"/>
    <w:rsid w:val="00D51844"/>
    <w:rsid w:val="00D52EEC"/>
    <w:rsid w:val="00D5475F"/>
    <w:rsid w:val="00D54B3E"/>
    <w:rsid w:val="00D5542B"/>
    <w:rsid w:val="00D55BC1"/>
    <w:rsid w:val="00D56626"/>
    <w:rsid w:val="00D6186A"/>
    <w:rsid w:val="00D623A8"/>
    <w:rsid w:val="00D70CB3"/>
    <w:rsid w:val="00D72D78"/>
    <w:rsid w:val="00D752C2"/>
    <w:rsid w:val="00D7621D"/>
    <w:rsid w:val="00D77799"/>
    <w:rsid w:val="00D77D1D"/>
    <w:rsid w:val="00D80258"/>
    <w:rsid w:val="00D84439"/>
    <w:rsid w:val="00D844EC"/>
    <w:rsid w:val="00D871EE"/>
    <w:rsid w:val="00D90BB5"/>
    <w:rsid w:val="00D947DC"/>
    <w:rsid w:val="00D9485E"/>
    <w:rsid w:val="00DA1ADA"/>
    <w:rsid w:val="00DA2812"/>
    <w:rsid w:val="00DA2FF3"/>
    <w:rsid w:val="00DA530D"/>
    <w:rsid w:val="00DA6A9F"/>
    <w:rsid w:val="00DA7231"/>
    <w:rsid w:val="00DA7DD9"/>
    <w:rsid w:val="00DB2529"/>
    <w:rsid w:val="00DB27E3"/>
    <w:rsid w:val="00DB61AC"/>
    <w:rsid w:val="00DC6C8D"/>
    <w:rsid w:val="00DD0262"/>
    <w:rsid w:val="00DD158E"/>
    <w:rsid w:val="00DD1590"/>
    <w:rsid w:val="00DD3A85"/>
    <w:rsid w:val="00DD6437"/>
    <w:rsid w:val="00DD74A1"/>
    <w:rsid w:val="00DE17B3"/>
    <w:rsid w:val="00DE196E"/>
    <w:rsid w:val="00DE210E"/>
    <w:rsid w:val="00DE737B"/>
    <w:rsid w:val="00DF1B82"/>
    <w:rsid w:val="00DF632C"/>
    <w:rsid w:val="00DF6403"/>
    <w:rsid w:val="00DF6FA2"/>
    <w:rsid w:val="00E014C5"/>
    <w:rsid w:val="00E05264"/>
    <w:rsid w:val="00E06789"/>
    <w:rsid w:val="00E101F3"/>
    <w:rsid w:val="00E11CA3"/>
    <w:rsid w:val="00E134BB"/>
    <w:rsid w:val="00E14421"/>
    <w:rsid w:val="00E20D25"/>
    <w:rsid w:val="00E22B32"/>
    <w:rsid w:val="00E24FD3"/>
    <w:rsid w:val="00E27A34"/>
    <w:rsid w:val="00E335B9"/>
    <w:rsid w:val="00E3676A"/>
    <w:rsid w:val="00E36B1A"/>
    <w:rsid w:val="00E37C25"/>
    <w:rsid w:val="00E41516"/>
    <w:rsid w:val="00E44518"/>
    <w:rsid w:val="00E44CE6"/>
    <w:rsid w:val="00E471D8"/>
    <w:rsid w:val="00E503EA"/>
    <w:rsid w:val="00E50856"/>
    <w:rsid w:val="00E5258C"/>
    <w:rsid w:val="00E54307"/>
    <w:rsid w:val="00E60C9B"/>
    <w:rsid w:val="00E6544A"/>
    <w:rsid w:val="00E66A48"/>
    <w:rsid w:val="00E66CA9"/>
    <w:rsid w:val="00E703B9"/>
    <w:rsid w:val="00E7439E"/>
    <w:rsid w:val="00E7569C"/>
    <w:rsid w:val="00E77318"/>
    <w:rsid w:val="00E842DD"/>
    <w:rsid w:val="00E85B53"/>
    <w:rsid w:val="00E869F9"/>
    <w:rsid w:val="00E904AE"/>
    <w:rsid w:val="00E90BA1"/>
    <w:rsid w:val="00E92231"/>
    <w:rsid w:val="00E93680"/>
    <w:rsid w:val="00E9377D"/>
    <w:rsid w:val="00E970F6"/>
    <w:rsid w:val="00E97312"/>
    <w:rsid w:val="00EA0FF0"/>
    <w:rsid w:val="00EA1598"/>
    <w:rsid w:val="00EA1649"/>
    <w:rsid w:val="00EA79A9"/>
    <w:rsid w:val="00EA7EDF"/>
    <w:rsid w:val="00EB444B"/>
    <w:rsid w:val="00EB6810"/>
    <w:rsid w:val="00EB7811"/>
    <w:rsid w:val="00EB7DAD"/>
    <w:rsid w:val="00EC06B9"/>
    <w:rsid w:val="00EC0934"/>
    <w:rsid w:val="00EC0CED"/>
    <w:rsid w:val="00EC3341"/>
    <w:rsid w:val="00ED1A8B"/>
    <w:rsid w:val="00ED442A"/>
    <w:rsid w:val="00ED5D9D"/>
    <w:rsid w:val="00EE40DE"/>
    <w:rsid w:val="00EE4BB0"/>
    <w:rsid w:val="00EE7545"/>
    <w:rsid w:val="00EF0B14"/>
    <w:rsid w:val="00EF6A30"/>
    <w:rsid w:val="00EF761E"/>
    <w:rsid w:val="00F01668"/>
    <w:rsid w:val="00F06CE8"/>
    <w:rsid w:val="00F104B7"/>
    <w:rsid w:val="00F108DD"/>
    <w:rsid w:val="00F12F5A"/>
    <w:rsid w:val="00F14687"/>
    <w:rsid w:val="00F14E2B"/>
    <w:rsid w:val="00F16C7C"/>
    <w:rsid w:val="00F21EF0"/>
    <w:rsid w:val="00F2605E"/>
    <w:rsid w:val="00F27D98"/>
    <w:rsid w:val="00F3406B"/>
    <w:rsid w:val="00F412A2"/>
    <w:rsid w:val="00F42A51"/>
    <w:rsid w:val="00F501D9"/>
    <w:rsid w:val="00F51176"/>
    <w:rsid w:val="00F5199D"/>
    <w:rsid w:val="00F51D3E"/>
    <w:rsid w:val="00F55054"/>
    <w:rsid w:val="00F56209"/>
    <w:rsid w:val="00F571D6"/>
    <w:rsid w:val="00F57E6D"/>
    <w:rsid w:val="00F63B44"/>
    <w:rsid w:val="00F6491C"/>
    <w:rsid w:val="00F65911"/>
    <w:rsid w:val="00F660FF"/>
    <w:rsid w:val="00F677DD"/>
    <w:rsid w:val="00F67A41"/>
    <w:rsid w:val="00F71AE0"/>
    <w:rsid w:val="00F72E25"/>
    <w:rsid w:val="00F73756"/>
    <w:rsid w:val="00F7538A"/>
    <w:rsid w:val="00F82696"/>
    <w:rsid w:val="00F83067"/>
    <w:rsid w:val="00F83CAB"/>
    <w:rsid w:val="00F845B4"/>
    <w:rsid w:val="00F8461E"/>
    <w:rsid w:val="00F852DD"/>
    <w:rsid w:val="00F865AC"/>
    <w:rsid w:val="00F86E79"/>
    <w:rsid w:val="00F87C3F"/>
    <w:rsid w:val="00F87D0C"/>
    <w:rsid w:val="00F90C62"/>
    <w:rsid w:val="00F91FCF"/>
    <w:rsid w:val="00F926AF"/>
    <w:rsid w:val="00F96DD1"/>
    <w:rsid w:val="00FA26C6"/>
    <w:rsid w:val="00FA343D"/>
    <w:rsid w:val="00FA40B1"/>
    <w:rsid w:val="00FA43C2"/>
    <w:rsid w:val="00FA7C58"/>
    <w:rsid w:val="00FB0FD0"/>
    <w:rsid w:val="00FB1981"/>
    <w:rsid w:val="00FB3926"/>
    <w:rsid w:val="00FB4157"/>
    <w:rsid w:val="00FB54E9"/>
    <w:rsid w:val="00FC1802"/>
    <w:rsid w:val="00FC2365"/>
    <w:rsid w:val="00FE0996"/>
    <w:rsid w:val="00FE0EDF"/>
    <w:rsid w:val="00FE3460"/>
    <w:rsid w:val="00FF39E4"/>
    <w:rsid w:val="00FF4A8D"/>
    <w:rsid w:val="00FF6ED4"/>
    <w:rsid w:val="00FF7179"/>
    <w:rsid w:val="00FF7370"/>
    <w:rsid w:val="013A3383"/>
    <w:rsid w:val="021B9DF4"/>
    <w:rsid w:val="04F6176D"/>
    <w:rsid w:val="07C8C843"/>
    <w:rsid w:val="080D26D1"/>
    <w:rsid w:val="0839E2ED"/>
    <w:rsid w:val="0941D13A"/>
    <w:rsid w:val="094C30E6"/>
    <w:rsid w:val="0997ED31"/>
    <w:rsid w:val="0A555502"/>
    <w:rsid w:val="0AA94469"/>
    <w:rsid w:val="0AAD1E7C"/>
    <w:rsid w:val="0B4B959D"/>
    <w:rsid w:val="0EB1AFA4"/>
    <w:rsid w:val="0F494971"/>
    <w:rsid w:val="0FFC6E77"/>
    <w:rsid w:val="118819E2"/>
    <w:rsid w:val="11B4B57A"/>
    <w:rsid w:val="11BAC136"/>
    <w:rsid w:val="12CC1902"/>
    <w:rsid w:val="1337C39B"/>
    <w:rsid w:val="1627BB20"/>
    <w:rsid w:val="165B5D33"/>
    <w:rsid w:val="16853DA0"/>
    <w:rsid w:val="17EA0CC8"/>
    <w:rsid w:val="183E9FE6"/>
    <w:rsid w:val="18BD7119"/>
    <w:rsid w:val="19E49C69"/>
    <w:rsid w:val="1A8F948C"/>
    <w:rsid w:val="1AF9944C"/>
    <w:rsid w:val="1B31F9FD"/>
    <w:rsid w:val="1B407970"/>
    <w:rsid w:val="1C6108CA"/>
    <w:rsid w:val="1C86ABB6"/>
    <w:rsid w:val="1DB0FA23"/>
    <w:rsid w:val="1FD2463D"/>
    <w:rsid w:val="200EAA52"/>
    <w:rsid w:val="20127B4D"/>
    <w:rsid w:val="20DB0889"/>
    <w:rsid w:val="20E92171"/>
    <w:rsid w:val="22022C60"/>
    <w:rsid w:val="22176F45"/>
    <w:rsid w:val="22963A4A"/>
    <w:rsid w:val="238993CD"/>
    <w:rsid w:val="2395FDC7"/>
    <w:rsid w:val="2594D2FF"/>
    <w:rsid w:val="26295DE1"/>
    <w:rsid w:val="269ECCC0"/>
    <w:rsid w:val="27AA522A"/>
    <w:rsid w:val="28292036"/>
    <w:rsid w:val="28BA92E4"/>
    <w:rsid w:val="2A7CC68B"/>
    <w:rsid w:val="2AD9C23A"/>
    <w:rsid w:val="2AF1FE76"/>
    <w:rsid w:val="2B0639F4"/>
    <w:rsid w:val="2C491AD2"/>
    <w:rsid w:val="2EFCFF77"/>
    <w:rsid w:val="314D44CD"/>
    <w:rsid w:val="328A9498"/>
    <w:rsid w:val="33AED5D5"/>
    <w:rsid w:val="3434E6C1"/>
    <w:rsid w:val="3686CE41"/>
    <w:rsid w:val="36965B47"/>
    <w:rsid w:val="37B48CBD"/>
    <w:rsid w:val="37ECBF3D"/>
    <w:rsid w:val="38897701"/>
    <w:rsid w:val="38ED1E7A"/>
    <w:rsid w:val="3BE24386"/>
    <w:rsid w:val="3C447A06"/>
    <w:rsid w:val="3D4A39F3"/>
    <w:rsid w:val="3F1D8E55"/>
    <w:rsid w:val="40EB4C2F"/>
    <w:rsid w:val="417B4227"/>
    <w:rsid w:val="43A4D69A"/>
    <w:rsid w:val="46E82C3B"/>
    <w:rsid w:val="4713E6E3"/>
    <w:rsid w:val="47286291"/>
    <w:rsid w:val="475645B1"/>
    <w:rsid w:val="4868C51A"/>
    <w:rsid w:val="4AEBE11C"/>
    <w:rsid w:val="4D9603CC"/>
    <w:rsid w:val="4E31155B"/>
    <w:rsid w:val="511083DE"/>
    <w:rsid w:val="516A8CA5"/>
    <w:rsid w:val="519937F1"/>
    <w:rsid w:val="53480B50"/>
    <w:rsid w:val="536B5003"/>
    <w:rsid w:val="53D692C4"/>
    <w:rsid w:val="55680EB8"/>
    <w:rsid w:val="55EE2F19"/>
    <w:rsid w:val="56B9613B"/>
    <w:rsid w:val="57568F63"/>
    <w:rsid w:val="5893154E"/>
    <w:rsid w:val="5AC01AF6"/>
    <w:rsid w:val="5B346225"/>
    <w:rsid w:val="5D498972"/>
    <w:rsid w:val="5D8B664A"/>
    <w:rsid w:val="5D98F884"/>
    <w:rsid w:val="5E712777"/>
    <w:rsid w:val="668AAECA"/>
    <w:rsid w:val="67287F26"/>
    <w:rsid w:val="677D944D"/>
    <w:rsid w:val="680360E0"/>
    <w:rsid w:val="69D9D713"/>
    <w:rsid w:val="6A18354C"/>
    <w:rsid w:val="6AD3990E"/>
    <w:rsid w:val="6D9C087B"/>
    <w:rsid w:val="6F8A97A2"/>
    <w:rsid w:val="70DE4D3C"/>
    <w:rsid w:val="727E0B88"/>
    <w:rsid w:val="73A1FF0C"/>
    <w:rsid w:val="73D582AD"/>
    <w:rsid w:val="73E9B115"/>
    <w:rsid w:val="745B7588"/>
    <w:rsid w:val="746F6DA4"/>
    <w:rsid w:val="7502FA8F"/>
    <w:rsid w:val="752BD96E"/>
    <w:rsid w:val="753FDC34"/>
    <w:rsid w:val="758939FD"/>
    <w:rsid w:val="7708E1E7"/>
    <w:rsid w:val="79CE868E"/>
    <w:rsid w:val="7C884834"/>
    <w:rsid w:val="7CA233A7"/>
    <w:rsid w:val="7DB85A26"/>
    <w:rsid w:val="7F9E9AAE"/>
    <w:rsid w:val="7FCC7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46F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11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36"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C46C9"/>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904AE"/>
    <w:pPr>
      <w:tabs>
        <w:tab w:val="center" w:pos="4680"/>
        <w:tab w:val="right" w:pos="9360"/>
      </w:tabs>
    </w:pPr>
  </w:style>
  <w:style w:type="character" w:customStyle="1" w:styleId="HeaderChar">
    <w:name w:val="Header Char"/>
    <w:basedOn w:val="DefaultParagraphFont"/>
    <w:link w:val="Header"/>
    <w:uiPriority w:val="99"/>
    <w:rsid w:val="00E904AE"/>
  </w:style>
  <w:style w:type="paragraph" w:styleId="Footer">
    <w:name w:val="footer"/>
    <w:basedOn w:val="Normal"/>
    <w:link w:val="FooterChar"/>
    <w:uiPriority w:val="99"/>
    <w:unhideWhenUsed/>
    <w:rsid w:val="00E904AE"/>
    <w:pPr>
      <w:tabs>
        <w:tab w:val="center" w:pos="4680"/>
        <w:tab w:val="right" w:pos="9360"/>
      </w:tabs>
    </w:pPr>
  </w:style>
  <w:style w:type="character" w:customStyle="1" w:styleId="FooterChar">
    <w:name w:val="Footer Char"/>
    <w:basedOn w:val="DefaultParagraphFont"/>
    <w:link w:val="Footer"/>
    <w:uiPriority w:val="99"/>
    <w:rsid w:val="00E904AE"/>
  </w:style>
  <w:style w:type="table" w:styleId="TableGrid">
    <w:name w:val="Table Grid"/>
    <w:basedOn w:val="TableNormal"/>
    <w:uiPriority w:val="59"/>
    <w:rsid w:val="002F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CB3"/>
    <w:rPr>
      <w:color w:val="0000FF" w:themeColor="hyperlink"/>
      <w:u w:val="single"/>
    </w:rPr>
  </w:style>
  <w:style w:type="character" w:styleId="Mention">
    <w:name w:val="Mention"/>
    <w:basedOn w:val="DefaultParagraphFont"/>
    <w:uiPriority w:val="99"/>
    <w:semiHidden/>
    <w:unhideWhenUsed/>
    <w:rsid w:val="00D70CB3"/>
    <w:rPr>
      <w:color w:val="2B579A"/>
      <w:shd w:val="clear" w:color="auto" w:fill="E6E6E6"/>
    </w:rPr>
  </w:style>
  <w:style w:type="character" w:styleId="CommentReference">
    <w:name w:val="annotation reference"/>
    <w:basedOn w:val="DefaultParagraphFont"/>
    <w:uiPriority w:val="99"/>
    <w:semiHidden/>
    <w:unhideWhenUsed/>
    <w:rsid w:val="003D317D"/>
    <w:rPr>
      <w:sz w:val="16"/>
      <w:szCs w:val="16"/>
    </w:rPr>
  </w:style>
  <w:style w:type="paragraph" w:styleId="CommentText">
    <w:name w:val="annotation text"/>
    <w:basedOn w:val="Normal"/>
    <w:link w:val="CommentTextChar"/>
    <w:uiPriority w:val="99"/>
    <w:semiHidden/>
    <w:unhideWhenUsed/>
    <w:rsid w:val="003D317D"/>
    <w:rPr>
      <w:sz w:val="20"/>
      <w:szCs w:val="20"/>
    </w:rPr>
  </w:style>
  <w:style w:type="character" w:customStyle="1" w:styleId="CommentTextChar">
    <w:name w:val="Comment Text Char"/>
    <w:basedOn w:val="DefaultParagraphFont"/>
    <w:link w:val="CommentText"/>
    <w:uiPriority w:val="99"/>
    <w:semiHidden/>
    <w:rsid w:val="003D317D"/>
    <w:rPr>
      <w:sz w:val="20"/>
      <w:szCs w:val="20"/>
    </w:rPr>
  </w:style>
  <w:style w:type="paragraph" w:styleId="CommentSubject">
    <w:name w:val="annotation subject"/>
    <w:basedOn w:val="CommentText"/>
    <w:next w:val="CommentText"/>
    <w:link w:val="CommentSubjectChar"/>
    <w:uiPriority w:val="99"/>
    <w:semiHidden/>
    <w:unhideWhenUsed/>
    <w:rsid w:val="003D317D"/>
    <w:rPr>
      <w:b/>
      <w:bCs/>
    </w:rPr>
  </w:style>
  <w:style w:type="character" w:customStyle="1" w:styleId="CommentSubjectChar">
    <w:name w:val="Comment Subject Char"/>
    <w:basedOn w:val="CommentTextChar"/>
    <w:link w:val="CommentSubject"/>
    <w:uiPriority w:val="99"/>
    <w:semiHidden/>
    <w:rsid w:val="003D317D"/>
    <w:rPr>
      <w:b/>
      <w:bCs/>
      <w:sz w:val="20"/>
      <w:szCs w:val="20"/>
    </w:rPr>
  </w:style>
  <w:style w:type="paragraph" w:styleId="BalloonText">
    <w:name w:val="Balloon Text"/>
    <w:basedOn w:val="Normal"/>
    <w:link w:val="BalloonTextChar"/>
    <w:uiPriority w:val="99"/>
    <w:semiHidden/>
    <w:unhideWhenUsed/>
    <w:rsid w:val="003D3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D"/>
    <w:rPr>
      <w:rFonts w:ascii="Segoe UI" w:hAnsi="Segoe UI" w:cs="Segoe UI"/>
      <w:sz w:val="18"/>
      <w:szCs w:val="18"/>
    </w:rPr>
  </w:style>
  <w:style w:type="paragraph" w:styleId="FootnoteText">
    <w:name w:val="footnote text"/>
    <w:basedOn w:val="Normal"/>
    <w:link w:val="FootnoteTextChar"/>
    <w:uiPriority w:val="99"/>
    <w:semiHidden/>
    <w:unhideWhenUsed/>
    <w:rsid w:val="00B1392C"/>
    <w:rPr>
      <w:sz w:val="20"/>
      <w:szCs w:val="20"/>
    </w:rPr>
  </w:style>
  <w:style w:type="character" w:customStyle="1" w:styleId="FootnoteTextChar">
    <w:name w:val="Footnote Text Char"/>
    <w:basedOn w:val="DefaultParagraphFont"/>
    <w:link w:val="FootnoteText"/>
    <w:uiPriority w:val="99"/>
    <w:semiHidden/>
    <w:rsid w:val="00B1392C"/>
    <w:rPr>
      <w:sz w:val="20"/>
      <w:szCs w:val="20"/>
    </w:rPr>
  </w:style>
  <w:style w:type="character" w:styleId="FootnoteReference">
    <w:name w:val="footnote reference"/>
    <w:basedOn w:val="DefaultParagraphFont"/>
    <w:uiPriority w:val="99"/>
    <w:semiHidden/>
    <w:unhideWhenUsed/>
    <w:rsid w:val="00B1392C"/>
    <w:rPr>
      <w:vertAlign w:val="superscript"/>
    </w:rPr>
  </w:style>
  <w:style w:type="paragraph" w:styleId="Revision">
    <w:name w:val="Revision"/>
    <w:hidden/>
    <w:uiPriority w:val="99"/>
    <w:semiHidden/>
    <w:rsid w:val="0014783D"/>
    <w:pPr>
      <w:widowControl/>
    </w:pPr>
  </w:style>
  <w:style w:type="character" w:styleId="UnresolvedMention">
    <w:name w:val="Unresolved Mention"/>
    <w:basedOn w:val="DefaultParagraphFont"/>
    <w:uiPriority w:val="99"/>
    <w:semiHidden/>
    <w:unhideWhenUsed/>
    <w:rsid w:val="00090093"/>
    <w:rPr>
      <w:color w:val="808080"/>
      <w:shd w:val="clear" w:color="auto" w:fill="E6E6E6"/>
    </w:rPr>
  </w:style>
  <w:style w:type="character" w:customStyle="1" w:styleId="eop">
    <w:name w:val="eop"/>
    <w:basedOn w:val="DefaultParagraphFont"/>
    <w:rsid w:val="00477ECF"/>
  </w:style>
  <w:style w:type="paragraph" w:customStyle="1" w:styleId="xmsonormal">
    <w:name w:val="x_msonormal"/>
    <w:basedOn w:val="Normal"/>
    <w:rsid w:val="0024166E"/>
    <w:pPr>
      <w:widowControl/>
    </w:pPr>
    <w:rPr>
      <w:rFonts w:ascii="Calibri" w:hAnsi="Calibri" w:cs="Calibri"/>
    </w:rPr>
  </w:style>
  <w:style w:type="character" w:styleId="FollowedHyperlink">
    <w:name w:val="FollowedHyperlink"/>
    <w:basedOn w:val="DefaultParagraphFont"/>
    <w:uiPriority w:val="99"/>
    <w:semiHidden/>
    <w:unhideWhenUsed/>
    <w:rsid w:val="006624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7208">
      <w:bodyDiv w:val="1"/>
      <w:marLeft w:val="0"/>
      <w:marRight w:val="0"/>
      <w:marTop w:val="0"/>
      <w:marBottom w:val="0"/>
      <w:divBdr>
        <w:top w:val="none" w:sz="0" w:space="0" w:color="auto"/>
        <w:left w:val="none" w:sz="0" w:space="0" w:color="auto"/>
        <w:bottom w:val="none" w:sz="0" w:space="0" w:color="auto"/>
        <w:right w:val="none" w:sz="0" w:space="0" w:color="auto"/>
      </w:divBdr>
    </w:div>
    <w:div w:id="324170745">
      <w:bodyDiv w:val="1"/>
      <w:marLeft w:val="0"/>
      <w:marRight w:val="0"/>
      <w:marTop w:val="0"/>
      <w:marBottom w:val="0"/>
      <w:divBdr>
        <w:top w:val="none" w:sz="0" w:space="0" w:color="auto"/>
        <w:left w:val="none" w:sz="0" w:space="0" w:color="auto"/>
        <w:bottom w:val="none" w:sz="0" w:space="0" w:color="auto"/>
        <w:right w:val="none" w:sz="0" w:space="0" w:color="auto"/>
      </w:divBdr>
    </w:div>
    <w:div w:id="332416892">
      <w:bodyDiv w:val="1"/>
      <w:marLeft w:val="0"/>
      <w:marRight w:val="0"/>
      <w:marTop w:val="0"/>
      <w:marBottom w:val="0"/>
      <w:divBdr>
        <w:top w:val="none" w:sz="0" w:space="0" w:color="auto"/>
        <w:left w:val="none" w:sz="0" w:space="0" w:color="auto"/>
        <w:bottom w:val="none" w:sz="0" w:space="0" w:color="auto"/>
        <w:right w:val="none" w:sz="0" w:space="0" w:color="auto"/>
      </w:divBdr>
    </w:div>
    <w:div w:id="510293559">
      <w:bodyDiv w:val="1"/>
      <w:marLeft w:val="0"/>
      <w:marRight w:val="0"/>
      <w:marTop w:val="0"/>
      <w:marBottom w:val="0"/>
      <w:divBdr>
        <w:top w:val="none" w:sz="0" w:space="0" w:color="auto"/>
        <w:left w:val="none" w:sz="0" w:space="0" w:color="auto"/>
        <w:bottom w:val="none" w:sz="0" w:space="0" w:color="auto"/>
        <w:right w:val="none" w:sz="0" w:space="0" w:color="auto"/>
      </w:divBdr>
    </w:div>
    <w:div w:id="580911572">
      <w:bodyDiv w:val="1"/>
      <w:marLeft w:val="0"/>
      <w:marRight w:val="0"/>
      <w:marTop w:val="0"/>
      <w:marBottom w:val="0"/>
      <w:divBdr>
        <w:top w:val="none" w:sz="0" w:space="0" w:color="auto"/>
        <w:left w:val="none" w:sz="0" w:space="0" w:color="auto"/>
        <w:bottom w:val="none" w:sz="0" w:space="0" w:color="auto"/>
        <w:right w:val="none" w:sz="0" w:space="0" w:color="auto"/>
      </w:divBdr>
    </w:div>
    <w:div w:id="632056213">
      <w:bodyDiv w:val="1"/>
      <w:marLeft w:val="0"/>
      <w:marRight w:val="0"/>
      <w:marTop w:val="0"/>
      <w:marBottom w:val="0"/>
      <w:divBdr>
        <w:top w:val="none" w:sz="0" w:space="0" w:color="auto"/>
        <w:left w:val="none" w:sz="0" w:space="0" w:color="auto"/>
        <w:bottom w:val="none" w:sz="0" w:space="0" w:color="auto"/>
        <w:right w:val="none" w:sz="0" w:space="0" w:color="auto"/>
      </w:divBdr>
    </w:div>
    <w:div w:id="692339133">
      <w:bodyDiv w:val="1"/>
      <w:marLeft w:val="0"/>
      <w:marRight w:val="0"/>
      <w:marTop w:val="0"/>
      <w:marBottom w:val="0"/>
      <w:divBdr>
        <w:top w:val="none" w:sz="0" w:space="0" w:color="auto"/>
        <w:left w:val="none" w:sz="0" w:space="0" w:color="auto"/>
        <w:bottom w:val="none" w:sz="0" w:space="0" w:color="auto"/>
        <w:right w:val="none" w:sz="0" w:space="0" w:color="auto"/>
      </w:divBdr>
    </w:div>
    <w:div w:id="702898025">
      <w:bodyDiv w:val="1"/>
      <w:marLeft w:val="0"/>
      <w:marRight w:val="0"/>
      <w:marTop w:val="0"/>
      <w:marBottom w:val="0"/>
      <w:divBdr>
        <w:top w:val="none" w:sz="0" w:space="0" w:color="auto"/>
        <w:left w:val="none" w:sz="0" w:space="0" w:color="auto"/>
        <w:bottom w:val="none" w:sz="0" w:space="0" w:color="auto"/>
        <w:right w:val="none" w:sz="0" w:space="0" w:color="auto"/>
      </w:divBdr>
    </w:div>
    <w:div w:id="774908366">
      <w:bodyDiv w:val="1"/>
      <w:marLeft w:val="0"/>
      <w:marRight w:val="0"/>
      <w:marTop w:val="0"/>
      <w:marBottom w:val="0"/>
      <w:divBdr>
        <w:top w:val="none" w:sz="0" w:space="0" w:color="auto"/>
        <w:left w:val="none" w:sz="0" w:space="0" w:color="auto"/>
        <w:bottom w:val="none" w:sz="0" w:space="0" w:color="auto"/>
        <w:right w:val="none" w:sz="0" w:space="0" w:color="auto"/>
      </w:divBdr>
    </w:div>
    <w:div w:id="884489216">
      <w:bodyDiv w:val="1"/>
      <w:marLeft w:val="0"/>
      <w:marRight w:val="0"/>
      <w:marTop w:val="0"/>
      <w:marBottom w:val="0"/>
      <w:divBdr>
        <w:top w:val="none" w:sz="0" w:space="0" w:color="auto"/>
        <w:left w:val="none" w:sz="0" w:space="0" w:color="auto"/>
        <w:bottom w:val="none" w:sz="0" w:space="0" w:color="auto"/>
        <w:right w:val="none" w:sz="0" w:space="0" w:color="auto"/>
      </w:divBdr>
    </w:div>
    <w:div w:id="955865238">
      <w:bodyDiv w:val="1"/>
      <w:marLeft w:val="0"/>
      <w:marRight w:val="0"/>
      <w:marTop w:val="0"/>
      <w:marBottom w:val="0"/>
      <w:divBdr>
        <w:top w:val="none" w:sz="0" w:space="0" w:color="auto"/>
        <w:left w:val="none" w:sz="0" w:space="0" w:color="auto"/>
        <w:bottom w:val="none" w:sz="0" w:space="0" w:color="auto"/>
        <w:right w:val="none" w:sz="0" w:space="0" w:color="auto"/>
      </w:divBdr>
    </w:div>
    <w:div w:id="1052540690">
      <w:bodyDiv w:val="1"/>
      <w:marLeft w:val="0"/>
      <w:marRight w:val="0"/>
      <w:marTop w:val="0"/>
      <w:marBottom w:val="0"/>
      <w:divBdr>
        <w:top w:val="none" w:sz="0" w:space="0" w:color="auto"/>
        <w:left w:val="none" w:sz="0" w:space="0" w:color="auto"/>
        <w:bottom w:val="none" w:sz="0" w:space="0" w:color="auto"/>
        <w:right w:val="none" w:sz="0" w:space="0" w:color="auto"/>
      </w:divBdr>
    </w:div>
    <w:div w:id="1213423900">
      <w:bodyDiv w:val="1"/>
      <w:marLeft w:val="0"/>
      <w:marRight w:val="0"/>
      <w:marTop w:val="0"/>
      <w:marBottom w:val="0"/>
      <w:divBdr>
        <w:top w:val="none" w:sz="0" w:space="0" w:color="auto"/>
        <w:left w:val="none" w:sz="0" w:space="0" w:color="auto"/>
        <w:bottom w:val="none" w:sz="0" w:space="0" w:color="auto"/>
        <w:right w:val="none" w:sz="0" w:space="0" w:color="auto"/>
      </w:divBdr>
    </w:div>
    <w:div w:id="1374430312">
      <w:bodyDiv w:val="1"/>
      <w:marLeft w:val="0"/>
      <w:marRight w:val="0"/>
      <w:marTop w:val="0"/>
      <w:marBottom w:val="0"/>
      <w:divBdr>
        <w:top w:val="none" w:sz="0" w:space="0" w:color="auto"/>
        <w:left w:val="none" w:sz="0" w:space="0" w:color="auto"/>
        <w:bottom w:val="none" w:sz="0" w:space="0" w:color="auto"/>
        <w:right w:val="none" w:sz="0" w:space="0" w:color="auto"/>
      </w:divBdr>
    </w:div>
    <w:div w:id="2053963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DCD3-F639-4C1F-BAD0-ED9203AB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2020-02-26T02:13:00Z</dcterms:created>
  <dcterms:modified xsi:type="dcterms:W3CDTF">2020-02-26T02:15:00Z</dcterms:modified>
</cp:coreProperties>
</file>