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96D6D" w14:textId="77777777" w:rsidR="00742B2C" w:rsidRPr="0042072C" w:rsidRDefault="00742B2C" w:rsidP="00742B2C">
      <w:pPr>
        <w:pStyle w:val="NoSpacing"/>
        <w:rPr>
          <w:rFonts w:ascii="Calibri" w:hAnsi="Calibri" w:cs="Calibri"/>
        </w:rPr>
      </w:pPr>
    </w:p>
    <w:p w14:paraId="45405F8E" w14:textId="7F03E147" w:rsidR="00ED604D" w:rsidRPr="009007C1" w:rsidRDefault="005B5D0B" w:rsidP="00896FF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007C1">
        <w:rPr>
          <w:rFonts w:ascii="Times New Roman" w:hAnsi="Times New Roman" w:cs="Times New Roman"/>
          <w:b/>
          <w:sz w:val="24"/>
          <w:szCs w:val="24"/>
        </w:rPr>
        <w:t>CAL PA</w:t>
      </w:r>
      <w:r w:rsidR="00896FF8" w:rsidRPr="009007C1">
        <w:rPr>
          <w:rFonts w:ascii="Times New Roman" w:hAnsi="Times New Roman" w:cs="Times New Roman"/>
          <w:b/>
          <w:sz w:val="24"/>
          <w:szCs w:val="24"/>
        </w:rPr>
        <w:t xml:space="preserve"> DATA REQUEST</w:t>
      </w:r>
    </w:p>
    <w:p w14:paraId="584CD526" w14:textId="77777777" w:rsidR="00C4196D" w:rsidRPr="009007C1" w:rsidRDefault="00C4196D" w:rsidP="00E901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E1D6A1" w14:textId="06D8EFCB" w:rsidR="00C4196D" w:rsidRPr="009007C1" w:rsidRDefault="00C4196D" w:rsidP="00E901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007C1">
        <w:rPr>
          <w:rFonts w:ascii="Times New Roman" w:hAnsi="Times New Roman" w:cs="Times New Roman"/>
          <w:sz w:val="24"/>
          <w:szCs w:val="24"/>
        </w:rPr>
        <w:t>This is a follow up to the Public Advocates Office’s DR #</w:t>
      </w:r>
      <w:r w:rsidR="00054E67" w:rsidRPr="009007C1">
        <w:rPr>
          <w:rFonts w:ascii="Times New Roman" w:hAnsi="Times New Roman" w:cs="Times New Roman"/>
          <w:sz w:val="24"/>
          <w:szCs w:val="24"/>
        </w:rPr>
        <w:t>7</w:t>
      </w:r>
      <w:r w:rsidRPr="009007C1">
        <w:rPr>
          <w:rFonts w:ascii="Times New Roman" w:hAnsi="Times New Roman" w:cs="Times New Roman"/>
          <w:sz w:val="24"/>
          <w:szCs w:val="24"/>
        </w:rPr>
        <w:t xml:space="preserve"> concerning contribution to margin analysis.</w:t>
      </w:r>
    </w:p>
    <w:p w14:paraId="2A0D760C" w14:textId="77777777" w:rsidR="00C4196D" w:rsidRPr="009007C1" w:rsidRDefault="00C4196D" w:rsidP="00E901E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0218FC" w14:textId="07F3ABAB" w:rsidR="009A5DB3" w:rsidRPr="009007C1" w:rsidRDefault="00E901E6" w:rsidP="00E901E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7C1">
        <w:rPr>
          <w:rFonts w:ascii="Times New Roman" w:hAnsi="Times New Roman" w:cs="Times New Roman"/>
          <w:b/>
          <w:sz w:val="24"/>
          <w:szCs w:val="24"/>
          <w:u w:val="single"/>
        </w:rPr>
        <w:t>Question 1</w:t>
      </w:r>
    </w:p>
    <w:p w14:paraId="2D57193E" w14:textId="2849FA07" w:rsidR="00C4196D" w:rsidRPr="009007C1" w:rsidRDefault="00C4196D" w:rsidP="00F47706">
      <w:pPr>
        <w:rPr>
          <w:rFonts w:ascii="Times New Roman" w:hAnsi="Times New Roman" w:cs="Times New Roman"/>
          <w:sz w:val="24"/>
          <w:szCs w:val="24"/>
        </w:rPr>
      </w:pPr>
      <w:r w:rsidRPr="009007C1">
        <w:rPr>
          <w:rFonts w:ascii="Times New Roman" w:hAnsi="Times New Roman" w:cs="Times New Roman"/>
          <w:sz w:val="24"/>
          <w:szCs w:val="24"/>
        </w:rPr>
        <w:t>As a follow up to question 2 in DR 6, please provide the total medium and large commercial and industrial (M/L C&amp;I) non-bypassable charges rate ($/kWh) as reflected in San Diego Gas and Electric Company’s rates effective June 1, 2019.</w:t>
      </w:r>
    </w:p>
    <w:p w14:paraId="36EE9683" w14:textId="77777777" w:rsidR="00CA1974" w:rsidRPr="009007C1" w:rsidRDefault="00CA1974" w:rsidP="00F47706">
      <w:pPr>
        <w:rPr>
          <w:rFonts w:ascii="Times New Roman" w:hAnsi="Times New Roman" w:cs="Times New Roman"/>
          <w:b/>
          <w:sz w:val="24"/>
          <w:szCs w:val="24"/>
        </w:rPr>
      </w:pPr>
    </w:p>
    <w:p w14:paraId="3AA0487C" w14:textId="3909A6ED" w:rsidR="00ED604D" w:rsidRPr="009007C1" w:rsidRDefault="230DDA35" w:rsidP="00F47706">
      <w:pPr>
        <w:rPr>
          <w:rFonts w:ascii="Times New Roman" w:hAnsi="Times New Roman" w:cs="Times New Roman"/>
          <w:sz w:val="24"/>
          <w:szCs w:val="24"/>
        </w:rPr>
      </w:pPr>
      <w:r w:rsidRPr="009007C1">
        <w:rPr>
          <w:rFonts w:ascii="Times New Roman" w:hAnsi="Times New Roman" w:cs="Times New Roman"/>
          <w:b/>
          <w:bCs/>
          <w:sz w:val="24"/>
          <w:szCs w:val="24"/>
        </w:rPr>
        <w:t>SDG&amp;E Response</w:t>
      </w:r>
      <w:r w:rsidRPr="009007C1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14:paraId="327BB055" w14:textId="4B73F7D7" w:rsidR="00ED604D" w:rsidRPr="009007C1" w:rsidRDefault="00054E67" w:rsidP="00054E67">
      <w:pPr>
        <w:tabs>
          <w:tab w:val="left" w:pos="5160"/>
        </w:tabs>
        <w:rPr>
          <w:rFonts w:ascii="Times New Roman" w:hAnsi="Times New Roman" w:cs="Times New Roman"/>
          <w:sz w:val="24"/>
          <w:szCs w:val="24"/>
        </w:rPr>
      </w:pPr>
      <w:r w:rsidRPr="009007C1">
        <w:rPr>
          <w:rFonts w:ascii="Times New Roman" w:hAnsi="Times New Roman" w:cs="Times New Roman"/>
          <w:sz w:val="24"/>
          <w:szCs w:val="24"/>
        </w:rPr>
        <w:tab/>
      </w:r>
    </w:p>
    <w:p w14:paraId="54FCE546" w14:textId="35A9E34E" w:rsidR="00307D07" w:rsidRPr="00307D07" w:rsidRDefault="00307D07" w:rsidP="00307D07">
      <w:pPr>
        <w:widowControl w:val="0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07D07">
        <w:rPr>
          <w:rFonts w:ascii="Times New Roman" w:eastAsia="Calibri" w:hAnsi="Times New Roman" w:cs="Times New Roman"/>
          <w:snapToGrid w:val="0"/>
          <w:sz w:val="24"/>
          <w:szCs w:val="24"/>
        </w:rPr>
        <w:t>In Decision 19-07-003 adopting the Economic Development Rate (“EDR”) program for SDG&amp;E</w:t>
      </w:r>
      <w:r w:rsidR="00AD1432">
        <w:rPr>
          <w:rFonts w:ascii="Times New Roman" w:eastAsia="Calibri" w:hAnsi="Times New Roman" w:cs="Times New Roman"/>
          <w:snapToGrid w:val="0"/>
          <w:sz w:val="24"/>
          <w:szCs w:val="24"/>
        </w:rPr>
        <w:t>,</w:t>
      </w:r>
      <w:r w:rsidRPr="00307D07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the Commission stated that a </w:t>
      </w:r>
      <w:r w:rsidRPr="00307D07">
        <w:rPr>
          <w:rFonts w:ascii="Times New Roman" w:eastAsia="Times New Roman" w:hAnsi="Times New Roman" w:cs="Times New Roman"/>
          <w:snapToGrid w:val="0"/>
          <w:sz w:val="24"/>
          <w:szCs w:val="24"/>
        </w:rPr>
        <w:t>positive Contribution to Margin (“CTM”) for EDRs is achieved when the forecasted contract revenues exceed a price floor</w:t>
      </w:r>
      <w:r w:rsidR="00BA2B46">
        <w:rPr>
          <w:rFonts w:ascii="Times New Roman" w:eastAsia="Times New Roman" w:hAnsi="Times New Roman" w:cs="Times New Roman"/>
          <w:snapToGrid w:val="0"/>
          <w:sz w:val="24"/>
          <w:szCs w:val="24"/>
        </w:rPr>
        <w:t>.  A price floor is</w:t>
      </w:r>
      <w:r w:rsidRPr="00307D0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composed of applicable marginal costs plus all non-bypassable charges, with </w:t>
      </w:r>
      <w:r w:rsidRPr="00307D07">
        <w:rPr>
          <w:rFonts w:ascii="Times New Roman" w:eastAsia="Calibri" w:hAnsi="Times New Roman" w:cs="Times New Roman"/>
          <w:snapToGrid w:val="0"/>
          <w:sz w:val="24"/>
          <w:szCs w:val="24"/>
        </w:rPr>
        <w:t>non-bypassable charges defined as transmission, public purpose program (</w:t>
      </w:r>
      <w:r w:rsidR="0074756E">
        <w:rPr>
          <w:rFonts w:ascii="Times New Roman" w:eastAsia="Calibri" w:hAnsi="Times New Roman" w:cs="Times New Roman"/>
          <w:snapToGrid w:val="0"/>
          <w:sz w:val="24"/>
          <w:szCs w:val="24"/>
        </w:rPr>
        <w:t>“</w:t>
      </w:r>
      <w:r w:rsidRPr="00307D07">
        <w:rPr>
          <w:rFonts w:ascii="Times New Roman" w:eastAsia="Calibri" w:hAnsi="Times New Roman" w:cs="Times New Roman"/>
          <w:snapToGrid w:val="0"/>
          <w:sz w:val="24"/>
          <w:szCs w:val="24"/>
        </w:rPr>
        <w:t>PPP</w:t>
      </w:r>
      <w:r w:rsidR="0074756E">
        <w:rPr>
          <w:rFonts w:ascii="Times New Roman" w:eastAsia="Calibri" w:hAnsi="Times New Roman" w:cs="Times New Roman"/>
          <w:snapToGrid w:val="0"/>
          <w:sz w:val="24"/>
          <w:szCs w:val="24"/>
        </w:rPr>
        <w:t>”</w:t>
      </w:r>
      <w:r w:rsidRPr="00307D07">
        <w:rPr>
          <w:rFonts w:ascii="Times New Roman" w:eastAsia="Calibri" w:hAnsi="Times New Roman" w:cs="Times New Roman"/>
          <w:snapToGrid w:val="0"/>
          <w:sz w:val="24"/>
          <w:szCs w:val="24"/>
        </w:rPr>
        <w:t>), nuclear decommissioning (</w:t>
      </w:r>
      <w:r w:rsidR="0074756E">
        <w:rPr>
          <w:rFonts w:ascii="Times New Roman" w:eastAsia="Calibri" w:hAnsi="Times New Roman" w:cs="Times New Roman"/>
          <w:snapToGrid w:val="0"/>
          <w:sz w:val="24"/>
          <w:szCs w:val="24"/>
        </w:rPr>
        <w:t>“</w:t>
      </w:r>
      <w:r w:rsidRPr="00307D07">
        <w:rPr>
          <w:rFonts w:ascii="Times New Roman" w:eastAsia="Calibri" w:hAnsi="Times New Roman" w:cs="Times New Roman"/>
          <w:snapToGrid w:val="0"/>
          <w:sz w:val="24"/>
          <w:szCs w:val="24"/>
        </w:rPr>
        <w:t>ND</w:t>
      </w:r>
      <w:r w:rsidR="0074756E">
        <w:rPr>
          <w:rFonts w:ascii="Times New Roman" w:eastAsia="Calibri" w:hAnsi="Times New Roman" w:cs="Times New Roman"/>
          <w:snapToGrid w:val="0"/>
          <w:sz w:val="24"/>
          <w:szCs w:val="24"/>
        </w:rPr>
        <w:t>”</w:t>
      </w:r>
      <w:r w:rsidRPr="00307D07">
        <w:rPr>
          <w:rFonts w:ascii="Times New Roman" w:eastAsia="Calibri" w:hAnsi="Times New Roman" w:cs="Times New Roman"/>
          <w:snapToGrid w:val="0"/>
          <w:sz w:val="24"/>
          <w:szCs w:val="24"/>
        </w:rPr>
        <w:t>), ongoing competition transition charges (</w:t>
      </w:r>
      <w:r w:rsidR="0074756E">
        <w:rPr>
          <w:rFonts w:ascii="Times New Roman" w:eastAsia="Calibri" w:hAnsi="Times New Roman" w:cs="Times New Roman"/>
          <w:snapToGrid w:val="0"/>
          <w:sz w:val="24"/>
          <w:szCs w:val="24"/>
        </w:rPr>
        <w:t>“</w:t>
      </w:r>
      <w:r w:rsidRPr="00307D07">
        <w:rPr>
          <w:rFonts w:ascii="Times New Roman" w:eastAsia="Calibri" w:hAnsi="Times New Roman" w:cs="Times New Roman"/>
          <w:snapToGrid w:val="0"/>
          <w:sz w:val="24"/>
          <w:szCs w:val="24"/>
        </w:rPr>
        <w:t>CTC</w:t>
      </w:r>
      <w:r w:rsidR="0074756E">
        <w:rPr>
          <w:rFonts w:ascii="Times New Roman" w:eastAsia="Calibri" w:hAnsi="Times New Roman" w:cs="Times New Roman"/>
          <w:snapToGrid w:val="0"/>
          <w:sz w:val="24"/>
          <w:szCs w:val="24"/>
        </w:rPr>
        <w:t>”</w:t>
      </w:r>
      <w:r w:rsidRPr="00307D07">
        <w:rPr>
          <w:rFonts w:ascii="Times New Roman" w:eastAsia="Calibri" w:hAnsi="Times New Roman" w:cs="Times New Roman"/>
          <w:snapToGrid w:val="0"/>
          <w:sz w:val="24"/>
          <w:szCs w:val="24"/>
        </w:rPr>
        <w:t>), local generation charge (</w:t>
      </w:r>
      <w:r w:rsidR="0074756E">
        <w:rPr>
          <w:rFonts w:ascii="Times New Roman" w:eastAsia="Calibri" w:hAnsi="Times New Roman" w:cs="Times New Roman"/>
          <w:snapToGrid w:val="0"/>
          <w:sz w:val="24"/>
          <w:szCs w:val="24"/>
        </w:rPr>
        <w:t>“</w:t>
      </w:r>
      <w:r w:rsidRPr="00307D07">
        <w:rPr>
          <w:rFonts w:ascii="Times New Roman" w:eastAsia="Calibri" w:hAnsi="Times New Roman" w:cs="Times New Roman"/>
          <w:snapToGrid w:val="0"/>
          <w:sz w:val="24"/>
          <w:szCs w:val="24"/>
        </w:rPr>
        <w:t>LGC</w:t>
      </w:r>
      <w:r w:rsidR="0074756E">
        <w:rPr>
          <w:rFonts w:ascii="Times New Roman" w:eastAsia="Calibri" w:hAnsi="Times New Roman" w:cs="Times New Roman"/>
          <w:snapToGrid w:val="0"/>
          <w:sz w:val="24"/>
          <w:szCs w:val="24"/>
        </w:rPr>
        <w:t>”</w:t>
      </w:r>
      <w:r w:rsidRPr="00307D07">
        <w:rPr>
          <w:rFonts w:ascii="Times New Roman" w:eastAsia="Calibri" w:hAnsi="Times New Roman" w:cs="Times New Roman"/>
          <w:snapToGrid w:val="0"/>
          <w:sz w:val="24"/>
          <w:szCs w:val="24"/>
        </w:rPr>
        <w:t>), reliability services (</w:t>
      </w:r>
      <w:r w:rsidR="0074756E">
        <w:rPr>
          <w:rFonts w:ascii="Times New Roman" w:eastAsia="Calibri" w:hAnsi="Times New Roman" w:cs="Times New Roman"/>
          <w:snapToGrid w:val="0"/>
          <w:sz w:val="24"/>
          <w:szCs w:val="24"/>
        </w:rPr>
        <w:t>“</w:t>
      </w:r>
      <w:r w:rsidRPr="00307D07">
        <w:rPr>
          <w:rFonts w:ascii="Times New Roman" w:eastAsia="Calibri" w:hAnsi="Times New Roman" w:cs="Times New Roman"/>
          <w:snapToGrid w:val="0"/>
          <w:sz w:val="24"/>
          <w:szCs w:val="24"/>
        </w:rPr>
        <w:t>RS</w:t>
      </w:r>
      <w:r w:rsidR="0074756E">
        <w:rPr>
          <w:rFonts w:ascii="Times New Roman" w:eastAsia="Calibri" w:hAnsi="Times New Roman" w:cs="Times New Roman"/>
          <w:snapToGrid w:val="0"/>
          <w:sz w:val="24"/>
          <w:szCs w:val="24"/>
        </w:rPr>
        <w:t>”</w:t>
      </w:r>
      <w:r w:rsidRPr="00307D07">
        <w:rPr>
          <w:rFonts w:ascii="Times New Roman" w:eastAsia="Calibri" w:hAnsi="Times New Roman" w:cs="Times New Roman"/>
          <w:snapToGrid w:val="0"/>
          <w:sz w:val="24"/>
          <w:szCs w:val="24"/>
        </w:rPr>
        <w:t>), and department of water resources bond charge (</w:t>
      </w:r>
      <w:r w:rsidR="0074756E">
        <w:rPr>
          <w:rFonts w:ascii="Times New Roman" w:eastAsia="Calibri" w:hAnsi="Times New Roman" w:cs="Times New Roman"/>
          <w:snapToGrid w:val="0"/>
          <w:sz w:val="24"/>
          <w:szCs w:val="24"/>
        </w:rPr>
        <w:t>“</w:t>
      </w:r>
      <w:r w:rsidRPr="00307D07">
        <w:rPr>
          <w:rFonts w:ascii="Times New Roman" w:eastAsia="Calibri" w:hAnsi="Times New Roman" w:cs="Times New Roman"/>
          <w:snapToGrid w:val="0"/>
          <w:sz w:val="24"/>
          <w:szCs w:val="24"/>
        </w:rPr>
        <w:t>DWC-BC</w:t>
      </w:r>
      <w:r w:rsidR="0074756E">
        <w:rPr>
          <w:rFonts w:ascii="Times New Roman" w:eastAsia="Calibri" w:hAnsi="Times New Roman" w:cs="Times New Roman"/>
          <w:snapToGrid w:val="0"/>
          <w:sz w:val="24"/>
          <w:szCs w:val="24"/>
        </w:rPr>
        <w:t>”</w:t>
      </w:r>
      <w:r w:rsidRPr="00307D07">
        <w:rPr>
          <w:rFonts w:ascii="Times New Roman" w:eastAsia="Calibri" w:hAnsi="Times New Roman" w:cs="Times New Roman"/>
          <w:snapToGrid w:val="0"/>
          <w:sz w:val="24"/>
          <w:szCs w:val="24"/>
        </w:rPr>
        <w:t>).</w:t>
      </w:r>
      <w:r w:rsidRPr="00307D07">
        <w:rPr>
          <w:rFonts w:ascii="Times New Roman" w:eastAsia="Calibri" w:hAnsi="Times New Roman" w:cs="Times New Roman"/>
          <w:snapToGrid w:val="0"/>
          <w:sz w:val="24"/>
          <w:szCs w:val="24"/>
          <w:vertAlign w:val="superscript"/>
        </w:rPr>
        <w:footnoteReference w:id="2"/>
      </w:r>
      <w:r w:rsidRPr="00307D07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 The table below provides the non-bypassable charges under this definition for M/L C&amp;I customer class based on SDG&amp;</w:t>
      </w:r>
      <w:r w:rsidR="00B0489E">
        <w:rPr>
          <w:rFonts w:ascii="Times New Roman" w:eastAsia="Calibri" w:hAnsi="Times New Roman" w:cs="Times New Roman"/>
          <w:snapToGrid w:val="0"/>
          <w:sz w:val="24"/>
          <w:szCs w:val="24"/>
        </w:rPr>
        <w:t>E’s</w:t>
      </w:r>
      <w:r w:rsidRPr="00307D07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B0489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electric </w:t>
      </w:r>
      <w:r w:rsidRPr="00307D07">
        <w:rPr>
          <w:rFonts w:ascii="Times New Roman" w:eastAsia="Calibri" w:hAnsi="Times New Roman" w:cs="Times New Roman"/>
          <w:snapToGrid w:val="0"/>
          <w:sz w:val="24"/>
          <w:szCs w:val="24"/>
        </w:rPr>
        <w:t>rates effective June 1, 2019.</w:t>
      </w:r>
    </w:p>
    <w:p w14:paraId="04F495FC" w14:textId="77777777" w:rsidR="00307D07" w:rsidRPr="00307D07" w:rsidRDefault="00307D07" w:rsidP="00307D07">
      <w:pPr>
        <w:widowControl w:val="0"/>
        <w:ind w:left="360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362A9913" w14:textId="52839A8B" w:rsidR="00307D07" w:rsidRPr="00307D07" w:rsidRDefault="00307D07" w:rsidP="00307D07">
      <w:pPr>
        <w:widowControl w:val="0"/>
        <w:ind w:left="360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07D07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CE55C2" w:rsidRPr="00CE55C2">
        <w:rPr>
          <w:noProof/>
        </w:rPr>
        <w:drawing>
          <wp:inline distT="0" distB="0" distL="0" distR="0" wp14:anchorId="6FD75E96" wp14:editId="4236FC8E">
            <wp:extent cx="5105400" cy="2114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F2E0B" w14:textId="77777777" w:rsidR="00307D07" w:rsidRPr="00307D07" w:rsidRDefault="00307D07" w:rsidP="00307D07">
      <w:pPr>
        <w:autoSpaceDE w:val="0"/>
        <w:autoSpaceDN w:val="0"/>
        <w:adjustRightInd w:val="0"/>
        <w:spacing w:after="27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61D6220D" w14:textId="77777777" w:rsidR="00307D07" w:rsidRPr="00307D07" w:rsidRDefault="00307D07" w:rsidP="00307D07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4"/>
          <w:szCs w:val="24"/>
        </w:rPr>
      </w:pPr>
    </w:p>
    <w:p w14:paraId="20EE6880" w14:textId="1F9BC4F6" w:rsidR="00C411BF" w:rsidRPr="009007C1" w:rsidRDefault="00C411BF" w:rsidP="005946B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5DFD7CD" w14:textId="77777777" w:rsidR="005946B2" w:rsidRPr="009007C1" w:rsidRDefault="005946B2" w:rsidP="005946B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646342B" w14:textId="77777777" w:rsidR="00E901E6" w:rsidRPr="009007C1" w:rsidRDefault="00E901E6" w:rsidP="00E901E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D8C767" w14:textId="06EDA7AC" w:rsidR="00E901E6" w:rsidRPr="009007C1" w:rsidRDefault="00E901E6" w:rsidP="00E901E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7C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2</w:t>
      </w:r>
    </w:p>
    <w:p w14:paraId="6C66C620" w14:textId="1D404FE8" w:rsidR="000449AD" w:rsidRPr="009007C1" w:rsidRDefault="00F17385" w:rsidP="00F47706">
      <w:pPr>
        <w:rPr>
          <w:rFonts w:ascii="Times New Roman" w:hAnsi="Times New Roman" w:cs="Times New Roman"/>
          <w:sz w:val="24"/>
          <w:szCs w:val="24"/>
        </w:rPr>
      </w:pPr>
      <w:r w:rsidRPr="009007C1">
        <w:rPr>
          <w:rFonts w:ascii="Times New Roman" w:hAnsi="Times New Roman" w:cs="Times New Roman"/>
          <w:sz w:val="24"/>
          <w:szCs w:val="24"/>
        </w:rPr>
        <w:t>As part of SDG&amp;E’s cost of service analysis of M/L C&amp;I customers performed in the General Rate Case Phase 2, does SDG&amp;E calculate class average cost of service rates? If so, please provide those rates separated by delivery and commodity rates.</w:t>
      </w:r>
    </w:p>
    <w:p w14:paraId="1F2FD194" w14:textId="77777777" w:rsidR="0042072C" w:rsidRPr="009007C1" w:rsidRDefault="0042072C" w:rsidP="0042072C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CBFFACD" w14:textId="3D264587" w:rsidR="230DDA35" w:rsidRPr="009007C1" w:rsidRDefault="230DDA35" w:rsidP="230DDA35">
      <w:pPr>
        <w:rPr>
          <w:rFonts w:ascii="Times New Roman" w:hAnsi="Times New Roman" w:cs="Times New Roman"/>
          <w:sz w:val="24"/>
          <w:szCs w:val="24"/>
        </w:rPr>
      </w:pPr>
      <w:r w:rsidRPr="009007C1">
        <w:rPr>
          <w:rFonts w:ascii="Times New Roman" w:hAnsi="Times New Roman" w:cs="Times New Roman"/>
          <w:b/>
          <w:bCs/>
          <w:sz w:val="24"/>
          <w:szCs w:val="24"/>
        </w:rPr>
        <w:t>SDG&amp;E Response</w:t>
      </w:r>
      <w:r w:rsidRPr="009007C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CC4816" w14:textId="0C75504C" w:rsidR="0042072C" w:rsidRDefault="0042072C" w:rsidP="0042072C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14:paraId="3D94C3F5" w14:textId="410D8953" w:rsidR="008C6748" w:rsidRPr="008C6748" w:rsidRDefault="008C6748" w:rsidP="008C6748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4"/>
          <w:szCs w:val="24"/>
        </w:rPr>
      </w:pPr>
      <w:r w:rsidRPr="008C6748">
        <w:rPr>
          <w:rFonts w:ascii="Times New Roman" w:hAnsi="Times New Roman" w:cs="Times New Roman"/>
          <w:color w:val="000000"/>
          <w:sz w:val="24"/>
          <w:szCs w:val="24"/>
        </w:rPr>
        <w:t xml:space="preserve">The attached file (“Cal-PA DR-08, Q2”) provides the proposed SDG&amp;E General Rate Case (“GRC”) Phase 2 marginal and Equal Percent of Marginal Cost (“EPMC”) distribution and commodity rates </w:t>
      </w:r>
      <w:r w:rsidR="00C61D3B">
        <w:rPr>
          <w:rFonts w:ascii="Times New Roman" w:hAnsi="Times New Roman" w:cs="Times New Roman"/>
          <w:color w:val="000000"/>
          <w:sz w:val="24"/>
          <w:szCs w:val="24"/>
        </w:rPr>
        <w:t xml:space="preserve">for the M/L C&amp;I customer class </w:t>
      </w:r>
      <w:r w:rsidRPr="008C6748">
        <w:rPr>
          <w:rFonts w:ascii="Times New Roman" w:hAnsi="Times New Roman" w:cs="Times New Roman"/>
          <w:color w:val="000000"/>
          <w:sz w:val="24"/>
          <w:szCs w:val="24"/>
        </w:rPr>
        <w:t xml:space="preserve">by rate component. </w:t>
      </w:r>
    </w:p>
    <w:p w14:paraId="0F2E672C" w14:textId="77777777" w:rsidR="008C6748" w:rsidRPr="008C6748" w:rsidRDefault="008C6748" w:rsidP="008C67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1042B30" w14:textId="77777777" w:rsidR="0042072C" w:rsidRPr="009007C1" w:rsidRDefault="0042072C" w:rsidP="0042072C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F6DECD0" w14:textId="718B8EAB" w:rsidR="00F17385" w:rsidRPr="009007C1" w:rsidRDefault="00F17385" w:rsidP="00F1738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7C1">
        <w:rPr>
          <w:rFonts w:ascii="Times New Roman" w:hAnsi="Times New Roman" w:cs="Times New Roman"/>
          <w:b/>
          <w:sz w:val="24"/>
          <w:szCs w:val="24"/>
          <w:u w:val="single"/>
        </w:rPr>
        <w:t>Question 3</w:t>
      </w:r>
    </w:p>
    <w:p w14:paraId="1722BE68" w14:textId="12113CAD" w:rsidR="00F17385" w:rsidRPr="009007C1" w:rsidRDefault="00F17385" w:rsidP="00F17385">
      <w:pPr>
        <w:rPr>
          <w:rFonts w:ascii="Times New Roman" w:hAnsi="Times New Roman" w:cs="Times New Roman"/>
          <w:sz w:val="24"/>
          <w:szCs w:val="24"/>
        </w:rPr>
      </w:pPr>
      <w:r w:rsidRPr="009007C1">
        <w:rPr>
          <w:rFonts w:ascii="Times New Roman" w:hAnsi="Times New Roman" w:cs="Times New Roman"/>
          <w:sz w:val="24"/>
          <w:szCs w:val="24"/>
        </w:rPr>
        <w:t>What does SDG&amp;E believe would be the closest approximation of EV-HP customers’ cost of service—AL-TOU, class average cost of service rates (see question 2), or other rates? This question does not refer to the rates that EV-HP customers should be billed at—which would include policy, cost of service, and customer impact considerations—but rather what rates should theoretically most closely reflect EV-HP customers’ cost of service.</w:t>
      </w:r>
    </w:p>
    <w:p w14:paraId="2AEF6344" w14:textId="77777777" w:rsidR="00F17385" w:rsidRPr="009007C1" w:rsidRDefault="00F17385" w:rsidP="00F17385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01C2E5F" w14:textId="071AFCA7" w:rsidR="0042072C" w:rsidRDefault="00F17385" w:rsidP="00F17385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9007C1">
        <w:rPr>
          <w:rFonts w:ascii="Times New Roman" w:hAnsi="Times New Roman" w:cs="Times New Roman"/>
          <w:b/>
          <w:bCs/>
          <w:sz w:val="24"/>
          <w:szCs w:val="24"/>
        </w:rPr>
        <w:t>SDG&amp;E Response</w:t>
      </w:r>
      <w:r w:rsidRPr="009007C1">
        <w:rPr>
          <w:rFonts w:ascii="Times New Roman" w:hAnsi="Times New Roman" w:cs="Times New Roman"/>
          <w:sz w:val="24"/>
          <w:szCs w:val="24"/>
        </w:rPr>
        <w:t>:</w:t>
      </w:r>
    </w:p>
    <w:p w14:paraId="315B57D4" w14:textId="329B722D" w:rsidR="00DB7978" w:rsidRDefault="00DB7978" w:rsidP="00F17385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14:paraId="66CABF2D" w14:textId="05E3A914" w:rsidR="00DB7978" w:rsidRPr="00F23285" w:rsidRDefault="00DB7978" w:rsidP="00DB7978">
      <w:pPr>
        <w:pStyle w:val="Default"/>
      </w:pPr>
      <w:r w:rsidRPr="00F23285">
        <w:t>Because EV-HP customers represent business customers with demand greater than 20 kW, the M/L C&amp;I customer class cost of service is the correct cost of service for EV-HP.  As stated on page WS-1</w:t>
      </w:r>
      <w:r w:rsidR="00367A8B">
        <w:t>, line</w:t>
      </w:r>
      <w:r w:rsidR="00EC2A40">
        <w:t>s 18-22,</w:t>
      </w:r>
      <w:r w:rsidRPr="00F23285">
        <w:t xml:space="preserve"> of the Prepared Direct Testimony of William G. Saxe, EV-HP customers would currently take service on the standard electric rate schedule for the M/L C&amp;I class (Schedule AL-TOU</w:t>
      </w:r>
      <w:r w:rsidR="00DA5F21">
        <w:t xml:space="preserve"> for Utility Distribution Com</w:t>
      </w:r>
      <w:r w:rsidR="001F4F7E">
        <w:t xml:space="preserve">pany [“UDC”] </w:t>
      </w:r>
      <w:r w:rsidR="00367A8B">
        <w:t>non-commodity rates and Schedule EECC-CPP-D for commodity rates</w:t>
      </w:r>
      <w:r w:rsidRPr="00F23285">
        <w:t xml:space="preserve">), which is the reason SDG&amp;E developed the EV-HP </w:t>
      </w:r>
      <w:r w:rsidR="003255B4">
        <w:t xml:space="preserve">rate </w:t>
      </w:r>
      <w:r w:rsidRPr="00F23285">
        <w:t xml:space="preserve">based on the costs allocated to Schedule AL-TOU. </w:t>
      </w:r>
    </w:p>
    <w:p w14:paraId="107800FE" w14:textId="77777777" w:rsidR="00DB7978" w:rsidRPr="009007C1" w:rsidRDefault="00DB7978" w:rsidP="00F17385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sectPr w:rsidR="00DB7978" w:rsidRPr="009007C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311C5" w14:textId="77777777" w:rsidR="00792849" w:rsidRDefault="00792849" w:rsidP="00D26040">
      <w:r>
        <w:separator/>
      </w:r>
    </w:p>
  </w:endnote>
  <w:endnote w:type="continuationSeparator" w:id="0">
    <w:p w14:paraId="39417C87" w14:textId="77777777" w:rsidR="00792849" w:rsidRDefault="00792849" w:rsidP="00D26040">
      <w:r>
        <w:continuationSeparator/>
      </w:r>
    </w:p>
  </w:endnote>
  <w:endnote w:type="continuationNotice" w:id="1">
    <w:p w14:paraId="2E2486AA" w14:textId="77777777" w:rsidR="00792849" w:rsidRDefault="007928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3C368" w14:textId="77777777" w:rsidR="00AB6400" w:rsidRDefault="00AB6400" w:rsidP="00AB6400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01A936CE" w14:textId="77777777" w:rsidR="00AB6400" w:rsidRDefault="00AB6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DDC4C" w14:textId="77777777" w:rsidR="00792849" w:rsidRDefault="00792849" w:rsidP="00D26040">
      <w:r>
        <w:separator/>
      </w:r>
    </w:p>
  </w:footnote>
  <w:footnote w:type="continuationSeparator" w:id="0">
    <w:p w14:paraId="45282E83" w14:textId="77777777" w:rsidR="00792849" w:rsidRDefault="00792849" w:rsidP="00D26040">
      <w:r>
        <w:continuationSeparator/>
      </w:r>
    </w:p>
  </w:footnote>
  <w:footnote w:type="continuationNotice" w:id="1">
    <w:p w14:paraId="1265E6D9" w14:textId="77777777" w:rsidR="00792849" w:rsidRDefault="00792849"/>
  </w:footnote>
  <w:footnote w:id="2">
    <w:p w14:paraId="1A1AC354" w14:textId="77777777" w:rsidR="00307D07" w:rsidRDefault="00307D07" w:rsidP="00307D07">
      <w:pPr>
        <w:pStyle w:val="FootnoteText"/>
      </w:pPr>
      <w:r>
        <w:rPr>
          <w:rStyle w:val="FootnoteReference"/>
        </w:rPr>
        <w:footnoteRef/>
      </w:r>
      <w:r>
        <w:t xml:space="preserve"> D.19-07-003, p. 7 and footnote 6 on p. 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4AD57" w14:textId="656E20BC" w:rsidR="00D26040" w:rsidRPr="00C715AE" w:rsidRDefault="00564373" w:rsidP="001923FE">
    <w:pPr>
      <w:pStyle w:val="Header"/>
      <w:jc w:val="center"/>
      <w:rPr>
        <w:b/>
      </w:rPr>
    </w:pPr>
    <w:r>
      <w:rPr>
        <w:b/>
      </w:rPr>
      <w:t>PUBLIC ADVOCATES OFFICE (</w:t>
    </w:r>
    <w:r w:rsidR="005B5D0B">
      <w:rPr>
        <w:b/>
      </w:rPr>
      <w:t>CAL PA)</w:t>
    </w:r>
    <w:r w:rsidR="00E613B6" w:rsidRPr="00C715AE">
      <w:rPr>
        <w:b/>
      </w:rPr>
      <w:t xml:space="preserve"> DATA REQUEST</w:t>
    </w:r>
  </w:p>
  <w:p w14:paraId="318A871A" w14:textId="117790D5" w:rsidR="00E613B6" w:rsidRDefault="005B5D0B" w:rsidP="001923FE">
    <w:pPr>
      <w:pStyle w:val="Header"/>
      <w:jc w:val="center"/>
      <w:rPr>
        <w:b/>
      </w:rPr>
    </w:pPr>
    <w:r>
      <w:rPr>
        <w:b/>
      </w:rPr>
      <w:t>CAL PA</w:t>
    </w:r>
    <w:r w:rsidR="00620599" w:rsidRPr="00C715AE">
      <w:rPr>
        <w:b/>
      </w:rPr>
      <w:t>-SDG&amp;E DR-0</w:t>
    </w:r>
    <w:r w:rsidR="00054E67">
      <w:rPr>
        <w:b/>
      </w:rPr>
      <w:t>8</w:t>
    </w:r>
  </w:p>
  <w:p w14:paraId="00B29BF2" w14:textId="238DC237" w:rsidR="00EE7A2B" w:rsidRPr="00C715AE" w:rsidRDefault="005B5D0B" w:rsidP="001923FE">
    <w:pPr>
      <w:pStyle w:val="Header"/>
      <w:jc w:val="center"/>
      <w:rPr>
        <w:b/>
      </w:rPr>
    </w:pPr>
    <w:r>
      <w:rPr>
        <w:b/>
      </w:rPr>
      <w:t>EVHP CHARGING RATE</w:t>
    </w:r>
    <w:r w:rsidR="00EE7A2B">
      <w:rPr>
        <w:b/>
      </w:rPr>
      <w:t xml:space="preserve"> (A.</w:t>
    </w:r>
    <w:r w:rsidR="00896E09">
      <w:rPr>
        <w:b/>
      </w:rPr>
      <w:t>1</w:t>
    </w:r>
    <w:r>
      <w:rPr>
        <w:b/>
      </w:rPr>
      <w:t>9</w:t>
    </w:r>
    <w:r w:rsidR="00896E09">
      <w:rPr>
        <w:b/>
      </w:rPr>
      <w:t>-</w:t>
    </w:r>
    <w:r>
      <w:rPr>
        <w:b/>
      </w:rPr>
      <w:t>07</w:t>
    </w:r>
    <w:r w:rsidR="00896E09">
      <w:rPr>
        <w:b/>
      </w:rPr>
      <w:t>-0</w:t>
    </w:r>
    <w:r>
      <w:rPr>
        <w:b/>
      </w:rPr>
      <w:t>06</w:t>
    </w:r>
    <w:r w:rsidR="00896E09">
      <w:rPr>
        <w:b/>
      </w:rPr>
      <w:t>)</w:t>
    </w:r>
  </w:p>
  <w:p w14:paraId="3501B0C0" w14:textId="1249297F" w:rsidR="00620599" w:rsidRPr="00C715AE" w:rsidRDefault="00620599" w:rsidP="001923FE">
    <w:pPr>
      <w:pStyle w:val="Header"/>
      <w:jc w:val="center"/>
      <w:rPr>
        <w:b/>
      </w:rPr>
    </w:pPr>
    <w:r w:rsidRPr="00C715AE">
      <w:rPr>
        <w:b/>
      </w:rPr>
      <w:t>SDG&amp;E RESPONSE</w:t>
    </w:r>
  </w:p>
  <w:p w14:paraId="201544DE" w14:textId="6682A58F" w:rsidR="00620599" w:rsidRPr="00C715AE" w:rsidRDefault="00620599" w:rsidP="001923FE">
    <w:pPr>
      <w:pStyle w:val="Header"/>
      <w:jc w:val="center"/>
      <w:rPr>
        <w:b/>
      </w:rPr>
    </w:pPr>
    <w:r w:rsidRPr="00C715AE">
      <w:rPr>
        <w:b/>
      </w:rPr>
      <w:t xml:space="preserve">DATE RECEIVED: </w:t>
    </w:r>
    <w:r w:rsidR="005B5D0B">
      <w:rPr>
        <w:b/>
      </w:rPr>
      <w:t>DECEMBER</w:t>
    </w:r>
    <w:r w:rsidR="00711AA9">
      <w:rPr>
        <w:b/>
      </w:rPr>
      <w:t xml:space="preserve"> </w:t>
    </w:r>
    <w:r w:rsidR="005B5D0B">
      <w:rPr>
        <w:b/>
      </w:rPr>
      <w:t>5</w:t>
    </w:r>
    <w:r w:rsidR="00C715AE" w:rsidRPr="00C715AE">
      <w:rPr>
        <w:b/>
      </w:rPr>
      <w:t>, 2019</w:t>
    </w:r>
  </w:p>
  <w:p w14:paraId="3F2DFE0D" w14:textId="0C9D2D88" w:rsidR="00C715AE" w:rsidRDefault="00C715AE" w:rsidP="001923FE">
    <w:pPr>
      <w:pStyle w:val="Header"/>
      <w:jc w:val="center"/>
      <w:rPr>
        <w:b/>
      </w:rPr>
    </w:pPr>
    <w:r w:rsidRPr="00C715AE">
      <w:rPr>
        <w:b/>
      </w:rPr>
      <w:t xml:space="preserve">DATE RESPONDED: </w:t>
    </w:r>
    <w:r w:rsidR="007A1048">
      <w:rPr>
        <w:b/>
      </w:rPr>
      <w:t>DEC</w:t>
    </w:r>
    <w:r w:rsidR="00D526A3" w:rsidRPr="00C715AE">
      <w:rPr>
        <w:b/>
      </w:rPr>
      <w:t xml:space="preserve">EMBER </w:t>
    </w:r>
    <w:r w:rsidR="00EA0657">
      <w:rPr>
        <w:b/>
      </w:rPr>
      <w:t>19</w:t>
    </w:r>
    <w:r w:rsidR="00D526A3">
      <w:rPr>
        <w:b/>
      </w:rPr>
      <w:t>,</w:t>
    </w:r>
    <w:r w:rsidRPr="00C715AE">
      <w:rPr>
        <w:b/>
      </w:rPr>
      <w:t xml:space="preserve"> 2019</w:t>
    </w:r>
  </w:p>
  <w:p w14:paraId="7C98D97F" w14:textId="77777777" w:rsidR="00ED6D0A" w:rsidRPr="00C715AE" w:rsidRDefault="00ED6D0A" w:rsidP="001923FE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5B2E"/>
    <w:multiLevelType w:val="hybridMultilevel"/>
    <w:tmpl w:val="4FE2EC84"/>
    <w:lvl w:ilvl="0" w:tplc="16F87DE6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7C2A5C"/>
    <w:multiLevelType w:val="hybridMultilevel"/>
    <w:tmpl w:val="C3202420"/>
    <w:lvl w:ilvl="0" w:tplc="52DAD980">
      <w:start w:val="83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F3D05"/>
    <w:multiLevelType w:val="hybridMultilevel"/>
    <w:tmpl w:val="33C6A51C"/>
    <w:lvl w:ilvl="0" w:tplc="7034FF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44E5"/>
    <w:multiLevelType w:val="hybridMultilevel"/>
    <w:tmpl w:val="A14ECD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497101"/>
    <w:multiLevelType w:val="hybridMultilevel"/>
    <w:tmpl w:val="07D0F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E0B70"/>
    <w:multiLevelType w:val="hybridMultilevel"/>
    <w:tmpl w:val="07D0F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D4CC7"/>
    <w:multiLevelType w:val="hybridMultilevel"/>
    <w:tmpl w:val="C622A7EE"/>
    <w:lvl w:ilvl="0" w:tplc="C3121E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65D7B"/>
    <w:multiLevelType w:val="hybridMultilevel"/>
    <w:tmpl w:val="A73AD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C0737"/>
    <w:multiLevelType w:val="hybridMultilevel"/>
    <w:tmpl w:val="F2B23BAA"/>
    <w:lvl w:ilvl="0" w:tplc="42CE41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37BC6"/>
    <w:multiLevelType w:val="hybridMultilevel"/>
    <w:tmpl w:val="E08E6A92"/>
    <w:lvl w:ilvl="0" w:tplc="D4DC889A">
      <w:start w:val="1"/>
      <w:numFmt w:val="low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59D5132C"/>
    <w:multiLevelType w:val="hybridMultilevel"/>
    <w:tmpl w:val="735C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61689"/>
    <w:multiLevelType w:val="hybridMultilevel"/>
    <w:tmpl w:val="7666A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2C"/>
    <w:rsid w:val="00001BAA"/>
    <w:rsid w:val="00006102"/>
    <w:rsid w:val="00006459"/>
    <w:rsid w:val="00012160"/>
    <w:rsid w:val="000449AD"/>
    <w:rsid w:val="000536F3"/>
    <w:rsid w:val="00054E67"/>
    <w:rsid w:val="000611D7"/>
    <w:rsid w:val="0007257C"/>
    <w:rsid w:val="00074119"/>
    <w:rsid w:val="0008038A"/>
    <w:rsid w:val="000A5ED3"/>
    <w:rsid w:val="000C0673"/>
    <w:rsid w:val="000D0727"/>
    <w:rsid w:val="000E426C"/>
    <w:rsid w:val="000F6F27"/>
    <w:rsid w:val="00134164"/>
    <w:rsid w:val="00150ADF"/>
    <w:rsid w:val="00160963"/>
    <w:rsid w:val="00172902"/>
    <w:rsid w:val="00182BC2"/>
    <w:rsid w:val="001923FE"/>
    <w:rsid w:val="001E06E3"/>
    <w:rsid w:val="001F4F7E"/>
    <w:rsid w:val="001F64EE"/>
    <w:rsid w:val="00207093"/>
    <w:rsid w:val="0021097E"/>
    <w:rsid w:val="00236FB9"/>
    <w:rsid w:val="002471C9"/>
    <w:rsid w:val="00247EC3"/>
    <w:rsid w:val="002766A7"/>
    <w:rsid w:val="0028652B"/>
    <w:rsid w:val="00295D8D"/>
    <w:rsid w:val="002A5DF4"/>
    <w:rsid w:val="002F4EC8"/>
    <w:rsid w:val="00305152"/>
    <w:rsid w:val="00307D07"/>
    <w:rsid w:val="0032354A"/>
    <w:rsid w:val="003255B4"/>
    <w:rsid w:val="00326479"/>
    <w:rsid w:val="003520A2"/>
    <w:rsid w:val="00357999"/>
    <w:rsid w:val="00367A8B"/>
    <w:rsid w:val="00367B7E"/>
    <w:rsid w:val="003760A8"/>
    <w:rsid w:val="00397218"/>
    <w:rsid w:val="003A5014"/>
    <w:rsid w:val="003B6983"/>
    <w:rsid w:val="0042072C"/>
    <w:rsid w:val="00425EBF"/>
    <w:rsid w:val="0044664D"/>
    <w:rsid w:val="00447AC8"/>
    <w:rsid w:val="00447E80"/>
    <w:rsid w:val="00456280"/>
    <w:rsid w:val="00464445"/>
    <w:rsid w:val="00496F61"/>
    <w:rsid w:val="004D7DC4"/>
    <w:rsid w:val="004F6D70"/>
    <w:rsid w:val="00516D80"/>
    <w:rsid w:val="00564373"/>
    <w:rsid w:val="0059426F"/>
    <w:rsid w:val="005946B2"/>
    <w:rsid w:val="005A6D39"/>
    <w:rsid w:val="005B5B5C"/>
    <w:rsid w:val="005B5D0B"/>
    <w:rsid w:val="005B7606"/>
    <w:rsid w:val="005C3A89"/>
    <w:rsid w:val="005C713F"/>
    <w:rsid w:val="006158F9"/>
    <w:rsid w:val="00620599"/>
    <w:rsid w:val="006231C1"/>
    <w:rsid w:val="006261C0"/>
    <w:rsid w:val="0063078A"/>
    <w:rsid w:val="006311EC"/>
    <w:rsid w:val="00635060"/>
    <w:rsid w:val="00640D6D"/>
    <w:rsid w:val="00682671"/>
    <w:rsid w:val="00694297"/>
    <w:rsid w:val="006D1E4F"/>
    <w:rsid w:val="007006DF"/>
    <w:rsid w:val="00711AA9"/>
    <w:rsid w:val="00742B2C"/>
    <w:rsid w:val="00745914"/>
    <w:rsid w:val="0074634C"/>
    <w:rsid w:val="0074756E"/>
    <w:rsid w:val="00792849"/>
    <w:rsid w:val="007A1048"/>
    <w:rsid w:val="007C5FF8"/>
    <w:rsid w:val="00801EED"/>
    <w:rsid w:val="0080609D"/>
    <w:rsid w:val="008160DC"/>
    <w:rsid w:val="0082686C"/>
    <w:rsid w:val="0084475A"/>
    <w:rsid w:val="0085646B"/>
    <w:rsid w:val="00862F21"/>
    <w:rsid w:val="00877B9E"/>
    <w:rsid w:val="00896E09"/>
    <w:rsid w:val="00896FF8"/>
    <w:rsid w:val="008C654F"/>
    <w:rsid w:val="008C6748"/>
    <w:rsid w:val="008E0095"/>
    <w:rsid w:val="008F321D"/>
    <w:rsid w:val="009007C1"/>
    <w:rsid w:val="00913200"/>
    <w:rsid w:val="009245D2"/>
    <w:rsid w:val="00935D73"/>
    <w:rsid w:val="00936513"/>
    <w:rsid w:val="009801DA"/>
    <w:rsid w:val="009978CD"/>
    <w:rsid w:val="009A46B8"/>
    <w:rsid w:val="009A5DB3"/>
    <w:rsid w:val="009B60C7"/>
    <w:rsid w:val="009C35F3"/>
    <w:rsid w:val="009F21E5"/>
    <w:rsid w:val="009F2728"/>
    <w:rsid w:val="00A334A6"/>
    <w:rsid w:val="00A367BE"/>
    <w:rsid w:val="00A57701"/>
    <w:rsid w:val="00A857B9"/>
    <w:rsid w:val="00A862A0"/>
    <w:rsid w:val="00AA64C0"/>
    <w:rsid w:val="00AB58C6"/>
    <w:rsid w:val="00AB6400"/>
    <w:rsid w:val="00AD1432"/>
    <w:rsid w:val="00AE3760"/>
    <w:rsid w:val="00AE4699"/>
    <w:rsid w:val="00AE6780"/>
    <w:rsid w:val="00AF0994"/>
    <w:rsid w:val="00B0489E"/>
    <w:rsid w:val="00B14399"/>
    <w:rsid w:val="00B2076B"/>
    <w:rsid w:val="00B23E41"/>
    <w:rsid w:val="00B521A6"/>
    <w:rsid w:val="00B90671"/>
    <w:rsid w:val="00BA2B46"/>
    <w:rsid w:val="00BB2654"/>
    <w:rsid w:val="00BD2D39"/>
    <w:rsid w:val="00BF753E"/>
    <w:rsid w:val="00BF7B30"/>
    <w:rsid w:val="00C10DE6"/>
    <w:rsid w:val="00C20A87"/>
    <w:rsid w:val="00C3013B"/>
    <w:rsid w:val="00C411BF"/>
    <w:rsid w:val="00C4196D"/>
    <w:rsid w:val="00C430C4"/>
    <w:rsid w:val="00C54446"/>
    <w:rsid w:val="00C61D3B"/>
    <w:rsid w:val="00C715AE"/>
    <w:rsid w:val="00C75289"/>
    <w:rsid w:val="00C837E4"/>
    <w:rsid w:val="00C83D9C"/>
    <w:rsid w:val="00CA1974"/>
    <w:rsid w:val="00CA5F9A"/>
    <w:rsid w:val="00CB35DF"/>
    <w:rsid w:val="00CD709C"/>
    <w:rsid w:val="00CE55C2"/>
    <w:rsid w:val="00D01DEA"/>
    <w:rsid w:val="00D10052"/>
    <w:rsid w:val="00D26040"/>
    <w:rsid w:val="00D3511C"/>
    <w:rsid w:val="00D43286"/>
    <w:rsid w:val="00D526A3"/>
    <w:rsid w:val="00D53CDF"/>
    <w:rsid w:val="00D62477"/>
    <w:rsid w:val="00D8292C"/>
    <w:rsid w:val="00D874BC"/>
    <w:rsid w:val="00D96889"/>
    <w:rsid w:val="00DA0C2F"/>
    <w:rsid w:val="00DA5F21"/>
    <w:rsid w:val="00DB0EB5"/>
    <w:rsid w:val="00DB7978"/>
    <w:rsid w:val="00DC5AC0"/>
    <w:rsid w:val="00DD41D7"/>
    <w:rsid w:val="00DE0A20"/>
    <w:rsid w:val="00DE1B34"/>
    <w:rsid w:val="00E34850"/>
    <w:rsid w:val="00E40675"/>
    <w:rsid w:val="00E4526D"/>
    <w:rsid w:val="00E613B6"/>
    <w:rsid w:val="00E61805"/>
    <w:rsid w:val="00E901E6"/>
    <w:rsid w:val="00E9473A"/>
    <w:rsid w:val="00EA0657"/>
    <w:rsid w:val="00EA0F0F"/>
    <w:rsid w:val="00EA2C94"/>
    <w:rsid w:val="00EB3949"/>
    <w:rsid w:val="00EC2A40"/>
    <w:rsid w:val="00ED039A"/>
    <w:rsid w:val="00ED604D"/>
    <w:rsid w:val="00ED6D0A"/>
    <w:rsid w:val="00EE7A2B"/>
    <w:rsid w:val="00F114FD"/>
    <w:rsid w:val="00F120F5"/>
    <w:rsid w:val="00F1310A"/>
    <w:rsid w:val="00F17385"/>
    <w:rsid w:val="00F36AE4"/>
    <w:rsid w:val="00F47706"/>
    <w:rsid w:val="00F5383A"/>
    <w:rsid w:val="00F66C5D"/>
    <w:rsid w:val="00F80FC6"/>
    <w:rsid w:val="00FB0BDA"/>
    <w:rsid w:val="00FB5C27"/>
    <w:rsid w:val="00FB645E"/>
    <w:rsid w:val="00FE26A3"/>
    <w:rsid w:val="07A79E28"/>
    <w:rsid w:val="0A6E101D"/>
    <w:rsid w:val="230DDA35"/>
    <w:rsid w:val="2457B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DF4C08"/>
  <w15:chartTrackingRefBased/>
  <w15:docId w15:val="{208C1743-D6FE-4782-BFAB-2B5FBA9F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D9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B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3D9C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752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2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28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2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289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2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2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49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9A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62F2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60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04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260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040"/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7D07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D07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D07"/>
    <w:rPr>
      <w:vertAlign w:val="superscript"/>
    </w:rPr>
  </w:style>
  <w:style w:type="paragraph" w:customStyle="1" w:styleId="Default">
    <w:name w:val="Default"/>
    <w:rsid w:val="00DB79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2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58F04E8106243B64406965E06F819" ma:contentTypeVersion="13" ma:contentTypeDescription="Create a new document." ma:contentTypeScope="" ma:versionID="754e10d9494c3c896f56aded9097397a">
  <xsd:schema xmlns:xsd="http://www.w3.org/2001/XMLSchema" xmlns:xs="http://www.w3.org/2001/XMLSchema" xmlns:p="http://schemas.microsoft.com/office/2006/metadata/properties" xmlns:ns3="dee78854-d241-41b0-8411-773191e98521" xmlns:ns4="4df50eb4-e55a-407b-b586-d2eb866c9c5d" targetNamespace="http://schemas.microsoft.com/office/2006/metadata/properties" ma:root="true" ma:fieldsID="656ecd2478a38e092a22cd4db00f6511" ns3:_="" ns4:_="">
    <xsd:import namespace="dee78854-d241-41b0-8411-773191e98521"/>
    <xsd:import namespace="4df50eb4-e55a-407b-b586-d2eb866c9c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78854-d241-41b0-8411-773191e98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50eb4-e55a-407b-b586-d2eb866c9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E4C1A-520C-4AE2-A030-66CCE9212601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dee78854-d241-41b0-8411-773191e98521"/>
    <ds:schemaRef ds:uri="http://schemas.openxmlformats.org/package/2006/metadata/core-properties"/>
    <ds:schemaRef ds:uri="http://purl.org/dc/terms/"/>
    <ds:schemaRef ds:uri="4df50eb4-e55a-407b-b586-d2eb866c9c5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1DE0AD-34BD-416D-A42F-A9EFD63A2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AEAB1-0C7B-4E51-A3C6-C15D81C5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78854-d241-41b0-8411-773191e98521"/>
    <ds:schemaRef ds:uri="4df50eb4-e55a-407b-b586-d2eb866c9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Rasool, Hannon</dc:creator>
  <cp:keywords/>
  <dc:description/>
  <cp:lastModifiedBy>Gill, Kellen</cp:lastModifiedBy>
  <cp:revision>2</cp:revision>
  <cp:lastPrinted>2019-11-22T18:27:00Z</cp:lastPrinted>
  <dcterms:created xsi:type="dcterms:W3CDTF">2019-12-19T22:36:00Z</dcterms:created>
  <dcterms:modified xsi:type="dcterms:W3CDTF">2019-12-19T22:36:00Z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0x010100DE558F04E8106243B64406965E06F819</vt:lpwstr>
  </property>
</Properties>
</file>