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09B57" w14:textId="77777777" w:rsidR="00654148" w:rsidRPr="005063F1" w:rsidRDefault="00654148" w:rsidP="00AD5D80">
      <w:pPr>
        <w:ind w:left="720" w:hanging="360"/>
        <w:rPr>
          <w:rFonts w:ascii="Times New Roman" w:hAnsi="Times New Roman" w:cs="Times New Roman"/>
        </w:rPr>
      </w:pPr>
    </w:p>
    <w:p w14:paraId="034045B9" w14:textId="5E9046E8" w:rsidR="00067DBE" w:rsidRDefault="00AD5D80" w:rsidP="00654148">
      <w:pPr>
        <w:pStyle w:val="ListParagraph"/>
        <w:numPr>
          <w:ilvl w:val="0"/>
          <w:numId w:val="1"/>
        </w:numPr>
        <w:spacing w:after="240"/>
        <w:contextualSpacing w:val="0"/>
        <w:rPr>
          <w:rFonts w:ascii="Times New Roman" w:hAnsi="Times New Roman" w:cs="Times New Roman"/>
        </w:rPr>
      </w:pPr>
      <w:r w:rsidRPr="005063F1">
        <w:rPr>
          <w:rFonts w:ascii="Times New Roman" w:hAnsi="Times New Roman" w:cs="Times New Roman"/>
        </w:rPr>
        <w:t>Please refer to SDG&amp;E’s Response to CalPA Data Request #17 Q4. Please explain how the approximately 200 MW change in SDG&amp;E’s conventional portfolio referenced in that response would lead to the significant flattening of loss of load that occurring in SDG&amp;E’s 2020 LOLP analysis as compared to its 2016 GRC Phase 2 analysis.</w:t>
      </w:r>
    </w:p>
    <w:p w14:paraId="5FFD2392" w14:textId="44D865D7" w:rsidR="001F1BE3" w:rsidRDefault="001F1BE3" w:rsidP="001F1BE3">
      <w:pPr>
        <w:spacing w:after="240"/>
        <w:rPr>
          <w:rFonts w:ascii="Times New Roman" w:hAnsi="Times New Roman" w:cs="Times New Roman"/>
          <w:b/>
          <w:bCs/>
        </w:rPr>
      </w:pPr>
      <w:r>
        <w:rPr>
          <w:rFonts w:ascii="Times New Roman" w:hAnsi="Times New Roman" w:cs="Times New Roman"/>
          <w:b/>
          <w:bCs/>
        </w:rPr>
        <w:tab/>
      </w:r>
      <w:r w:rsidRPr="001F1BE3">
        <w:rPr>
          <w:rFonts w:ascii="Times New Roman" w:hAnsi="Times New Roman" w:cs="Times New Roman"/>
          <w:b/>
          <w:bCs/>
        </w:rPr>
        <w:t>SDG&amp;E Response:</w:t>
      </w:r>
    </w:p>
    <w:p w14:paraId="3CC7BD66" w14:textId="3DB99843" w:rsidR="00AC0E28" w:rsidRPr="00032803" w:rsidRDefault="00941FB1" w:rsidP="00B976C1">
      <w:pPr>
        <w:pStyle w:val="ListParagraph"/>
        <w:spacing w:after="240"/>
        <w:contextualSpacing w:val="0"/>
        <w:rPr>
          <w:rFonts w:ascii="Times New Roman" w:hAnsi="Times New Roman" w:cs="Times New Roman"/>
          <w:bCs/>
        </w:rPr>
      </w:pPr>
      <w:r>
        <w:rPr>
          <w:rFonts w:ascii="Times New Roman" w:hAnsi="Times New Roman" w:cs="Times New Roman"/>
          <w:bCs/>
        </w:rPr>
        <w:t>T</w:t>
      </w:r>
      <w:r w:rsidR="00F60BD2">
        <w:rPr>
          <w:rFonts w:ascii="Times New Roman" w:hAnsi="Times New Roman" w:cs="Times New Roman"/>
          <w:bCs/>
        </w:rPr>
        <w:t>he</w:t>
      </w:r>
      <w:r w:rsidR="002054C6">
        <w:rPr>
          <w:rFonts w:ascii="Times New Roman" w:hAnsi="Times New Roman" w:cs="Times New Roman"/>
          <w:bCs/>
        </w:rPr>
        <w:t xml:space="preserve"> reduction of dispatchable generation</w:t>
      </w:r>
      <w:r w:rsidR="00D279CE">
        <w:rPr>
          <w:rFonts w:ascii="Times New Roman" w:hAnsi="Times New Roman" w:cs="Times New Roman"/>
          <w:bCs/>
        </w:rPr>
        <w:t xml:space="preserve">, however slight, </w:t>
      </w:r>
      <w:r>
        <w:rPr>
          <w:rFonts w:ascii="Times New Roman" w:hAnsi="Times New Roman" w:cs="Times New Roman"/>
          <w:bCs/>
        </w:rPr>
        <w:t xml:space="preserve">could </w:t>
      </w:r>
      <w:r w:rsidR="00BF381E">
        <w:rPr>
          <w:rFonts w:ascii="Times New Roman" w:hAnsi="Times New Roman" w:cs="Times New Roman"/>
          <w:bCs/>
        </w:rPr>
        <w:t>potentially</w:t>
      </w:r>
      <w:r w:rsidR="00D279CE">
        <w:rPr>
          <w:rFonts w:ascii="Times New Roman" w:hAnsi="Times New Roman" w:cs="Times New Roman"/>
          <w:bCs/>
        </w:rPr>
        <w:t xml:space="preserve"> add loss of load </w:t>
      </w:r>
      <w:r>
        <w:rPr>
          <w:rFonts w:ascii="Times New Roman" w:hAnsi="Times New Roman" w:cs="Times New Roman"/>
          <w:bCs/>
        </w:rPr>
        <w:t>to</w:t>
      </w:r>
      <w:r w:rsidR="00E039B8">
        <w:rPr>
          <w:rFonts w:ascii="Times New Roman" w:hAnsi="Times New Roman" w:cs="Times New Roman"/>
          <w:bCs/>
        </w:rPr>
        <w:t xml:space="preserve"> </w:t>
      </w:r>
      <w:r w:rsidR="00D279CE">
        <w:rPr>
          <w:rFonts w:ascii="Times New Roman" w:hAnsi="Times New Roman" w:cs="Times New Roman"/>
          <w:bCs/>
        </w:rPr>
        <w:t>hours</w:t>
      </w:r>
      <w:r w:rsidR="00E039B8">
        <w:rPr>
          <w:rFonts w:ascii="Times New Roman" w:hAnsi="Times New Roman" w:cs="Times New Roman"/>
          <w:bCs/>
        </w:rPr>
        <w:t xml:space="preserve"> of the year </w:t>
      </w:r>
      <w:r w:rsidR="00773BEA">
        <w:rPr>
          <w:rFonts w:ascii="Times New Roman" w:hAnsi="Times New Roman" w:cs="Times New Roman"/>
          <w:bCs/>
        </w:rPr>
        <w:t xml:space="preserve">that previously had no loss of load. This </w:t>
      </w:r>
      <w:r w:rsidR="00804C60">
        <w:rPr>
          <w:rFonts w:ascii="Times New Roman" w:hAnsi="Times New Roman" w:cs="Times New Roman"/>
          <w:bCs/>
        </w:rPr>
        <w:t xml:space="preserve">would have </w:t>
      </w:r>
      <w:r w:rsidR="00133712">
        <w:rPr>
          <w:rFonts w:ascii="Times New Roman" w:hAnsi="Times New Roman" w:cs="Times New Roman"/>
          <w:bCs/>
        </w:rPr>
        <w:t xml:space="preserve">the effect of diminishing the % share </w:t>
      </w:r>
      <w:r w:rsidR="00302D57">
        <w:rPr>
          <w:rFonts w:ascii="Times New Roman" w:hAnsi="Times New Roman" w:cs="Times New Roman"/>
          <w:bCs/>
        </w:rPr>
        <w:t>of</w:t>
      </w:r>
      <w:r w:rsidR="00226435">
        <w:rPr>
          <w:rFonts w:ascii="Times New Roman" w:hAnsi="Times New Roman" w:cs="Times New Roman"/>
          <w:bCs/>
        </w:rPr>
        <w:t xml:space="preserve"> loss of load</w:t>
      </w:r>
      <w:r w:rsidR="001F3351">
        <w:rPr>
          <w:rFonts w:ascii="Times New Roman" w:hAnsi="Times New Roman" w:cs="Times New Roman"/>
          <w:bCs/>
        </w:rPr>
        <w:t xml:space="preserve"> </w:t>
      </w:r>
      <w:r w:rsidR="00133712">
        <w:rPr>
          <w:rFonts w:ascii="Times New Roman" w:hAnsi="Times New Roman" w:cs="Times New Roman"/>
          <w:bCs/>
        </w:rPr>
        <w:t xml:space="preserve">observed </w:t>
      </w:r>
      <w:r w:rsidR="00C41B92">
        <w:rPr>
          <w:rFonts w:ascii="Times New Roman" w:hAnsi="Times New Roman" w:cs="Times New Roman"/>
          <w:bCs/>
        </w:rPr>
        <w:t>in the top 100 hours.</w:t>
      </w:r>
    </w:p>
    <w:p w14:paraId="3B68480C" w14:textId="77777777" w:rsidR="00E5143B" w:rsidRPr="00032803" w:rsidRDefault="00E5143B" w:rsidP="001F1BE3">
      <w:pPr>
        <w:spacing w:after="240"/>
        <w:rPr>
          <w:rFonts w:ascii="Times New Roman" w:hAnsi="Times New Roman" w:cs="Times New Roman"/>
          <w:bCs/>
        </w:rPr>
      </w:pPr>
    </w:p>
    <w:p w14:paraId="36B40617" w14:textId="77777777" w:rsidR="001F1BE3" w:rsidRDefault="00AD5D80" w:rsidP="001F1BE3">
      <w:pPr>
        <w:pStyle w:val="ListParagraph"/>
        <w:numPr>
          <w:ilvl w:val="0"/>
          <w:numId w:val="1"/>
        </w:numPr>
        <w:spacing w:after="240"/>
        <w:contextualSpacing w:val="0"/>
        <w:rPr>
          <w:rFonts w:ascii="Times New Roman" w:hAnsi="Times New Roman" w:cs="Times New Roman"/>
        </w:rPr>
      </w:pPr>
      <w:r w:rsidRPr="005063F1">
        <w:rPr>
          <w:rFonts w:ascii="Times New Roman" w:hAnsi="Times New Roman" w:cs="Times New Roman"/>
        </w:rPr>
        <w:t>Please refer to SDG&amp;E’s Response to CalPA Data Request #17 Q4. Please identify any additional factors SDG&amp;E is aware of beyond the change in SDG&amp;E’s conventional portfolio that may have contributed to the flattening of loss of load identified by CalPA. If SDG&amp;E is not aware of any additional contributing factors, please so state.</w:t>
      </w:r>
    </w:p>
    <w:p w14:paraId="4EA2B86D" w14:textId="0CC13E93" w:rsidR="001F1BE3" w:rsidRDefault="001F1BE3" w:rsidP="001F1BE3">
      <w:pPr>
        <w:pStyle w:val="ListParagraph"/>
        <w:spacing w:after="240"/>
        <w:contextualSpacing w:val="0"/>
        <w:rPr>
          <w:rFonts w:ascii="Times New Roman" w:hAnsi="Times New Roman" w:cs="Times New Roman"/>
          <w:b/>
          <w:bCs/>
        </w:rPr>
      </w:pPr>
      <w:r w:rsidRPr="001F1BE3">
        <w:rPr>
          <w:rFonts w:ascii="Times New Roman" w:hAnsi="Times New Roman" w:cs="Times New Roman"/>
          <w:b/>
          <w:bCs/>
        </w:rPr>
        <w:t>SDG&amp;E Response:</w:t>
      </w:r>
    </w:p>
    <w:p w14:paraId="6C8A4A77" w14:textId="14130E3F" w:rsidR="007A59B4" w:rsidRPr="00BE3301" w:rsidRDefault="00804C60" w:rsidP="001F1BE3">
      <w:pPr>
        <w:pStyle w:val="ListParagraph"/>
        <w:spacing w:after="240"/>
        <w:contextualSpacing w:val="0"/>
        <w:rPr>
          <w:rFonts w:ascii="Times New Roman" w:hAnsi="Times New Roman" w:cs="Times New Roman"/>
          <w:bCs/>
        </w:rPr>
      </w:pPr>
      <w:r>
        <w:rPr>
          <w:rFonts w:ascii="Times New Roman" w:hAnsi="Times New Roman" w:cs="Times New Roman"/>
          <w:bCs/>
        </w:rPr>
        <w:t>SDG&amp;E is aware of</w:t>
      </w:r>
      <w:r w:rsidR="007311E0">
        <w:rPr>
          <w:rFonts w:ascii="Times New Roman" w:hAnsi="Times New Roman" w:cs="Times New Roman"/>
          <w:bCs/>
        </w:rPr>
        <w:t xml:space="preserve"> </w:t>
      </w:r>
      <w:r w:rsidR="009A1EDA">
        <w:rPr>
          <w:rFonts w:ascii="Times New Roman" w:hAnsi="Times New Roman" w:cs="Times New Roman"/>
          <w:bCs/>
        </w:rPr>
        <w:t>t</w:t>
      </w:r>
      <w:r w:rsidR="0072418F">
        <w:rPr>
          <w:rFonts w:ascii="Times New Roman" w:hAnsi="Times New Roman" w:cs="Times New Roman"/>
          <w:bCs/>
        </w:rPr>
        <w:t>wo</w:t>
      </w:r>
      <w:r w:rsidR="007311E0">
        <w:rPr>
          <w:rFonts w:ascii="Times New Roman" w:hAnsi="Times New Roman" w:cs="Times New Roman"/>
          <w:bCs/>
        </w:rPr>
        <w:t xml:space="preserve"> </w:t>
      </w:r>
      <w:r w:rsidR="0030723D">
        <w:rPr>
          <w:rFonts w:ascii="Times New Roman" w:hAnsi="Times New Roman" w:cs="Times New Roman"/>
          <w:bCs/>
        </w:rPr>
        <w:t xml:space="preserve">additional </w:t>
      </w:r>
      <w:r w:rsidR="007311E0">
        <w:rPr>
          <w:rFonts w:ascii="Times New Roman" w:hAnsi="Times New Roman" w:cs="Times New Roman"/>
          <w:bCs/>
        </w:rPr>
        <w:t>factors that may have contributed to the re-distribution of loss of load</w:t>
      </w:r>
      <w:r w:rsidR="00505762">
        <w:rPr>
          <w:rFonts w:ascii="Times New Roman" w:hAnsi="Times New Roman" w:cs="Times New Roman"/>
          <w:bCs/>
        </w:rPr>
        <w:t xml:space="preserve"> in 2020 relative to 2016</w:t>
      </w:r>
      <w:r w:rsidR="007311E0">
        <w:rPr>
          <w:rFonts w:ascii="Times New Roman" w:hAnsi="Times New Roman" w:cs="Times New Roman"/>
          <w:bCs/>
        </w:rPr>
        <w:t xml:space="preserve">. </w:t>
      </w:r>
      <w:r w:rsidR="006E4F20">
        <w:rPr>
          <w:rFonts w:ascii="Times New Roman" w:hAnsi="Times New Roman" w:cs="Times New Roman"/>
          <w:bCs/>
        </w:rPr>
        <w:t>While SDG&amp;E’s generation portfolio remained relatively stable from 2016 to 2020, there was a</w:t>
      </w:r>
      <w:r w:rsidR="00EE7ABC">
        <w:rPr>
          <w:rFonts w:ascii="Times New Roman" w:hAnsi="Times New Roman" w:cs="Times New Roman"/>
          <w:bCs/>
        </w:rPr>
        <w:t>n</w:t>
      </w:r>
      <w:r w:rsidR="006E4F20">
        <w:rPr>
          <w:rFonts w:ascii="Times New Roman" w:hAnsi="Times New Roman" w:cs="Times New Roman"/>
          <w:bCs/>
        </w:rPr>
        <w:t xml:space="preserve"> increase in </w:t>
      </w:r>
      <w:r w:rsidR="00EA1F17">
        <w:rPr>
          <w:rFonts w:ascii="Times New Roman" w:hAnsi="Times New Roman" w:cs="Times New Roman"/>
          <w:bCs/>
        </w:rPr>
        <w:t>behind the meter solar generation</w:t>
      </w:r>
      <w:r w:rsidR="00502978">
        <w:rPr>
          <w:rFonts w:ascii="Times New Roman" w:hAnsi="Times New Roman" w:cs="Times New Roman"/>
          <w:bCs/>
        </w:rPr>
        <w:t xml:space="preserve"> which </w:t>
      </w:r>
      <w:r w:rsidR="002A0B3F">
        <w:rPr>
          <w:rFonts w:ascii="Times New Roman" w:hAnsi="Times New Roman" w:cs="Times New Roman"/>
          <w:bCs/>
        </w:rPr>
        <w:t xml:space="preserve">flattened the </w:t>
      </w:r>
      <w:r w:rsidR="00B93419">
        <w:rPr>
          <w:rFonts w:ascii="Times New Roman" w:hAnsi="Times New Roman" w:cs="Times New Roman"/>
          <w:bCs/>
        </w:rPr>
        <w:t xml:space="preserve">mid-day </w:t>
      </w:r>
      <w:r w:rsidR="002A0B3F">
        <w:rPr>
          <w:rFonts w:ascii="Times New Roman" w:hAnsi="Times New Roman" w:cs="Times New Roman"/>
          <w:bCs/>
        </w:rPr>
        <w:t>load profile</w:t>
      </w:r>
      <w:r w:rsidR="00864B95">
        <w:rPr>
          <w:rFonts w:ascii="Times New Roman" w:hAnsi="Times New Roman" w:cs="Times New Roman"/>
          <w:bCs/>
        </w:rPr>
        <w:t xml:space="preserve"> and sh</w:t>
      </w:r>
      <w:r w:rsidR="00B61946">
        <w:rPr>
          <w:rFonts w:ascii="Times New Roman" w:hAnsi="Times New Roman" w:cs="Times New Roman"/>
          <w:bCs/>
        </w:rPr>
        <w:t>ifted the loss of load to non-solar hours</w:t>
      </w:r>
      <w:r w:rsidR="00CE5E4B">
        <w:rPr>
          <w:rFonts w:ascii="Times New Roman" w:hAnsi="Times New Roman" w:cs="Times New Roman"/>
          <w:bCs/>
        </w:rPr>
        <w:t>.</w:t>
      </w:r>
      <w:r w:rsidR="009A1EDA">
        <w:rPr>
          <w:rFonts w:ascii="Times New Roman" w:hAnsi="Times New Roman" w:cs="Times New Roman"/>
          <w:bCs/>
        </w:rPr>
        <w:t xml:space="preserve"> Second, the 2020 load forecast included </w:t>
      </w:r>
      <w:r w:rsidR="00CA636E">
        <w:rPr>
          <w:rFonts w:ascii="Times New Roman" w:hAnsi="Times New Roman" w:cs="Times New Roman"/>
          <w:bCs/>
        </w:rPr>
        <w:t xml:space="preserve">additional electric vehicle load in the evening hours that was not included in </w:t>
      </w:r>
      <w:r w:rsidR="00E65E96">
        <w:rPr>
          <w:rFonts w:ascii="Times New Roman" w:hAnsi="Times New Roman" w:cs="Times New Roman"/>
          <w:bCs/>
        </w:rPr>
        <w:t>the 2016 forecast</w:t>
      </w:r>
      <w:r w:rsidR="00695F37">
        <w:rPr>
          <w:rFonts w:ascii="Times New Roman" w:hAnsi="Times New Roman" w:cs="Times New Roman"/>
          <w:bCs/>
        </w:rPr>
        <w:t>.</w:t>
      </w:r>
      <w:r w:rsidR="00E65E96">
        <w:rPr>
          <w:rFonts w:ascii="Times New Roman" w:hAnsi="Times New Roman" w:cs="Times New Roman"/>
          <w:bCs/>
        </w:rPr>
        <w:t xml:space="preserve"> </w:t>
      </w:r>
    </w:p>
    <w:p w14:paraId="54D1AAFC" w14:textId="77777777" w:rsidR="001F1BE3" w:rsidRPr="001F1BE3" w:rsidRDefault="001F1BE3" w:rsidP="001F1BE3">
      <w:pPr>
        <w:spacing w:after="240"/>
        <w:rPr>
          <w:rFonts w:ascii="Times New Roman" w:hAnsi="Times New Roman" w:cs="Times New Roman"/>
          <w:b/>
          <w:bCs/>
        </w:rPr>
      </w:pPr>
    </w:p>
    <w:p w14:paraId="1B844E1C" w14:textId="3D496E89" w:rsidR="001755F0" w:rsidRPr="005063F1" w:rsidRDefault="00C32C78" w:rsidP="00654148">
      <w:pPr>
        <w:pStyle w:val="ListParagraph"/>
        <w:numPr>
          <w:ilvl w:val="0"/>
          <w:numId w:val="1"/>
        </w:numPr>
        <w:spacing w:after="240"/>
        <w:contextualSpacing w:val="0"/>
        <w:rPr>
          <w:rFonts w:ascii="Times New Roman" w:hAnsi="Times New Roman" w:cs="Times New Roman"/>
        </w:rPr>
      </w:pPr>
      <w:r w:rsidRPr="005063F1">
        <w:rPr>
          <w:rFonts w:ascii="Times New Roman" w:hAnsi="Times New Roman" w:cs="Times New Roman"/>
        </w:rPr>
        <w:t xml:space="preserve">SDG&amp;E’s Marginal Generation Capacity Cost workpapers (Excel file Ch_6_WP#1_Marg Gen Comm </w:t>
      </w:r>
      <w:proofErr w:type="spellStart"/>
      <w:r w:rsidRPr="005063F1">
        <w:rPr>
          <w:rFonts w:ascii="Times New Roman" w:hAnsi="Times New Roman" w:cs="Times New Roman"/>
        </w:rPr>
        <w:t>Cost_Confidential</w:t>
      </w:r>
      <w:proofErr w:type="spellEnd"/>
      <w:r w:rsidRPr="005063F1">
        <w:rPr>
          <w:rFonts w:ascii="Times New Roman" w:hAnsi="Times New Roman" w:cs="Times New Roman"/>
        </w:rPr>
        <w:t xml:space="preserve">) incorporate customer class-specific hourly loads weighted by LOLP (see tab “Top 100 Hours – 2020” at cells AP3:AV8788). </w:t>
      </w:r>
      <w:r w:rsidR="001755F0" w:rsidRPr="005063F1">
        <w:rPr>
          <w:rFonts w:ascii="Times New Roman" w:hAnsi="Times New Roman" w:cs="Times New Roman"/>
        </w:rPr>
        <w:t>Please respond to the following questions with respect to this data.</w:t>
      </w:r>
    </w:p>
    <w:p w14:paraId="5DC31C77" w14:textId="3F14C988" w:rsidR="00AD5D80" w:rsidRPr="005063F1" w:rsidRDefault="00C32C78"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t>Please provide comparable data for SDG&amp;E’s 2016 GRC Phase 2.</w:t>
      </w:r>
    </w:p>
    <w:p w14:paraId="4996ABD6" w14:textId="400B3674" w:rsidR="001755F0" w:rsidRPr="005063F1" w:rsidRDefault="001755F0"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t>Does SDG&amp;E expect that the relative share of Top 100 Hour LOLP-weighted loads for each customer class have changed due to the flattening of loss of load addressed in Question 1 and Question 2? P</w:t>
      </w:r>
      <w:bookmarkStart w:id="0" w:name="_GoBack"/>
      <w:bookmarkEnd w:id="0"/>
      <w:r w:rsidRPr="005063F1">
        <w:rPr>
          <w:rFonts w:ascii="Times New Roman" w:hAnsi="Times New Roman" w:cs="Times New Roman"/>
        </w:rPr>
        <w:t>lease explain why or why not.</w:t>
      </w:r>
    </w:p>
    <w:p w14:paraId="4C51C09D" w14:textId="294FB761" w:rsidR="001755F0" w:rsidRPr="005063F1" w:rsidRDefault="001755F0"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lastRenderedPageBreak/>
        <w:t>If SDG&amp;E’s response to Question 3(b) is not a</w:t>
      </w:r>
      <w:r w:rsidR="00C603AC" w:rsidRPr="005063F1">
        <w:rPr>
          <w:rFonts w:ascii="Times New Roman" w:hAnsi="Times New Roman" w:cs="Times New Roman"/>
        </w:rPr>
        <w:t>n</w:t>
      </w:r>
      <w:r w:rsidRPr="005063F1">
        <w:rPr>
          <w:rFonts w:ascii="Times New Roman" w:hAnsi="Times New Roman" w:cs="Times New Roman"/>
        </w:rPr>
        <w:t xml:space="preserve"> </w:t>
      </w:r>
      <w:r w:rsidR="00C603AC" w:rsidRPr="005063F1">
        <w:rPr>
          <w:rFonts w:ascii="Times New Roman" w:hAnsi="Times New Roman" w:cs="Times New Roman"/>
        </w:rPr>
        <w:t>unqualified</w:t>
      </w:r>
      <w:r w:rsidRPr="005063F1">
        <w:rPr>
          <w:rFonts w:ascii="Times New Roman" w:hAnsi="Times New Roman" w:cs="Times New Roman"/>
        </w:rPr>
        <w:t xml:space="preserve"> yes or no, please explain </w:t>
      </w:r>
      <w:r w:rsidR="00C603AC" w:rsidRPr="005063F1">
        <w:rPr>
          <w:rFonts w:ascii="Times New Roman" w:hAnsi="Times New Roman" w:cs="Times New Roman"/>
        </w:rPr>
        <w:t>whether</w:t>
      </w:r>
      <w:r w:rsidRPr="005063F1">
        <w:rPr>
          <w:rFonts w:ascii="Times New Roman" w:hAnsi="Times New Roman" w:cs="Times New Roman"/>
        </w:rPr>
        <w:t xml:space="preserve"> the flattening of loss of load addressed in Question 1 and Question 2 could theoretically result in changes to each customer class’ relative share of Top 100 Hour LOLP-weighted loads</w:t>
      </w:r>
      <w:r w:rsidR="00C603AC" w:rsidRPr="005063F1">
        <w:rPr>
          <w:rFonts w:ascii="Times New Roman" w:hAnsi="Times New Roman" w:cs="Times New Roman"/>
        </w:rPr>
        <w:t xml:space="preserve"> and why</w:t>
      </w:r>
      <w:r w:rsidRPr="005063F1">
        <w:rPr>
          <w:rFonts w:ascii="Times New Roman" w:hAnsi="Times New Roman" w:cs="Times New Roman"/>
        </w:rPr>
        <w:t>.</w:t>
      </w:r>
    </w:p>
    <w:p w14:paraId="1155B4B2" w14:textId="2E935E6B" w:rsidR="001755F0" w:rsidRDefault="001755F0"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t xml:space="preserve">Has SDG&amp;E performed any analyses of changes in each customer class’ Top 100 Hour LOLP-weighted loads between SDG&amp;E’s prior GRC Phase 2 and the current proceeding and the drivers of any </w:t>
      </w:r>
      <w:r w:rsidR="00C603AC" w:rsidRPr="005063F1">
        <w:rPr>
          <w:rFonts w:ascii="Times New Roman" w:hAnsi="Times New Roman" w:cs="Times New Roman"/>
        </w:rPr>
        <w:t xml:space="preserve">such </w:t>
      </w:r>
      <w:r w:rsidRPr="005063F1">
        <w:rPr>
          <w:rFonts w:ascii="Times New Roman" w:hAnsi="Times New Roman" w:cs="Times New Roman"/>
        </w:rPr>
        <w:t>changes? If so, please describe the analyses and results and provide the quantitative results of SDG&amp;E’s analyses.</w:t>
      </w:r>
    </w:p>
    <w:p w14:paraId="123B6C8D" w14:textId="08CA94C0" w:rsidR="001F1BE3" w:rsidRDefault="001F1BE3" w:rsidP="001F1BE3">
      <w:pPr>
        <w:pStyle w:val="ListParagraph"/>
        <w:spacing w:after="240"/>
        <w:rPr>
          <w:rFonts w:ascii="Times New Roman" w:hAnsi="Times New Roman" w:cs="Times New Roman"/>
          <w:b/>
          <w:bCs/>
        </w:rPr>
      </w:pPr>
      <w:r w:rsidRPr="001F1BE3">
        <w:rPr>
          <w:rFonts w:ascii="Times New Roman" w:hAnsi="Times New Roman" w:cs="Times New Roman"/>
          <w:b/>
          <w:bCs/>
        </w:rPr>
        <w:t>SDG&amp;E Response:</w:t>
      </w:r>
    </w:p>
    <w:p w14:paraId="5EB931C3" w14:textId="59A85D8F" w:rsidR="00002633" w:rsidRDefault="00422A50" w:rsidP="004531AE">
      <w:pPr>
        <w:pStyle w:val="ListParagraph"/>
        <w:numPr>
          <w:ilvl w:val="0"/>
          <w:numId w:val="5"/>
        </w:numPr>
        <w:spacing w:after="240"/>
        <w:contextualSpacing w:val="0"/>
        <w:rPr>
          <w:rFonts w:ascii="Times New Roman" w:hAnsi="Times New Roman" w:cs="Times New Roman"/>
        </w:rPr>
      </w:pPr>
      <w:r w:rsidRPr="008D2874">
        <w:rPr>
          <w:rFonts w:ascii="Times New Roman" w:hAnsi="Times New Roman" w:cs="Times New Roman"/>
        </w:rPr>
        <w:t xml:space="preserve">See </w:t>
      </w:r>
      <w:r w:rsidR="0040121B">
        <w:rPr>
          <w:rFonts w:ascii="Times New Roman" w:hAnsi="Times New Roman" w:cs="Times New Roman"/>
        </w:rPr>
        <w:t xml:space="preserve">the </w:t>
      </w:r>
      <w:r w:rsidR="00B32A97">
        <w:rPr>
          <w:rFonts w:ascii="Times New Roman" w:hAnsi="Times New Roman" w:cs="Times New Roman"/>
        </w:rPr>
        <w:t>embedded Excel Workbook below</w:t>
      </w:r>
      <w:r w:rsidR="00162BF9">
        <w:rPr>
          <w:rFonts w:ascii="Times New Roman" w:hAnsi="Times New Roman" w:cs="Times New Roman"/>
        </w:rPr>
        <w:t>.</w:t>
      </w:r>
      <w:r w:rsidR="006F6330">
        <w:rPr>
          <w:rFonts w:ascii="Times New Roman" w:hAnsi="Times New Roman" w:cs="Times New Roman"/>
        </w:rPr>
        <w:t xml:space="preserve"> </w:t>
      </w:r>
    </w:p>
    <w:p w14:paraId="4CE76267" w14:textId="3A7FDC62" w:rsidR="006F6330" w:rsidRDefault="00781C9C" w:rsidP="006F6330">
      <w:pPr>
        <w:pStyle w:val="ListParagraph"/>
        <w:spacing w:after="240"/>
        <w:ind w:left="1440"/>
        <w:contextualSpacing w:val="0"/>
        <w:rPr>
          <w:rFonts w:ascii="Times New Roman" w:hAnsi="Times New Roman" w:cs="Times New Roman"/>
        </w:rPr>
      </w:pPr>
      <w:r>
        <w:rPr>
          <w:rFonts w:ascii="Times New Roman" w:hAnsi="Times New Roman" w:cs="Times New Roman"/>
        </w:rPr>
        <w:object w:dxaOrig="1288" w:dyaOrig="841" w14:anchorId="33155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pt" o:ole="">
            <v:imagedata r:id="rId7" o:title=""/>
          </v:shape>
          <o:OLEObject Type="Embed" ProgID="Excel.Sheet.12" ShapeID="_x0000_i1025" DrawAspect="Icon" ObjectID="_1643714394" r:id="rId8"/>
        </w:object>
      </w:r>
    </w:p>
    <w:p w14:paraId="3B64D1AC" w14:textId="250872C9" w:rsidR="008D2874" w:rsidRPr="008D2874" w:rsidRDefault="00BC0351" w:rsidP="004531AE">
      <w:pPr>
        <w:pStyle w:val="ListParagraph"/>
        <w:numPr>
          <w:ilvl w:val="0"/>
          <w:numId w:val="5"/>
        </w:numPr>
        <w:spacing w:after="240"/>
        <w:contextualSpacing w:val="0"/>
        <w:rPr>
          <w:rFonts w:ascii="Times New Roman" w:hAnsi="Times New Roman" w:cs="Times New Roman"/>
        </w:rPr>
      </w:pPr>
      <w:r>
        <w:rPr>
          <w:rFonts w:ascii="Times New Roman" w:hAnsi="Times New Roman" w:cs="Times New Roman"/>
        </w:rPr>
        <w:t xml:space="preserve">The </w:t>
      </w:r>
      <w:r w:rsidR="00804C60">
        <w:rPr>
          <w:rFonts w:ascii="Times New Roman" w:hAnsi="Times New Roman" w:cs="Times New Roman"/>
        </w:rPr>
        <w:t xml:space="preserve">expected </w:t>
      </w:r>
      <w:r w:rsidR="00F436FE" w:rsidRPr="005063F1">
        <w:rPr>
          <w:rFonts w:ascii="Times New Roman" w:hAnsi="Times New Roman" w:cs="Times New Roman"/>
        </w:rPr>
        <w:t>relative share of Top 100 Hour LOLP-weighted loads for each customer class ha</w:t>
      </w:r>
      <w:r w:rsidR="00044CF2">
        <w:rPr>
          <w:rFonts w:ascii="Times New Roman" w:hAnsi="Times New Roman" w:cs="Times New Roman"/>
        </w:rPr>
        <w:t xml:space="preserve">s </w:t>
      </w:r>
      <w:r w:rsidR="00804C60">
        <w:rPr>
          <w:rFonts w:ascii="Times New Roman" w:hAnsi="Times New Roman" w:cs="Times New Roman"/>
        </w:rPr>
        <w:t>changed only slightly</w:t>
      </w:r>
      <w:r w:rsidR="00F94A7B">
        <w:rPr>
          <w:rFonts w:ascii="Times New Roman" w:hAnsi="Times New Roman" w:cs="Times New Roman"/>
        </w:rPr>
        <w:t xml:space="preserve"> despite the changes </w:t>
      </w:r>
      <w:r w:rsidR="00F436FE" w:rsidRPr="005063F1">
        <w:rPr>
          <w:rFonts w:ascii="Times New Roman" w:hAnsi="Times New Roman" w:cs="Times New Roman"/>
        </w:rPr>
        <w:t>addressed in Question 1 and Question 2</w:t>
      </w:r>
      <w:r w:rsidR="006C3520">
        <w:rPr>
          <w:rFonts w:ascii="Times New Roman" w:hAnsi="Times New Roman" w:cs="Times New Roman"/>
        </w:rPr>
        <w:t>. The % share</w:t>
      </w:r>
      <w:r w:rsidR="00BE1784">
        <w:rPr>
          <w:rFonts w:ascii="Times New Roman" w:hAnsi="Times New Roman" w:cs="Times New Roman"/>
        </w:rPr>
        <w:t xml:space="preserve"> of LOLP weighted load by customer class</w:t>
      </w:r>
      <w:r w:rsidR="00580998">
        <w:rPr>
          <w:rFonts w:ascii="Times New Roman" w:hAnsi="Times New Roman" w:cs="Times New Roman"/>
        </w:rPr>
        <w:t xml:space="preserve"> is within 1% difference for each class</w:t>
      </w:r>
      <w:r w:rsidR="005A7988">
        <w:rPr>
          <w:rFonts w:ascii="Times New Roman" w:hAnsi="Times New Roman" w:cs="Times New Roman"/>
        </w:rPr>
        <w:t>. Part of this difference may be attributed to the addition of the “Schools” class</w:t>
      </w:r>
      <w:r w:rsidR="00B712D6">
        <w:rPr>
          <w:rFonts w:ascii="Times New Roman" w:hAnsi="Times New Roman" w:cs="Times New Roman"/>
        </w:rPr>
        <w:t>:</w:t>
      </w:r>
    </w:p>
    <w:p w14:paraId="0DB6753B" w14:textId="27840FA5" w:rsidR="00422A50" w:rsidRPr="00422A50" w:rsidRDefault="00133497" w:rsidP="00422A50">
      <w:pPr>
        <w:spacing w:after="240"/>
        <w:ind w:left="720"/>
        <w:rPr>
          <w:rFonts w:ascii="Times New Roman" w:hAnsi="Times New Roman" w:cs="Times New Roman"/>
          <w:b/>
          <w:bCs/>
        </w:rPr>
      </w:pPr>
      <w:r w:rsidRPr="00133497">
        <w:rPr>
          <w:noProof/>
        </w:rPr>
        <w:drawing>
          <wp:inline distT="0" distB="0" distL="0" distR="0" wp14:anchorId="078DABCF" wp14:editId="7B52834D">
            <wp:extent cx="52006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762000"/>
                    </a:xfrm>
                    <a:prstGeom prst="rect">
                      <a:avLst/>
                    </a:prstGeom>
                    <a:noFill/>
                    <a:ln>
                      <a:noFill/>
                    </a:ln>
                  </pic:spPr>
                </pic:pic>
              </a:graphicData>
            </a:graphic>
          </wp:inline>
        </w:drawing>
      </w:r>
    </w:p>
    <w:p w14:paraId="5D12F4AB" w14:textId="4CD98535" w:rsidR="00967B02" w:rsidRDefault="003A306A" w:rsidP="0057777F">
      <w:pPr>
        <w:pStyle w:val="ListParagraph"/>
        <w:numPr>
          <w:ilvl w:val="0"/>
          <w:numId w:val="5"/>
        </w:numPr>
        <w:spacing w:after="240"/>
        <w:contextualSpacing w:val="0"/>
        <w:rPr>
          <w:rFonts w:ascii="Times New Roman" w:hAnsi="Times New Roman" w:cs="Times New Roman"/>
        </w:rPr>
      </w:pPr>
      <w:r>
        <w:rPr>
          <w:rFonts w:ascii="Times New Roman" w:hAnsi="Times New Roman" w:cs="Times New Roman"/>
        </w:rPr>
        <w:t xml:space="preserve">Changes </w:t>
      </w:r>
      <w:r w:rsidR="000009ED">
        <w:rPr>
          <w:rFonts w:ascii="Times New Roman" w:hAnsi="Times New Roman" w:cs="Times New Roman"/>
        </w:rPr>
        <w:t xml:space="preserve">to the </w:t>
      </w:r>
      <w:r>
        <w:rPr>
          <w:rFonts w:ascii="Times New Roman" w:hAnsi="Times New Roman" w:cs="Times New Roman"/>
        </w:rPr>
        <w:t>load profile</w:t>
      </w:r>
      <w:r w:rsidR="00D474D8">
        <w:rPr>
          <w:rFonts w:ascii="Times New Roman" w:hAnsi="Times New Roman" w:cs="Times New Roman"/>
        </w:rPr>
        <w:t xml:space="preserve">, </w:t>
      </w:r>
      <w:r w:rsidR="000009ED">
        <w:rPr>
          <w:rFonts w:ascii="Times New Roman" w:hAnsi="Times New Roman" w:cs="Times New Roman"/>
        </w:rPr>
        <w:t>to the</w:t>
      </w:r>
      <w:r w:rsidR="003E5039">
        <w:rPr>
          <w:rFonts w:ascii="Times New Roman" w:hAnsi="Times New Roman" w:cs="Times New Roman"/>
        </w:rPr>
        <w:t xml:space="preserve"> size of </w:t>
      </w:r>
      <w:r w:rsidR="00697965">
        <w:rPr>
          <w:rFonts w:ascii="Times New Roman" w:hAnsi="Times New Roman" w:cs="Times New Roman"/>
        </w:rPr>
        <w:t xml:space="preserve">generation </w:t>
      </w:r>
      <w:r w:rsidR="003E5039">
        <w:rPr>
          <w:rFonts w:ascii="Times New Roman" w:hAnsi="Times New Roman" w:cs="Times New Roman"/>
        </w:rPr>
        <w:t>resources</w:t>
      </w:r>
      <w:r w:rsidR="00D474D8">
        <w:rPr>
          <w:rFonts w:ascii="Times New Roman" w:hAnsi="Times New Roman" w:cs="Times New Roman"/>
        </w:rPr>
        <w:t xml:space="preserve">, and/or </w:t>
      </w:r>
      <w:r w:rsidR="003E5039">
        <w:rPr>
          <w:rFonts w:ascii="Times New Roman" w:hAnsi="Times New Roman" w:cs="Times New Roman"/>
        </w:rPr>
        <w:t xml:space="preserve">the hours </w:t>
      </w:r>
      <w:r w:rsidR="00D474D8">
        <w:rPr>
          <w:rFonts w:ascii="Times New Roman" w:hAnsi="Times New Roman" w:cs="Times New Roman"/>
        </w:rPr>
        <w:t xml:space="preserve">generation resources </w:t>
      </w:r>
      <w:r w:rsidR="003E5039">
        <w:rPr>
          <w:rFonts w:ascii="Times New Roman" w:hAnsi="Times New Roman" w:cs="Times New Roman"/>
        </w:rPr>
        <w:t>generate could potentially shift</w:t>
      </w:r>
      <w:r w:rsidR="00E731CE">
        <w:rPr>
          <w:rFonts w:ascii="Times New Roman" w:hAnsi="Times New Roman" w:cs="Times New Roman"/>
        </w:rPr>
        <w:t xml:space="preserve"> the loss of load into hours that have different</w:t>
      </w:r>
      <w:r w:rsidR="00730AC7">
        <w:rPr>
          <w:rFonts w:ascii="Times New Roman" w:hAnsi="Times New Roman" w:cs="Times New Roman"/>
        </w:rPr>
        <w:t xml:space="preserve"> </w:t>
      </w:r>
      <w:r w:rsidR="00572EE3">
        <w:rPr>
          <w:rFonts w:ascii="Times New Roman" w:hAnsi="Times New Roman" w:cs="Times New Roman"/>
        </w:rPr>
        <w:t xml:space="preserve">shares </w:t>
      </w:r>
      <w:r w:rsidR="00904800">
        <w:rPr>
          <w:rFonts w:ascii="Times New Roman" w:hAnsi="Times New Roman" w:cs="Times New Roman"/>
        </w:rPr>
        <w:t>of load by customer class.</w:t>
      </w:r>
    </w:p>
    <w:p w14:paraId="74EB77AA" w14:textId="774BA18D" w:rsidR="00162BF9" w:rsidRPr="00870502" w:rsidRDefault="00D474D8" w:rsidP="0057777F">
      <w:pPr>
        <w:pStyle w:val="ListParagraph"/>
        <w:numPr>
          <w:ilvl w:val="0"/>
          <w:numId w:val="5"/>
        </w:numPr>
        <w:spacing w:after="240"/>
        <w:contextualSpacing w:val="0"/>
        <w:rPr>
          <w:rFonts w:ascii="Times New Roman" w:hAnsi="Times New Roman" w:cs="Times New Roman"/>
          <w:i/>
          <w:color w:val="FF0000"/>
        </w:rPr>
      </w:pPr>
      <w:r>
        <w:rPr>
          <w:rFonts w:ascii="Times New Roman" w:hAnsi="Times New Roman" w:cs="Times New Roman"/>
        </w:rPr>
        <w:t xml:space="preserve">Yes.  </w:t>
      </w:r>
      <w:r w:rsidR="00712DE5">
        <w:rPr>
          <w:rFonts w:ascii="Times New Roman" w:hAnsi="Times New Roman" w:cs="Times New Roman"/>
        </w:rPr>
        <w:t>In responding to question 3</w:t>
      </w:r>
      <w:r>
        <w:rPr>
          <w:rFonts w:ascii="Times New Roman" w:hAnsi="Times New Roman" w:cs="Times New Roman"/>
        </w:rPr>
        <w:t>d</w:t>
      </w:r>
      <w:r w:rsidR="00712DE5">
        <w:rPr>
          <w:rFonts w:ascii="Times New Roman" w:hAnsi="Times New Roman" w:cs="Times New Roman"/>
        </w:rPr>
        <w:t xml:space="preserve">, SDG&amp;E </w:t>
      </w:r>
      <w:r w:rsidR="00CF0245">
        <w:rPr>
          <w:rFonts w:ascii="Times New Roman" w:hAnsi="Times New Roman" w:cs="Times New Roman"/>
        </w:rPr>
        <w:t xml:space="preserve">performed </w:t>
      </w:r>
      <w:r w:rsidR="00712DE5">
        <w:rPr>
          <w:rFonts w:ascii="Times New Roman" w:hAnsi="Times New Roman" w:cs="Times New Roman"/>
        </w:rPr>
        <w:t>the</w:t>
      </w:r>
      <w:r w:rsidR="00C87B57">
        <w:rPr>
          <w:rFonts w:ascii="Times New Roman" w:hAnsi="Times New Roman" w:cs="Times New Roman"/>
        </w:rPr>
        <w:t xml:space="preserve"> analysis in </w:t>
      </w:r>
      <w:r w:rsidR="00162BF9">
        <w:rPr>
          <w:rFonts w:ascii="Times New Roman" w:hAnsi="Times New Roman" w:cs="Times New Roman"/>
        </w:rPr>
        <w:t xml:space="preserve">the </w:t>
      </w:r>
      <w:r w:rsidR="00B32A97">
        <w:rPr>
          <w:rFonts w:ascii="Times New Roman" w:hAnsi="Times New Roman" w:cs="Times New Roman"/>
        </w:rPr>
        <w:t>embedded Excel workbook below</w:t>
      </w:r>
      <w:r w:rsidR="00162BF9">
        <w:rPr>
          <w:rFonts w:ascii="Times New Roman" w:hAnsi="Times New Roman" w:cs="Times New Roman"/>
        </w:rPr>
        <w:t>.</w:t>
      </w:r>
      <w:r w:rsidR="00B32A97">
        <w:rPr>
          <w:rFonts w:ascii="Times New Roman" w:hAnsi="Times New Roman" w:cs="Times New Roman"/>
        </w:rPr>
        <w:t xml:space="preserve"> </w:t>
      </w:r>
      <w:r w:rsidR="00701459">
        <w:rPr>
          <w:rFonts w:ascii="Times New Roman" w:hAnsi="Times New Roman" w:cs="Times New Roman"/>
          <w:b/>
          <w:bCs/>
          <w:i/>
          <w:color w:val="FF0000"/>
        </w:rPr>
        <w:t>This response contains confidential information and has been redacted.</w:t>
      </w:r>
    </w:p>
    <w:p w14:paraId="046355E9" w14:textId="0CAB8556" w:rsidR="00870502" w:rsidRPr="00745076" w:rsidRDefault="000D40E3" w:rsidP="00870502">
      <w:pPr>
        <w:pStyle w:val="ListParagraph"/>
        <w:spacing w:after="240"/>
        <w:ind w:left="1440"/>
        <w:contextualSpacing w:val="0"/>
        <w:rPr>
          <w:rFonts w:ascii="Times New Roman" w:hAnsi="Times New Roman" w:cs="Times New Roman"/>
          <w:i/>
          <w:color w:val="FF0000"/>
        </w:rPr>
      </w:pPr>
      <w:r>
        <w:rPr>
          <w:rFonts w:ascii="Times New Roman" w:hAnsi="Times New Roman" w:cs="Times New Roman"/>
          <w:i/>
          <w:color w:val="FF0000"/>
        </w:rPr>
        <w:object w:dxaOrig="1543" w:dyaOrig="1000" w14:anchorId="07204B4D">
          <v:shape id="_x0000_i1030" type="#_x0000_t75" style="width:77.25pt;height:50.25pt" o:ole="">
            <v:imagedata r:id="rId10" o:title=""/>
          </v:shape>
          <o:OLEObject Type="Embed" ProgID="Excel.Sheet.12" ShapeID="_x0000_i1030" DrawAspect="Icon" ObjectID="_1643714395" r:id="rId11"/>
        </w:object>
      </w:r>
    </w:p>
    <w:p w14:paraId="713EEC52" w14:textId="495DE770" w:rsidR="00CF0245" w:rsidRPr="008D2874" w:rsidRDefault="00CF0245" w:rsidP="00CF0245">
      <w:pPr>
        <w:pStyle w:val="ListParagraph"/>
        <w:spacing w:after="240"/>
        <w:ind w:left="1440"/>
        <w:contextualSpacing w:val="0"/>
        <w:rPr>
          <w:rFonts w:ascii="Times New Roman" w:hAnsi="Times New Roman" w:cs="Times New Roman"/>
        </w:rPr>
      </w:pPr>
    </w:p>
    <w:p w14:paraId="6699FE4B" w14:textId="77777777" w:rsidR="001F1BE3" w:rsidRPr="001F1BE3" w:rsidRDefault="001F1BE3" w:rsidP="001F1BE3">
      <w:pPr>
        <w:spacing w:after="240"/>
        <w:rPr>
          <w:rFonts w:ascii="Times New Roman" w:hAnsi="Times New Roman" w:cs="Times New Roman"/>
        </w:rPr>
      </w:pPr>
    </w:p>
    <w:p w14:paraId="67E6EA4C" w14:textId="3DCB7BE1" w:rsidR="00152344" w:rsidRPr="005063F1" w:rsidRDefault="00152344" w:rsidP="00654148">
      <w:pPr>
        <w:pStyle w:val="ListParagraph"/>
        <w:numPr>
          <w:ilvl w:val="0"/>
          <w:numId w:val="1"/>
        </w:numPr>
        <w:spacing w:after="240"/>
        <w:contextualSpacing w:val="0"/>
        <w:rPr>
          <w:rFonts w:ascii="Times New Roman" w:hAnsi="Times New Roman" w:cs="Times New Roman"/>
        </w:rPr>
      </w:pPr>
      <w:r w:rsidRPr="005063F1">
        <w:rPr>
          <w:rFonts w:ascii="Times New Roman" w:hAnsi="Times New Roman" w:cs="Times New Roman"/>
        </w:rPr>
        <w:t xml:space="preserve">SDG&amp;E’s Marginal Generation Capacity Cost workpapers (Excel file Ch_6_WP#1_Marg Gen Comm </w:t>
      </w:r>
      <w:proofErr w:type="spellStart"/>
      <w:r w:rsidRPr="005063F1">
        <w:rPr>
          <w:rFonts w:ascii="Times New Roman" w:hAnsi="Times New Roman" w:cs="Times New Roman"/>
        </w:rPr>
        <w:t>Cost_Confidential</w:t>
      </w:r>
      <w:proofErr w:type="spellEnd"/>
      <w:r w:rsidRPr="005063F1">
        <w:rPr>
          <w:rFonts w:ascii="Times New Roman" w:hAnsi="Times New Roman" w:cs="Times New Roman"/>
        </w:rPr>
        <w:t>) incorporate 2020 forecasted hourly load by customer class. Please respond to the following questions with respect to these forecasts.</w:t>
      </w:r>
    </w:p>
    <w:p w14:paraId="425C3A6F" w14:textId="583E4727" w:rsidR="00152344" w:rsidRPr="005063F1" w:rsidRDefault="00152344"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t>Please explain how SDG&amp;E developed these forecasts and identify any specific assumptions that SDG&amp;E incorporated regarding changes in customer class load shapes between SDG&amp;E’s prior GRC Phase 2 and the current proceeding.</w:t>
      </w:r>
    </w:p>
    <w:p w14:paraId="683C889F" w14:textId="1B1D3519" w:rsidR="00152344" w:rsidRDefault="00152344" w:rsidP="00654148">
      <w:pPr>
        <w:pStyle w:val="ListParagraph"/>
        <w:numPr>
          <w:ilvl w:val="1"/>
          <w:numId w:val="1"/>
        </w:numPr>
        <w:spacing w:after="240"/>
        <w:contextualSpacing w:val="0"/>
        <w:rPr>
          <w:rFonts w:ascii="Times New Roman" w:hAnsi="Times New Roman" w:cs="Times New Roman"/>
        </w:rPr>
      </w:pPr>
      <w:r w:rsidRPr="005063F1">
        <w:rPr>
          <w:rFonts w:ascii="Times New Roman" w:hAnsi="Times New Roman" w:cs="Times New Roman"/>
        </w:rPr>
        <w:t xml:space="preserve">Please state whether SDG&amp;E incorporated any adjustments to its forecasted load shapes </w:t>
      </w:r>
      <w:r w:rsidR="00C603AC" w:rsidRPr="005063F1">
        <w:rPr>
          <w:rFonts w:ascii="Times New Roman" w:hAnsi="Times New Roman" w:cs="Times New Roman"/>
        </w:rPr>
        <w:t>designed to reflect expected</w:t>
      </w:r>
      <w:r w:rsidRPr="005063F1">
        <w:rPr>
          <w:rFonts w:ascii="Times New Roman" w:hAnsi="Times New Roman" w:cs="Times New Roman"/>
        </w:rPr>
        <w:t xml:space="preserve"> customer responses to changes in </w:t>
      </w:r>
      <w:r w:rsidR="00C603AC" w:rsidRPr="005063F1">
        <w:rPr>
          <w:rFonts w:ascii="Times New Roman" w:hAnsi="Times New Roman" w:cs="Times New Roman"/>
        </w:rPr>
        <w:t xml:space="preserve">mandatory </w:t>
      </w:r>
      <w:r w:rsidRPr="005063F1">
        <w:rPr>
          <w:rFonts w:ascii="Times New Roman" w:hAnsi="Times New Roman" w:cs="Times New Roman"/>
        </w:rPr>
        <w:t>TOU period definitions</w:t>
      </w:r>
      <w:r w:rsidR="00C603AC" w:rsidRPr="005063F1">
        <w:rPr>
          <w:rFonts w:ascii="Times New Roman" w:hAnsi="Times New Roman" w:cs="Times New Roman"/>
        </w:rPr>
        <w:t xml:space="preserve"> used in rate design</w:t>
      </w:r>
      <w:r w:rsidRPr="005063F1">
        <w:rPr>
          <w:rFonts w:ascii="Times New Roman" w:hAnsi="Times New Roman" w:cs="Times New Roman"/>
        </w:rPr>
        <w:t>.</w:t>
      </w:r>
    </w:p>
    <w:p w14:paraId="11A73AE8" w14:textId="77777777" w:rsidR="001F1BE3" w:rsidRPr="001F1BE3" w:rsidRDefault="001F1BE3" w:rsidP="001F1BE3">
      <w:pPr>
        <w:pStyle w:val="ListParagraph"/>
        <w:spacing w:after="240"/>
        <w:rPr>
          <w:rFonts w:ascii="Times New Roman" w:hAnsi="Times New Roman" w:cs="Times New Roman"/>
          <w:b/>
          <w:bCs/>
        </w:rPr>
      </w:pPr>
      <w:r w:rsidRPr="001F1BE3">
        <w:rPr>
          <w:rFonts w:ascii="Times New Roman" w:hAnsi="Times New Roman" w:cs="Times New Roman"/>
          <w:b/>
          <w:bCs/>
        </w:rPr>
        <w:t>SDG&amp;E Response:</w:t>
      </w:r>
    </w:p>
    <w:p w14:paraId="679A5182" w14:textId="15306B8B" w:rsidR="00684AA0" w:rsidRPr="00052DE7" w:rsidRDefault="00684AA0" w:rsidP="00052DE7">
      <w:pPr>
        <w:pStyle w:val="ListParagraph"/>
        <w:numPr>
          <w:ilvl w:val="0"/>
          <w:numId w:val="6"/>
        </w:numPr>
        <w:spacing w:after="240"/>
        <w:contextualSpacing w:val="0"/>
        <w:rPr>
          <w:rFonts w:ascii="Times New Roman" w:hAnsi="Times New Roman" w:cs="Times New Roman"/>
        </w:rPr>
      </w:pPr>
      <w:r w:rsidRPr="007701E7">
        <w:rPr>
          <w:rFonts w:ascii="Times New Roman" w:hAnsi="Times New Roman" w:cs="Times New Roman"/>
        </w:rPr>
        <w:t>Econometric models were used to develop hourly forecast shapes for the residential, small commercial, medium/large commercial/industrial, agricultural, and lighting classes.  These models incorporate the impacts of rooftop photovoltaic installations and electric vehicles as well as various weather concepts, calendar and seasonal variables, customer count information and other related concepts.</w:t>
      </w:r>
      <w:r w:rsidR="00052DE7">
        <w:rPr>
          <w:rFonts w:ascii="Times New Roman" w:hAnsi="Times New Roman" w:cs="Times New Roman"/>
        </w:rPr>
        <w:t xml:space="preserve"> </w:t>
      </w:r>
      <w:r w:rsidRPr="00052DE7">
        <w:rPr>
          <w:rFonts w:ascii="Times New Roman" w:hAnsi="Times New Roman" w:cs="Times New Roman"/>
        </w:rPr>
        <w:t>The results of the hourly model were then calibrated to the California Energy Commission’s 2018 California Energy Demand Update forecast.</w:t>
      </w:r>
      <w:r w:rsidR="003F2456">
        <w:rPr>
          <w:rFonts w:ascii="Times New Roman" w:hAnsi="Times New Roman" w:cs="Times New Roman"/>
        </w:rPr>
        <w:t xml:space="preserve"> </w:t>
      </w:r>
    </w:p>
    <w:p w14:paraId="2635DFBD" w14:textId="77777777" w:rsidR="00684AA0" w:rsidRPr="007701E7" w:rsidRDefault="00684AA0" w:rsidP="007701E7">
      <w:pPr>
        <w:pStyle w:val="ListParagraph"/>
        <w:numPr>
          <w:ilvl w:val="0"/>
          <w:numId w:val="6"/>
        </w:numPr>
        <w:spacing w:after="240"/>
        <w:contextualSpacing w:val="0"/>
        <w:rPr>
          <w:rFonts w:ascii="Times New Roman" w:hAnsi="Times New Roman" w:cs="Times New Roman"/>
        </w:rPr>
      </w:pPr>
      <w:r w:rsidRPr="007701E7">
        <w:rPr>
          <w:rFonts w:ascii="Times New Roman" w:hAnsi="Times New Roman" w:cs="Times New Roman"/>
        </w:rPr>
        <w:t>SDG&amp;E did not incorporate the impacts of TOU period definitions in the hourly shape.</w:t>
      </w:r>
    </w:p>
    <w:p w14:paraId="4A8ACDEF" w14:textId="77777777" w:rsidR="001F1BE3" w:rsidRPr="001F1BE3" w:rsidRDefault="001F1BE3" w:rsidP="001F1BE3">
      <w:pPr>
        <w:spacing w:after="240"/>
        <w:rPr>
          <w:rFonts w:ascii="Times New Roman" w:hAnsi="Times New Roman" w:cs="Times New Roman"/>
        </w:rPr>
      </w:pPr>
    </w:p>
    <w:sectPr w:rsidR="001F1BE3" w:rsidRPr="001F1BE3" w:rsidSect="0021155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4FBF" w14:textId="77777777" w:rsidR="00B46275" w:rsidRDefault="00B46275" w:rsidP="007C12A6">
      <w:r>
        <w:separator/>
      </w:r>
    </w:p>
  </w:endnote>
  <w:endnote w:type="continuationSeparator" w:id="0">
    <w:p w14:paraId="6878C967" w14:textId="77777777" w:rsidR="00B46275" w:rsidRDefault="00B46275" w:rsidP="007C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552DD" w14:textId="77777777" w:rsidR="00B46275" w:rsidRDefault="00B46275" w:rsidP="007C12A6">
      <w:r>
        <w:separator/>
      </w:r>
    </w:p>
  </w:footnote>
  <w:footnote w:type="continuationSeparator" w:id="0">
    <w:p w14:paraId="1E8C8333" w14:textId="77777777" w:rsidR="00B46275" w:rsidRDefault="00B46275" w:rsidP="007C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4D16" w14:textId="697A245B" w:rsidR="007C12A6" w:rsidRDefault="007C12A6" w:rsidP="007C12A6">
    <w:pPr>
      <w:pStyle w:val="Default"/>
      <w:jc w:val="center"/>
      <w:rPr>
        <w:b/>
        <w:bCs/>
        <w:sz w:val="23"/>
        <w:szCs w:val="23"/>
      </w:rPr>
    </w:pPr>
  </w:p>
  <w:p w14:paraId="6197208E" w14:textId="70FB3030" w:rsidR="007C12A6" w:rsidRPr="00BB3B03" w:rsidRDefault="007C12A6" w:rsidP="007C12A6">
    <w:pPr>
      <w:pStyle w:val="ListParagraph"/>
      <w:jc w:val="center"/>
      <w:rPr>
        <w:rFonts w:ascii="Times New Roman" w:hAnsi="Times New Roman" w:cs="Times New Roman"/>
        <w:b/>
      </w:rPr>
    </w:pPr>
    <w:r>
      <w:rPr>
        <w:rFonts w:ascii="Times New Roman" w:hAnsi="Times New Roman" w:cs="Times New Roman"/>
        <w:b/>
      </w:rPr>
      <w:t>California Farm Bureau</w:t>
    </w:r>
    <w:r w:rsidRPr="00BB3B03">
      <w:rPr>
        <w:rFonts w:ascii="Times New Roman" w:hAnsi="Times New Roman" w:cs="Times New Roman"/>
        <w:b/>
      </w:rPr>
      <w:t xml:space="preserve"> DATA REQUEST </w:t>
    </w:r>
    <w:r w:rsidRPr="00BB3B03">
      <w:rPr>
        <w:rFonts w:ascii="Times New Roman" w:hAnsi="Times New Roman" w:cs="Times New Roman"/>
        <w:b/>
      </w:rPr>
      <w:br/>
    </w:r>
    <w:r>
      <w:rPr>
        <w:rFonts w:ascii="Times New Roman" w:hAnsi="Times New Roman" w:cs="Times New Roman"/>
        <w:b/>
      </w:rPr>
      <w:t>#</w:t>
    </w:r>
    <w:r w:rsidR="003E230C">
      <w:rPr>
        <w:rFonts w:ascii="Times New Roman" w:hAnsi="Times New Roman" w:cs="Times New Roman"/>
        <w:b/>
      </w:rPr>
      <w:t>04</w:t>
    </w:r>
    <w:r w:rsidRPr="00BB3B03">
      <w:rPr>
        <w:rFonts w:ascii="Times New Roman" w:hAnsi="Times New Roman" w:cs="Times New Roman"/>
        <w:b/>
      </w:rPr>
      <w:br/>
      <w:t>SDG&amp;E PHASE 2 GRC PROCEEDING</w:t>
    </w:r>
    <w:r>
      <w:rPr>
        <w:rFonts w:ascii="Times New Roman" w:hAnsi="Times New Roman" w:cs="Times New Roman"/>
        <w:b/>
      </w:rPr>
      <w:t xml:space="preserve"> </w:t>
    </w:r>
    <w:r w:rsidRPr="00BB3B03">
      <w:rPr>
        <w:rFonts w:ascii="Times New Roman" w:hAnsi="Times New Roman" w:cs="Times New Roman"/>
        <w:b/>
      </w:rPr>
      <w:t>- A.19-0</w:t>
    </w:r>
    <w:r>
      <w:rPr>
        <w:rFonts w:ascii="Times New Roman" w:hAnsi="Times New Roman" w:cs="Times New Roman"/>
        <w:b/>
      </w:rPr>
      <w:t>3</w:t>
    </w:r>
    <w:r w:rsidRPr="00BB3B03">
      <w:rPr>
        <w:rFonts w:ascii="Times New Roman" w:hAnsi="Times New Roman" w:cs="Times New Roman"/>
        <w:b/>
      </w:rPr>
      <w:t>-00</w:t>
    </w:r>
    <w:r>
      <w:rPr>
        <w:rFonts w:ascii="Times New Roman" w:hAnsi="Times New Roman" w:cs="Times New Roman"/>
        <w:b/>
      </w:rPr>
      <w:t>2</w:t>
    </w:r>
    <w:r w:rsidRPr="00BB3B03">
      <w:rPr>
        <w:rFonts w:ascii="Times New Roman" w:hAnsi="Times New Roman" w:cs="Times New Roman"/>
        <w:b/>
      </w:rPr>
      <w:br/>
      <w:t xml:space="preserve">DATE RECEIVED: </w:t>
    </w:r>
    <w:r w:rsidR="001F1BE3">
      <w:rPr>
        <w:rFonts w:ascii="Times New Roman" w:hAnsi="Times New Roman" w:cs="Times New Roman"/>
        <w:b/>
      </w:rPr>
      <w:t>2</w:t>
    </w:r>
    <w:r>
      <w:rPr>
        <w:rFonts w:ascii="Times New Roman" w:hAnsi="Times New Roman" w:cs="Times New Roman"/>
        <w:b/>
      </w:rPr>
      <w:t>/</w:t>
    </w:r>
    <w:r w:rsidR="001F1BE3">
      <w:rPr>
        <w:rFonts w:ascii="Times New Roman" w:hAnsi="Times New Roman" w:cs="Times New Roman"/>
        <w:b/>
      </w:rPr>
      <w:t>3</w:t>
    </w:r>
    <w:r>
      <w:rPr>
        <w:rFonts w:ascii="Times New Roman" w:hAnsi="Times New Roman" w:cs="Times New Roman"/>
        <w:b/>
      </w:rPr>
      <w:t>/2020</w:t>
    </w:r>
  </w:p>
  <w:p w14:paraId="7DC8C013" w14:textId="68033835" w:rsidR="007C12A6" w:rsidRPr="00BB3B03" w:rsidRDefault="007C12A6" w:rsidP="007C12A6">
    <w:pPr>
      <w:pStyle w:val="ListParagraph"/>
      <w:jc w:val="center"/>
      <w:rPr>
        <w:rFonts w:ascii="Times New Roman" w:hAnsi="Times New Roman" w:cs="Times New Roman"/>
        <w:b/>
      </w:rPr>
    </w:pPr>
    <w:r w:rsidRPr="00BB3B03">
      <w:rPr>
        <w:rFonts w:ascii="Times New Roman" w:hAnsi="Times New Roman" w:cs="Times New Roman"/>
        <w:b/>
      </w:rPr>
      <w:t>DATE RESPONDED</w:t>
    </w:r>
    <w:r w:rsidRPr="00184F23">
      <w:rPr>
        <w:rFonts w:ascii="Times New Roman" w:hAnsi="Times New Roman" w:cs="Times New Roman"/>
        <w:b/>
      </w:rPr>
      <w:t xml:space="preserve">: </w:t>
    </w:r>
    <w:r w:rsidR="001F1BE3">
      <w:rPr>
        <w:rFonts w:ascii="Times New Roman" w:hAnsi="Times New Roman" w:cs="Times New Roman"/>
        <w:b/>
      </w:rPr>
      <w:t>2</w:t>
    </w:r>
    <w:r>
      <w:rPr>
        <w:rFonts w:ascii="Times New Roman" w:hAnsi="Times New Roman" w:cs="Times New Roman"/>
        <w:b/>
      </w:rPr>
      <w:t>/2</w:t>
    </w:r>
    <w:r w:rsidR="001F1BE3">
      <w:rPr>
        <w:rFonts w:ascii="Times New Roman" w:hAnsi="Times New Roman" w:cs="Times New Roman"/>
        <w:b/>
      </w:rPr>
      <w:t>0</w:t>
    </w:r>
    <w:r>
      <w:rPr>
        <w:rFonts w:ascii="Times New Roman" w:hAnsi="Times New Roman" w:cs="Times New Roman"/>
        <w:b/>
      </w:rPr>
      <w:t>/2020</w:t>
    </w:r>
  </w:p>
  <w:p w14:paraId="43121661" w14:textId="4DAFB9DD" w:rsidR="007C12A6" w:rsidRDefault="007C12A6">
    <w:pPr>
      <w:pStyle w:val="Header"/>
    </w:pPr>
  </w:p>
  <w:p w14:paraId="081C2A88" w14:textId="77777777" w:rsidR="007C12A6" w:rsidRDefault="007C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01D"/>
    <w:multiLevelType w:val="hybridMultilevel"/>
    <w:tmpl w:val="6D9A439E"/>
    <w:lvl w:ilvl="0" w:tplc="D506E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35DDE"/>
    <w:multiLevelType w:val="hybridMultilevel"/>
    <w:tmpl w:val="AED015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B7C60"/>
    <w:multiLevelType w:val="hybridMultilevel"/>
    <w:tmpl w:val="A65822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4050DB"/>
    <w:multiLevelType w:val="hybridMultilevel"/>
    <w:tmpl w:val="655CEE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315723"/>
    <w:multiLevelType w:val="hybridMultilevel"/>
    <w:tmpl w:val="EB64FF72"/>
    <w:lvl w:ilvl="0" w:tplc="61A21E40">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A45272"/>
    <w:multiLevelType w:val="hybridMultilevel"/>
    <w:tmpl w:val="2F32E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5F"/>
    <w:rsid w:val="000009ED"/>
    <w:rsid w:val="00002633"/>
    <w:rsid w:val="00032803"/>
    <w:rsid w:val="00044CF2"/>
    <w:rsid w:val="00052DE7"/>
    <w:rsid w:val="00067DBE"/>
    <w:rsid w:val="000A2DE9"/>
    <w:rsid w:val="000D245A"/>
    <w:rsid w:val="000D40E3"/>
    <w:rsid w:val="00111F99"/>
    <w:rsid w:val="00133497"/>
    <w:rsid w:val="00133712"/>
    <w:rsid w:val="00152344"/>
    <w:rsid w:val="00162BF9"/>
    <w:rsid w:val="001755F0"/>
    <w:rsid w:val="001D3ADD"/>
    <w:rsid w:val="001E01F3"/>
    <w:rsid w:val="001F1BE3"/>
    <w:rsid w:val="001F3351"/>
    <w:rsid w:val="002054C6"/>
    <w:rsid w:val="00211557"/>
    <w:rsid w:val="00212AA7"/>
    <w:rsid w:val="00226435"/>
    <w:rsid w:val="00294D51"/>
    <w:rsid w:val="002A068E"/>
    <w:rsid w:val="002A0B3F"/>
    <w:rsid w:val="002E4338"/>
    <w:rsid w:val="00302D57"/>
    <w:rsid w:val="0030723D"/>
    <w:rsid w:val="00326FDB"/>
    <w:rsid w:val="003311C0"/>
    <w:rsid w:val="00357EA1"/>
    <w:rsid w:val="00360D29"/>
    <w:rsid w:val="003A306A"/>
    <w:rsid w:val="003E230C"/>
    <w:rsid w:val="003E5039"/>
    <w:rsid w:val="003F2456"/>
    <w:rsid w:val="0040121B"/>
    <w:rsid w:val="00422A50"/>
    <w:rsid w:val="004433CA"/>
    <w:rsid w:val="004531AE"/>
    <w:rsid w:val="00461780"/>
    <w:rsid w:val="004C3EA2"/>
    <w:rsid w:val="004E22EB"/>
    <w:rsid w:val="00502978"/>
    <w:rsid w:val="00505762"/>
    <w:rsid w:val="005063F1"/>
    <w:rsid w:val="0055690E"/>
    <w:rsid w:val="0057151C"/>
    <w:rsid w:val="00572EE3"/>
    <w:rsid w:val="0057777F"/>
    <w:rsid w:val="00580998"/>
    <w:rsid w:val="005A7988"/>
    <w:rsid w:val="006148AA"/>
    <w:rsid w:val="00654148"/>
    <w:rsid w:val="006658D8"/>
    <w:rsid w:val="00684AA0"/>
    <w:rsid w:val="00684FD8"/>
    <w:rsid w:val="00695F37"/>
    <w:rsid w:val="00697965"/>
    <w:rsid w:val="006C3520"/>
    <w:rsid w:val="006C6457"/>
    <w:rsid w:val="006E4F20"/>
    <w:rsid w:val="006F6330"/>
    <w:rsid w:val="00701459"/>
    <w:rsid w:val="00712DE5"/>
    <w:rsid w:val="0072418F"/>
    <w:rsid w:val="00730AC7"/>
    <w:rsid w:val="007311E0"/>
    <w:rsid w:val="00745076"/>
    <w:rsid w:val="007701E7"/>
    <w:rsid w:val="00773BEA"/>
    <w:rsid w:val="00781C9C"/>
    <w:rsid w:val="007A59B4"/>
    <w:rsid w:val="007C12A6"/>
    <w:rsid w:val="007D4304"/>
    <w:rsid w:val="007F259C"/>
    <w:rsid w:val="00804C60"/>
    <w:rsid w:val="0083586C"/>
    <w:rsid w:val="0084747A"/>
    <w:rsid w:val="00857451"/>
    <w:rsid w:val="00864B95"/>
    <w:rsid w:val="00870502"/>
    <w:rsid w:val="008D2874"/>
    <w:rsid w:val="00904800"/>
    <w:rsid w:val="00914DDF"/>
    <w:rsid w:val="00941FB1"/>
    <w:rsid w:val="00942109"/>
    <w:rsid w:val="00967B02"/>
    <w:rsid w:val="0097205F"/>
    <w:rsid w:val="00972D7D"/>
    <w:rsid w:val="009A13E2"/>
    <w:rsid w:val="009A1EDA"/>
    <w:rsid w:val="00A36531"/>
    <w:rsid w:val="00AC0E28"/>
    <w:rsid w:val="00AD5D80"/>
    <w:rsid w:val="00AD6FA9"/>
    <w:rsid w:val="00AE58A9"/>
    <w:rsid w:val="00B32A97"/>
    <w:rsid w:val="00B409E4"/>
    <w:rsid w:val="00B40C8C"/>
    <w:rsid w:val="00B46275"/>
    <w:rsid w:val="00B61946"/>
    <w:rsid w:val="00B63B28"/>
    <w:rsid w:val="00B712D6"/>
    <w:rsid w:val="00B91A73"/>
    <w:rsid w:val="00B93419"/>
    <w:rsid w:val="00B976C1"/>
    <w:rsid w:val="00BC0351"/>
    <w:rsid w:val="00BC0897"/>
    <w:rsid w:val="00BD69FD"/>
    <w:rsid w:val="00BE1784"/>
    <w:rsid w:val="00BE3301"/>
    <w:rsid w:val="00BF381E"/>
    <w:rsid w:val="00C2657B"/>
    <w:rsid w:val="00C32C78"/>
    <w:rsid w:val="00C41B92"/>
    <w:rsid w:val="00C603AC"/>
    <w:rsid w:val="00C8374C"/>
    <w:rsid w:val="00C87B57"/>
    <w:rsid w:val="00CA636E"/>
    <w:rsid w:val="00CB6B83"/>
    <w:rsid w:val="00CB757D"/>
    <w:rsid w:val="00CE03FA"/>
    <w:rsid w:val="00CE5E4B"/>
    <w:rsid w:val="00CF0245"/>
    <w:rsid w:val="00D279CE"/>
    <w:rsid w:val="00D474D8"/>
    <w:rsid w:val="00DF6601"/>
    <w:rsid w:val="00E039B8"/>
    <w:rsid w:val="00E21785"/>
    <w:rsid w:val="00E5143B"/>
    <w:rsid w:val="00E60F52"/>
    <w:rsid w:val="00E65E96"/>
    <w:rsid w:val="00E731CE"/>
    <w:rsid w:val="00E91BF3"/>
    <w:rsid w:val="00EA1F17"/>
    <w:rsid w:val="00EA6727"/>
    <w:rsid w:val="00EE7ABC"/>
    <w:rsid w:val="00EF5842"/>
    <w:rsid w:val="00F33CF2"/>
    <w:rsid w:val="00F436FE"/>
    <w:rsid w:val="00F60BD2"/>
    <w:rsid w:val="00F94A7B"/>
    <w:rsid w:val="00FB4256"/>
    <w:rsid w:val="00FB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59FC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80"/>
    <w:pPr>
      <w:ind w:left="720"/>
      <w:contextualSpacing/>
    </w:pPr>
  </w:style>
  <w:style w:type="paragraph" w:styleId="Header">
    <w:name w:val="header"/>
    <w:basedOn w:val="Normal"/>
    <w:link w:val="HeaderChar"/>
    <w:uiPriority w:val="99"/>
    <w:unhideWhenUsed/>
    <w:rsid w:val="007C12A6"/>
    <w:pPr>
      <w:tabs>
        <w:tab w:val="center" w:pos="4680"/>
        <w:tab w:val="right" w:pos="9360"/>
      </w:tabs>
    </w:pPr>
  </w:style>
  <w:style w:type="character" w:customStyle="1" w:styleId="HeaderChar">
    <w:name w:val="Header Char"/>
    <w:basedOn w:val="DefaultParagraphFont"/>
    <w:link w:val="Header"/>
    <w:uiPriority w:val="99"/>
    <w:rsid w:val="007C12A6"/>
  </w:style>
  <w:style w:type="paragraph" w:styleId="Footer">
    <w:name w:val="footer"/>
    <w:basedOn w:val="Normal"/>
    <w:link w:val="FooterChar"/>
    <w:uiPriority w:val="99"/>
    <w:unhideWhenUsed/>
    <w:rsid w:val="007C12A6"/>
    <w:pPr>
      <w:tabs>
        <w:tab w:val="center" w:pos="4680"/>
        <w:tab w:val="right" w:pos="9360"/>
      </w:tabs>
    </w:pPr>
  </w:style>
  <w:style w:type="character" w:customStyle="1" w:styleId="FooterChar">
    <w:name w:val="Footer Char"/>
    <w:basedOn w:val="DefaultParagraphFont"/>
    <w:link w:val="Footer"/>
    <w:uiPriority w:val="99"/>
    <w:rsid w:val="007C12A6"/>
  </w:style>
  <w:style w:type="paragraph" w:customStyle="1" w:styleId="Default">
    <w:name w:val="Default"/>
    <w:rsid w:val="007C12A6"/>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133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2020-02-20T22:20:00Z</dcterms:created>
  <dcterms:modified xsi:type="dcterms:W3CDTF">2020-02-20T22:33:00Z</dcterms:modified>
</cp:coreProperties>
</file>