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542997" w:rsidRDefault="006C46C9" w:rsidP="00ED1A8B">
      <w:pPr>
        <w:pStyle w:val="Default"/>
        <w:rPr>
          <w:b/>
          <w:bCs/>
          <w:color w:val="auto"/>
          <w:sz w:val="23"/>
          <w:szCs w:val="23"/>
        </w:rPr>
      </w:pPr>
      <w:bookmarkStart w:id="0" w:name="_GoBack"/>
      <w:bookmarkEnd w:id="0"/>
    </w:p>
    <w:p w14:paraId="39C5F65B" w14:textId="77777777" w:rsidR="00F571D6" w:rsidRPr="00542997" w:rsidRDefault="00F571D6">
      <w:pPr>
        <w:spacing w:before="3" w:line="120" w:lineRule="exact"/>
        <w:rPr>
          <w:sz w:val="12"/>
          <w:szCs w:val="12"/>
        </w:rPr>
      </w:pPr>
    </w:p>
    <w:p w14:paraId="7A88CEE8" w14:textId="2B0D7D55" w:rsidR="00F571D6" w:rsidRDefault="00C03810">
      <w:pPr>
        <w:ind w:right="297"/>
        <w:jc w:val="center"/>
        <w:rPr>
          <w:rFonts w:ascii="Times New Roman" w:eastAsia="Times New Roman" w:hAnsi="Times New Roman" w:cs="Times New Roman"/>
          <w:b/>
          <w:bCs/>
          <w:sz w:val="24"/>
          <w:szCs w:val="24"/>
          <w:u w:val="thick" w:color="000000"/>
        </w:rPr>
      </w:pPr>
      <w:r w:rsidRPr="00090093">
        <w:rPr>
          <w:rFonts w:ascii="Times New Roman" w:eastAsia="Times New Roman" w:hAnsi="Times New Roman" w:cs="Times New Roman"/>
          <w:b/>
          <w:bCs/>
          <w:spacing w:val="-2"/>
          <w:sz w:val="24"/>
          <w:szCs w:val="24"/>
          <w:u w:val="thick" w:color="000000"/>
        </w:rPr>
        <w:t>DA</w:t>
      </w:r>
      <w:r w:rsidRPr="00090093">
        <w:rPr>
          <w:rFonts w:ascii="Times New Roman" w:eastAsia="Times New Roman" w:hAnsi="Times New Roman" w:cs="Times New Roman"/>
          <w:b/>
          <w:bCs/>
          <w:spacing w:val="-1"/>
          <w:sz w:val="24"/>
          <w:szCs w:val="24"/>
          <w:u w:val="thick" w:color="000000"/>
        </w:rPr>
        <w:t>T</w:t>
      </w:r>
      <w:r w:rsidRPr="00090093">
        <w:rPr>
          <w:rFonts w:ascii="Times New Roman" w:eastAsia="Times New Roman" w:hAnsi="Times New Roman" w:cs="Times New Roman"/>
          <w:b/>
          <w:bCs/>
          <w:sz w:val="24"/>
          <w:szCs w:val="24"/>
          <w:u w:val="thick" w:color="000000"/>
        </w:rPr>
        <w:t>A</w:t>
      </w:r>
      <w:r w:rsidRPr="00090093">
        <w:rPr>
          <w:rFonts w:ascii="Times New Roman" w:eastAsia="Times New Roman" w:hAnsi="Times New Roman" w:cs="Times New Roman"/>
          <w:b/>
          <w:bCs/>
          <w:spacing w:val="-2"/>
          <w:sz w:val="24"/>
          <w:szCs w:val="24"/>
          <w:u w:val="thick" w:color="000000"/>
        </w:rPr>
        <w:t xml:space="preserve"> R</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Q</w:t>
      </w:r>
      <w:r w:rsidRPr="00090093">
        <w:rPr>
          <w:rFonts w:ascii="Times New Roman" w:eastAsia="Times New Roman" w:hAnsi="Times New Roman" w:cs="Times New Roman"/>
          <w:b/>
          <w:bCs/>
          <w:spacing w:val="-2"/>
          <w:sz w:val="24"/>
          <w:szCs w:val="24"/>
          <w:u w:val="thick" w:color="000000"/>
        </w:rPr>
        <w:t>U</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ST</w:t>
      </w:r>
    </w:p>
    <w:p w14:paraId="420310C5" w14:textId="77777777" w:rsidR="00F25E6E" w:rsidRPr="00F25E6E" w:rsidRDefault="00F25E6E" w:rsidP="00F25E6E">
      <w:pPr>
        <w:autoSpaceDE w:val="0"/>
        <w:autoSpaceDN w:val="0"/>
        <w:adjustRightInd w:val="0"/>
        <w:spacing w:after="120"/>
        <w:jc w:val="center"/>
        <w:rPr>
          <w:rFonts w:ascii="Times New Roman" w:hAnsi="Times New Roman" w:cs="Times New Roman"/>
          <w:b/>
          <w:bCs/>
          <w:caps/>
          <w:sz w:val="24"/>
          <w:szCs w:val="24"/>
        </w:rPr>
      </w:pPr>
      <w:r w:rsidRPr="00F25E6E">
        <w:rPr>
          <w:rFonts w:ascii="Times New Roman" w:hAnsi="Times New Roman" w:cs="Times New Roman"/>
          <w:b/>
          <w:bCs/>
          <w:caps/>
          <w:sz w:val="24"/>
          <w:szCs w:val="24"/>
        </w:rPr>
        <w:t>Subject: Marginal Distribution Demand Costs (Real Economic Carrying Charges and Fixed O&amp;M Overhead Cost)</w:t>
      </w:r>
    </w:p>
    <w:p w14:paraId="3F8DE7D1" w14:textId="77777777" w:rsidR="00F25E6E" w:rsidRPr="00090093" w:rsidRDefault="00F25E6E">
      <w:pPr>
        <w:ind w:right="297"/>
        <w:jc w:val="center"/>
        <w:rPr>
          <w:rFonts w:ascii="Times New Roman" w:eastAsia="Times New Roman" w:hAnsi="Times New Roman" w:cs="Times New Roman"/>
          <w:b/>
          <w:bCs/>
          <w:sz w:val="24"/>
          <w:szCs w:val="24"/>
          <w:u w:val="thick" w:color="000000"/>
        </w:rPr>
      </w:pPr>
    </w:p>
    <w:p w14:paraId="063B9248" w14:textId="36678217" w:rsidR="00F65911" w:rsidRDefault="00F65911" w:rsidP="00CB269D">
      <w:pPr>
        <w:widowControl/>
        <w:rPr>
          <w:rFonts w:ascii="Times New Roman" w:eastAsia="Times New Roman" w:hAnsi="Times New Roman" w:cs="Times New Roman"/>
          <w:sz w:val="24"/>
          <w:szCs w:val="24"/>
        </w:rPr>
      </w:pPr>
    </w:p>
    <w:p w14:paraId="3BF66D18" w14:textId="77C40928" w:rsidR="00F65911" w:rsidRDefault="00F65911" w:rsidP="00CB269D">
      <w:pPr>
        <w:widowControl/>
        <w:rPr>
          <w:rFonts w:ascii="Times New Roman" w:eastAsia="Times New Roman" w:hAnsi="Times New Roman" w:cs="Times New Roman"/>
          <w:sz w:val="24"/>
          <w:szCs w:val="24"/>
        </w:rPr>
      </w:pPr>
    </w:p>
    <w:p w14:paraId="4281C3B7" w14:textId="77777777" w:rsidR="00F25E6E" w:rsidRPr="00F25E6E" w:rsidRDefault="006A724E" w:rsidP="00F25E6E">
      <w:pPr>
        <w:widowControl/>
        <w:autoSpaceDE w:val="0"/>
        <w:autoSpaceDN w:val="0"/>
        <w:adjustRightInd w:val="0"/>
        <w:rPr>
          <w:rFonts w:ascii="Times New Roman" w:hAnsi="Times New Roman" w:cs="Times New Roman"/>
          <w:b/>
          <w:bCs/>
          <w:sz w:val="24"/>
          <w:szCs w:val="24"/>
        </w:rPr>
      </w:pPr>
      <w:r w:rsidRPr="00F25E6E">
        <w:rPr>
          <w:rFonts w:ascii="Times New Roman" w:eastAsia="Times New Roman" w:hAnsi="Times New Roman" w:cs="Times New Roman"/>
          <w:sz w:val="24"/>
          <w:szCs w:val="24"/>
        </w:rPr>
        <w:t>1.</w:t>
      </w:r>
      <w:r w:rsidRPr="00F25E6E">
        <w:rPr>
          <w:rFonts w:ascii="Times New Roman" w:eastAsia="Times New Roman" w:hAnsi="Times New Roman" w:cs="Times New Roman"/>
          <w:sz w:val="24"/>
          <w:szCs w:val="24"/>
        </w:rPr>
        <w:tab/>
      </w:r>
      <w:r w:rsidR="00F25E6E" w:rsidRPr="00F25E6E">
        <w:rPr>
          <w:rFonts w:ascii="Times New Roman" w:hAnsi="Times New Roman" w:cs="Times New Roman"/>
          <w:bCs/>
          <w:sz w:val="24"/>
          <w:szCs w:val="24"/>
        </w:rPr>
        <w:t>Please provide the source file for the real economic carrying charge (RECC) calculations. In an email on July 24, 2019, SDG&amp;E witness Bill Saxe provided an excel file that listed 7.06 as the RECC value for Substations and 7.18 as the RECC value for Feeders and Local Distribution. These numbers were hardcoded values. Please provide the workbook that shows how these values were derived.</w:t>
      </w:r>
    </w:p>
    <w:p w14:paraId="321700C6" w14:textId="1999F612" w:rsidR="006A724E" w:rsidRPr="00F25E6E" w:rsidRDefault="006A724E" w:rsidP="006A724E">
      <w:pPr>
        <w:widowControl/>
        <w:rPr>
          <w:rFonts w:ascii="Times New Roman" w:eastAsia="Times New Roman" w:hAnsi="Times New Roman" w:cs="Times New Roman"/>
          <w:sz w:val="24"/>
          <w:szCs w:val="24"/>
        </w:rPr>
      </w:pPr>
    </w:p>
    <w:p w14:paraId="55940AB8" w14:textId="2B6C1295" w:rsidR="006A724E" w:rsidRPr="00F25E6E" w:rsidRDefault="006A724E" w:rsidP="006A724E">
      <w:pPr>
        <w:widowControl/>
        <w:rPr>
          <w:rFonts w:ascii="Times New Roman" w:eastAsia="Times New Roman" w:hAnsi="Times New Roman" w:cs="Times New Roman"/>
          <w:sz w:val="24"/>
          <w:szCs w:val="24"/>
        </w:rPr>
      </w:pPr>
    </w:p>
    <w:p w14:paraId="6C119A85" w14:textId="1FF95DF2" w:rsidR="006A724E" w:rsidRDefault="006A724E" w:rsidP="006A724E">
      <w:pPr>
        <w:widowControl/>
        <w:rPr>
          <w:rFonts w:ascii="Times New Roman" w:eastAsia="Times New Roman" w:hAnsi="Times New Roman" w:cs="Times New Roman"/>
          <w:b/>
          <w:sz w:val="24"/>
          <w:szCs w:val="24"/>
        </w:rPr>
      </w:pPr>
      <w:r w:rsidRPr="00F25E6E">
        <w:rPr>
          <w:rFonts w:ascii="Times New Roman" w:eastAsia="Times New Roman" w:hAnsi="Times New Roman" w:cs="Times New Roman"/>
          <w:b/>
          <w:sz w:val="24"/>
          <w:szCs w:val="24"/>
        </w:rPr>
        <w:t xml:space="preserve">SDG&amp;E Response: </w:t>
      </w:r>
    </w:p>
    <w:p w14:paraId="3C95CF60" w14:textId="693B04E6" w:rsidR="00E95EDD" w:rsidRDefault="00E95EDD" w:rsidP="006A724E">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source file for the RECC factors used in the 2019 GRC Phase </w:t>
      </w:r>
      <w:r w:rsidR="009C5A41">
        <w:rPr>
          <w:rFonts w:ascii="Times New Roman" w:eastAsia="Times New Roman" w:hAnsi="Times New Roman" w:cs="Times New Roman"/>
          <w:sz w:val="24"/>
          <w:szCs w:val="24"/>
        </w:rPr>
        <w:t xml:space="preserve">marginal distribution cost workpapers is </w:t>
      </w:r>
      <w:r w:rsidR="00223172">
        <w:rPr>
          <w:rFonts w:ascii="Times New Roman" w:eastAsia="Times New Roman" w:hAnsi="Times New Roman" w:cs="Times New Roman"/>
          <w:sz w:val="24"/>
          <w:szCs w:val="24"/>
        </w:rPr>
        <w:t xml:space="preserve">the </w:t>
      </w:r>
      <w:r w:rsidR="009C5A41">
        <w:rPr>
          <w:rFonts w:ascii="Times New Roman" w:eastAsia="Times New Roman" w:hAnsi="Times New Roman" w:cs="Times New Roman"/>
          <w:sz w:val="24"/>
          <w:szCs w:val="24"/>
        </w:rPr>
        <w:t>attached (“Financial Assumptions 2018”)</w:t>
      </w:r>
      <w:r w:rsidR="00223172">
        <w:rPr>
          <w:rFonts w:ascii="Times New Roman" w:eastAsia="Times New Roman" w:hAnsi="Times New Roman" w:cs="Times New Roman"/>
          <w:sz w:val="24"/>
          <w:szCs w:val="24"/>
        </w:rPr>
        <w:t xml:space="preserve"> file</w:t>
      </w:r>
      <w:r w:rsidR="009C5A41">
        <w:rPr>
          <w:rFonts w:ascii="Times New Roman" w:eastAsia="Times New Roman" w:hAnsi="Times New Roman" w:cs="Times New Roman"/>
          <w:sz w:val="24"/>
          <w:szCs w:val="24"/>
        </w:rPr>
        <w:t>.  This</w:t>
      </w:r>
      <w:r w:rsidR="00632B68">
        <w:rPr>
          <w:rFonts w:ascii="Times New Roman" w:eastAsia="Times New Roman" w:hAnsi="Times New Roman" w:cs="Times New Roman"/>
          <w:sz w:val="24"/>
          <w:szCs w:val="24"/>
        </w:rPr>
        <w:t xml:space="preserve"> </w:t>
      </w:r>
      <w:r w:rsidR="009C5A41">
        <w:rPr>
          <w:rFonts w:ascii="Times New Roman" w:eastAsia="Times New Roman" w:hAnsi="Times New Roman" w:cs="Times New Roman"/>
          <w:sz w:val="24"/>
          <w:szCs w:val="24"/>
        </w:rPr>
        <w:t xml:space="preserve">file presents the RECC factors and the </w:t>
      </w:r>
      <w:r w:rsidR="00460EFB">
        <w:rPr>
          <w:rFonts w:ascii="Times New Roman" w:eastAsia="Times New Roman" w:hAnsi="Times New Roman" w:cs="Times New Roman"/>
          <w:sz w:val="24"/>
          <w:szCs w:val="24"/>
        </w:rPr>
        <w:t xml:space="preserve">input data used to calculate the RECC factors.  </w:t>
      </w:r>
    </w:p>
    <w:p w14:paraId="430A36C0" w14:textId="79E33EC9" w:rsidR="006D19C3" w:rsidRDefault="006D19C3" w:rsidP="006A724E">
      <w:pPr>
        <w:widowControl/>
        <w:rPr>
          <w:rFonts w:ascii="Times New Roman" w:eastAsia="Times New Roman" w:hAnsi="Times New Roman" w:cs="Times New Roman"/>
          <w:sz w:val="24"/>
          <w:szCs w:val="24"/>
        </w:rPr>
      </w:pPr>
    </w:p>
    <w:bookmarkStart w:id="1" w:name="_MON_1626000560"/>
    <w:bookmarkEnd w:id="1"/>
    <w:p w14:paraId="1DEC9976" w14:textId="0CECD9F7" w:rsidR="006D19C3" w:rsidRDefault="006D19C3" w:rsidP="006A724E">
      <w:pPr>
        <w:widowControl/>
        <w:rPr>
          <w:rFonts w:ascii="Times New Roman" w:eastAsia="Times New Roman" w:hAnsi="Times New Roman" w:cs="Times New Roman"/>
          <w:sz w:val="24"/>
          <w:szCs w:val="24"/>
        </w:rPr>
      </w:pPr>
      <w:r>
        <w:object w:dxaOrig="1503" w:dyaOrig="981" w14:anchorId="599A3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85pt" o:ole="">
            <v:imagedata r:id="rId11" o:title=""/>
          </v:shape>
          <o:OLEObject Type="Embed" ProgID="Excel.Sheet.12" ShapeID="_x0000_i1025" DrawAspect="Icon" ObjectID="_1626508223" r:id="rId12"/>
        </w:object>
      </w:r>
    </w:p>
    <w:p w14:paraId="069B763C" w14:textId="151391AC" w:rsidR="00AD2E1A" w:rsidRDefault="00AD2E1A" w:rsidP="006A724E">
      <w:pPr>
        <w:widowControl/>
        <w:rPr>
          <w:rFonts w:ascii="Times New Roman" w:eastAsia="Times New Roman" w:hAnsi="Times New Roman" w:cs="Times New Roman"/>
          <w:sz w:val="24"/>
          <w:szCs w:val="24"/>
        </w:rPr>
      </w:pPr>
    </w:p>
    <w:p w14:paraId="48736C5A" w14:textId="40FB5A1B" w:rsidR="00C730D9" w:rsidRPr="00E90F14" w:rsidRDefault="00AD41CB" w:rsidP="00C730D9">
      <w:pPr>
        <w:rPr>
          <w:rFonts w:ascii="Times New Roman" w:hAnsi="Times New Roman" w:cs="Times New Roman"/>
          <w:sz w:val="24"/>
          <w:szCs w:val="24"/>
        </w:rPr>
      </w:pPr>
      <w:r>
        <w:rPr>
          <w:rFonts w:ascii="Times New Roman" w:hAnsi="Times New Roman" w:cs="Times New Roman"/>
          <w:sz w:val="24"/>
          <w:szCs w:val="24"/>
        </w:rPr>
        <w:t xml:space="preserve">The RECC factors presented in the “Financial Assumption 2018” file </w:t>
      </w:r>
      <w:r w:rsidR="00BC205E">
        <w:rPr>
          <w:rFonts w:ascii="Times New Roman" w:hAnsi="Times New Roman" w:cs="Times New Roman"/>
          <w:sz w:val="24"/>
          <w:szCs w:val="24"/>
        </w:rPr>
        <w:t>are</w:t>
      </w:r>
      <w:r>
        <w:rPr>
          <w:rFonts w:ascii="Times New Roman" w:hAnsi="Times New Roman" w:cs="Times New Roman"/>
          <w:sz w:val="24"/>
          <w:szCs w:val="24"/>
        </w:rPr>
        <w:t xml:space="preserve"> calculated </w:t>
      </w:r>
      <w:r w:rsidR="00C730D9" w:rsidRPr="00E90F14">
        <w:rPr>
          <w:rFonts w:ascii="Times New Roman" w:hAnsi="Times New Roman" w:cs="Times New Roman"/>
          <w:sz w:val="24"/>
          <w:szCs w:val="24"/>
        </w:rPr>
        <w:t>in the following manner:</w:t>
      </w:r>
    </w:p>
    <w:p w14:paraId="0F10A4D2" w14:textId="77777777" w:rsidR="00C730D9" w:rsidRPr="00E90F14" w:rsidRDefault="00C730D9" w:rsidP="00C730D9">
      <w:pPr>
        <w:rPr>
          <w:rFonts w:ascii="Times New Roman" w:hAnsi="Times New Roman" w:cs="Times New Roman"/>
          <w:sz w:val="24"/>
          <w:szCs w:val="24"/>
        </w:rPr>
      </w:pPr>
    </w:p>
    <w:p w14:paraId="0C8FC3E4" w14:textId="77777777" w:rsidR="00C730D9" w:rsidRPr="00E90F14" w:rsidRDefault="00C730D9" w:rsidP="00C730D9">
      <w:pPr>
        <w:ind w:left="1440" w:firstLine="720"/>
        <w:rPr>
          <w:rFonts w:ascii="Times New Roman" w:hAnsi="Times New Roman" w:cs="Times New Roman"/>
          <w:sz w:val="24"/>
          <w:szCs w:val="24"/>
        </w:rPr>
      </w:pPr>
      <w:r w:rsidRPr="00E90F14">
        <w:rPr>
          <w:rFonts w:ascii="Times New Roman" w:hAnsi="Times New Roman" w:cs="Times New Roman"/>
          <w:noProof/>
          <w:sz w:val="24"/>
          <w:szCs w:val="24"/>
        </w:rPr>
        <w:drawing>
          <wp:inline distT="0" distB="0" distL="0" distR="0" wp14:anchorId="1280C616" wp14:editId="713BE2FA">
            <wp:extent cx="2352675" cy="581025"/>
            <wp:effectExtent l="0" t="0" r="9525" b="9525"/>
            <wp:docPr id="14" name="Picture 14" descr="cid:image001.png@01D4C9CF.5AB4A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9CF.5AB4AB3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352675" cy="581025"/>
                    </a:xfrm>
                    <a:prstGeom prst="rect">
                      <a:avLst/>
                    </a:prstGeom>
                    <a:noFill/>
                    <a:ln>
                      <a:noFill/>
                    </a:ln>
                  </pic:spPr>
                </pic:pic>
              </a:graphicData>
            </a:graphic>
          </wp:inline>
        </w:drawing>
      </w:r>
    </w:p>
    <w:p w14:paraId="025AACC4" w14:textId="77777777" w:rsidR="00C730D9" w:rsidRPr="00E90F14" w:rsidRDefault="00C730D9" w:rsidP="00C730D9">
      <w:pPr>
        <w:rPr>
          <w:rFonts w:ascii="Times New Roman" w:hAnsi="Times New Roman" w:cs="Times New Roman"/>
          <w:b/>
          <w:bCs/>
          <w:sz w:val="24"/>
          <w:szCs w:val="24"/>
          <w:u w:val="single"/>
        </w:rPr>
      </w:pPr>
    </w:p>
    <w:p w14:paraId="6BA291C0" w14:textId="77777777" w:rsidR="00C730D9" w:rsidRPr="00E90F14" w:rsidRDefault="00C730D9" w:rsidP="00C730D9">
      <w:pPr>
        <w:rPr>
          <w:rFonts w:ascii="Times New Roman" w:hAnsi="Times New Roman" w:cs="Times New Roman"/>
          <w:sz w:val="24"/>
          <w:szCs w:val="24"/>
        </w:rPr>
      </w:pPr>
      <w:r w:rsidRPr="00E90F14">
        <w:rPr>
          <w:rFonts w:ascii="Times New Roman" w:hAnsi="Times New Roman" w:cs="Times New Roman"/>
          <w:sz w:val="24"/>
          <w:szCs w:val="24"/>
        </w:rPr>
        <w:t>Where,</w:t>
      </w:r>
    </w:p>
    <w:p w14:paraId="56BE5595" w14:textId="77777777" w:rsidR="00C730D9" w:rsidRPr="00E90F14" w:rsidRDefault="00C730D9" w:rsidP="00C730D9">
      <w:pPr>
        <w:rPr>
          <w:rFonts w:ascii="Times New Roman" w:hAnsi="Times New Roman" w:cs="Times New Roman"/>
          <w:b/>
          <w:bCs/>
          <w:sz w:val="24"/>
          <w:szCs w:val="24"/>
          <w:u w:val="single"/>
        </w:rPr>
      </w:pPr>
    </w:p>
    <w:p w14:paraId="5EE61602" w14:textId="77777777" w:rsidR="00C730D9" w:rsidRPr="00E90F14" w:rsidRDefault="00C730D9" w:rsidP="00C730D9">
      <w:pPr>
        <w:pStyle w:val="ListParagraph"/>
        <w:widowControl/>
        <w:numPr>
          <w:ilvl w:val="0"/>
          <w:numId w:val="11"/>
        </w:numPr>
        <w:ind w:left="360"/>
        <w:contextualSpacing/>
        <w:jc w:val="both"/>
        <w:rPr>
          <w:rFonts w:ascii="Times New Roman" w:hAnsi="Times New Roman" w:cs="Times New Roman"/>
          <w:sz w:val="24"/>
          <w:szCs w:val="24"/>
        </w:rPr>
      </w:pPr>
      <w:r w:rsidRPr="00E90F14">
        <w:rPr>
          <w:rFonts w:ascii="Times New Roman" w:hAnsi="Times New Roman" w:cs="Times New Roman"/>
          <w:i/>
          <w:iCs/>
          <w:sz w:val="24"/>
          <w:szCs w:val="24"/>
        </w:rPr>
        <w:t>PVRR</w:t>
      </w:r>
      <w:r w:rsidRPr="00E90F14">
        <w:rPr>
          <w:rFonts w:ascii="Times New Roman" w:hAnsi="Times New Roman" w:cs="Times New Roman"/>
          <w:sz w:val="24"/>
          <w:szCs w:val="24"/>
        </w:rPr>
        <w:t xml:space="preserve"> is the present value of the revenue requirements associated with a particular capital asset.  The revenue requirements are the calculated annual stream of capital carrying costs spanning the life of the asset.  Capital carrying costs include:</w:t>
      </w:r>
    </w:p>
    <w:p w14:paraId="3BE7459C" w14:textId="77777777" w:rsidR="00C730D9" w:rsidRPr="00E90F14" w:rsidRDefault="00C730D9" w:rsidP="00C730D9">
      <w:pPr>
        <w:pStyle w:val="ListParagraph"/>
        <w:widowControl/>
        <w:numPr>
          <w:ilvl w:val="1"/>
          <w:numId w:val="11"/>
        </w:numPr>
        <w:ind w:left="1080"/>
        <w:contextualSpacing/>
        <w:jc w:val="both"/>
        <w:rPr>
          <w:rFonts w:ascii="Times New Roman" w:hAnsi="Times New Roman" w:cs="Times New Roman"/>
          <w:sz w:val="24"/>
          <w:szCs w:val="24"/>
        </w:rPr>
      </w:pPr>
      <w:r w:rsidRPr="00E90F14">
        <w:rPr>
          <w:rFonts w:ascii="Times New Roman" w:hAnsi="Times New Roman" w:cs="Times New Roman"/>
          <w:sz w:val="24"/>
          <w:szCs w:val="24"/>
        </w:rPr>
        <w:t>Book depreciation (return of capital)</w:t>
      </w:r>
    </w:p>
    <w:p w14:paraId="32664751" w14:textId="77777777" w:rsidR="00C730D9" w:rsidRPr="00E90F14" w:rsidRDefault="00C730D9" w:rsidP="00C730D9">
      <w:pPr>
        <w:pStyle w:val="ListParagraph"/>
        <w:widowControl/>
        <w:numPr>
          <w:ilvl w:val="1"/>
          <w:numId w:val="11"/>
        </w:numPr>
        <w:ind w:left="1080"/>
        <w:contextualSpacing/>
        <w:jc w:val="both"/>
        <w:rPr>
          <w:rFonts w:ascii="Times New Roman" w:hAnsi="Times New Roman" w:cs="Times New Roman"/>
          <w:sz w:val="24"/>
          <w:szCs w:val="24"/>
        </w:rPr>
      </w:pPr>
      <w:r w:rsidRPr="00E90F14">
        <w:rPr>
          <w:rFonts w:ascii="Times New Roman" w:hAnsi="Times New Roman" w:cs="Times New Roman"/>
          <w:sz w:val="24"/>
          <w:szCs w:val="24"/>
        </w:rPr>
        <w:t>Salvage</w:t>
      </w:r>
    </w:p>
    <w:p w14:paraId="18CAB982" w14:textId="77777777" w:rsidR="00C730D9" w:rsidRPr="00E90F14" w:rsidRDefault="00C730D9" w:rsidP="00C730D9">
      <w:pPr>
        <w:pStyle w:val="ListParagraph"/>
        <w:widowControl/>
        <w:numPr>
          <w:ilvl w:val="1"/>
          <w:numId w:val="11"/>
        </w:numPr>
        <w:ind w:left="1080"/>
        <w:contextualSpacing/>
        <w:jc w:val="both"/>
        <w:rPr>
          <w:rFonts w:ascii="Times New Roman" w:hAnsi="Times New Roman" w:cs="Times New Roman"/>
          <w:sz w:val="24"/>
          <w:szCs w:val="24"/>
        </w:rPr>
      </w:pPr>
      <w:r w:rsidRPr="00E90F14">
        <w:rPr>
          <w:rFonts w:ascii="Times New Roman" w:hAnsi="Times New Roman" w:cs="Times New Roman"/>
          <w:sz w:val="24"/>
          <w:szCs w:val="24"/>
        </w:rPr>
        <w:t>Authorized rate of return on equity and debt (return on capital)</w:t>
      </w:r>
    </w:p>
    <w:p w14:paraId="343B63DA" w14:textId="77777777" w:rsidR="00C730D9" w:rsidRPr="00E90F14" w:rsidRDefault="00C730D9" w:rsidP="00C730D9">
      <w:pPr>
        <w:pStyle w:val="ListParagraph"/>
        <w:widowControl/>
        <w:numPr>
          <w:ilvl w:val="1"/>
          <w:numId w:val="11"/>
        </w:numPr>
        <w:ind w:left="1080"/>
        <w:contextualSpacing/>
        <w:jc w:val="both"/>
        <w:rPr>
          <w:rFonts w:ascii="Times New Roman" w:hAnsi="Times New Roman" w:cs="Times New Roman"/>
          <w:sz w:val="24"/>
          <w:szCs w:val="24"/>
        </w:rPr>
      </w:pPr>
      <w:r w:rsidRPr="00E90F14">
        <w:rPr>
          <w:rFonts w:ascii="Times New Roman" w:hAnsi="Times New Roman" w:cs="Times New Roman"/>
          <w:sz w:val="24"/>
          <w:szCs w:val="24"/>
        </w:rPr>
        <w:t>Income taxes</w:t>
      </w:r>
    </w:p>
    <w:p w14:paraId="657281CD" w14:textId="77777777" w:rsidR="00C730D9" w:rsidRPr="00E90F14" w:rsidRDefault="00C730D9" w:rsidP="00C730D9">
      <w:pPr>
        <w:pStyle w:val="ListParagraph"/>
        <w:widowControl/>
        <w:numPr>
          <w:ilvl w:val="1"/>
          <w:numId w:val="11"/>
        </w:numPr>
        <w:ind w:left="1080"/>
        <w:contextualSpacing/>
        <w:jc w:val="both"/>
        <w:rPr>
          <w:rFonts w:ascii="Times New Roman" w:hAnsi="Times New Roman" w:cs="Times New Roman"/>
          <w:sz w:val="24"/>
          <w:szCs w:val="24"/>
        </w:rPr>
      </w:pPr>
      <w:r w:rsidRPr="00E90F14">
        <w:rPr>
          <w:rFonts w:ascii="Times New Roman" w:hAnsi="Times New Roman" w:cs="Times New Roman"/>
          <w:sz w:val="24"/>
          <w:szCs w:val="24"/>
        </w:rPr>
        <w:t>Property taxes</w:t>
      </w:r>
    </w:p>
    <w:p w14:paraId="74EA8CFB" w14:textId="77777777" w:rsidR="00C730D9" w:rsidRPr="00E90F14" w:rsidRDefault="00C730D9" w:rsidP="00C730D9">
      <w:pPr>
        <w:pStyle w:val="ListParagraph"/>
        <w:widowControl/>
        <w:numPr>
          <w:ilvl w:val="0"/>
          <w:numId w:val="11"/>
        </w:numPr>
        <w:ind w:left="360"/>
        <w:contextualSpacing/>
        <w:jc w:val="both"/>
        <w:rPr>
          <w:rFonts w:ascii="Times New Roman" w:hAnsi="Times New Roman" w:cs="Times New Roman"/>
          <w:sz w:val="24"/>
          <w:szCs w:val="24"/>
        </w:rPr>
      </w:pPr>
      <w:r w:rsidRPr="00E90F14">
        <w:rPr>
          <w:rFonts w:ascii="Times New Roman" w:hAnsi="Times New Roman" w:cs="Times New Roman"/>
          <w:i/>
          <w:iCs/>
          <w:sz w:val="24"/>
          <w:szCs w:val="24"/>
        </w:rPr>
        <w:t>ROR</w:t>
      </w:r>
      <w:r w:rsidRPr="00E90F14">
        <w:rPr>
          <w:rFonts w:ascii="Times New Roman" w:hAnsi="Times New Roman" w:cs="Times New Roman"/>
          <w:sz w:val="24"/>
          <w:szCs w:val="24"/>
        </w:rPr>
        <w:t xml:space="preserve"> is the discount rate, or authorized rate of return.</w:t>
      </w:r>
    </w:p>
    <w:p w14:paraId="652F6E85" w14:textId="77777777" w:rsidR="00C730D9" w:rsidRPr="00E90F14" w:rsidRDefault="00C730D9" w:rsidP="00C730D9">
      <w:pPr>
        <w:pStyle w:val="ListParagraph"/>
        <w:widowControl/>
        <w:numPr>
          <w:ilvl w:val="0"/>
          <w:numId w:val="11"/>
        </w:numPr>
        <w:ind w:left="360"/>
        <w:contextualSpacing/>
        <w:jc w:val="both"/>
        <w:rPr>
          <w:rFonts w:ascii="Times New Roman" w:hAnsi="Times New Roman" w:cs="Times New Roman"/>
          <w:sz w:val="24"/>
          <w:szCs w:val="24"/>
        </w:rPr>
      </w:pPr>
      <w:r w:rsidRPr="00E90F14">
        <w:rPr>
          <w:rFonts w:ascii="Times New Roman" w:hAnsi="Times New Roman" w:cs="Times New Roman"/>
          <w:i/>
          <w:iCs/>
          <w:sz w:val="24"/>
          <w:szCs w:val="24"/>
        </w:rPr>
        <w:t>Inflation</w:t>
      </w:r>
      <w:r w:rsidRPr="00E90F14">
        <w:rPr>
          <w:rFonts w:ascii="Times New Roman" w:hAnsi="Times New Roman" w:cs="Times New Roman"/>
          <w:sz w:val="24"/>
          <w:szCs w:val="24"/>
        </w:rPr>
        <w:t xml:space="preserve"> is the expected rate of inflation over the life of the asset.</w:t>
      </w:r>
    </w:p>
    <w:p w14:paraId="67AFCF89" w14:textId="77777777" w:rsidR="00C730D9" w:rsidRPr="00E90F14" w:rsidRDefault="00C730D9" w:rsidP="00C730D9">
      <w:pPr>
        <w:pStyle w:val="ListParagraph"/>
        <w:widowControl/>
        <w:numPr>
          <w:ilvl w:val="0"/>
          <w:numId w:val="11"/>
        </w:numPr>
        <w:ind w:left="360"/>
        <w:contextualSpacing/>
        <w:jc w:val="both"/>
        <w:rPr>
          <w:rFonts w:ascii="Times New Roman" w:hAnsi="Times New Roman" w:cs="Times New Roman"/>
          <w:sz w:val="24"/>
          <w:szCs w:val="24"/>
        </w:rPr>
      </w:pPr>
      <w:r w:rsidRPr="00E90F14">
        <w:rPr>
          <w:rFonts w:ascii="Times New Roman" w:hAnsi="Times New Roman" w:cs="Times New Roman"/>
          <w:i/>
          <w:iCs/>
          <w:sz w:val="24"/>
          <w:szCs w:val="24"/>
        </w:rPr>
        <w:t>Book life</w:t>
      </w:r>
      <w:r w:rsidRPr="00E90F14">
        <w:rPr>
          <w:rFonts w:ascii="Times New Roman" w:hAnsi="Times New Roman" w:cs="Times New Roman"/>
          <w:sz w:val="24"/>
          <w:szCs w:val="24"/>
        </w:rPr>
        <w:t xml:space="preserve"> is the asset’s book life in years.</w:t>
      </w:r>
    </w:p>
    <w:p w14:paraId="5EB9B833" w14:textId="77777777" w:rsidR="00C730D9" w:rsidRPr="00E90F14" w:rsidRDefault="00C730D9" w:rsidP="00C730D9">
      <w:pPr>
        <w:pStyle w:val="ListParagraph"/>
        <w:jc w:val="both"/>
        <w:rPr>
          <w:rFonts w:ascii="Times New Roman" w:hAnsi="Times New Roman" w:cs="Times New Roman"/>
          <w:sz w:val="24"/>
          <w:szCs w:val="24"/>
        </w:rPr>
      </w:pPr>
    </w:p>
    <w:p w14:paraId="09A29774" w14:textId="60047350" w:rsidR="004D5375" w:rsidRPr="004D5375" w:rsidRDefault="004D5375" w:rsidP="004D5375">
      <w:pPr>
        <w:rPr>
          <w:rFonts w:ascii="Times New Roman" w:hAnsi="Times New Roman" w:cs="Times New Roman"/>
          <w:sz w:val="24"/>
          <w:szCs w:val="24"/>
        </w:rPr>
      </w:pPr>
      <w:r w:rsidRPr="004D5375">
        <w:rPr>
          <w:rFonts w:ascii="Times New Roman" w:hAnsi="Times New Roman" w:cs="Times New Roman"/>
          <w:sz w:val="24"/>
          <w:szCs w:val="24"/>
        </w:rPr>
        <w:t>The attached Excel file shows the RECC derivation for one FERC account</w:t>
      </w:r>
      <w:r>
        <w:rPr>
          <w:rFonts w:ascii="Times New Roman" w:hAnsi="Times New Roman" w:cs="Times New Roman"/>
          <w:sz w:val="24"/>
          <w:szCs w:val="24"/>
        </w:rPr>
        <w:t xml:space="preserve"> (FERC Account </w:t>
      </w:r>
      <w:r w:rsidR="007A317F">
        <w:rPr>
          <w:rFonts w:ascii="Times New Roman" w:hAnsi="Times New Roman" w:cs="Times New Roman"/>
          <w:sz w:val="24"/>
          <w:szCs w:val="24"/>
        </w:rPr>
        <w:t>E-</w:t>
      </w:r>
      <w:r>
        <w:rPr>
          <w:rFonts w:ascii="Times New Roman" w:hAnsi="Times New Roman" w:cs="Times New Roman"/>
          <w:sz w:val="24"/>
          <w:szCs w:val="24"/>
        </w:rPr>
        <w:t>362)</w:t>
      </w:r>
      <w:r w:rsidR="00272165">
        <w:rPr>
          <w:rFonts w:ascii="Times New Roman" w:hAnsi="Times New Roman" w:cs="Times New Roman"/>
          <w:sz w:val="24"/>
          <w:szCs w:val="24"/>
        </w:rPr>
        <w:t xml:space="preserve">.  </w:t>
      </w:r>
      <w:r w:rsidRPr="004D5375">
        <w:rPr>
          <w:rFonts w:ascii="Times New Roman" w:hAnsi="Times New Roman" w:cs="Times New Roman"/>
          <w:sz w:val="24"/>
          <w:szCs w:val="24"/>
        </w:rPr>
        <w:t>The Excel file contains a Rev Req summary and RECC derivation (tab labeled “Rev Req”).  The “Engine Data” tab is the results of the Rev Req calculation (from the Engine) for each specific FERC account.  The “Engine Interface” tab shows the specific tax and depreciation characteristics used in deriving the Rev Req and RECC for that specific FERC account.</w:t>
      </w:r>
    </w:p>
    <w:p w14:paraId="3A9D87E7" w14:textId="77777777" w:rsidR="00C730D9" w:rsidRPr="006D19C3" w:rsidRDefault="00C730D9" w:rsidP="00AD2E1A">
      <w:pPr>
        <w:rPr>
          <w:rFonts w:ascii="Times New Roman" w:hAnsi="Times New Roman" w:cs="Times New Roman"/>
          <w:sz w:val="24"/>
          <w:szCs w:val="24"/>
        </w:rPr>
      </w:pPr>
    </w:p>
    <w:p w14:paraId="2AC83DF7" w14:textId="63FBEE80" w:rsidR="00AD2E1A" w:rsidRDefault="00223172" w:rsidP="006A724E">
      <w:pPr>
        <w:widowControl/>
        <w:rPr>
          <w:rFonts w:ascii="Times New Roman" w:eastAsia="Times New Roman" w:hAnsi="Times New Roman" w:cs="Times New Roman"/>
          <w:sz w:val="24"/>
          <w:szCs w:val="24"/>
        </w:rPr>
      </w:pPr>
      <w:r>
        <w:object w:dxaOrig="1540" w:dyaOrig="997" w14:anchorId="7050AB08">
          <v:shape id="_x0000_i1026" type="#_x0000_t75" style="width:77pt;height:49.45pt" o:ole="">
            <v:imagedata r:id="rId15" o:title=""/>
          </v:shape>
          <o:OLEObject Type="Embed" ProgID="Excel.SheetMacroEnabled.12" ShapeID="_x0000_i1026" DrawAspect="Icon" ObjectID="_1626508224" r:id="rId16"/>
        </w:object>
      </w:r>
    </w:p>
    <w:p w14:paraId="5DF0F833" w14:textId="006EA4FB" w:rsidR="00632B68" w:rsidRDefault="00632B68" w:rsidP="006A724E">
      <w:pPr>
        <w:widowControl/>
        <w:rPr>
          <w:rFonts w:ascii="Times New Roman" w:eastAsia="Times New Roman" w:hAnsi="Times New Roman" w:cs="Times New Roman"/>
          <w:sz w:val="24"/>
          <w:szCs w:val="24"/>
        </w:rPr>
      </w:pPr>
    </w:p>
    <w:p w14:paraId="3785876B" w14:textId="77777777" w:rsidR="006A724E" w:rsidRPr="00F25E6E" w:rsidRDefault="006A724E" w:rsidP="006A724E">
      <w:pPr>
        <w:widowControl/>
        <w:rPr>
          <w:rFonts w:ascii="Times New Roman" w:eastAsia="Times New Roman" w:hAnsi="Times New Roman" w:cs="Times New Roman"/>
          <w:sz w:val="24"/>
          <w:szCs w:val="24"/>
        </w:rPr>
      </w:pPr>
    </w:p>
    <w:p w14:paraId="58905115" w14:textId="77777777" w:rsidR="00F25E6E" w:rsidRPr="00F25E6E" w:rsidRDefault="006A724E" w:rsidP="00F25E6E">
      <w:pPr>
        <w:widowControl/>
        <w:autoSpaceDE w:val="0"/>
        <w:autoSpaceDN w:val="0"/>
        <w:adjustRightInd w:val="0"/>
        <w:rPr>
          <w:rFonts w:ascii="Times New Roman" w:hAnsi="Times New Roman" w:cs="Times New Roman"/>
          <w:bCs/>
          <w:sz w:val="24"/>
          <w:szCs w:val="24"/>
        </w:rPr>
      </w:pPr>
      <w:r w:rsidRPr="00F25E6E">
        <w:rPr>
          <w:rFonts w:ascii="Times New Roman" w:eastAsia="Times New Roman" w:hAnsi="Times New Roman" w:cs="Times New Roman"/>
          <w:sz w:val="24"/>
          <w:szCs w:val="24"/>
        </w:rPr>
        <w:t>2.</w:t>
      </w:r>
      <w:r w:rsidRPr="00F25E6E">
        <w:rPr>
          <w:rFonts w:ascii="Times New Roman" w:eastAsia="Times New Roman" w:hAnsi="Times New Roman" w:cs="Times New Roman"/>
          <w:sz w:val="24"/>
          <w:szCs w:val="24"/>
        </w:rPr>
        <w:tab/>
      </w:r>
      <w:r w:rsidR="00F25E6E" w:rsidRPr="00F25E6E">
        <w:rPr>
          <w:rFonts w:ascii="Times New Roman" w:hAnsi="Times New Roman" w:cs="Times New Roman"/>
          <w:bCs/>
          <w:sz w:val="24"/>
          <w:szCs w:val="24"/>
        </w:rPr>
        <w:t>In the same workbook referenced above (sent in an email on July 24</w:t>
      </w:r>
      <w:r w:rsidR="00F25E6E" w:rsidRPr="00F25E6E">
        <w:rPr>
          <w:rFonts w:ascii="Times New Roman" w:hAnsi="Times New Roman" w:cs="Times New Roman"/>
          <w:bCs/>
          <w:sz w:val="24"/>
          <w:szCs w:val="24"/>
          <w:vertAlign w:val="superscript"/>
        </w:rPr>
        <w:t>th</w:t>
      </w:r>
      <w:r w:rsidR="00F25E6E" w:rsidRPr="00F25E6E">
        <w:rPr>
          <w:rFonts w:ascii="Times New Roman" w:hAnsi="Times New Roman" w:cs="Times New Roman"/>
          <w:bCs/>
          <w:sz w:val="24"/>
          <w:szCs w:val="24"/>
        </w:rPr>
        <w:t xml:space="preserve"> 2019), Cells I30 and I31 are hardcoded figures that represent plant additions. Please provide more context on those figures. Where do they come from and what do they represent? Are they simply plant additions in 2017 for FERC accounts 366 and 367 respectively?</w:t>
      </w:r>
    </w:p>
    <w:p w14:paraId="18A8E565" w14:textId="6A1F947C" w:rsidR="006A724E" w:rsidRDefault="006A724E" w:rsidP="006A724E">
      <w:pPr>
        <w:widowControl/>
        <w:rPr>
          <w:rFonts w:ascii="Times New Roman" w:eastAsia="Times New Roman" w:hAnsi="Times New Roman" w:cs="Times New Roman"/>
          <w:sz w:val="24"/>
          <w:szCs w:val="24"/>
        </w:rPr>
      </w:pPr>
    </w:p>
    <w:p w14:paraId="54A726A9" w14:textId="2B83031A" w:rsidR="006A724E" w:rsidRDefault="006A724E" w:rsidP="006A724E">
      <w:pPr>
        <w:widowControl/>
        <w:rPr>
          <w:rFonts w:ascii="Times New Roman" w:eastAsia="Times New Roman" w:hAnsi="Times New Roman" w:cs="Times New Roman"/>
          <w:sz w:val="24"/>
          <w:szCs w:val="24"/>
        </w:rPr>
      </w:pPr>
    </w:p>
    <w:p w14:paraId="0BCC8982" w14:textId="77777777" w:rsidR="006A724E" w:rsidRPr="006A724E" w:rsidRDefault="006A724E" w:rsidP="006A724E">
      <w:pPr>
        <w:widowControl/>
        <w:rPr>
          <w:rFonts w:ascii="Times New Roman" w:eastAsia="Times New Roman" w:hAnsi="Times New Roman" w:cs="Times New Roman"/>
          <w:b/>
          <w:sz w:val="24"/>
          <w:szCs w:val="24"/>
        </w:rPr>
      </w:pPr>
      <w:r w:rsidRPr="006A724E">
        <w:rPr>
          <w:rFonts w:ascii="Times New Roman" w:eastAsia="Times New Roman" w:hAnsi="Times New Roman" w:cs="Times New Roman"/>
          <w:b/>
          <w:sz w:val="24"/>
          <w:szCs w:val="24"/>
        </w:rPr>
        <w:t xml:space="preserve">SDG&amp;E Response: </w:t>
      </w:r>
    </w:p>
    <w:p w14:paraId="5C1AD0E3" w14:textId="40836372" w:rsidR="006A724E" w:rsidRPr="006A724E" w:rsidRDefault="00FF1C16" w:rsidP="006A724E">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Yes, Cells I30 and I31 of thi</w:t>
      </w:r>
      <w:r w:rsidR="001731CC">
        <w:rPr>
          <w:rFonts w:ascii="Times New Roman" w:eastAsia="Times New Roman" w:hAnsi="Times New Roman" w:cs="Times New Roman"/>
          <w:sz w:val="24"/>
          <w:szCs w:val="24"/>
        </w:rPr>
        <w:t xml:space="preserve">s file represent FERC Account </w:t>
      </w:r>
      <w:r w:rsidR="002558C2">
        <w:rPr>
          <w:rFonts w:ascii="Times New Roman" w:eastAsia="Times New Roman" w:hAnsi="Times New Roman" w:cs="Times New Roman"/>
          <w:sz w:val="24"/>
          <w:szCs w:val="24"/>
        </w:rPr>
        <w:t>366 and 367 plant addition</w:t>
      </w:r>
      <w:r w:rsidR="009D5690">
        <w:rPr>
          <w:rFonts w:ascii="Times New Roman" w:eastAsia="Times New Roman" w:hAnsi="Times New Roman" w:cs="Times New Roman"/>
          <w:sz w:val="24"/>
          <w:szCs w:val="24"/>
        </w:rPr>
        <w:t xml:space="preserve">s in 2017.  </w:t>
      </w:r>
      <w:r w:rsidR="005D4DFA">
        <w:rPr>
          <w:rFonts w:ascii="Times New Roman" w:eastAsia="Times New Roman" w:hAnsi="Times New Roman" w:cs="Times New Roman"/>
          <w:sz w:val="24"/>
          <w:szCs w:val="24"/>
        </w:rPr>
        <w:t xml:space="preserve">These plant additions are needed to calculate the weighted average </w:t>
      </w:r>
      <w:r w:rsidR="00C754DD">
        <w:rPr>
          <w:rFonts w:ascii="Times New Roman" w:eastAsia="Times New Roman" w:hAnsi="Times New Roman" w:cs="Times New Roman"/>
          <w:sz w:val="24"/>
          <w:szCs w:val="24"/>
        </w:rPr>
        <w:t xml:space="preserve">RECC for </w:t>
      </w:r>
      <w:r w:rsidR="0033768B">
        <w:rPr>
          <w:rFonts w:ascii="Times New Roman" w:eastAsia="Times New Roman" w:hAnsi="Times New Roman" w:cs="Times New Roman"/>
          <w:sz w:val="24"/>
          <w:szCs w:val="24"/>
        </w:rPr>
        <w:t xml:space="preserve">service drops based on the plant additions associated with </w:t>
      </w:r>
      <w:r w:rsidR="00295451">
        <w:rPr>
          <w:rFonts w:ascii="Times New Roman" w:eastAsia="Times New Roman" w:hAnsi="Times New Roman" w:cs="Times New Roman"/>
          <w:sz w:val="24"/>
          <w:szCs w:val="24"/>
        </w:rPr>
        <w:t>underground conduit</w:t>
      </w:r>
      <w:r w:rsidR="000E194A">
        <w:rPr>
          <w:rFonts w:ascii="Times New Roman" w:eastAsia="Times New Roman" w:hAnsi="Times New Roman" w:cs="Times New Roman"/>
          <w:sz w:val="24"/>
          <w:szCs w:val="24"/>
        </w:rPr>
        <w:t>s</w:t>
      </w:r>
      <w:r w:rsidR="00295451">
        <w:rPr>
          <w:rFonts w:ascii="Times New Roman" w:eastAsia="Times New Roman" w:hAnsi="Times New Roman" w:cs="Times New Roman"/>
          <w:sz w:val="24"/>
          <w:szCs w:val="24"/>
        </w:rPr>
        <w:t xml:space="preserve"> </w:t>
      </w:r>
      <w:r w:rsidR="000E194A">
        <w:rPr>
          <w:rFonts w:ascii="Times New Roman" w:eastAsia="Times New Roman" w:hAnsi="Times New Roman" w:cs="Times New Roman"/>
          <w:sz w:val="24"/>
          <w:szCs w:val="24"/>
        </w:rPr>
        <w:t xml:space="preserve">(FERC Account 366) </w:t>
      </w:r>
      <w:r w:rsidR="00295451">
        <w:rPr>
          <w:rFonts w:ascii="Times New Roman" w:eastAsia="Times New Roman" w:hAnsi="Times New Roman" w:cs="Times New Roman"/>
          <w:sz w:val="24"/>
          <w:szCs w:val="24"/>
        </w:rPr>
        <w:t xml:space="preserve">and </w:t>
      </w:r>
      <w:r w:rsidR="000E194A">
        <w:rPr>
          <w:rFonts w:ascii="Times New Roman" w:eastAsia="Times New Roman" w:hAnsi="Times New Roman" w:cs="Times New Roman"/>
          <w:sz w:val="24"/>
          <w:szCs w:val="24"/>
        </w:rPr>
        <w:t xml:space="preserve">underground conductors &amp; devices (FERC Account 367) that make up </w:t>
      </w:r>
      <w:r w:rsidR="003930E1">
        <w:rPr>
          <w:rFonts w:ascii="Times New Roman" w:eastAsia="Times New Roman" w:hAnsi="Times New Roman" w:cs="Times New Roman"/>
          <w:sz w:val="24"/>
          <w:szCs w:val="24"/>
        </w:rPr>
        <w:t>service drop costs.</w:t>
      </w:r>
    </w:p>
    <w:p w14:paraId="22751F25" w14:textId="77777777" w:rsidR="006A724E" w:rsidRPr="006A724E" w:rsidRDefault="006A724E" w:rsidP="006A724E">
      <w:pPr>
        <w:widowControl/>
        <w:rPr>
          <w:rFonts w:ascii="Times New Roman" w:eastAsia="Times New Roman" w:hAnsi="Times New Roman" w:cs="Times New Roman"/>
          <w:sz w:val="24"/>
          <w:szCs w:val="24"/>
        </w:rPr>
      </w:pPr>
    </w:p>
    <w:p w14:paraId="61964216" w14:textId="77777777" w:rsidR="00F25E6E" w:rsidRPr="00134B65" w:rsidRDefault="006A724E" w:rsidP="00F25E6E">
      <w:pPr>
        <w:widowControl/>
        <w:autoSpaceDE w:val="0"/>
        <w:autoSpaceDN w:val="0"/>
        <w:adjustRightInd w:val="0"/>
        <w:rPr>
          <w:bCs/>
          <w:sz w:val="24"/>
          <w:szCs w:val="24"/>
        </w:rPr>
      </w:pPr>
      <w:r w:rsidRPr="003930E1">
        <w:rPr>
          <w:rFonts w:ascii="Times New Roman" w:eastAsia="Times New Roman" w:hAnsi="Times New Roman" w:cs="Times New Roman"/>
          <w:sz w:val="24"/>
          <w:szCs w:val="24"/>
        </w:rPr>
        <w:t>3.</w:t>
      </w:r>
      <w:r w:rsidRPr="003930E1">
        <w:rPr>
          <w:rFonts w:ascii="Times New Roman" w:eastAsia="Times New Roman" w:hAnsi="Times New Roman" w:cs="Times New Roman"/>
          <w:sz w:val="24"/>
          <w:szCs w:val="24"/>
        </w:rPr>
        <w:tab/>
      </w:r>
      <w:r w:rsidR="00F25E6E" w:rsidRPr="003930E1">
        <w:rPr>
          <w:rFonts w:ascii="Times New Roman" w:hAnsi="Times New Roman" w:cs="Times New Roman"/>
          <w:bCs/>
          <w:sz w:val="24"/>
          <w:szCs w:val="24"/>
        </w:rPr>
        <w:t>In Bill Saxe’s publicly available marginal distribution demand cost (MDDC) workpaper, there are hardcoded values that represent O&amp;M Overhead Cost for Substations (3.83 $/kW/Yr) and O&amp;M Overhead Cost for Feeders and Local Distribution. (12.51 $/kW/Yr). Please provide the source file for these figures which shows how they were derived</w:t>
      </w:r>
      <w:r w:rsidR="00F25E6E">
        <w:rPr>
          <w:bCs/>
          <w:sz w:val="24"/>
          <w:szCs w:val="24"/>
        </w:rPr>
        <w:t>.</w:t>
      </w:r>
    </w:p>
    <w:p w14:paraId="0238A4EA" w14:textId="48B4F7E1" w:rsidR="006A724E" w:rsidRDefault="006A724E" w:rsidP="006A724E">
      <w:pPr>
        <w:widowControl/>
        <w:rPr>
          <w:rFonts w:ascii="Times New Roman" w:eastAsia="Times New Roman" w:hAnsi="Times New Roman" w:cs="Times New Roman"/>
          <w:sz w:val="24"/>
          <w:szCs w:val="24"/>
        </w:rPr>
      </w:pPr>
    </w:p>
    <w:p w14:paraId="36D0E46D" w14:textId="06D80CBB" w:rsidR="006A724E" w:rsidRDefault="006A724E" w:rsidP="006A724E">
      <w:pPr>
        <w:widowControl/>
        <w:rPr>
          <w:rFonts w:ascii="Times New Roman" w:eastAsia="Times New Roman" w:hAnsi="Times New Roman" w:cs="Times New Roman"/>
          <w:sz w:val="24"/>
          <w:szCs w:val="24"/>
        </w:rPr>
      </w:pPr>
    </w:p>
    <w:p w14:paraId="5AA43A41" w14:textId="77777777" w:rsidR="006A724E" w:rsidRPr="006A724E" w:rsidRDefault="006A724E" w:rsidP="006A724E">
      <w:pPr>
        <w:widowControl/>
        <w:rPr>
          <w:rFonts w:ascii="Times New Roman" w:eastAsia="Times New Roman" w:hAnsi="Times New Roman" w:cs="Times New Roman"/>
          <w:b/>
          <w:sz w:val="24"/>
          <w:szCs w:val="24"/>
        </w:rPr>
      </w:pPr>
      <w:r w:rsidRPr="006A724E">
        <w:rPr>
          <w:rFonts w:ascii="Times New Roman" w:eastAsia="Times New Roman" w:hAnsi="Times New Roman" w:cs="Times New Roman"/>
          <w:b/>
          <w:sz w:val="24"/>
          <w:szCs w:val="24"/>
        </w:rPr>
        <w:t xml:space="preserve">SDG&amp;E Response: </w:t>
      </w:r>
    </w:p>
    <w:p w14:paraId="296D2153" w14:textId="727DD4EB" w:rsidR="006A724E" w:rsidRDefault="00A37E79" w:rsidP="006A724E">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The attached file (“FERC-O&amp;M Costs for Distribution Demand”)</w:t>
      </w:r>
      <w:r w:rsidR="00110854">
        <w:rPr>
          <w:rFonts w:ascii="Times New Roman" w:eastAsia="Times New Roman" w:hAnsi="Times New Roman" w:cs="Times New Roman"/>
          <w:sz w:val="24"/>
          <w:szCs w:val="24"/>
        </w:rPr>
        <w:t xml:space="preserve"> provides the source file for the $3.83</w:t>
      </w:r>
      <w:r w:rsidR="00677F46">
        <w:rPr>
          <w:rFonts w:ascii="Times New Roman" w:eastAsia="Times New Roman" w:hAnsi="Times New Roman" w:cs="Times New Roman"/>
          <w:sz w:val="24"/>
          <w:szCs w:val="24"/>
        </w:rPr>
        <w:t>/kW-year and $12.51/kW-year O&amp;M cost calculations.</w:t>
      </w:r>
    </w:p>
    <w:bookmarkStart w:id="2" w:name="_MON_1626001486"/>
    <w:bookmarkEnd w:id="2"/>
    <w:p w14:paraId="676243FF" w14:textId="48B60B95" w:rsidR="00110854" w:rsidRPr="006A724E" w:rsidRDefault="00B734E3" w:rsidP="006A724E">
      <w:pPr>
        <w:widowControl/>
        <w:rPr>
          <w:rFonts w:ascii="Times New Roman" w:eastAsia="Times New Roman" w:hAnsi="Times New Roman" w:cs="Times New Roman"/>
          <w:sz w:val="24"/>
          <w:szCs w:val="24"/>
        </w:rPr>
      </w:pPr>
      <w:r>
        <w:object w:dxaOrig="1503" w:dyaOrig="981" w14:anchorId="003CF7EB">
          <v:shape id="_x0000_i1027" type="#_x0000_t75" style="width:75.75pt;height:48.85pt" o:ole="">
            <v:imagedata r:id="rId17" o:title=""/>
          </v:shape>
          <o:OLEObject Type="Embed" ProgID="Excel.Sheet.12" ShapeID="_x0000_i1027" DrawAspect="Icon" ObjectID="_1626508225" r:id="rId18"/>
        </w:object>
      </w:r>
    </w:p>
    <w:p w14:paraId="521B49A6" w14:textId="77777777" w:rsidR="006A724E" w:rsidRPr="006A724E" w:rsidRDefault="006A724E" w:rsidP="006A724E">
      <w:pPr>
        <w:widowControl/>
        <w:rPr>
          <w:rFonts w:ascii="Times New Roman" w:eastAsia="Times New Roman" w:hAnsi="Times New Roman" w:cs="Times New Roman"/>
          <w:sz w:val="24"/>
          <w:szCs w:val="24"/>
        </w:rPr>
      </w:pPr>
    </w:p>
    <w:p w14:paraId="295FF1C2" w14:textId="77777777" w:rsidR="006A724E" w:rsidRDefault="006A724E" w:rsidP="00CB269D">
      <w:pPr>
        <w:widowControl/>
        <w:rPr>
          <w:rFonts w:ascii="Times New Roman" w:eastAsia="Times New Roman" w:hAnsi="Times New Roman" w:cs="Times New Roman"/>
          <w:sz w:val="24"/>
          <w:szCs w:val="24"/>
        </w:rPr>
      </w:pPr>
    </w:p>
    <w:p w14:paraId="2DAB58E3" w14:textId="77777777" w:rsidR="00F65911" w:rsidRDefault="00F65911" w:rsidP="00CB269D">
      <w:pPr>
        <w:widowControl/>
        <w:rPr>
          <w:rFonts w:ascii="Times New Roman" w:eastAsia="Times New Roman" w:hAnsi="Times New Roman" w:cs="Times New Roman"/>
          <w:sz w:val="24"/>
          <w:szCs w:val="24"/>
        </w:rPr>
      </w:pPr>
    </w:p>
    <w:p w14:paraId="18F706D7" w14:textId="77777777" w:rsidR="00F65911" w:rsidRDefault="00F65911" w:rsidP="00CB269D">
      <w:pPr>
        <w:widowControl/>
        <w:rPr>
          <w:rFonts w:ascii="Times New Roman" w:eastAsia="Times New Roman" w:hAnsi="Times New Roman" w:cs="Times New Roman"/>
          <w:sz w:val="24"/>
          <w:szCs w:val="24"/>
        </w:rPr>
      </w:pPr>
    </w:p>
    <w:p w14:paraId="1964B30B" w14:textId="77777777" w:rsidR="00F65911" w:rsidRDefault="00F65911" w:rsidP="00CB269D">
      <w:pPr>
        <w:widowControl/>
        <w:rPr>
          <w:rFonts w:ascii="Times New Roman" w:eastAsia="Times New Roman" w:hAnsi="Times New Roman" w:cs="Times New Roman"/>
          <w:sz w:val="24"/>
          <w:szCs w:val="24"/>
        </w:rPr>
      </w:pPr>
    </w:p>
    <w:p w14:paraId="68E1EFAD" w14:textId="77777777" w:rsidR="00F65911" w:rsidRDefault="00F65911" w:rsidP="00CB269D">
      <w:pPr>
        <w:widowControl/>
        <w:rPr>
          <w:rFonts w:ascii="Times New Roman" w:eastAsia="Times New Roman" w:hAnsi="Times New Roman" w:cs="Times New Roman"/>
          <w:sz w:val="24"/>
          <w:szCs w:val="24"/>
        </w:rPr>
      </w:pPr>
    </w:p>
    <w:p w14:paraId="3230BE55" w14:textId="77777777" w:rsidR="00F65911" w:rsidRDefault="00F65911" w:rsidP="00CB269D">
      <w:pPr>
        <w:widowControl/>
        <w:rPr>
          <w:rFonts w:ascii="Times New Roman" w:eastAsia="Times New Roman" w:hAnsi="Times New Roman" w:cs="Times New Roman"/>
          <w:sz w:val="24"/>
          <w:szCs w:val="24"/>
        </w:rPr>
      </w:pPr>
    </w:p>
    <w:p w14:paraId="66E9C903" w14:textId="77777777" w:rsidR="00F65911" w:rsidRDefault="00F65911" w:rsidP="00CB269D">
      <w:pPr>
        <w:widowControl/>
        <w:rPr>
          <w:rFonts w:ascii="Times New Roman" w:eastAsia="Times New Roman" w:hAnsi="Times New Roman" w:cs="Times New Roman"/>
          <w:sz w:val="24"/>
          <w:szCs w:val="24"/>
        </w:rPr>
      </w:pPr>
    </w:p>
    <w:p w14:paraId="4A9C36F4" w14:textId="77777777" w:rsidR="00F65911" w:rsidRDefault="00F65911" w:rsidP="00CB269D">
      <w:pPr>
        <w:widowControl/>
        <w:rPr>
          <w:rFonts w:ascii="Times New Roman" w:eastAsia="Times New Roman" w:hAnsi="Times New Roman" w:cs="Times New Roman"/>
          <w:sz w:val="24"/>
          <w:szCs w:val="24"/>
        </w:rPr>
      </w:pPr>
    </w:p>
    <w:p w14:paraId="061953ED" w14:textId="77777777" w:rsidR="00F65911" w:rsidRDefault="00F65911" w:rsidP="00CB269D">
      <w:pPr>
        <w:widowControl/>
        <w:rPr>
          <w:rFonts w:ascii="Times New Roman" w:eastAsia="Times New Roman" w:hAnsi="Times New Roman" w:cs="Times New Roman"/>
          <w:sz w:val="24"/>
          <w:szCs w:val="24"/>
        </w:rPr>
      </w:pPr>
    </w:p>
    <w:p w14:paraId="0D10FE0B" w14:textId="77777777" w:rsidR="00F65911" w:rsidRDefault="00F65911" w:rsidP="00CB269D">
      <w:pPr>
        <w:widowControl/>
        <w:rPr>
          <w:rFonts w:ascii="Times New Roman" w:eastAsia="Times New Roman" w:hAnsi="Times New Roman" w:cs="Times New Roman"/>
          <w:sz w:val="24"/>
          <w:szCs w:val="24"/>
        </w:rPr>
      </w:pPr>
    </w:p>
    <w:p w14:paraId="61266E17" w14:textId="77777777" w:rsidR="00F65911" w:rsidRDefault="00F65911" w:rsidP="00CB269D">
      <w:pPr>
        <w:widowControl/>
        <w:rPr>
          <w:rFonts w:ascii="Times New Roman" w:eastAsia="Times New Roman" w:hAnsi="Times New Roman" w:cs="Times New Roman"/>
          <w:sz w:val="24"/>
          <w:szCs w:val="24"/>
        </w:rPr>
      </w:pPr>
    </w:p>
    <w:p w14:paraId="18D48E59" w14:textId="77777777" w:rsidR="00F65911" w:rsidRDefault="00F65911" w:rsidP="00CB269D">
      <w:pPr>
        <w:widowControl/>
        <w:rPr>
          <w:rFonts w:ascii="Times New Roman" w:eastAsia="Times New Roman" w:hAnsi="Times New Roman" w:cs="Times New Roman"/>
          <w:sz w:val="24"/>
          <w:szCs w:val="24"/>
        </w:rPr>
      </w:pPr>
    </w:p>
    <w:p w14:paraId="57366352" w14:textId="1A5A64AA" w:rsidR="00CB269D" w:rsidRPr="00CB269D" w:rsidRDefault="00CB269D" w:rsidP="00CB269D">
      <w:pPr>
        <w:widowControl/>
        <w:rPr>
          <w:rFonts w:ascii="Times New Roman" w:eastAsia="Times New Roman" w:hAnsi="Times New Roman" w:cs="Times New Roman"/>
          <w:sz w:val="24"/>
          <w:szCs w:val="24"/>
        </w:rPr>
      </w:pPr>
      <w:r w:rsidRPr="00CB269D">
        <w:rPr>
          <w:rFonts w:ascii="Times New Roman" w:eastAsia="Times New Roman" w:hAnsi="Times New Roman" w:cs="Times New Roman"/>
          <w:sz w:val="24"/>
          <w:szCs w:val="24"/>
        </w:rPr>
        <w:t xml:space="preserve">Contact: </w:t>
      </w:r>
    </w:p>
    <w:p w14:paraId="3D562F39" w14:textId="0BBCDDDF" w:rsidR="00CB269D" w:rsidRPr="00CB269D" w:rsidRDefault="00CB269D" w:rsidP="00CB269D">
      <w:pPr>
        <w:rPr>
          <w:rFonts w:ascii="Times New Roman" w:eastAsiaTheme="minorEastAsia" w:hAnsi="Times New Roman" w:cs="Times New Roman"/>
          <w:noProof/>
          <w:sz w:val="24"/>
          <w:szCs w:val="24"/>
        </w:rPr>
      </w:pPr>
      <w:bookmarkStart w:id="3" w:name="_MailAutoSig"/>
      <w:r w:rsidRPr="00CB269D">
        <w:rPr>
          <w:rFonts w:ascii="Times New Roman" w:eastAsiaTheme="minorEastAsia" w:hAnsi="Times New Roman" w:cs="Times New Roman"/>
          <w:noProof/>
          <w:sz w:val="24"/>
          <w:szCs w:val="24"/>
        </w:rPr>
        <w:t>Greg Anderson</w:t>
      </w:r>
    </w:p>
    <w:p w14:paraId="2E5E8017"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San Diego Gas &amp; Electric</w:t>
      </w:r>
    </w:p>
    <w:p w14:paraId="7A64B8C9"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Regulatory Affairs</w:t>
      </w:r>
    </w:p>
    <w:p w14:paraId="0511ED56"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Office: (858) 654-1717</w:t>
      </w:r>
    </w:p>
    <w:p w14:paraId="1BCAA887"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GAnderson@SempraUtilities.com</w:t>
      </w:r>
      <w:bookmarkEnd w:id="3"/>
    </w:p>
    <w:p w14:paraId="57AA6E2E" w14:textId="06AC7C86" w:rsidR="00090093" w:rsidRPr="00090093" w:rsidRDefault="00090093" w:rsidP="00CB269D">
      <w:pPr>
        <w:widowControl/>
        <w:ind w:firstLine="720"/>
        <w:rPr>
          <w:rFonts w:ascii="Times New Roman" w:eastAsia="Times New Roman" w:hAnsi="Times New Roman" w:cs="Times New Roman"/>
          <w:sz w:val="24"/>
          <w:szCs w:val="24"/>
        </w:rPr>
      </w:pPr>
    </w:p>
    <w:p w14:paraId="7B8B2BD8" w14:textId="77777777" w:rsidR="00E44CE6" w:rsidRDefault="00E44CE6" w:rsidP="00E44CE6">
      <w:pPr>
        <w:pStyle w:val="ListParagraph"/>
      </w:pPr>
    </w:p>
    <w:p w14:paraId="204543CC" w14:textId="76FB1886" w:rsidR="00E44CE6" w:rsidRPr="00E44CE6" w:rsidRDefault="00E44CE6" w:rsidP="00E44CE6">
      <w:pPr>
        <w:widowControl/>
        <w:rPr>
          <w:rFonts w:eastAsia="Times New Roman"/>
        </w:rPr>
      </w:pPr>
    </w:p>
    <w:sectPr w:rsidR="00E44CE6" w:rsidRPr="00E44CE6">
      <w:headerReference w:type="default" r:id="rId19"/>
      <w:footerReference w:type="default" r:id="rId20"/>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D8028" w14:textId="77777777" w:rsidR="00E64DAD" w:rsidRDefault="00E64DAD">
      <w:r>
        <w:separator/>
      </w:r>
    </w:p>
  </w:endnote>
  <w:endnote w:type="continuationSeparator" w:id="0">
    <w:p w14:paraId="3AF8659F" w14:textId="77777777" w:rsidR="00E64DAD" w:rsidRDefault="00E64DAD">
      <w:r>
        <w:continuationSeparator/>
      </w:r>
    </w:p>
  </w:endnote>
  <w:endnote w:type="continuationNotice" w:id="1">
    <w:p w14:paraId="72869995" w14:textId="77777777" w:rsidR="00E64DAD" w:rsidRDefault="00E64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8AAB6" w14:textId="77777777" w:rsidR="00E64DAD" w:rsidRDefault="00E64DAD">
      <w:r>
        <w:separator/>
      </w:r>
    </w:p>
  </w:footnote>
  <w:footnote w:type="continuationSeparator" w:id="0">
    <w:p w14:paraId="35662898" w14:textId="77777777" w:rsidR="00E64DAD" w:rsidRDefault="00E64DAD">
      <w:r>
        <w:continuationSeparator/>
      </w:r>
    </w:p>
  </w:footnote>
  <w:footnote w:type="continuationNotice" w:id="1">
    <w:p w14:paraId="719876A3" w14:textId="77777777" w:rsidR="00E64DAD" w:rsidRDefault="00E64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7800165C"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#00</w:t>
    </w:r>
    <w:r w:rsidR="00F25E6E">
      <w:rPr>
        <w:rFonts w:ascii="Times New Roman" w:hAnsi="Times New Roman" w:cs="Times New Roman"/>
        <w:b/>
      </w:rPr>
      <w:t>8</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F25E6E">
      <w:rPr>
        <w:rFonts w:ascii="Times New Roman" w:hAnsi="Times New Roman" w:cs="Times New Roman"/>
        <w:b/>
      </w:rPr>
      <w:t>July 29</w:t>
    </w:r>
    <w:r w:rsidR="009D6650" w:rsidRPr="00BB3B03">
      <w:rPr>
        <w:rFonts w:ascii="Times New Roman" w:hAnsi="Times New Roman" w:cs="Times New Roman"/>
        <w:b/>
      </w:rPr>
      <w:t>, 2019</w:t>
    </w:r>
  </w:p>
  <w:p w14:paraId="46DCAB12" w14:textId="64AC0E67"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25E6E">
      <w:rPr>
        <w:rFonts w:ascii="Times New Roman" w:hAnsi="Times New Roman" w:cs="Times New Roman"/>
        <w:b/>
      </w:rPr>
      <w:t>August</w:t>
    </w:r>
    <w:r w:rsidR="0050178E">
      <w:rPr>
        <w:rFonts w:ascii="Times New Roman" w:hAnsi="Times New Roman" w:cs="Times New Roman"/>
        <w:b/>
      </w:rPr>
      <w:t xml:space="preserve"> 5</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EE50122"/>
    <w:multiLevelType w:val="hybridMultilevel"/>
    <w:tmpl w:val="542807F4"/>
    <w:lvl w:ilvl="0" w:tplc="04090001">
      <w:start w:val="1"/>
      <w:numFmt w:val="bullet"/>
      <w:lvlText w:val=""/>
      <w:lvlJc w:val="left"/>
      <w:pPr>
        <w:ind w:left="3585" w:hanging="360"/>
      </w:pPr>
      <w:rPr>
        <w:rFonts w:ascii="Symbol" w:hAnsi="Symbol" w:hint="default"/>
      </w:rPr>
    </w:lvl>
    <w:lvl w:ilvl="1" w:tplc="04090003">
      <w:start w:val="1"/>
      <w:numFmt w:val="bullet"/>
      <w:lvlText w:val="o"/>
      <w:lvlJc w:val="left"/>
      <w:pPr>
        <w:ind w:left="4305" w:hanging="360"/>
      </w:pPr>
      <w:rPr>
        <w:rFonts w:ascii="Courier New" w:hAnsi="Courier New" w:cs="Courier New" w:hint="default"/>
      </w:rPr>
    </w:lvl>
    <w:lvl w:ilvl="2" w:tplc="04090005">
      <w:start w:val="1"/>
      <w:numFmt w:val="bullet"/>
      <w:lvlText w:val=""/>
      <w:lvlJc w:val="left"/>
      <w:pPr>
        <w:ind w:left="5025" w:hanging="360"/>
      </w:pPr>
      <w:rPr>
        <w:rFonts w:ascii="Wingdings" w:hAnsi="Wingdings" w:hint="default"/>
      </w:rPr>
    </w:lvl>
    <w:lvl w:ilvl="3" w:tplc="04090001">
      <w:start w:val="1"/>
      <w:numFmt w:val="bullet"/>
      <w:lvlText w:val=""/>
      <w:lvlJc w:val="left"/>
      <w:pPr>
        <w:ind w:left="5745" w:hanging="360"/>
      </w:pPr>
      <w:rPr>
        <w:rFonts w:ascii="Symbol" w:hAnsi="Symbol" w:hint="default"/>
      </w:rPr>
    </w:lvl>
    <w:lvl w:ilvl="4" w:tplc="04090003">
      <w:start w:val="1"/>
      <w:numFmt w:val="bullet"/>
      <w:lvlText w:val="o"/>
      <w:lvlJc w:val="left"/>
      <w:pPr>
        <w:ind w:left="6465" w:hanging="360"/>
      </w:pPr>
      <w:rPr>
        <w:rFonts w:ascii="Courier New" w:hAnsi="Courier New" w:cs="Courier New" w:hint="default"/>
      </w:rPr>
    </w:lvl>
    <w:lvl w:ilvl="5" w:tplc="04090005">
      <w:start w:val="1"/>
      <w:numFmt w:val="bullet"/>
      <w:lvlText w:val=""/>
      <w:lvlJc w:val="left"/>
      <w:pPr>
        <w:ind w:left="7185" w:hanging="360"/>
      </w:pPr>
      <w:rPr>
        <w:rFonts w:ascii="Wingdings" w:hAnsi="Wingdings" w:hint="default"/>
      </w:rPr>
    </w:lvl>
    <w:lvl w:ilvl="6" w:tplc="04090001">
      <w:start w:val="1"/>
      <w:numFmt w:val="bullet"/>
      <w:lvlText w:val=""/>
      <w:lvlJc w:val="left"/>
      <w:pPr>
        <w:ind w:left="7905" w:hanging="360"/>
      </w:pPr>
      <w:rPr>
        <w:rFonts w:ascii="Symbol" w:hAnsi="Symbol" w:hint="default"/>
      </w:rPr>
    </w:lvl>
    <w:lvl w:ilvl="7" w:tplc="04090003">
      <w:start w:val="1"/>
      <w:numFmt w:val="bullet"/>
      <w:lvlText w:val="o"/>
      <w:lvlJc w:val="left"/>
      <w:pPr>
        <w:ind w:left="8625" w:hanging="360"/>
      </w:pPr>
      <w:rPr>
        <w:rFonts w:ascii="Courier New" w:hAnsi="Courier New" w:cs="Courier New" w:hint="default"/>
      </w:rPr>
    </w:lvl>
    <w:lvl w:ilvl="8" w:tplc="04090005">
      <w:start w:val="1"/>
      <w:numFmt w:val="bullet"/>
      <w:lvlText w:val=""/>
      <w:lvlJc w:val="left"/>
      <w:pPr>
        <w:ind w:left="9345" w:hanging="360"/>
      </w:pPr>
      <w:rPr>
        <w:rFonts w:ascii="Wingdings" w:hAnsi="Wingdings" w:hint="default"/>
      </w:rPr>
    </w:lvl>
  </w:abstractNum>
  <w:abstractNum w:abstractNumId="6"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7"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51661"/>
    <w:rsid w:val="00090093"/>
    <w:rsid w:val="000932E2"/>
    <w:rsid w:val="000A6F05"/>
    <w:rsid w:val="000B710B"/>
    <w:rsid w:val="000D24BA"/>
    <w:rsid w:val="000D6ECD"/>
    <w:rsid w:val="000E194A"/>
    <w:rsid w:val="000F5557"/>
    <w:rsid w:val="000F6F65"/>
    <w:rsid w:val="00101D98"/>
    <w:rsid w:val="00104F5E"/>
    <w:rsid w:val="0010718F"/>
    <w:rsid w:val="00110854"/>
    <w:rsid w:val="00117124"/>
    <w:rsid w:val="00121E7C"/>
    <w:rsid w:val="00137417"/>
    <w:rsid w:val="00142C40"/>
    <w:rsid w:val="0014783D"/>
    <w:rsid w:val="00163795"/>
    <w:rsid w:val="00166C29"/>
    <w:rsid w:val="00167CF6"/>
    <w:rsid w:val="001729AE"/>
    <w:rsid w:val="001731CC"/>
    <w:rsid w:val="00192F9B"/>
    <w:rsid w:val="001B6807"/>
    <w:rsid w:val="001E73D1"/>
    <w:rsid w:val="001F1F3B"/>
    <w:rsid w:val="00223172"/>
    <w:rsid w:val="00227922"/>
    <w:rsid w:val="00227AD1"/>
    <w:rsid w:val="00230361"/>
    <w:rsid w:val="00242383"/>
    <w:rsid w:val="00247644"/>
    <w:rsid w:val="002540A5"/>
    <w:rsid w:val="002558C2"/>
    <w:rsid w:val="00256561"/>
    <w:rsid w:val="00257835"/>
    <w:rsid w:val="00264F5F"/>
    <w:rsid w:val="00272165"/>
    <w:rsid w:val="0027631B"/>
    <w:rsid w:val="00294908"/>
    <w:rsid w:val="00295451"/>
    <w:rsid w:val="002A19BC"/>
    <w:rsid w:val="002A48B2"/>
    <w:rsid w:val="002B7723"/>
    <w:rsid w:val="002C1602"/>
    <w:rsid w:val="002C3FC3"/>
    <w:rsid w:val="002C51C0"/>
    <w:rsid w:val="002F2139"/>
    <w:rsid w:val="002F4871"/>
    <w:rsid w:val="00317A8F"/>
    <w:rsid w:val="00320693"/>
    <w:rsid w:val="00322EA2"/>
    <w:rsid w:val="00331DCE"/>
    <w:rsid w:val="0033768B"/>
    <w:rsid w:val="0035082C"/>
    <w:rsid w:val="00360568"/>
    <w:rsid w:val="00362A8A"/>
    <w:rsid w:val="003719EA"/>
    <w:rsid w:val="003920AA"/>
    <w:rsid w:val="003930E1"/>
    <w:rsid w:val="003A6866"/>
    <w:rsid w:val="003B40AB"/>
    <w:rsid w:val="003B7BC2"/>
    <w:rsid w:val="003D0506"/>
    <w:rsid w:val="003D317D"/>
    <w:rsid w:val="003E1C2F"/>
    <w:rsid w:val="00404616"/>
    <w:rsid w:val="004178A0"/>
    <w:rsid w:val="00420532"/>
    <w:rsid w:val="00445522"/>
    <w:rsid w:val="00460EFB"/>
    <w:rsid w:val="004611A4"/>
    <w:rsid w:val="00490C0E"/>
    <w:rsid w:val="004A0D4C"/>
    <w:rsid w:val="004B0621"/>
    <w:rsid w:val="004D375A"/>
    <w:rsid w:val="004D5375"/>
    <w:rsid w:val="004F6A69"/>
    <w:rsid w:val="0050178E"/>
    <w:rsid w:val="0050650D"/>
    <w:rsid w:val="00542997"/>
    <w:rsid w:val="00543BD7"/>
    <w:rsid w:val="00584FC4"/>
    <w:rsid w:val="00593025"/>
    <w:rsid w:val="00593616"/>
    <w:rsid w:val="005B5AF1"/>
    <w:rsid w:val="005D4DFA"/>
    <w:rsid w:val="00621321"/>
    <w:rsid w:val="00632B68"/>
    <w:rsid w:val="00657F6E"/>
    <w:rsid w:val="006659B7"/>
    <w:rsid w:val="00676426"/>
    <w:rsid w:val="00677F46"/>
    <w:rsid w:val="00683DE9"/>
    <w:rsid w:val="0069799F"/>
    <w:rsid w:val="006A2A33"/>
    <w:rsid w:val="006A6310"/>
    <w:rsid w:val="006A724E"/>
    <w:rsid w:val="006B79FF"/>
    <w:rsid w:val="006B7D74"/>
    <w:rsid w:val="006C46C9"/>
    <w:rsid w:val="006D19C3"/>
    <w:rsid w:val="006E073E"/>
    <w:rsid w:val="006F440F"/>
    <w:rsid w:val="00727C31"/>
    <w:rsid w:val="007416B7"/>
    <w:rsid w:val="007449EF"/>
    <w:rsid w:val="0078262C"/>
    <w:rsid w:val="007876AA"/>
    <w:rsid w:val="00787AC5"/>
    <w:rsid w:val="007A317F"/>
    <w:rsid w:val="007A7F06"/>
    <w:rsid w:val="007C3A48"/>
    <w:rsid w:val="007C5EF9"/>
    <w:rsid w:val="007D3FB9"/>
    <w:rsid w:val="007D677E"/>
    <w:rsid w:val="007E4F06"/>
    <w:rsid w:val="007F0826"/>
    <w:rsid w:val="008113E5"/>
    <w:rsid w:val="00811904"/>
    <w:rsid w:val="008131FF"/>
    <w:rsid w:val="00817F06"/>
    <w:rsid w:val="008243E4"/>
    <w:rsid w:val="00844369"/>
    <w:rsid w:val="0085302F"/>
    <w:rsid w:val="00855C82"/>
    <w:rsid w:val="0087248C"/>
    <w:rsid w:val="00883D24"/>
    <w:rsid w:val="008A7402"/>
    <w:rsid w:val="008B522A"/>
    <w:rsid w:val="008C1929"/>
    <w:rsid w:val="008D0191"/>
    <w:rsid w:val="008F02E0"/>
    <w:rsid w:val="00907727"/>
    <w:rsid w:val="009146C4"/>
    <w:rsid w:val="00921C40"/>
    <w:rsid w:val="00922C0C"/>
    <w:rsid w:val="009274BB"/>
    <w:rsid w:val="009319FE"/>
    <w:rsid w:val="009412FB"/>
    <w:rsid w:val="00943820"/>
    <w:rsid w:val="00943B34"/>
    <w:rsid w:val="0097209E"/>
    <w:rsid w:val="00993F4E"/>
    <w:rsid w:val="009A740A"/>
    <w:rsid w:val="009B18B5"/>
    <w:rsid w:val="009B6AC0"/>
    <w:rsid w:val="009B7DCB"/>
    <w:rsid w:val="009C5A41"/>
    <w:rsid w:val="009D18E7"/>
    <w:rsid w:val="009D5690"/>
    <w:rsid w:val="009D6650"/>
    <w:rsid w:val="009F790A"/>
    <w:rsid w:val="00A06D28"/>
    <w:rsid w:val="00A06EFD"/>
    <w:rsid w:val="00A20CBF"/>
    <w:rsid w:val="00A30EF2"/>
    <w:rsid w:val="00A37E79"/>
    <w:rsid w:val="00A479CD"/>
    <w:rsid w:val="00A52FCF"/>
    <w:rsid w:val="00A90892"/>
    <w:rsid w:val="00A95F00"/>
    <w:rsid w:val="00AD2E1A"/>
    <w:rsid w:val="00AD41CB"/>
    <w:rsid w:val="00AD7840"/>
    <w:rsid w:val="00AE1E1C"/>
    <w:rsid w:val="00AF59A2"/>
    <w:rsid w:val="00AF6700"/>
    <w:rsid w:val="00B05633"/>
    <w:rsid w:val="00B1392C"/>
    <w:rsid w:val="00B3116A"/>
    <w:rsid w:val="00B333AB"/>
    <w:rsid w:val="00B45304"/>
    <w:rsid w:val="00B603AB"/>
    <w:rsid w:val="00B64BDE"/>
    <w:rsid w:val="00B670B5"/>
    <w:rsid w:val="00B734E3"/>
    <w:rsid w:val="00B73736"/>
    <w:rsid w:val="00B754F4"/>
    <w:rsid w:val="00B97974"/>
    <w:rsid w:val="00BA7F23"/>
    <w:rsid w:val="00BB79A4"/>
    <w:rsid w:val="00BC205E"/>
    <w:rsid w:val="00BC35A8"/>
    <w:rsid w:val="00BD16C2"/>
    <w:rsid w:val="00BE2AA1"/>
    <w:rsid w:val="00BF4DAF"/>
    <w:rsid w:val="00C03810"/>
    <w:rsid w:val="00C2679D"/>
    <w:rsid w:val="00C730D9"/>
    <w:rsid w:val="00C754DD"/>
    <w:rsid w:val="00C849EC"/>
    <w:rsid w:val="00C92602"/>
    <w:rsid w:val="00CA3F16"/>
    <w:rsid w:val="00CB269D"/>
    <w:rsid w:val="00CB7A9A"/>
    <w:rsid w:val="00CC5B87"/>
    <w:rsid w:val="00CE35CE"/>
    <w:rsid w:val="00D23A7A"/>
    <w:rsid w:val="00D26552"/>
    <w:rsid w:val="00D35420"/>
    <w:rsid w:val="00D51844"/>
    <w:rsid w:val="00D5475F"/>
    <w:rsid w:val="00D70CB3"/>
    <w:rsid w:val="00D75B45"/>
    <w:rsid w:val="00D9485E"/>
    <w:rsid w:val="00DA7DD9"/>
    <w:rsid w:val="00DB2529"/>
    <w:rsid w:val="00E101F3"/>
    <w:rsid w:val="00E12C64"/>
    <w:rsid w:val="00E335B9"/>
    <w:rsid w:val="00E41516"/>
    <w:rsid w:val="00E44CE6"/>
    <w:rsid w:val="00E50B8E"/>
    <w:rsid w:val="00E64DAD"/>
    <w:rsid w:val="00E904AE"/>
    <w:rsid w:val="00E90F14"/>
    <w:rsid w:val="00E95EDD"/>
    <w:rsid w:val="00E97312"/>
    <w:rsid w:val="00EA1598"/>
    <w:rsid w:val="00EB7811"/>
    <w:rsid w:val="00ED1A8B"/>
    <w:rsid w:val="00ED442A"/>
    <w:rsid w:val="00EF0B14"/>
    <w:rsid w:val="00F25E6E"/>
    <w:rsid w:val="00F5199D"/>
    <w:rsid w:val="00F51D3E"/>
    <w:rsid w:val="00F571D6"/>
    <w:rsid w:val="00F65911"/>
    <w:rsid w:val="00F86E79"/>
    <w:rsid w:val="00F926AF"/>
    <w:rsid w:val="00FA43C2"/>
    <w:rsid w:val="00FB4157"/>
    <w:rsid w:val="00FF1C16"/>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F7996"/>
  <w15:docId w15:val="{AF3DEE9A-30E0-4CB7-8045-A98E9F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027959">
      <w:bodyDiv w:val="1"/>
      <w:marLeft w:val="0"/>
      <w:marRight w:val="0"/>
      <w:marTop w:val="0"/>
      <w:marBottom w:val="0"/>
      <w:divBdr>
        <w:top w:val="none" w:sz="0" w:space="0" w:color="auto"/>
        <w:left w:val="none" w:sz="0" w:space="0" w:color="auto"/>
        <w:bottom w:val="none" w:sz="0" w:space="0" w:color="auto"/>
        <w:right w:val="none" w:sz="0" w:space="0" w:color="auto"/>
      </w:divBdr>
    </w:div>
    <w:div w:id="984119299">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Macro-Enabled_Worksheet.xlsm"/><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4C9CF.5AB4AB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3026AED46D945B715A532DC9858DA" ma:contentTypeVersion="10" ma:contentTypeDescription="Create a new document." ma:contentTypeScope="" ma:versionID="37a333c03cc028cc5d6acfa39430ef35">
  <xsd:schema xmlns:xsd="http://www.w3.org/2001/XMLSchema" xmlns:xs="http://www.w3.org/2001/XMLSchema" xmlns:p="http://schemas.microsoft.com/office/2006/metadata/properties" xmlns:ns3="e718818b-85ba-4fc2-a5d9-794799541639" targetNamespace="http://schemas.microsoft.com/office/2006/metadata/properties" ma:root="true" ma:fieldsID="8cbbe7e7bc727cfc995e6f9c82e38638" ns3:_="">
    <xsd:import namespace="e718818b-85ba-4fc2-a5d9-79479954163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818b-85ba-4fc2-a5d9-7947995416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C539-96AC-4FB3-987F-74E1F6D453F6}">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e718818b-85ba-4fc2-a5d9-794799541639"/>
    <ds:schemaRef ds:uri="http://www.w3.org/XML/1998/namespace"/>
    <ds:schemaRef ds:uri="http://purl.org/dc/dcmitype/"/>
  </ds:schemaRefs>
</ds:datastoreItem>
</file>

<file path=customXml/itemProps2.xml><?xml version="1.0" encoding="utf-8"?>
<ds:datastoreItem xmlns:ds="http://schemas.openxmlformats.org/officeDocument/2006/customXml" ds:itemID="{6947648B-12F1-44B8-9FBF-5DACBA6EAB8B}">
  <ds:schemaRefs>
    <ds:schemaRef ds:uri="http://schemas.microsoft.com/sharepoint/v3/contenttype/forms"/>
  </ds:schemaRefs>
</ds:datastoreItem>
</file>

<file path=customXml/itemProps3.xml><?xml version="1.0" encoding="utf-8"?>
<ds:datastoreItem xmlns:ds="http://schemas.openxmlformats.org/officeDocument/2006/customXml" ds:itemID="{EA3F8BAD-2770-4634-BDF7-173EFA2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818b-85ba-4fc2-a5d9-79479954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E5C97-E288-4379-97AF-7D11897D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Gregory S</dc:creator>
  <cp:lastModifiedBy>Anderson, Gregory S</cp:lastModifiedBy>
  <cp:revision>3</cp:revision>
  <cp:lastPrinted>2019-01-18T17:59:00Z</cp:lastPrinted>
  <dcterms:created xsi:type="dcterms:W3CDTF">2019-08-05T18:03:00Z</dcterms:created>
  <dcterms:modified xsi:type="dcterms:W3CDTF">2019-08-05T18:04:00Z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2017-08-30T00:00:00Z</vt:filetime>
  </property>
  <property fmtid="{D5CDD505-2E9C-101B-9397-08002B2CF9AE}" pid="4" name="ContentTypeId">
    <vt:lpwstr>0x0101006963026AED46D945B715A532DC9858DA</vt:lpwstr>
  </property>
</Properties>
</file>