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29115" w14:textId="77777777" w:rsidR="00E7705E" w:rsidRPr="00E7705E" w:rsidRDefault="00E7705E" w:rsidP="00E7705E">
      <w:pPr>
        <w:widowControl/>
        <w:autoSpaceDE w:val="0"/>
        <w:autoSpaceDN w:val="0"/>
        <w:adjustRightInd w:val="0"/>
        <w:rPr>
          <w:rFonts w:ascii="Times New Roman" w:hAnsi="Times New Roman" w:cs="Times New Roman"/>
          <w:color w:val="000000"/>
          <w:sz w:val="24"/>
          <w:szCs w:val="24"/>
        </w:rPr>
      </w:pPr>
    </w:p>
    <w:p w14:paraId="7D2A0D89" w14:textId="77777777" w:rsidR="00476FB3" w:rsidRPr="00476FB3" w:rsidRDefault="00476FB3" w:rsidP="00476FB3">
      <w:pPr>
        <w:widowControl/>
        <w:autoSpaceDE w:val="0"/>
        <w:autoSpaceDN w:val="0"/>
        <w:adjustRightInd w:val="0"/>
        <w:rPr>
          <w:rFonts w:ascii="Times New Roman" w:hAnsi="Times New Roman" w:cs="Times New Roman"/>
          <w:color w:val="000000"/>
          <w:sz w:val="24"/>
          <w:szCs w:val="24"/>
        </w:rPr>
      </w:pPr>
    </w:p>
    <w:p w14:paraId="2B7F293B" w14:textId="77777777" w:rsidR="00E850E1" w:rsidRDefault="00E850E1" w:rsidP="00E850E1">
      <w:pPr>
        <w:ind w:left="720" w:hanging="360"/>
      </w:pPr>
    </w:p>
    <w:p w14:paraId="485D9440" w14:textId="485D2DF0" w:rsidR="00E850E1" w:rsidRDefault="00E850E1" w:rsidP="00E850E1">
      <w:pPr>
        <w:pStyle w:val="ListParagraph"/>
        <w:widowControl/>
        <w:numPr>
          <w:ilvl w:val="0"/>
          <w:numId w:val="14"/>
        </w:numPr>
        <w:rPr>
          <w:rFonts w:ascii="Times New Roman" w:hAnsi="Times New Roman" w:cs="Times New Roman"/>
          <w:sz w:val="24"/>
          <w:szCs w:val="24"/>
        </w:rPr>
      </w:pPr>
      <w:r w:rsidRPr="00E850E1">
        <w:rPr>
          <w:rFonts w:ascii="Times New Roman" w:hAnsi="Times New Roman" w:cs="Times New Roman"/>
          <w:sz w:val="24"/>
          <w:szCs w:val="24"/>
        </w:rPr>
        <w:t xml:space="preserve">Is there a central database where all data requests and SDG&amp;E responses are available to intervenors? If so, please provide a link and registration information (if required). </w:t>
      </w:r>
    </w:p>
    <w:p w14:paraId="39B82D79" w14:textId="54DF2DF7" w:rsidR="00E850E1" w:rsidRDefault="00E850E1" w:rsidP="00E850E1">
      <w:pPr>
        <w:widowControl/>
        <w:rPr>
          <w:rFonts w:ascii="Times New Roman" w:hAnsi="Times New Roman" w:cs="Times New Roman"/>
          <w:sz w:val="24"/>
          <w:szCs w:val="24"/>
        </w:rPr>
      </w:pPr>
    </w:p>
    <w:p w14:paraId="10F33B98" w14:textId="3CF584FE" w:rsidR="00E850E1" w:rsidRDefault="00E850E1" w:rsidP="00E850E1">
      <w:pPr>
        <w:widowControl/>
        <w:rPr>
          <w:rFonts w:ascii="Times New Roman" w:hAnsi="Times New Roman" w:cs="Times New Roman"/>
          <w:sz w:val="24"/>
          <w:szCs w:val="24"/>
        </w:rPr>
      </w:pPr>
      <w:r w:rsidRPr="00F1608D">
        <w:rPr>
          <w:rFonts w:ascii="Times New Roman" w:hAnsi="Times New Roman" w:cs="Times New Roman"/>
          <w:b/>
          <w:sz w:val="24"/>
          <w:szCs w:val="24"/>
        </w:rPr>
        <w:t>SDG&amp;E Response:</w:t>
      </w:r>
      <w:r>
        <w:rPr>
          <w:rFonts w:ascii="Times New Roman" w:hAnsi="Times New Roman" w:cs="Times New Roman"/>
          <w:sz w:val="24"/>
          <w:szCs w:val="24"/>
        </w:rPr>
        <w:t xml:space="preserve"> </w:t>
      </w:r>
      <w:r w:rsidR="002C0301">
        <w:rPr>
          <w:rFonts w:ascii="Times New Roman" w:hAnsi="Times New Roman" w:cs="Times New Roman"/>
          <w:sz w:val="24"/>
          <w:szCs w:val="24"/>
        </w:rPr>
        <w:t>Please see the following link:</w:t>
      </w:r>
    </w:p>
    <w:p w14:paraId="31FBCFE1" w14:textId="4A1D8E87" w:rsidR="002C0301" w:rsidRDefault="00A64B33" w:rsidP="00E850E1">
      <w:pPr>
        <w:widowControl/>
        <w:rPr>
          <w:rFonts w:ascii="Times New Roman" w:hAnsi="Times New Roman" w:cs="Times New Roman"/>
          <w:sz w:val="24"/>
          <w:szCs w:val="24"/>
        </w:rPr>
      </w:pPr>
      <w:hyperlink r:id="rId8" w:history="1">
        <w:r w:rsidR="002C0301" w:rsidRPr="007B361A">
          <w:rPr>
            <w:rStyle w:val="Hyperlink"/>
            <w:rFonts w:ascii="Times New Roman" w:hAnsi="Times New Roman" w:cs="Times New Roman"/>
            <w:sz w:val="24"/>
            <w:szCs w:val="24"/>
          </w:rPr>
          <w:t>https://www.sdge.com/rates-and-regulations/proceedings/2019-grc-phase2</w:t>
        </w:r>
      </w:hyperlink>
    </w:p>
    <w:p w14:paraId="5283654D" w14:textId="4A46BC42" w:rsidR="002C0301" w:rsidRPr="00E850E1" w:rsidRDefault="002C0301" w:rsidP="00E850E1">
      <w:pPr>
        <w:widowControl/>
        <w:rPr>
          <w:rFonts w:ascii="Times New Roman" w:hAnsi="Times New Roman" w:cs="Times New Roman"/>
          <w:sz w:val="24"/>
          <w:szCs w:val="24"/>
        </w:rPr>
      </w:pPr>
      <w:r>
        <w:rPr>
          <w:rFonts w:ascii="Times New Roman" w:hAnsi="Times New Roman" w:cs="Times New Roman"/>
          <w:sz w:val="24"/>
          <w:szCs w:val="24"/>
        </w:rPr>
        <w:t xml:space="preserve">Using the “Discovery” dropdown, you will be able to see </w:t>
      </w:r>
      <w:r w:rsidR="00F1608D">
        <w:rPr>
          <w:rFonts w:ascii="Times New Roman" w:hAnsi="Times New Roman" w:cs="Times New Roman"/>
          <w:sz w:val="24"/>
          <w:szCs w:val="24"/>
        </w:rPr>
        <w:t xml:space="preserve">publicly available </w:t>
      </w:r>
      <w:r>
        <w:rPr>
          <w:rFonts w:ascii="Times New Roman" w:hAnsi="Times New Roman" w:cs="Times New Roman"/>
          <w:sz w:val="24"/>
          <w:szCs w:val="24"/>
        </w:rPr>
        <w:t>responses to other data requests</w:t>
      </w:r>
      <w:r w:rsidR="00F1608D">
        <w:rPr>
          <w:rFonts w:ascii="Times New Roman" w:hAnsi="Times New Roman" w:cs="Times New Roman"/>
          <w:sz w:val="24"/>
          <w:szCs w:val="24"/>
        </w:rPr>
        <w:t>.</w:t>
      </w:r>
    </w:p>
    <w:p w14:paraId="490D3098" w14:textId="77777777" w:rsidR="00E850E1" w:rsidRPr="00E850E1" w:rsidRDefault="00E850E1" w:rsidP="00E850E1">
      <w:pPr>
        <w:pStyle w:val="ListParagraph"/>
        <w:rPr>
          <w:rFonts w:ascii="Times New Roman" w:hAnsi="Times New Roman" w:cs="Times New Roman"/>
          <w:i/>
          <w:sz w:val="24"/>
          <w:szCs w:val="24"/>
        </w:rPr>
      </w:pPr>
      <w:r w:rsidRPr="00E850E1">
        <w:rPr>
          <w:rFonts w:ascii="Times New Roman" w:hAnsi="Times New Roman" w:cs="Times New Roman"/>
          <w:i/>
          <w:sz w:val="24"/>
          <w:szCs w:val="24"/>
        </w:rPr>
        <w:t xml:space="preserve"> </w:t>
      </w:r>
    </w:p>
    <w:p w14:paraId="1A0E0CCA" w14:textId="1D8A6196" w:rsidR="00E850E1" w:rsidRPr="00F1608D" w:rsidRDefault="00E850E1" w:rsidP="00E850E1">
      <w:pPr>
        <w:pStyle w:val="ListParagraph"/>
        <w:widowControl/>
        <w:numPr>
          <w:ilvl w:val="0"/>
          <w:numId w:val="14"/>
        </w:numPr>
        <w:rPr>
          <w:rFonts w:ascii="Times New Roman" w:hAnsi="Times New Roman" w:cs="Times New Roman"/>
          <w:i/>
          <w:sz w:val="24"/>
          <w:szCs w:val="24"/>
        </w:rPr>
      </w:pPr>
      <w:r w:rsidRPr="00E850E1">
        <w:rPr>
          <w:rFonts w:ascii="Times New Roman" w:hAnsi="Times New Roman" w:cs="Times New Roman"/>
          <w:sz w:val="24"/>
          <w:szCs w:val="24"/>
        </w:rPr>
        <w:t>The Prepared Supplemental Testimony of Adrianna Magallanes discusses the conversion of LS-1 street lights to LED over a five year period (page AM-3, lines 1 to 8). How will SDG&amp;E prioritize the LS-1 conversions if approved by the CPUC? Will SDG&amp;E target areas with older lamps that are nearing the end of their useful lives? Can customers request that LS-1 lamps in their communities be converted more quickly than potentially 5 years into the future?</w:t>
      </w:r>
    </w:p>
    <w:p w14:paraId="60CE6AF7" w14:textId="09BCFA78" w:rsidR="00F1608D" w:rsidRDefault="00F1608D" w:rsidP="00F1608D">
      <w:pPr>
        <w:widowControl/>
        <w:rPr>
          <w:rFonts w:ascii="Times New Roman" w:hAnsi="Times New Roman" w:cs="Times New Roman"/>
          <w:i/>
          <w:sz w:val="24"/>
          <w:szCs w:val="24"/>
        </w:rPr>
      </w:pPr>
    </w:p>
    <w:p w14:paraId="31E17BC0" w14:textId="2023B6F1" w:rsidR="00F1608D" w:rsidRPr="00F1608D" w:rsidRDefault="738B8B3D" w:rsidP="738B8B3D">
      <w:pPr>
        <w:widowControl/>
        <w:rPr>
          <w:rFonts w:ascii="Times New Roman" w:hAnsi="Times New Roman" w:cs="Times New Roman"/>
          <w:i/>
          <w:iCs/>
          <w:sz w:val="24"/>
          <w:szCs w:val="24"/>
        </w:rPr>
      </w:pPr>
      <w:r w:rsidRPr="738B8B3D">
        <w:rPr>
          <w:rFonts w:ascii="Times New Roman" w:hAnsi="Times New Roman" w:cs="Times New Roman"/>
          <w:b/>
          <w:bCs/>
          <w:sz w:val="24"/>
          <w:szCs w:val="24"/>
        </w:rPr>
        <w:t xml:space="preserve">SDG&amp;E Response: </w:t>
      </w:r>
      <w:r w:rsidRPr="738B8B3D">
        <w:rPr>
          <w:rFonts w:ascii="Times New Roman" w:hAnsi="Times New Roman" w:cs="Times New Roman"/>
          <w:sz w:val="24"/>
          <w:szCs w:val="24"/>
        </w:rPr>
        <w:t>LS-1 conversion to LED technology will take place upon burnout of the existing lights. Customers may request a conversion prior to burnout.</w:t>
      </w:r>
    </w:p>
    <w:p w14:paraId="280D657F" w14:textId="77777777" w:rsidR="00E850E1" w:rsidRPr="00E850E1" w:rsidRDefault="00E850E1" w:rsidP="00E850E1">
      <w:pPr>
        <w:pStyle w:val="ListParagraph"/>
        <w:rPr>
          <w:rFonts w:ascii="Times New Roman" w:hAnsi="Times New Roman" w:cs="Times New Roman"/>
          <w:i/>
          <w:sz w:val="24"/>
          <w:szCs w:val="24"/>
        </w:rPr>
      </w:pPr>
    </w:p>
    <w:p w14:paraId="24FB70E3" w14:textId="0D13CFC6" w:rsidR="00E850E1" w:rsidRPr="00F1608D" w:rsidRDefault="00E850E1" w:rsidP="00E850E1">
      <w:pPr>
        <w:pStyle w:val="ListParagraph"/>
        <w:widowControl/>
        <w:numPr>
          <w:ilvl w:val="0"/>
          <w:numId w:val="14"/>
        </w:numPr>
        <w:rPr>
          <w:rFonts w:ascii="Times New Roman" w:hAnsi="Times New Roman" w:cs="Times New Roman"/>
          <w:i/>
          <w:sz w:val="24"/>
          <w:szCs w:val="24"/>
        </w:rPr>
      </w:pPr>
      <w:r w:rsidRPr="00E850E1">
        <w:rPr>
          <w:rFonts w:ascii="Times New Roman" w:hAnsi="Times New Roman" w:cs="Times New Roman"/>
          <w:iCs/>
          <w:sz w:val="24"/>
          <w:szCs w:val="24"/>
        </w:rPr>
        <w:t>SDG&amp;E’s Application Table 2 shows a proposed reduction in street light electric rate revenues of -1.14%. SDG&amp;E Workpaper Excel File “Ch_7_WP#1_Lighting Model”, Tab “SUMMARY” shows a proposed increase of 1.04% for the street light class. Is the street light class proposed to receive an increase or decrease in revenues?</w:t>
      </w:r>
    </w:p>
    <w:p w14:paraId="4C16928E" w14:textId="572D54B6" w:rsidR="00F1608D" w:rsidRDefault="00F1608D" w:rsidP="00F1608D">
      <w:pPr>
        <w:widowControl/>
        <w:rPr>
          <w:rFonts w:ascii="Times New Roman" w:hAnsi="Times New Roman" w:cs="Times New Roman"/>
          <w:i/>
          <w:sz w:val="24"/>
          <w:szCs w:val="24"/>
        </w:rPr>
      </w:pPr>
    </w:p>
    <w:p w14:paraId="21B119DD" w14:textId="2B946F62" w:rsidR="00AC2F52" w:rsidRPr="00AC2F52" w:rsidRDefault="00F1608D" w:rsidP="00AC2F52">
      <w:pPr>
        <w:widowControl/>
        <w:rPr>
          <w:rFonts w:ascii="Times New Roman" w:hAnsi="Times New Roman" w:cs="Times New Roman"/>
          <w:i/>
          <w:sz w:val="24"/>
          <w:szCs w:val="24"/>
        </w:rPr>
      </w:pPr>
      <w:r w:rsidRPr="00F1608D">
        <w:rPr>
          <w:rFonts w:ascii="Times New Roman" w:hAnsi="Times New Roman" w:cs="Times New Roman"/>
          <w:b/>
          <w:sz w:val="24"/>
          <w:szCs w:val="24"/>
        </w:rPr>
        <w:t>SDG&amp;E Response:</w:t>
      </w:r>
      <w:r w:rsidR="00AC2F52" w:rsidRPr="00353ADB">
        <w:rPr>
          <w:rFonts w:ascii="Times New Roman" w:hAnsi="Times New Roman" w:cs="Times New Roman"/>
          <w:sz w:val="24"/>
          <w:szCs w:val="24"/>
        </w:rPr>
        <w:t xml:space="preserve"> </w:t>
      </w:r>
      <w:r w:rsidR="00AC2F52">
        <w:rPr>
          <w:rFonts w:ascii="Times New Roman" w:hAnsi="Times New Roman" w:cs="Times New Roman"/>
          <w:sz w:val="24"/>
          <w:szCs w:val="24"/>
        </w:rPr>
        <w:t xml:space="preserve">The street lighting class is proposed to receive a -1.14% decrease in the authorized total revenues allocated to the street lighting class, as shown in SDG&amp;E’s Application Table 2, which is </w:t>
      </w:r>
      <w:r w:rsidR="00AC2F52">
        <w:rPr>
          <w:rFonts w:ascii="Times New Roman" w:hAnsi="Times New Roman" w:cs="Times New Roman"/>
          <w:iCs/>
          <w:sz w:val="24"/>
          <w:szCs w:val="24"/>
        </w:rPr>
        <w:t>based on SDG&amp;E’s 2019 GRC Phase 2 Consolidated Model (“Consolidated Model”)</w:t>
      </w:r>
      <w:r w:rsidR="00AC2F52">
        <w:rPr>
          <w:rFonts w:ascii="Times New Roman" w:hAnsi="Times New Roman" w:cs="Times New Roman"/>
          <w:sz w:val="24"/>
          <w:szCs w:val="24"/>
        </w:rPr>
        <w:t xml:space="preserve">.  </w:t>
      </w:r>
    </w:p>
    <w:p w14:paraId="2239EB8F" w14:textId="77777777" w:rsidR="00AC2F52" w:rsidRDefault="00AC2F52" w:rsidP="00AC2F52">
      <w:pPr>
        <w:widowControl/>
        <w:rPr>
          <w:rFonts w:ascii="Times New Roman" w:hAnsi="Times New Roman" w:cs="Times New Roman"/>
          <w:sz w:val="24"/>
          <w:szCs w:val="24"/>
        </w:rPr>
      </w:pPr>
    </w:p>
    <w:p w14:paraId="230E903D" w14:textId="346094AC" w:rsidR="00AC2F52" w:rsidRPr="00E850E1" w:rsidRDefault="00AC2F52" w:rsidP="00AC2F52">
      <w:pPr>
        <w:widowControl/>
        <w:rPr>
          <w:rFonts w:ascii="Times New Roman" w:hAnsi="Times New Roman" w:cs="Times New Roman"/>
          <w:sz w:val="24"/>
          <w:szCs w:val="24"/>
        </w:rPr>
      </w:pPr>
      <w:r>
        <w:rPr>
          <w:rFonts w:ascii="Times New Roman" w:hAnsi="Times New Roman" w:cs="Times New Roman"/>
          <w:sz w:val="24"/>
          <w:szCs w:val="24"/>
        </w:rPr>
        <w:t xml:space="preserve">The change in street lighting revenues shown in SDG&amp;E’s Application Table 2 and </w:t>
      </w:r>
      <w:r w:rsidRPr="00E850E1">
        <w:rPr>
          <w:rFonts w:ascii="Times New Roman" w:hAnsi="Times New Roman" w:cs="Times New Roman"/>
          <w:iCs/>
          <w:sz w:val="24"/>
          <w:szCs w:val="24"/>
        </w:rPr>
        <w:t>SDG&amp;E</w:t>
      </w:r>
      <w:r>
        <w:rPr>
          <w:rFonts w:ascii="Times New Roman" w:hAnsi="Times New Roman" w:cs="Times New Roman"/>
          <w:iCs/>
          <w:sz w:val="24"/>
          <w:szCs w:val="24"/>
        </w:rPr>
        <w:t>’s</w:t>
      </w:r>
      <w:r w:rsidRPr="00E850E1">
        <w:rPr>
          <w:rFonts w:ascii="Times New Roman" w:hAnsi="Times New Roman" w:cs="Times New Roman"/>
          <w:iCs/>
          <w:sz w:val="24"/>
          <w:szCs w:val="24"/>
        </w:rPr>
        <w:t xml:space="preserve"> Workpaper Excel File “Ch_7_WP#1_Lighting Model”</w:t>
      </w:r>
      <w:r>
        <w:rPr>
          <w:rFonts w:ascii="Times New Roman" w:hAnsi="Times New Roman" w:cs="Times New Roman"/>
          <w:iCs/>
          <w:sz w:val="24"/>
          <w:szCs w:val="24"/>
        </w:rPr>
        <w:t xml:space="preserve"> (“Lighting Model”) are presenting two different looks at revenue changes.  SDG&amp;E’s Application Table 2 presents the change in the </w:t>
      </w:r>
      <w:r>
        <w:rPr>
          <w:rFonts w:ascii="Times New Roman" w:hAnsi="Times New Roman" w:cs="Times New Roman"/>
          <w:sz w:val="24"/>
          <w:szCs w:val="24"/>
        </w:rPr>
        <w:t xml:space="preserve">authorized total revenues allocated to the street lighting class while the Lighting Model presents the change in street lighting revenues collected based on present and proposed street lighting rates multiplied by the </w:t>
      </w:r>
      <w:r>
        <w:rPr>
          <w:rFonts w:ascii="Times New Roman" w:hAnsi="Times New Roman" w:cs="Times New Roman"/>
          <w:iCs/>
          <w:sz w:val="24"/>
          <w:szCs w:val="24"/>
        </w:rPr>
        <w:t>lamp specific determinants developed in the Lighting Model updated cost study.  Both the Consolidated Model and Lighting Model are needed to develop the proposed street lighting rates in the 2019 GRC Phase 2 proceeding</w:t>
      </w:r>
      <w:bookmarkStart w:id="0" w:name="_GoBack"/>
      <w:r w:rsidR="00F50701">
        <w:rPr>
          <w:rFonts w:ascii="Times New Roman" w:hAnsi="Times New Roman" w:cs="Times New Roman"/>
          <w:iCs/>
          <w:sz w:val="24"/>
          <w:szCs w:val="24"/>
        </w:rPr>
        <w:t>,</w:t>
      </w:r>
      <w:bookmarkEnd w:id="0"/>
      <w:r>
        <w:rPr>
          <w:rFonts w:ascii="Times New Roman" w:hAnsi="Times New Roman" w:cs="Times New Roman"/>
          <w:iCs/>
          <w:sz w:val="24"/>
          <w:szCs w:val="24"/>
        </w:rPr>
        <w:t xml:space="preserve"> because the Consolidated Model develops the street lighting class average rates and revenues that are inputs in the Lighting Model to develop the lamp specific street lighting rates. </w:t>
      </w:r>
    </w:p>
    <w:p w14:paraId="57AA6E2E" w14:textId="06AC7C86" w:rsidR="00090093" w:rsidRPr="00E850E1" w:rsidRDefault="00090093" w:rsidP="00AC2F52">
      <w:pPr>
        <w:widowControl/>
        <w:rPr>
          <w:rFonts w:ascii="Times New Roman" w:eastAsia="Times New Roman" w:hAnsi="Times New Roman" w:cs="Times New Roman"/>
          <w:sz w:val="24"/>
          <w:szCs w:val="24"/>
        </w:rPr>
      </w:pPr>
    </w:p>
    <w:p w14:paraId="7B8B2BD8" w14:textId="77777777" w:rsidR="00E44CE6" w:rsidRPr="00E850E1" w:rsidRDefault="00E44CE6" w:rsidP="00E44CE6">
      <w:pPr>
        <w:pStyle w:val="ListParagraph"/>
        <w:rPr>
          <w:rFonts w:ascii="Times New Roman" w:hAnsi="Times New Roman" w:cs="Times New Roman"/>
          <w:sz w:val="24"/>
          <w:szCs w:val="24"/>
        </w:rPr>
      </w:pPr>
    </w:p>
    <w:p w14:paraId="204543CC" w14:textId="76FB1886" w:rsidR="00E44CE6" w:rsidRPr="00E850E1" w:rsidRDefault="00E44CE6" w:rsidP="00E44CE6">
      <w:pPr>
        <w:widowControl/>
        <w:rPr>
          <w:rFonts w:ascii="Times New Roman" w:eastAsia="Times New Roman" w:hAnsi="Times New Roman" w:cs="Times New Roman"/>
          <w:sz w:val="24"/>
          <w:szCs w:val="24"/>
        </w:rPr>
      </w:pPr>
    </w:p>
    <w:sectPr w:rsidR="00E44CE6" w:rsidRPr="00E850E1">
      <w:headerReference w:type="default" r:id="rId9"/>
      <w:footerReference w:type="default" r:id="rId10"/>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F427" w14:textId="77777777" w:rsidR="003C39C5" w:rsidRDefault="003C39C5">
      <w:r>
        <w:separator/>
      </w:r>
    </w:p>
  </w:endnote>
  <w:endnote w:type="continuationSeparator" w:id="0">
    <w:p w14:paraId="45A7C0D0" w14:textId="77777777" w:rsidR="003C39C5" w:rsidRDefault="003C39C5">
      <w:r>
        <w:continuationSeparator/>
      </w:r>
    </w:p>
  </w:endnote>
  <w:endnote w:type="continuationNotice" w:id="1">
    <w:p w14:paraId="4B3CBE60" w14:textId="77777777" w:rsidR="003C39C5" w:rsidRDefault="003C3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5D4E8" w14:textId="77777777" w:rsidR="003C39C5" w:rsidRDefault="003C39C5">
      <w:r>
        <w:separator/>
      </w:r>
    </w:p>
  </w:footnote>
  <w:footnote w:type="continuationSeparator" w:id="0">
    <w:p w14:paraId="312C24A7" w14:textId="77777777" w:rsidR="003C39C5" w:rsidRDefault="003C39C5">
      <w:r>
        <w:continuationSeparator/>
      </w:r>
    </w:p>
  </w:footnote>
  <w:footnote w:type="continuationNotice" w:id="1">
    <w:p w14:paraId="249899D3" w14:textId="77777777" w:rsidR="003C39C5" w:rsidRDefault="003C3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Pr="00D25DBB" w:rsidRDefault="00257835" w:rsidP="00E904AE">
    <w:pPr>
      <w:pStyle w:val="Default"/>
      <w:jc w:val="center"/>
      <w:rPr>
        <w:b/>
        <w:bCs/>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157F877B" w14:textId="77777777"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San Diego Gas &amp; Electric</w:t>
    </w:r>
  </w:p>
  <w:p w14:paraId="587D2464" w14:textId="0774742F"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General Rate Case, Phase 2</w:t>
    </w:r>
  </w:p>
  <w:p w14:paraId="52DCE1DB" w14:textId="626640DC"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Application 19-03-002</w:t>
    </w:r>
  </w:p>
  <w:p w14:paraId="7ED17DAC" w14:textId="77777777" w:rsidR="00D25DBB" w:rsidRP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CALIFORNIA CITY COUNTY STREET LIGHT ASSOCIATION</w:t>
    </w:r>
  </w:p>
  <w:p w14:paraId="59557FBA" w14:textId="2CC08955" w:rsidR="00D25DBB" w:rsidRDefault="00D25DBB" w:rsidP="00D25DBB">
    <w:pPr>
      <w:pStyle w:val="Header"/>
      <w:contextualSpacing/>
      <w:jc w:val="center"/>
      <w:rPr>
        <w:rFonts w:ascii="Times New Roman" w:hAnsi="Times New Roman" w:cs="Times New Roman"/>
        <w:sz w:val="24"/>
        <w:szCs w:val="24"/>
      </w:rPr>
    </w:pPr>
    <w:r w:rsidRPr="00D25DBB">
      <w:rPr>
        <w:rFonts w:ascii="Times New Roman" w:hAnsi="Times New Roman" w:cs="Times New Roman"/>
        <w:sz w:val="24"/>
        <w:szCs w:val="24"/>
      </w:rPr>
      <w:t>DATA REQUEST No. 1</w:t>
    </w:r>
  </w:p>
  <w:p w14:paraId="076FA343" w14:textId="71F6C88E" w:rsidR="00D25DBB" w:rsidRDefault="00BA11FE" w:rsidP="00D25DBB">
    <w:pPr>
      <w:pStyle w:val="Header"/>
      <w:contextualSpacing/>
      <w:jc w:val="center"/>
      <w:rPr>
        <w:rFonts w:ascii="Times New Roman" w:hAnsi="Times New Roman" w:cs="Times New Roman"/>
        <w:sz w:val="24"/>
        <w:szCs w:val="24"/>
      </w:rPr>
    </w:pPr>
    <w:r>
      <w:rPr>
        <w:rFonts w:ascii="Times New Roman" w:hAnsi="Times New Roman" w:cs="Times New Roman"/>
        <w:sz w:val="24"/>
        <w:szCs w:val="24"/>
      </w:rPr>
      <w:t>Received:</w:t>
    </w:r>
    <w:r w:rsidR="00D83F7B">
      <w:rPr>
        <w:rFonts w:ascii="Times New Roman" w:hAnsi="Times New Roman" w:cs="Times New Roman"/>
        <w:sz w:val="24"/>
        <w:szCs w:val="24"/>
      </w:rPr>
      <w:t xml:space="preserve"> October 23, 2019</w:t>
    </w:r>
  </w:p>
  <w:p w14:paraId="2ECCCBF4" w14:textId="1B3414C1" w:rsidR="00BA11FE" w:rsidRPr="00D25DBB" w:rsidRDefault="00BA11FE" w:rsidP="00D25DBB">
    <w:pPr>
      <w:pStyle w:val="Header"/>
      <w:contextualSpacing/>
      <w:jc w:val="center"/>
      <w:rPr>
        <w:rFonts w:ascii="Times New Roman" w:hAnsi="Times New Roman" w:cs="Times New Roman"/>
        <w:sz w:val="24"/>
        <w:szCs w:val="24"/>
      </w:rPr>
    </w:pPr>
    <w:r>
      <w:rPr>
        <w:rFonts w:ascii="Times New Roman" w:hAnsi="Times New Roman" w:cs="Times New Roman"/>
        <w:sz w:val="24"/>
        <w:szCs w:val="24"/>
      </w:rPr>
      <w:t>Responded:</w:t>
    </w:r>
    <w:r w:rsidR="00D83F7B">
      <w:rPr>
        <w:rFonts w:ascii="Times New Roman" w:hAnsi="Times New Roman" w:cs="Times New Roman"/>
        <w:sz w:val="24"/>
        <w:szCs w:val="24"/>
      </w:rPr>
      <w:t xml:space="preserve"> October, </w:t>
    </w:r>
    <w:r w:rsidR="002E56AA">
      <w:rPr>
        <w:rFonts w:ascii="Times New Roman" w:hAnsi="Times New Roman" w:cs="Times New Roman"/>
        <w:sz w:val="24"/>
        <w:szCs w:val="24"/>
      </w:rPr>
      <w:t xml:space="preserve">November </w:t>
    </w:r>
    <w:r w:rsidR="00836FCE">
      <w:rPr>
        <w:rFonts w:ascii="Times New Roman" w:hAnsi="Times New Roman" w:cs="Times New Roman"/>
        <w:sz w:val="24"/>
        <w:szCs w:val="24"/>
      </w:rPr>
      <w:t>4</w:t>
    </w:r>
    <w:r w:rsidR="002E56AA">
      <w:rPr>
        <w:rFonts w:ascii="Times New Roman" w:hAnsi="Times New Roman" w:cs="Times New Roman"/>
        <w:sz w:val="24"/>
        <w:szCs w:val="24"/>
      </w:rPr>
      <w:t>, 2019</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0D30A1"/>
    <w:multiLevelType w:val="hybridMultilevel"/>
    <w:tmpl w:val="D88E8031"/>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8DFA3"/>
    <w:multiLevelType w:val="hybridMultilevel"/>
    <w:tmpl w:val="2DFE7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063A6"/>
    <w:multiLevelType w:val="hybridMultilevel"/>
    <w:tmpl w:val="91FA5A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9"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E50DE"/>
    <w:multiLevelType w:val="hybridMultilevel"/>
    <w:tmpl w:val="808024AC"/>
    <w:lvl w:ilvl="0" w:tplc="04090011">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4"/>
  </w:num>
  <w:num w:numId="9">
    <w:abstractNumId w:val="13"/>
  </w:num>
  <w:num w:numId="10">
    <w:abstractNumId w:val="9"/>
  </w:num>
  <w:num w:numId="11">
    <w:abstractNumId w:val="2"/>
  </w:num>
  <w:num w:numId="12">
    <w:abstractNumId w:val="0"/>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49E4"/>
    <w:rsid w:val="000473F3"/>
    <w:rsid w:val="00076B50"/>
    <w:rsid w:val="00090093"/>
    <w:rsid w:val="000932E2"/>
    <w:rsid w:val="000A6F05"/>
    <w:rsid w:val="000B710B"/>
    <w:rsid w:val="000D24BA"/>
    <w:rsid w:val="000D6ECD"/>
    <w:rsid w:val="000F5557"/>
    <w:rsid w:val="000F6F65"/>
    <w:rsid w:val="00101D98"/>
    <w:rsid w:val="00104F5E"/>
    <w:rsid w:val="0010718F"/>
    <w:rsid w:val="00117124"/>
    <w:rsid w:val="00121E7C"/>
    <w:rsid w:val="00137417"/>
    <w:rsid w:val="00142C40"/>
    <w:rsid w:val="0014783D"/>
    <w:rsid w:val="00163795"/>
    <w:rsid w:val="00166C29"/>
    <w:rsid w:val="00167CF6"/>
    <w:rsid w:val="001729AE"/>
    <w:rsid w:val="00192F9B"/>
    <w:rsid w:val="00194819"/>
    <w:rsid w:val="001B6807"/>
    <w:rsid w:val="001E73D1"/>
    <w:rsid w:val="001F1F3B"/>
    <w:rsid w:val="001F2072"/>
    <w:rsid w:val="002000B7"/>
    <w:rsid w:val="00227922"/>
    <w:rsid w:val="00227AD1"/>
    <w:rsid w:val="00230361"/>
    <w:rsid w:val="00242383"/>
    <w:rsid w:val="00246F20"/>
    <w:rsid w:val="00247644"/>
    <w:rsid w:val="002540A5"/>
    <w:rsid w:val="00256561"/>
    <w:rsid w:val="00257835"/>
    <w:rsid w:val="00264F5F"/>
    <w:rsid w:val="0027631B"/>
    <w:rsid w:val="00294908"/>
    <w:rsid w:val="002A19BC"/>
    <w:rsid w:val="002A3285"/>
    <w:rsid w:val="002A48B2"/>
    <w:rsid w:val="002B7723"/>
    <w:rsid w:val="002C0301"/>
    <w:rsid w:val="002C3FC3"/>
    <w:rsid w:val="002C51C0"/>
    <w:rsid w:val="002E56AA"/>
    <w:rsid w:val="002F2139"/>
    <w:rsid w:val="002F4871"/>
    <w:rsid w:val="00317A8F"/>
    <w:rsid w:val="00320693"/>
    <w:rsid w:val="00322EA2"/>
    <w:rsid w:val="00331DCE"/>
    <w:rsid w:val="00353ADB"/>
    <w:rsid w:val="00360568"/>
    <w:rsid w:val="00362A8A"/>
    <w:rsid w:val="003719EA"/>
    <w:rsid w:val="003920AA"/>
    <w:rsid w:val="003A6866"/>
    <w:rsid w:val="003B40AB"/>
    <w:rsid w:val="003B7BC2"/>
    <w:rsid w:val="003C39C5"/>
    <w:rsid w:val="003D0506"/>
    <w:rsid w:val="003D317D"/>
    <w:rsid w:val="003E1C2F"/>
    <w:rsid w:val="00404616"/>
    <w:rsid w:val="004178A0"/>
    <w:rsid w:val="00430598"/>
    <w:rsid w:val="00445522"/>
    <w:rsid w:val="00476FB3"/>
    <w:rsid w:val="004A0D4C"/>
    <w:rsid w:val="004B0621"/>
    <w:rsid w:val="004D375A"/>
    <w:rsid w:val="004F6A69"/>
    <w:rsid w:val="0050650D"/>
    <w:rsid w:val="00524656"/>
    <w:rsid w:val="00542997"/>
    <w:rsid w:val="00570DE2"/>
    <w:rsid w:val="00584FC4"/>
    <w:rsid w:val="00593616"/>
    <w:rsid w:val="005B5AF1"/>
    <w:rsid w:val="00621321"/>
    <w:rsid w:val="00657F6E"/>
    <w:rsid w:val="006659B7"/>
    <w:rsid w:val="00676426"/>
    <w:rsid w:val="00683DE9"/>
    <w:rsid w:val="0069799F"/>
    <w:rsid w:val="006A2A33"/>
    <w:rsid w:val="006A724E"/>
    <w:rsid w:val="006B7D74"/>
    <w:rsid w:val="006C46C9"/>
    <w:rsid w:val="006E073E"/>
    <w:rsid w:val="006F440F"/>
    <w:rsid w:val="00727C31"/>
    <w:rsid w:val="0074366C"/>
    <w:rsid w:val="007449EF"/>
    <w:rsid w:val="00772476"/>
    <w:rsid w:val="0078262C"/>
    <w:rsid w:val="007876AA"/>
    <w:rsid w:val="00787AC5"/>
    <w:rsid w:val="007A7F06"/>
    <w:rsid w:val="007C2D31"/>
    <w:rsid w:val="007C3A48"/>
    <w:rsid w:val="007C5EF9"/>
    <w:rsid w:val="007D677E"/>
    <w:rsid w:val="007E4978"/>
    <w:rsid w:val="007E4F06"/>
    <w:rsid w:val="007F0826"/>
    <w:rsid w:val="00804D26"/>
    <w:rsid w:val="008113E5"/>
    <w:rsid w:val="00811904"/>
    <w:rsid w:val="008131FF"/>
    <w:rsid w:val="00817F06"/>
    <w:rsid w:val="008243E4"/>
    <w:rsid w:val="00836FCE"/>
    <w:rsid w:val="00844369"/>
    <w:rsid w:val="0085302F"/>
    <w:rsid w:val="00855C82"/>
    <w:rsid w:val="0087248C"/>
    <w:rsid w:val="00883D24"/>
    <w:rsid w:val="008A7402"/>
    <w:rsid w:val="008C1929"/>
    <w:rsid w:val="008D0191"/>
    <w:rsid w:val="008F02E0"/>
    <w:rsid w:val="00907727"/>
    <w:rsid w:val="009146C4"/>
    <w:rsid w:val="00921C40"/>
    <w:rsid w:val="00922C0C"/>
    <w:rsid w:val="009274BB"/>
    <w:rsid w:val="009319FE"/>
    <w:rsid w:val="009412FB"/>
    <w:rsid w:val="00943820"/>
    <w:rsid w:val="00943B34"/>
    <w:rsid w:val="0097209E"/>
    <w:rsid w:val="00993F4E"/>
    <w:rsid w:val="009A740A"/>
    <w:rsid w:val="009B18B5"/>
    <w:rsid w:val="009B3149"/>
    <w:rsid w:val="009B6AC0"/>
    <w:rsid w:val="009B7BAF"/>
    <w:rsid w:val="009B7DCB"/>
    <w:rsid w:val="009C02E0"/>
    <w:rsid w:val="009D18E7"/>
    <w:rsid w:val="009D6650"/>
    <w:rsid w:val="009F790A"/>
    <w:rsid w:val="00A06D28"/>
    <w:rsid w:val="00A06EFD"/>
    <w:rsid w:val="00A20CBF"/>
    <w:rsid w:val="00A30EF2"/>
    <w:rsid w:val="00A3341B"/>
    <w:rsid w:val="00A479CD"/>
    <w:rsid w:val="00A52FCF"/>
    <w:rsid w:val="00A64B33"/>
    <w:rsid w:val="00A90892"/>
    <w:rsid w:val="00A95F00"/>
    <w:rsid w:val="00AC2F52"/>
    <w:rsid w:val="00AD7840"/>
    <w:rsid w:val="00AE1E1C"/>
    <w:rsid w:val="00AF59A2"/>
    <w:rsid w:val="00AF6700"/>
    <w:rsid w:val="00B05633"/>
    <w:rsid w:val="00B1392C"/>
    <w:rsid w:val="00B3116A"/>
    <w:rsid w:val="00B333AB"/>
    <w:rsid w:val="00B45304"/>
    <w:rsid w:val="00B603AB"/>
    <w:rsid w:val="00B64BDE"/>
    <w:rsid w:val="00B670B5"/>
    <w:rsid w:val="00B73736"/>
    <w:rsid w:val="00B754F4"/>
    <w:rsid w:val="00B97974"/>
    <w:rsid w:val="00BA11FE"/>
    <w:rsid w:val="00BA7F23"/>
    <w:rsid w:val="00BB79A4"/>
    <w:rsid w:val="00BC35A8"/>
    <w:rsid w:val="00BD16C2"/>
    <w:rsid w:val="00BD2B91"/>
    <w:rsid w:val="00BE2AA1"/>
    <w:rsid w:val="00BF77BA"/>
    <w:rsid w:val="00C03810"/>
    <w:rsid w:val="00C254B9"/>
    <w:rsid w:val="00C2679D"/>
    <w:rsid w:val="00C32E0C"/>
    <w:rsid w:val="00C7184F"/>
    <w:rsid w:val="00C92602"/>
    <w:rsid w:val="00CA3F16"/>
    <w:rsid w:val="00CB269D"/>
    <w:rsid w:val="00CB7A9A"/>
    <w:rsid w:val="00CC5B87"/>
    <w:rsid w:val="00CE35CE"/>
    <w:rsid w:val="00D23A7A"/>
    <w:rsid w:val="00D25DBB"/>
    <w:rsid w:val="00D26552"/>
    <w:rsid w:val="00D35420"/>
    <w:rsid w:val="00D51844"/>
    <w:rsid w:val="00D5475F"/>
    <w:rsid w:val="00D70CB3"/>
    <w:rsid w:val="00D83F7B"/>
    <w:rsid w:val="00D9485E"/>
    <w:rsid w:val="00DA7DD9"/>
    <w:rsid w:val="00DB2529"/>
    <w:rsid w:val="00DB40E8"/>
    <w:rsid w:val="00E101F3"/>
    <w:rsid w:val="00E335B9"/>
    <w:rsid w:val="00E41516"/>
    <w:rsid w:val="00E44CE6"/>
    <w:rsid w:val="00E6666A"/>
    <w:rsid w:val="00E7705E"/>
    <w:rsid w:val="00E850E1"/>
    <w:rsid w:val="00E904AE"/>
    <w:rsid w:val="00E97312"/>
    <w:rsid w:val="00EA1598"/>
    <w:rsid w:val="00EB2BEA"/>
    <w:rsid w:val="00EB7811"/>
    <w:rsid w:val="00ED1A8B"/>
    <w:rsid w:val="00ED442A"/>
    <w:rsid w:val="00EF0B14"/>
    <w:rsid w:val="00F140DE"/>
    <w:rsid w:val="00F1608D"/>
    <w:rsid w:val="00F25E6E"/>
    <w:rsid w:val="00F33A6D"/>
    <w:rsid w:val="00F50701"/>
    <w:rsid w:val="00F5199D"/>
    <w:rsid w:val="00F51D3E"/>
    <w:rsid w:val="00F571D6"/>
    <w:rsid w:val="00F65911"/>
    <w:rsid w:val="00F86E79"/>
    <w:rsid w:val="00F926AF"/>
    <w:rsid w:val="00FA43C2"/>
    <w:rsid w:val="00FB4157"/>
    <w:rsid w:val="00FF39E4"/>
    <w:rsid w:val="00FF7179"/>
    <w:rsid w:val="738B8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E904AE"/>
    <w:pPr>
      <w:tabs>
        <w:tab w:val="center" w:pos="4680"/>
        <w:tab w:val="right" w:pos="9360"/>
      </w:tabs>
    </w:pPr>
  </w:style>
  <w:style w:type="character" w:customStyle="1" w:styleId="HeaderChar">
    <w:name w:val="Header Char"/>
    <w:basedOn w:val="DefaultParagraphFont"/>
    <w:link w:val="Header"/>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40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78585992">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ge.com/rates-and-regulations/proceedings/2019-grc-phas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2124-2EAD-43C0-8781-09B4F176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2019-11-04T18:42:00Z</dcterms:created>
  <dcterms:modified xsi:type="dcterms:W3CDTF">2019-11-04T18:42:00Z</dcterms:modified>
</cp:coreProperties>
</file>