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2AB05" w14:textId="7F27F245" w:rsidR="007C4C50" w:rsidRDefault="00B64DBB" w:rsidP="00901542">
      <w:pPr>
        <w:pStyle w:val="ListParagraph"/>
        <w:numPr>
          <w:ilvl w:val="0"/>
          <w:numId w:val="2"/>
        </w:numPr>
        <w:spacing w:after="0"/>
        <w:jc w:val="both"/>
      </w:pPr>
      <w:r>
        <w:t>For each of the 212 existing DCFC charging stations served by the Company, please identify the costs that the Company incurred to connect the station that would have been required to serve the station’s maximum hourly/15 minute load, regardless of the timing of that load.</w:t>
      </w:r>
    </w:p>
    <w:p w14:paraId="3A863847" w14:textId="77777777" w:rsidR="00901542" w:rsidRDefault="00901542" w:rsidP="00901542">
      <w:pPr>
        <w:pStyle w:val="ListParagraph"/>
        <w:spacing w:after="0"/>
        <w:ind w:left="360"/>
        <w:jc w:val="both"/>
      </w:pPr>
    </w:p>
    <w:p w14:paraId="219268A1" w14:textId="6B2BC721" w:rsidR="00D47BC2" w:rsidRPr="00901542" w:rsidRDefault="00E673D1" w:rsidP="003C051B">
      <w:pPr>
        <w:spacing w:after="0" w:line="240" w:lineRule="auto"/>
        <w:ind w:left="360"/>
        <w:rPr>
          <w:rFonts w:eastAsia="Calibri"/>
          <w:b/>
          <w:sz w:val="24"/>
          <w:szCs w:val="24"/>
        </w:rPr>
      </w:pPr>
      <w:bookmarkStart w:id="0" w:name="_Hlk22211002"/>
      <w:r>
        <w:rPr>
          <w:rFonts w:eastAsia="Calibri"/>
          <w:b/>
          <w:sz w:val="24"/>
          <w:szCs w:val="24"/>
        </w:rPr>
        <w:t>SDG&amp;E Response:</w:t>
      </w:r>
      <w:r w:rsidR="00901542">
        <w:rPr>
          <w:rFonts w:eastAsia="Calibri"/>
          <w:b/>
          <w:sz w:val="24"/>
          <w:szCs w:val="24"/>
        </w:rPr>
        <w:t xml:space="preserve"> </w:t>
      </w:r>
      <w:bookmarkEnd w:id="0"/>
      <w:r w:rsidR="00E20B7A">
        <w:rPr>
          <w:rFonts w:eastAsia="Calibri"/>
          <w:sz w:val="24"/>
          <w:szCs w:val="24"/>
        </w:rPr>
        <w:t xml:space="preserve">The </w:t>
      </w:r>
      <w:r w:rsidR="00132D2E">
        <w:rPr>
          <w:rFonts w:eastAsia="Calibri"/>
          <w:sz w:val="24"/>
          <w:szCs w:val="24"/>
        </w:rPr>
        <w:t>costs incurred to serve a customer is partially dependent on that customer’s maximum load.</w:t>
      </w:r>
      <w:r w:rsidR="003C051B">
        <w:rPr>
          <w:rFonts w:eastAsia="Calibri"/>
          <w:sz w:val="24"/>
          <w:szCs w:val="24"/>
        </w:rPr>
        <w:t xml:space="preserve"> </w:t>
      </w:r>
      <w:r w:rsidR="003C051B" w:rsidRPr="003C051B">
        <w:rPr>
          <w:rFonts w:eastAsia="Calibri"/>
          <w:sz w:val="24"/>
          <w:szCs w:val="24"/>
        </w:rPr>
        <w:t xml:space="preserve">Pursuant to Section 8380 of the California Public Utilities Code, SDG&amp;E is prohibited from disclosing a customer’s electrical or gas consumption data except with the consent of the customer or in other limited circumstances that do not apply.  As </w:t>
      </w:r>
      <w:r w:rsidR="003C051B">
        <w:rPr>
          <w:rFonts w:eastAsia="Calibri"/>
          <w:sz w:val="24"/>
          <w:szCs w:val="24"/>
        </w:rPr>
        <w:t>the DCFC charging stations in SDG&amp;E service territory</w:t>
      </w:r>
      <w:r w:rsidR="003C051B" w:rsidRPr="003C051B">
        <w:rPr>
          <w:rFonts w:eastAsia="Calibri"/>
          <w:sz w:val="24"/>
          <w:szCs w:val="24"/>
        </w:rPr>
        <w:t xml:space="preserve"> are owned by a discrete set of customers, aggregation or anonymization of the data would no</w:t>
      </w:r>
      <w:bookmarkStart w:id="1" w:name="_GoBack"/>
      <w:bookmarkEnd w:id="1"/>
      <w:r w:rsidR="003C051B" w:rsidRPr="003C051B">
        <w:rPr>
          <w:rFonts w:eastAsia="Calibri"/>
          <w:sz w:val="24"/>
          <w:szCs w:val="24"/>
        </w:rPr>
        <w:t>t suffice to comply with law.</w:t>
      </w:r>
    </w:p>
    <w:p w14:paraId="7AC55735" w14:textId="77777777" w:rsidR="00D47BC2" w:rsidRDefault="00D47BC2" w:rsidP="00901542">
      <w:pPr>
        <w:spacing w:after="0" w:line="240" w:lineRule="auto"/>
        <w:jc w:val="both"/>
      </w:pPr>
    </w:p>
    <w:p w14:paraId="54A0EC3B" w14:textId="66B2D7BF" w:rsidR="00B535BC" w:rsidRDefault="00B64DBB" w:rsidP="00901542">
      <w:pPr>
        <w:pStyle w:val="ListParagraph"/>
        <w:numPr>
          <w:ilvl w:val="0"/>
          <w:numId w:val="2"/>
        </w:numPr>
        <w:spacing w:after="0"/>
        <w:jc w:val="both"/>
      </w:pPr>
      <w:r>
        <w:t>Please provide the basis for the subscription rates</w:t>
      </w:r>
      <w:r w:rsidR="00733110">
        <w:t>, with all computations.</w:t>
      </w:r>
    </w:p>
    <w:p w14:paraId="1C2C887B" w14:textId="77777777" w:rsidR="00901542" w:rsidRDefault="00901542" w:rsidP="00901542">
      <w:pPr>
        <w:spacing w:after="0" w:line="240" w:lineRule="auto"/>
        <w:ind w:left="360"/>
        <w:jc w:val="both"/>
        <w:rPr>
          <w:rFonts w:eastAsia="Calibri"/>
          <w:b/>
          <w:sz w:val="24"/>
          <w:szCs w:val="24"/>
        </w:rPr>
      </w:pPr>
    </w:p>
    <w:p w14:paraId="0CDA342F" w14:textId="1739B6F5" w:rsidR="00D47BC2" w:rsidRPr="00901542" w:rsidRDefault="00E673D1" w:rsidP="00901542">
      <w:pPr>
        <w:spacing w:after="0" w:line="240" w:lineRule="auto"/>
        <w:ind w:left="360"/>
        <w:jc w:val="both"/>
        <w:rPr>
          <w:rFonts w:eastAsia="Calibri"/>
          <w:b/>
          <w:sz w:val="24"/>
          <w:szCs w:val="24"/>
        </w:rPr>
      </w:pPr>
      <w:r>
        <w:rPr>
          <w:rFonts w:eastAsia="Calibri"/>
          <w:b/>
          <w:sz w:val="24"/>
          <w:szCs w:val="24"/>
        </w:rPr>
        <w:t>SDG&amp;E Response:</w:t>
      </w:r>
      <w:r w:rsidR="00901542">
        <w:rPr>
          <w:rFonts w:eastAsia="Calibri"/>
          <w:b/>
          <w:sz w:val="24"/>
          <w:szCs w:val="24"/>
        </w:rPr>
        <w:t xml:space="preserve"> </w:t>
      </w:r>
      <w:r w:rsidR="00500138">
        <w:rPr>
          <w:rFonts w:eastAsia="Calibri"/>
          <w:sz w:val="24"/>
          <w:szCs w:val="24"/>
        </w:rPr>
        <w:t xml:space="preserve">As stated in the Prepared Direct Testimony of William G. Saxe, </w:t>
      </w:r>
      <w:r w:rsidR="00CC282D">
        <w:rPr>
          <w:rFonts w:eastAsia="Calibri"/>
          <w:sz w:val="24"/>
          <w:szCs w:val="24"/>
        </w:rPr>
        <w:t>“</w:t>
      </w:r>
      <w:r w:rsidR="008E4AAE">
        <w:rPr>
          <w:rFonts w:eastAsia="Calibri"/>
          <w:sz w:val="24"/>
          <w:szCs w:val="24"/>
        </w:rPr>
        <w:t>…</w:t>
      </w:r>
      <w:r w:rsidR="00CC282D">
        <w:rPr>
          <w:rFonts w:eastAsia="Calibri"/>
          <w:sz w:val="24"/>
          <w:szCs w:val="24"/>
        </w:rPr>
        <w:t xml:space="preserve">SDG&amp;E proposes for policy reasons </w:t>
      </w:r>
      <w:r w:rsidR="003E0889">
        <w:rPr>
          <w:rFonts w:eastAsia="Calibri"/>
          <w:sz w:val="24"/>
          <w:szCs w:val="24"/>
        </w:rPr>
        <w:t>to replace the demand charges found in standard M/L C&amp;I rate design with subsc</w:t>
      </w:r>
      <w:r w:rsidR="008449FC">
        <w:rPr>
          <w:rFonts w:eastAsia="Calibri"/>
          <w:sz w:val="24"/>
          <w:szCs w:val="24"/>
        </w:rPr>
        <w:t>ription charges and higher energy charges</w:t>
      </w:r>
      <w:r w:rsidR="00C96C88">
        <w:rPr>
          <w:rFonts w:eastAsia="Calibri"/>
          <w:sz w:val="24"/>
          <w:szCs w:val="24"/>
        </w:rPr>
        <w:t xml:space="preserve">…SDG&amp;E proposes </w:t>
      </w:r>
      <w:r w:rsidR="00626A11">
        <w:rPr>
          <w:rFonts w:eastAsia="Calibri"/>
          <w:sz w:val="24"/>
          <w:szCs w:val="24"/>
        </w:rPr>
        <w:t xml:space="preserve">that the non-coincident </w:t>
      </w:r>
      <w:r w:rsidR="002F52E4">
        <w:rPr>
          <w:rFonts w:eastAsia="Calibri"/>
          <w:sz w:val="24"/>
          <w:szCs w:val="24"/>
        </w:rPr>
        <w:t xml:space="preserve">distribution </w:t>
      </w:r>
      <w:r w:rsidR="00626A11">
        <w:rPr>
          <w:rFonts w:eastAsia="Calibri"/>
          <w:sz w:val="24"/>
          <w:szCs w:val="24"/>
        </w:rPr>
        <w:t xml:space="preserve">demand charge ($/kilowatt [kW]) in Schedule AL-TOU be converted to a dollar </w:t>
      </w:r>
      <w:r w:rsidR="00EE6B26">
        <w:rPr>
          <w:rFonts w:eastAsia="Calibri"/>
          <w:sz w:val="24"/>
          <w:szCs w:val="24"/>
        </w:rPr>
        <w:t>per month charge call</w:t>
      </w:r>
      <w:r w:rsidR="00985D31">
        <w:rPr>
          <w:rFonts w:eastAsia="Calibri"/>
          <w:sz w:val="24"/>
          <w:szCs w:val="24"/>
        </w:rPr>
        <w:t>ed</w:t>
      </w:r>
      <w:r w:rsidR="00EE6B26">
        <w:rPr>
          <w:rFonts w:eastAsia="Calibri"/>
          <w:sz w:val="24"/>
          <w:szCs w:val="24"/>
        </w:rPr>
        <w:t xml:space="preserve"> a Subscription Charge.  This Subscription Charge recovers </w:t>
      </w:r>
      <w:r w:rsidR="00BE76D4">
        <w:rPr>
          <w:rFonts w:eastAsia="Calibri"/>
          <w:sz w:val="24"/>
          <w:szCs w:val="24"/>
        </w:rPr>
        <w:t xml:space="preserve">the non-coincident distribution demand costs allocated to Schedule AL-TOU based on </w:t>
      </w:r>
      <w:r w:rsidR="00C13699">
        <w:rPr>
          <w:rFonts w:eastAsia="Calibri"/>
          <w:sz w:val="24"/>
          <w:szCs w:val="24"/>
        </w:rPr>
        <w:t>current Schedule AL-TOU non-coincident demand charges</w:t>
      </w:r>
      <w:r w:rsidR="008449FC">
        <w:rPr>
          <w:rFonts w:eastAsia="Calibri"/>
          <w:sz w:val="24"/>
          <w:szCs w:val="24"/>
        </w:rPr>
        <w:t>”.</w:t>
      </w:r>
      <w:r w:rsidR="008449FC">
        <w:rPr>
          <w:rStyle w:val="FootnoteReference"/>
          <w:rFonts w:eastAsia="Calibri"/>
          <w:szCs w:val="24"/>
        </w:rPr>
        <w:footnoteReference w:id="2"/>
      </w:r>
      <w:r w:rsidR="008449FC">
        <w:rPr>
          <w:rFonts w:eastAsia="Calibri"/>
          <w:sz w:val="24"/>
          <w:szCs w:val="24"/>
        </w:rPr>
        <w:t xml:space="preserve">  </w:t>
      </w:r>
      <w:r w:rsidR="005F344F">
        <w:rPr>
          <w:rFonts w:eastAsia="Calibri"/>
          <w:sz w:val="24"/>
          <w:szCs w:val="24"/>
        </w:rPr>
        <w:t xml:space="preserve">The </w:t>
      </w:r>
      <w:r w:rsidR="00B8354F">
        <w:rPr>
          <w:rFonts w:eastAsia="Calibri"/>
          <w:sz w:val="24"/>
          <w:szCs w:val="24"/>
        </w:rPr>
        <w:t>“</w:t>
      </w:r>
      <w:r w:rsidR="005F344F">
        <w:rPr>
          <w:rFonts w:eastAsia="Calibri"/>
          <w:sz w:val="24"/>
          <w:szCs w:val="24"/>
        </w:rPr>
        <w:t xml:space="preserve">EVHP </w:t>
      </w:r>
      <w:r w:rsidR="00B8354F">
        <w:rPr>
          <w:rFonts w:eastAsia="Calibri"/>
          <w:sz w:val="24"/>
          <w:szCs w:val="24"/>
        </w:rPr>
        <w:t xml:space="preserve">Workpapers Chapter 2” provides the </w:t>
      </w:r>
      <w:r w:rsidR="00E65282">
        <w:rPr>
          <w:rFonts w:eastAsia="Calibri"/>
          <w:sz w:val="24"/>
          <w:szCs w:val="24"/>
        </w:rPr>
        <w:t xml:space="preserve">calculations </w:t>
      </w:r>
      <w:r w:rsidR="00274B2E">
        <w:rPr>
          <w:rFonts w:eastAsia="Calibri"/>
          <w:sz w:val="24"/>
          <w:szCs w:val="24"/>
        </w:rPr>
        <w:t xml:space="preserve">for </w:t>
      </w:r>
      <w:r w:rsidR="00E65282">
        <w:rPr>
          <w:rFonts w:eastAsia="Calibri"/>
          <w:sz w:val="24"/>
          <w:szCs w:val="24"/>
        </w:rPr>
        <w:t>the proposed EV</w:t>
      </w:r>
      <w:r w:rsidR="008D0A55">
        <w:rPr>
          <w:rFonts w:eastAsia="Calibri"/>
          <w:sz w:val="24"/>
          <w:szCs w:val="24"/>
        </w:rPr>
        <w:t>-</w:t>
      </w:r>
      <w:r w:rsidR="00E65282">
        <w:rPr>
          <w:rFonts w:eastAsia="Calibri"/>
          <w:sz w:val="24"/>
          <w:szCs w:val="24"/>
        </w:rPr>
        <w:t>HP Subscription Charge.</w:t>
      </w:r>
    </w:p>
    <w:p w14:paraId="5DD3AEE4" w14:textId="77777777" w:rsidR="00D47BC2" w:rsidRDefault="00D47BC2" w:rsidP="00901542">
      <w:pPr>
        <w:spacing w:after="0" w:line="240" w:lineRule="auto"/>
        <w:jc w:val="both"/>
      </w:pPr>
    </w:p>
    <w:p w14:paraId="145106D1" w14:textId="4D90761C" w:rsidR="00042FE1" w:rsidRDefault="00042FE1" w:rsidP="00901542">
      <w:pPr>
        <w:pStyle w:val="ListParagraph"/>
        <w:numPr>
          <w:ilvl w:val="0"/>
          <w:numId w:val="2"/>
        </w:numPr>
        <w:spacing w:after="0"/>
        <w:jc w:val="both"/>
      </w:pPr>
      <w:r>
        <w:t>Please provide any analysis that SDG&amp;E has prepared on the variation of AL-TOU customer billing demand among months, such as the ratio of the average of the 12 monthly billing demands to the maximum billing demand.</w:t>
      </w:r>
    </w:p>
    <w:p w14:paraId="595DA4AF" w14:textId="77777777" w:rsidR="00901542" w:rsidRDefault="00901542" w:rsidP="00901542">
      <w:pPr>
        <w:spacing w:after="0" w:line="240" w:lineRule="auto"/>
        <w:ind w:left="360"/>
        <w:jc w:val="both"/>
        <w:rPr>
          <w:rFonts w:eastAsia="Calibri"/>
          <w:b/>
          <w:sz w:val="24"/>
          <w:szCs w:val="24"/>
        </w:rPr>
      </w:pPr>
    </w:p>
    <w:p w14:paraId="0F2CAB4B" w14:textId="5ED62BDD" w:rsidR="00D47BC2" w:rsidRPr="00901542" w:rsidRDefault="00E673D1" w:rsidP="00901542">
      <w:pPr>
        <w:spacing w:after="0" w:line="240" w:lineRule="auto"/>
        <w:ind w:left="360"/>
        <w:jc w:val="both"/>
        <w:rPr>
          <w:rFonts w:eastAsia="Calibri"/>
          <w:b/>
          <w:sz w:val="24"/>
          <w:szCs w:val="24"/>
        </w:rPr>
      </w:pPr>
      <w:r>
        <w:rPr>
          <w:rFonts w:eastAsia="Calibri"/>
          <w:b/>
          <w:sz w:val="24"/>
          <w:szCs w:val="24"/>
        </w:rPr>
        <w:t>SDG&amp;E Response:</w:t>
      </w:r>
      <w:r w:rsidR="00901542">
        <w:rPr>
          <w:rFonts w:eastAsia="Calibri"/>
          <w:b/>
          <w:sz w:val="24"/>
          <w:szCs w:val="24"/>
        </w:rPr>
        <w:t xml:space="preserve"> </w:t>
      </w:r>
      <w:r w:rsidR="00925BD5">
        <w:rPr>
          <w:rFonts w:eastAsia="Calibri"/>
          <w:sz w:val="24"/>
          <w:szCs w:val="24"/>
        </w:rPr>
        <w:t>SDG&amp;E has not p</w:t>
      </w:r>
      <w:r w:rsidR="00276824">
        <w:rPr>
          <w:rFonts w:eastAsia="Calibri"/>
          <w:sz w:val="24"/>
          <w:szCs w:val="24"/>
        </w:rPr>
        <w:t xml:space="preserve">erformed any analysis on the variation of AL-TOU customer billing demand </w:t>
      </w:r>
      <w:r w:rsidR="00876E42">
        <w:rPr>
          <w:rFonts w:eastAsia="Calibri"/>
          <w:sz w:val="24"/>
          <w:szCs w:val="24"/>
        </w:rPr>
        <w:t>among months.</w:t>
      </w:r>
    </w:p>
    <w:p w14:paraId="48A2D233" w14:textId="77777777" w:rsidR="00901542" w:rsidRDefault="00901542" w:rsidP="00901542">
      <w:pPr>
        <w:spacing w:after="0" w:line="240" w:lineRule="auto"/>
        <w:jc w:val="both"/>
      </w:pPr>
    </w:p>
    <w:p w14:paraId="1826CB64" w14:textId="04FB5BE4" w:rsidR="00B535BC" w:rsidRDefault="00042FE1" w:rsidP="00901542">
      <w:pPr>
        <w:pStyle w:val="ListParagraph"/>
        <w:numPr>
          <w:ilvl w:val="0"/>
          <w:numId w:val="2"/>
        </w:numPr>
        <w:spacing w:after="0"/>
        <w:jc w:val="both"/>
      </w:pPr>
      <w:r>
        <w:t xml:space="preserve">For each AL-TOU customer, please provide the customer’s monthly billing demand for each billing cycle in 2017–2019 to date, masking customer identity. </w:t>
      </w:r>
    </w:p>
    <w:p w14:paraId="718BB335" w14:textId="77777777" w:rsidR="00901542" w:rsidRDefault="00901542" w:rsidP="00901542">
      <w:pPr>
        <w:spacing w:after="0" w:line="240" w:lineRule="auto"/>
        <w:ind w:firstLine="360"/>
        <w:jc w:val="both"/>
        <w:rPr>
          <w:rFonts w:eastAsia="Calibri"/>
          <w:b/>
          <w:sz w:val="24"/>
          <w:szCs w:val="24"/>
        </w:rPr>
      </w:pPr>
    </w:p>
    <w:p w14:paraId="354850BB" w14:textId="0BCDFE96" w:rsidR="006E58A4" w:rsidRPr="006E58A4" w:rsidRDefault="00D47BC2" w:rsidP="006E58A4">
      <w:pPr>
        <w:spacing w:after="0" w:line="240" w:lineRule="auto"/>
        <w:ind w:firstLine="360"/>
        <w:jc w:val="both"/>
        <w:rPr>
          <w:rFonts w:eastAsia="Calibri"/>
          <w:b/>
          <w:sz w:val="24"/>
          <w:szCs w:val="24"/>
        </w:rPr>
      </w:pPr>
      <w:r>
        <w:rPr>
          <w:rFonts w:eastAsia="Calibri"/>
          <w:b/>
          <w:sz w:val="24"/>
          <w:szCs w:val="24"/>
        </w:rPr>
        <w:t>SDG&amp;E Response:</w:t>
      </w:r>
      <w:r w:rsidR="00901542">
        <w:rPr>
          <w:rFonts w:eastAsia="Calibri"/>
          <w:b/>
          <w:sz w:val="24"/>
          <w:szCs w:val="24"/>
        </w:rPr>
        <w:t xml:space="preserve"> </w:t>
      </w:r>
      <w:r w:rsidR="00991ABD" w:rsidRPr="00901542">
        <w:rPr>
          <w:sz w:val="24"/>
          <w:szCs w:val="24"/>
        </w:rPr>
        <w:t>See response to Question 3.</w:t>
      </w:r>
    </w:p>
    <w:p w14:paraId="742DA281" w14:textId="77777777" w:rsidR="006E58A4" w:rsidRDefault="006E58A4" w:rsidP="00901542">
      <w:pPr>
        <w:spacing w:after="0" w:line="240" w:lineRule="auto"/>
        <w:jc w:val="both"/>
      </w:pPr>
    </w:p>
    <w:p w14:paraId="143CAC5D" w14:textId="5A34430F" w:rsidR="00B64DBB" w:rsidRDefault="00B64DBB" w:rsidP="00901542">
      <w:pPr>
        <w:pStyle w:val="ListParagraph"/>
        <w:numPr>
          <w:ilvl w:val="0"/>
          <w:numId w:val="2"/>
        </w:numPr>
        <w:spacing w:after="0"/>
        <w:jc w:val="both"/>
      </w:pPr>
      <w:r>
        <w:t xml:space="preserve">Please provide the basis for structuring the subscription rates in </w:t>
      </w:r>
      <w:r w:rsidR="00042FE1">
        <w:t>25</w:t>
      </w:r>
      <w:r>
        <w:t>-kW blocks</w:t>
      </w:r>
      <w:r w:rsidR="00042FE1">
        <w:t xml:space="preserve"> rather than allowing each customer to select a subscription level in kW.</w:t>
      </w:r>
    </w:p>
    <w:p w14:paraId="0002D6C7" w14:textId="77777777" w:rsidR="00901542" w:rsidRDefault="00901542" w:rsidP="00901542">
      <w:pPr>
        <w:spacing w:after="0" w:line="240" w:lineRule="auto"/>
        <w:ind w:left="360"/>
        <w:jc w:val="both"/>
        <w:rPr>
          <w:rFonts w:eastAsia="Calibri"/>
          <w:b/>
          <w:sz w:val="24"/>
          <w:szCs w:val="24"/>
        </w:rPr>
      </w:pPr>
    </w:p>
    <w:p w14:paraId="3FD0A858" w14:textId="2A8D0B9A" w:rsidR="00D47BC2" w:rsidRPr="00901542" w:rsidRDefault="00D47BC2" w:rsidP="00901542">
      <w:pPr>
        <w:spacing w:after="0" w:line="240" w:lineRule="auto"/>
        <w:ind w:left="360"/>
        <w:jc w:val="both"/>
        <w:rPr>
          <w:rFonts w:eastAsia="Calibri"/>
          <w:b/>
          <w:sz w:val="24"/>
          <w:szCs w:val="24"/>
        </w:rPr>
      </w:pPr>
      <w:r>
        <w:rPr>
          <w:rFonts w:eastAsia="Calibri"/>
          <w:b/>
          <w:sz w:val="24"/>
          <w:szCs w:val="24"/>
        </w:rPr>
        <w:lastRenderedPageBreak/>
        <w:t>SDG&amp;E Response:</w:t>
      </w:r>
      <w:r w:rsidR="00901542">
        <w:rPr>
          <w:rFonts w:eastAsia="Calibri"/>
          <w:b/>
          <w:sz w:val="24"/>
          <w:szCs w:val="24"/>
        </w:rPr>
        <w:t xml:space="preserve"> </w:t>
      </w:r>
      <w:r w:rsidR="00F53928" w:rsidRPr="00901542">
        <w:rPr>
          <w:sz w:val="24"/>
          <w:szCs w:val="24"/>
        </w:rPr>
        <w:t xml:space="preserve">SDG&amp;E believes that structuring the subscription charge in 25 kW blocks </w:t>
      </w:r>
      <w:r w:rsidR="00BD704B" w:rsidRPr="00901542">
        <w:rPr>
          <w:sz w:val="24"/>
          <w:szCs w:val="24"/>
        </w:rPr>
        <w:t>represents a balance between a simple rate structure that will minimize monthly bill fluctuations</w:t>
      </w:r>
      <w:r w:rsidR="000D5B13" w:rsidRPr="00901542">
        <w:rPr>
          <w:sz w:val="24"/>
          <w:szCs w:val="24"/>
        </w:rPr>
        <w:t xml:space="preserve"> and allow customers to easily choose their preferred subscribed demand level, and </w:t>
      </w:r>
      <w:r w:rsidR="006A3879" w:rsidRPr="00901542">
        <w:rPr>
          <w:sz w:val="24"/>
          <w:szCs w:val="24"/>
        </w:rPr>
        <w:t xml:space="preserve">a subscription rate that broadly reflects the actual maximum demand of the customers. </w:t>
      </w:r>
    </w:p>
    <w:p w14:paraId="21FD7BC1" w14:textId="77777777" w:rsidR="00B535BC" w:rsidRDefault="00B535BC" w:rsidP="00901542">
      <w:pPr>
        <w:spacing w:after="0" w:line="240" w:lineRule="auto"/>
        <w:jc w:val="both"/>
      </w:pPr>
    </w:p>
    <w:p w14:paraId="2459BA3E" w14:textId="60570D69" w:rsidR="00B535BC" w:rsidRDefault="00B64DBB" w:rsidP="00901542">
      <w:pPr>
        <w:pStyle w:val="ListParagraph"/>
        <w:numPr>
          <w:ilvl w:val="0"/>
          <w:numId w:val="2"/>
        </w:numPr>
        <w:spacing w:after="0"/>
        <w:jc w:val="both"/>
      </w:pPr>
      <w:r>
        <w:t>Please provide the monthly metered demand for each of the 212 existing DCFC charging stations served by the Company, for each month the Company has served that station.</w:t>
      </w:r>
    </w:p>
    <w:p w14:paraId="0E9B2258" w14:textId="77777777" w:rsidR="00901542" w:rsidRDefault="00901542" w:rsidP="00901542">
      <w:pPr>
        <w:spacing w:after="0" w:line="240" w:lineRule="auto"/>
        <w:ind w:left="360"/>
        <w:jc w:val="both"/>
        <w:rPr>
          <w:rFonts w:eastAsia="Calibri"/>
          <w:b/>
          <w:sz w:val="24"/>
          <w:szCs w:val="24"/>
        </w:rPr>
      </w:pPr>
    </w:p>
    <w:p w14:paraId="25E9045B" w14:textId="616B26EF" w:rsidR="002A43DB" w:rsidRDefault="00D47BC2" w:rsidP="00901542">
      <w:pPr>
        <w:spacing w:after="0" w:line="240" w:lineRule="auto"/>
        <w:ind w:left="360"/>
        <w:jc w:val="both"/>
        <w:rPr>
          <w:rFonts w:eastAsia="Calibri"/>
          <w:sz w:val="24"/>
          <w:szCs w:val="24"/>
        </w:rPr>
      </w:pPr>
      <w:r>
        <w:rPr>
          <w:rFonts w:eastAsia="Calibri"/>
          <w:b/>
          <w:sz w:val="24"/>
          <w:szCs w:val="24"/>
        </w:rPr>
        <w:t>SDG&amp;E Response:</w:t>
      </w:r>
      <w:r w:rsidR="00901542">
        <w:rPr>
          <w:rFonts w:eastAsia="Calibri"/>
          <w:b/>
          <w:sz w:val="24"/>
          <w:szCs w:val="24"/>
        </w:rPr>
        <w:t xml:space="preserve"> </w:t>
      </w:r>
      <w:r w:rsidR="005E25CB">
        <w:rPr>
          <w:rFonts w:eastAsia="Calibri"/>
          <w:sz w:val="24"/>
          <w:szCs w:val="24"/>
        </w:rPr>
        <w:t>In accordance with Decision 16-08-024</w:t>
      </w:r>
      <w:r w:rsidR="00912676">
        <w:rPr>
          <w:rFonts w:eastAsia="Calibri"/>
          <w:sz w:val="24"/>
          <w:szCs w:val="24"/>
        </w:rPr>
        <w:t>,</w:t>
      </w:r>
      <w:r w:rsidR="00114B84">
        <w:rPr>
          <w:rFonts w:eastAsia="Calibri"/>
          <w:sz w:val="24"/>
          <w:szCs w:val="24"/>
        </w:rPr>
        <w:t xml:space="preserve"> </w:t>
      </w:r>
      <w:r w:rsidR="00400042">
        <w:rPr>
          <w:rFonts w:eastAsia="Calibri"/>
          <w:sz w:val="24"/>
          <w:szCs w:val="24"/>
        </w:rPr>
        <w:t xml:space="preserve">the </w:t>
      </w:r>
      <w:r w:rsidR="00054AB1">
        <w:rPr>
          <w:rFonts w:eastAsia="Calibri"/>
          <w:sz w:val="24"/>
          <w:szCs w:val="24"/>
        </w:rPr>
        <w:t xml:space="preserve">requested monthly meter data for existing DCFC charging stations is within the scope of data protected as confidential under applicable statutory provisions. </w:t>
      </w:r>
    </w:p>
    <w:p w14:paraId="290D6584" w14:textId="77777777" w:rsidR="002A43DB" w:rsidRDefault="002A43DB" w:rsidP="00901542">
      <w:pPr>
        <w:spacing w:after="0" w:line="240" w:lineRule="auto"/>
        <w:ind w:left="360"/>
        <w:jc w:val="both"/>
        <w:rPr>
          <w:rFonts w:eastAsia="Calibri"/>
          <w:sz w:val="24"/>
          <w:szCs w:val="24"/>
        </w:rPr>
      </w:pPr>
    </w:p>
    <w:p w14:paraId="39B3087F" w14:textId="7758E9C7" w:rsidR="00B535BC" w:rsidRPr="00901542" w:rsidRDefault="00116608" w:rsidP="00901542">
      <w:pPr>
        <w:spacing w:after="0" w:line="240" w:lineRule="auto"/>
        <w:ind w:left="360"/>
        <w:jc w:val="both"/>
        <w:rPr>
          <w:rFonts w:eastAsia="Calibri"/>
          <w:b/>
          <w:sz w:val="24"/>
          <w:szCs w:val="24"/>
        </w:rPr>
      </w:pPr>
      <w:r>
        <w:rPr>
          <w:rFonts w:eastAsia="Calibri"/>
          <w:sz w:val="24"/>
          <w:szCs w:val="24"/>
        </w:rPr>
        <w:t xml:space="preserve">DCFC meter data cannot be sufficiently anonymized </w:t>
      </w:r>
      <w:r w:rsidR="001119EB">
        <w:rPr>
          <w:rFonts w:eastAsia="Calibri"/>
          <w:sz w:val="24"/>
          <w:szCs w:val="24"/>
        </w:rPr>
        <w:t>to be publicly shared due to the low number of DCFC operators in SDG&amp;E service territory.</w:t>
      </w:r>
    </w:p>
    <w:p w14:paraId="09160A05" w14:textId="616B26EF" w:rsidR="001300CF" w:rsidRPr="000A1200" w:rsidRDefault="001300CF" w:rsidP="00901542">
      <w:pPr>
        <w:spacing w:after="0" w:line="240" w:lineRule="auto"/>
        <w:ind w:firstLine="360"/>
        <w:jc w:val="both"/>
        <w:rPr>
          <w:rFonts w:eastAsia="Calibri"/>
          <w:sz w:val="24"/>
          <w:szCs w:val="24"/>
        </w:rPr>
      </w:pPr>
    </w:p>
    <w:p w14:paraId="23F48456" w14:textId="21AE3022" w:rsidR="00B64DBB" w:rsidRDefault="00B64DBB" w:rsidP="00901542">
      <w:pPr>
        <w:pStyle w:val="ListParagraph"/>
        <w:numPr>
          <w:ilvl w:val="0"/>
          <w:numId w:val="2"/>
        </w:numPr>
        <w:spacing w:after="0"/>
        <w:jc w:val="both"/>
      </w:pPr>
      <w:r>
        <w:t xml:space="preserve">Please provide any analysis the Company has conducted regarding the likely ratio of customer subscribed demand in </w:t>
      </w:r>
      <w:r w:rsidR="00042FE1">
        <w:t>25</w:t>
      </w:r>
      <w:r>
        <w:t xml:space="preserve">-kW blocks to customer all-time actual maximum non-coincident load under the proposed </w:t>
      </w:r>
      <w:r w:rsidR="00042FE1">
        <w:t xml:space="preserve">EV-HP </w:t>
      </w:r>
      <w:r>
        <w:t>rate.</w:t>
      </w:r>
    </w:p>
    <w:p w14:paraId="2BCCFD38" w14:textId="77777777" w:rsidR="00901542" w:rsidRDefault="00901542" w:rsidP="00901542">
      <w:pPr>
        <w:spacing w:after="0" w:line="240" w:lineRule="auto"/>
        <w:ind w:firstLine="360"/>
        <w:jc w:val="both"/>
        <w:rPr>
          <w:rFonts w:eastAsia="Calibri"/>
          <w:b/>
          <w:sz w:val="24"/>
          <w:szCs w:val="24"/>
        </w:rPr>
      </w:pPr>
    </w:p>
    <w:p w14:paraId="6649F985" w14:textId="70814F52" w:rsidR="00901542" w:rsidRPr="00901542" w:rsidRDefault="00D47BC2" w:rsidP="00901542">
      <w:pPr>
        <w:spacing w:after="0" w:line="240" w:lineRule="auto"/>
        <w:ind w:firstLine="360"/>
        <w:jc w:val="both"/>
        <w:rPr>
          <w:rFonts w:eastAsia="Calibri"/>
          <w:b/>
          <w:sz w:val="24"/>
          <w:szCs w:val="24"/>
        </w:rPr>
      </w:pPr>
      <w:r>
        <w:rPr>
          <w:rFonts w:eastAsia="Calibri"/>
          <w:b/>
          <w:sz w:val="24"/>
          <w:szCs w:val="24"/>
        </w:rPr>
        <w:t>SDG&amp;E Response:</w:t>
      </w:r>
      <w:r w:rsidR="008F7A56">
        <w:rPr>
          <w:rFonts w:eastAsia="Calibri"/>
          <w:b/>
          <w:sz w:val="24"/>
          <w:szCs w:val="24"/>
        </w:rPr>
        <w:t xml:space="preserve"> </w:t>
      </w:r>
      <w:r w:rsidR="008F7A56">
        <w:rPr>
          <w:rFonts w:eastAsia="Calibri"/>
          <w:sz w:val="24"/>
          <w:szCs w:val="24"/>
        </w:rPr>
        <w:t>SDG&amp;E has not performed this analysis.</w:t>
      </w:r>
    </w:p>
    <w:p w14:paraId="07D7163B" w14:textId="77777777" w:rsidR="00901542" w:rsidRPr="008F7A56" w:rsidRDefault="00901542" w:rsidP="00901542">
      <w:pPr>
        <w:spacing w:after="0" w:line="240" w:lineRule="auto"/>
        <w:ind w:firstLine="360"/>
        <w:jc w:val="both"/>
        <w:rPr>
          <w:rFonts w:eastAsia="Calibri"/>
          <w:sz w:val="24"/>
          <w:szCs w:val="24"/>
        </w:rPr>
      </w:pPr>
    </w:p>
    <w:p w14:paraId="574EA01C" w14:textId="6F280C82" w:rsidR="00B535BC" w:rsidRDefault="00B64DBB" w:rsidP="00901542">
      <w:pPr>
        <w:pStyle w:val="ListParagraph"/>
        <w:numPr>
          <w:ilvl w:val="0"/>
          <w:numId w:val="2"/>
        </w:numPr>
        <w:spacing w:after="0"/>
        <w:jc w:val="both"/>
      </w:pPr>
      <w:r>
        <w:t xml:space="preserve">Please provide any analysis the Company has conducted regarding the likely ratio of customer subscribed demand to the average of the customer monthly demand under the proposed </w:t>
      </w:r>
      <w:r w:rsidR="00B535BC">
        <w:t>E</w:t>
      </w:r>
      <w:r w:rsidR="00DF0E09">
        <w:t xml:space="preserve">V-HP </w:t>
      </w:r>
      <w:r>
        <w:t>rate</w:t>
      </w:r>
      <w:r w:rsidR="00DF0E09">
        <w:t>.</w:t>
      </w:r>
    </w:p>
    <w:p w14:paraId="12E9B3B8" w14:textId="77777777" w:rsidR="00901542" w:rsidRDefault="00901542" w:rsidP="00901542">
      <w:pPr>
        <w:spacing w:after="0" w:line="240" w:lineRule="auto"/>
        <w:ind w:firstLine="360"/>
        <w:jc w:val="both"/>
        <w:rPr>
          <w:rFonts w:eastAsia="Calibri"/>
          <w:b/>
          <w:sz w:val="24"/>
          <w:szCs w:val="24"/>
        </w:rPr>
      </w:pPr>
    </w:p>
    <w:p w14:paraId="29AC212B" w14:textId="721B0DB4" w:rsidR="00D47BC2" w:rsidRPr="00901542" w:rsidRDefault="00D47BC2" w:rsidP="00901542">
      <w:pPr>
        <w:spacing w:after="0" w:line="240" w:lineRule="auto"/>
        <w:ind w:firstLine="360"/>
        <w:jc w:val="both"/>
        <w:rPr>
          <w:rFonts w:eastAsia="Calibri"/>
          <w:b/>
          <w:sz w:val="24"/>
          <w:szCs w:val="24"/>
        </w:rPr>
      </w:pPr>
      <w:r>
        <w:rPr>
          <w:rFonts w:eastAsia="Calibri"/>
          <w:b/>
          <w:sz w:val="24"/>
          <w:szCs w:val="24"/>
        </w:rPr>
        <w:t>SDG&amp;E Response:</w:t>
      </w:r>
      <w:r w:rsidR="00901542">
        <w:rPr>
          <w:rFonts w:eastAsia="Calibri"/>
          <w:b/>
          <w:sz w:val="24"/>
          <w:szCs w:val="24"/>
        </w:rPr>
        <w:t xml:space="preserve"> </w:t>
      </w:r>
      <w:r w:rsidR="000A7DAC">
        <w:t xml:space="preserve">SDG&amp;E has not performed this analysis. </w:t>
      </w:r>
    </w:p>
    <w:p w14:paraId="26BDB828" w14:textId="77777777" w:rsidR="00B535BC" w:rsidRDefault="00B535BC" w:rsidP="00901542">
      <w:pPr>
        <w:spacing w:after="0" w:line="240" w:lineRule="auto"/>
        <w:jc w:val="both"/>
      </w:pPr>
    </w:p>
    <w:p w14:paraId="5BC441BC" w14:textId="258B6A9A" w:rsidR="00B64DBB" w:rsidRDefault="00B64DBB" w:rsidP="00901542">
      <w:pPr>
        <w:pStyle w:val="ListParagraph"/>
        <w:numPr>
          <w:ilvl w:val="0"/>
          <w:numId w:val="2"/>
        </w:numPr>
        <w:spacing w:after="0"/>
        <w:jc w:val="both"/>
      </w:pPr>
      <w:r>
        <w:t xml:space="preserve">Please explain whether the Company believes that </w:t>
      </w:r>
      <w:r w:rsidR="008A75A5">
        <w:t xml:space="preserve">the same subscription charge is appropriate for </w:t>
      </w:r>
      <w:r w:rsidR="00DF0E09">
        <w:t xml:space="preserve">three </w:t>
      </w:r>
      <w:r w:rsidR="008A75A5">
        <w:t xml:space="preserve">customers with identical charging equipment </w:t>
      </w:r>
      <w:r w:rsidR="00DF0E09">
        <w:t xml:space="preserve">(e.g., six chargers) </w:t>
      </w:r>
      <w:r w:rsidR="008A75A5">
        <w:t xml:space="preserve">and the same maximum demand, if one uses its </w:t>
      </w:r>
      <w:r w:rsidR="00DF0E09">
        <w:t xml:space="preserve">six </w:t>
      </w:r>
      <w:r w:rsidR="008A75A5">
        <w:t>chargers simultaneously every day for 12 hours/day</w:t>
      </w:r>
      <w:r w:rsidR="00DF0E09">
        <w:t>;</w:t>
      </w:r>
      <w:r w:rsidR="008A75A5">
        <w:t xml:space="preserve"> </w:t>
      </w:r>
      <w:r w:rsidR="00DF0E09">
        <w:t>a second uses the</w:t>
      </w:r>
      <w:r w:rsidR="008A75A5">
        <w:t xml:space="preserve"> six chargers </w:t>
      </w:r>
      <w:r w:rsidR="00DF0E09">
        <w:t xml:space="preserve">simultaneously </w:t>
      </w:r>
      <w:r w:rsidR="008A75A5">
        <w:t>once per month</w:t>
      </w:r>
      <w:r w:rsidR="00DF0E09">
        <w:t xml:space="preserve"> and otherwise no more than two chargers;</w:t>
      </w:r>
      <w:r w:rsidR="008A75A5">
        <w:t xml:space="preserve"> </w:t>
      </w:r>
      <w:r w:rsidR="00DF0E09">
        <w:t>and the third uses the</w:t>
      </w:r>
      <w:r w:rsidR="008A75A5">
        <w:t xml:space="preserve"> six chargers </w:t>
      </w:r>
      <w:r w:rsidR="00DF0E09">
        <w:t>for</w:t>
      </w:r>
      <w:r w:rsidR="008A75A5">
        <w:t xml:space="preserve"> one hour </w:t>
      </w:r>
      <w:r w:rsidR="00DF0E09">
        <w:t>in each of April, July and November, and otherwise no more than two chargers</w:t>
      </w:r>
      <w:r w:rsidR="008A75A5">
        <w:t xml:space="preserve">. </w:t>
      </w:r>
    </w:p>
    <w:p w14:paraId="65B9F251" w14:textId="77777777" w:rsidR="00901542" w:rsidRDefault="00901542" w:rsidP="00901542">
      <w:pPr>
        <w:spacing w:after="0" w:line="240" w:lineRule="auto"/>
        <w:ind w:left="360"/>
        <w:jc w:val="both"/>
        <w:rPr>
          <w:rFonts w:eastAsia="Calibri"/>
          <w:b/>
          <w:sz w:val="24"/>
          <w:szCs w:val="24"/>
        </w:rPr>
      </w:pPr>
    </w:p>
    <w:p w14:paraId="7450B9EF" w14:textId="2AA0611A" w:rsidR="00EA7FE9" w:rsidRPr="00901542" w:rsidRDefault="00D47BC2" w:rsidP="00901542">
      <w:pPr>
        <w:spacing w:after="0" w:line="240" w:lineRule="auto"/>
        <w:ind w:left="360"/>
        <w:jc w:val="both"/>
        <w:rPr>
          <w:rFonts w:eastAsia="Calibri"/>
          <w:b/>
          <w:sz w:val="24"/>
          <w:szCs w:val="24"/>
        </w:rPr>
      </w:pPr>
      <w:r>
        <w:rPr>
          <w:rFonts w:eastAsia="Calibri"/>
          <w:b/>
          <w:sz w:val="24"/>
          <w:szCs w:val="24"/>
        </w:rPr>
        <w:t>SDG&amp;E Response:</w:t>
      </w:r>
      <w:r w:rsidR="00901542">
        <w:rPr>
          <w:rFonts w:eastAsia="Calibri"/>
          <w:b/>
          <w:sz w:val="24"/>
          <w:szCs w:val="24"/>
        </w:rPr>
        <w:t xml:space="preserve"> </w:t>
      </w:r>
      <w:r w:rsidR="00EA7FE9">
        <w:rPr>
          <w:rFonts w:eastAsia="Calibri"/>
          <w:sz w:val="24"/>
          <w:szCs w:val="24"/>
        </w:rPr>
        <w:t xml:space="preserve">As proposed the </w:t>
      </w:r>
      <w:r w:rsidR="009A3CA3">
        <w:rPr>
          <w:rFonts w:eastAsia="Calibri"/>
          <w:sz w:val="24"/>
          <w:szCs w:val="24"/>
        </w:rPr>
        <w:t>EV-HP subscription charge recovers the non-coincident distribution demand costs.</w:t>
      </w:r>
      <w:r w:rsidR="005417A2">
        <w:rPr>
          <w:rFonts w:eastAsia="Calibri"/>
          <w:sz w:val="24"/>
          <w:szCs w:val="24"/>
        </w:rPr>
        <w:t xml:space="preserve"> SDG&amp;E incurs these costs independent of energy usage, </w:t>
      </w:r>
      <w:r w:rsidR="00CD2A75">
        <w:rPr>
          <w:rFonts w:eastAsia="Calibri"/>
          <w:sz w:val="24"/>
          <w:szCs w:val="24"/>
        </w:rPr>
        <w:t xml:space="preserve">regardless of when an individual customer’s maximum demand occurs. </w:t>
      </w:r>
      <w:r w:rsidR="00A47264">
        <w:rPr>
          <w:rFonts w:eastAsia="Calibri"/>
          <w:sz w:val="24"/>
          <w:szCs w:val="24"/>
        </w:rPr>
        <w:t xml:space="preserve">SDG&amp;E would incur the same non-coincident distribution demand </w:t>
      </w:r>
      <w:r w:rsidR="00055943">
        <w:rPr>
          <w:rFonts w:eastAsia="Calibri"/>
          <w:sz w:val="24"/>
          <w:szCs w:val="24"/>
        </w:rPr>
        <w:t xml:space="preserve">(kW) </w:t>
      </w:r>
      <w:r w:rsidR="00A47264">
        <w:rPr>
          <w:rFonts w:eastAsia="Calibri"/>
          <w:sz w:val="24"/>
          <w:szCs w:val="24"/>
        </w:rPr>
        <w:t>costs to serve the three hypothetical customers listed above</w:t>
      </w:r>
      <w:r w:rsidR="0069635C">
        <w:rPr>
          <w:rFonts w:eastAsia="Calibri"/>
          <w:sz w:val="24"/>
          <w:szCs w:val="24"/>
        </w:rPr>
        <w:t xml:space="preserve">, justifying that these customers should pay the same monthly subscription charge </w:t>
      </w:r>
      <w:r w:rsidR="005448BF">
        <w:rPr>
          <w:rFonts w:eastAsia="Calibri"/>
          <w:sz w:val="24"/>
          <w:szCs w:val="24"/>
        </w:rPr>
        <w:t xml:space="preserve">regardless of their energy use and when their maximum demand occurs. </w:t>
      </w:r>
      <w:r w:rsidR="00060B98">
        <w:rPr>
          <w:rFonts w:eastAsia="Calibri"/>
          <w:sz w:val="24"/>
          <w:szCs w:val="24"/>
        </w:rPr>
        <w:lastRenderedPageBreak/>
        <w:t xml:space="preserve">However, </w:t>
      </w:r>
      <w:r w:rsidR="00374575">
        <w:rPr>
          <w:rFonts w:eastAsia="Calibri"/>
          <w:sz w:val="24"/>
          <w:szCs w:val="24"/>
        </w:rPr>
        <w:t xml:space="preserve">their bills would differ due to the quantity (kWh) they </w:t>
      </w:r>
      <w:r w:rsidR="00AD6FA1">
        <w:rPr>
          <w:rFonts w:eastAsia="Calibri"/>
          <w:sz w:val="24"/>
          <w:szCs w:val="24"/>
        </w:rPr>
        <w:t xml:space="preserve">each used throughout the billing period. </w:t>
      </w:r>
    </w:p>
    <w:p w14:paraId="7085527C" w14:textId="77777777" w:rsidR="00B535BC" w:rsidRDefault="00B535BC" w:rsidP="00901542">
      <w:pPr>
        <w:spacing w:after="0" w:line="240" w:lineRule="auto"/>
        <w:jc w:val="both"/>
      </w:pPr>
    </w:p>
    <w:p w14:paraId="47B9E169" w14:textId="7E9DA810" w:rsidR="008A75A5" w:rsidRDefault="00DF0E09" w:rsidP="00901542">
      <w:pPr>
        <w:pStyle w:val="ListParagraph"/>
        <w:numPr>
          <w:ilvl w:val="0"/>
          <w:numId w:val="2"/>
        </w:numPr>
        <w:spacing w:after="0"/>
        <w:jc w:val="both"/>
      </w:pPr>
      <w:r>
        <w:t xml:space="preserve">Please explain whether the Company believes that the subscription charge is appropriate for customers whose facilities are used only lightly </w:t>
      </w:r>
      <w:r w:rsidR="008A75A5">
        <w:t>in some months</w:t>
      </w:r>
      <w:r>
        <w:t>, such as a</w:t>
      </w:r>
      <w:r w:rsidR="008A75A5">
        <w:t xml:space="preserve"> school with 10 chargers, </w:t>
      </w:r>
      <w:r>
        <w:t xml:space="preserve">that is </w:t>
      </w:r>
      <w:r w:rsidR="008A75A5">
        <w:t xml:space="preserve">largely empty in summer, using only one or two </w:t>
      </w:r>
      <w:r>
        <w:t xml:space="preserve">chargers </w:t>
      </w:r>
      <w:r w:rsidR="008A75A5">
        <w:t>in July and August</w:t>
      </w:r>
      <w:r>
        <w:t>.</w:t>
      </w:r>
    </w:p>
    <w:p w14:paraId="60FF83BB" w14:textId="77777777" w:rsidR="00901542" w:rsidRDefault="00901542" w:rsidP="00901542">
      <w:pPr>
        <w:spacing w:after="0" w:line="240" w:lineRule="auto"/>
        <w:ind w:left="360"/>
        <w:jc w:val="both"/>
        <w:rPr>
          <w:rFonts w:eastAsia="Calibri"/>
          <w:b/>
          <w:sz w:val="24"/>
          <w:szCs w:val="24"/>
        </w:rPr>
      </w:pPr>
    </w:p>
    <w:p w14:paraId="514E880B" w14:textId="2991FF65" w:rsidR="005448BF" w:rsidRPr="00901542" w:rsidRDefault="00D47BC2" w:rsidP="00901542">
      <w:pPr>
        <w:spacing w:after="0" w:line="240" w:lineRule="auto"/>
        <w:ind w:left="360"/>
        <w:jc w:val="both"/>
        <w:rPr>
          <w:rFonts w:eastAsia="Calibri"/>
          <w:b/>
          <w:sz w:val="24"/>
          <w:szCs w:val="24"/>
        </w:rPr>
      </w:pPr>
      <w:r>
        <w:rPr>
          <w:rFonts w:eastAsia="Calibri"/>
          <w:b/>
          <w:sz w:val="24"/>
          <w:szCs w:val="24"/>
        </w:rPr>
        <w:t>SDG&amp;E Response:</w:t>
      </w:r>
      <w:r w:rsidR="00901542">
        <w:rPr>
          <w:rFonts w:eastAsia="Calibri"/>
          <w:b/>
          <w:sz w:val="24"/>
          <w:szCs w:val="24"/>
        </w:rPr>
        <w:t xml:space="preserve"> </w:t>
      </w:r>
      <w:r w:rsidR="005448BF" w:rsidRPr="005448BF">
        <w:rPr>
          <w:rFonts w:eastAsia="Calibri"/>
          <w:sz w:val="24"/>
          <w:szCs w:val="24"/>
        </w:rPr>
        <w:t>See above</w:t>
      </w:r>
      <w:r w:rsidR="00D04D09">
        <w:rPr>
          <w:rFonts w:eastAsia="Calibri"/>
          <w:sz w:val="24"/>
          <w:szCs w:val="24"/>
        </w:rPr>
        <w:t xml:space="preserve"> response to question 9</w:t>
      </w:r>
      <w:r w:rsidR="005448BF" w:rsidRPr="005448BF">
        <w:rPr>
          <w:rFonts w:eastAsia="Calibri"/>
          <w:sz w:val="24"/>
          <w:szCs w:val="24"/>
        </w:rPr>
        <w:t>.</w:t>
      </w:r>
      <w:r w:rsidR="00D04D09">
        <w:rPr>
          <w:rFonts w:eastAsia="Calibri"/>
          <w:sz w:val="24"/>
          <w:szCs w:val="24"/>
        </w:rPr>
        <w:t xml:space="preserve"> SDG&amp;E would incur the same non-coincident </w:t>
      </w:r>
      <w:r w:rsidR="00EB1CAB">
        <w:rPr>
          <w:rFonts w:eastAsia="Calibri"/>
          <w:sz w:val="24"/>
          <w:szCs w:val="24"/>
        </w:rPr>
        <w:t>distribution demand costs to serve customers with light load in some months as a similar customer with consistent usage.</w:t>
      </w:r>
    </w:p>
    <w:p w14:paraId="01455A9D" w14:textId="77777777" w:rsidR="00D47BC2" w:rsidRDefault="00D47BC2" w:rsidP="00901542">
      <w:pPr>
        <w:pStyle w:val="ListParagraph"/>
        <w:spacing w:after="0"/>
        <w:ind w:left="360"/>
        <w:jc w:val="both"/>
      </w:pPr>
    </w:p>
    <w:sectPr w:rsidR="00D47BC2" w:rsidSect="00A86B4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D15FC" w14:textId="77777777" w:rsidR="00951FEB" w:rsidRDefault="00951FEB" w:rsidP="00885288">
      <w:pPr>
        <w:spacing w:after="0" w:line="240" w:lineRule="auto"/>
      </w:pPr>
      <w:r>
        <w:separator/>
      </w:r>
    </w:p>
  </w:endnote>
  <w:endnote w:type="continuationSeparator" w:id="0">
    <w:p w14:paraId="0565827A" w14:textId="77777777" w:rsidR="00951FEB" w:rsidRDefault="00951FEB" w:rsidP="00885288">
      <w:pPr>
        <w:spacing w:after="0" w:line="240" w:lineRule="auto"/>
      </w:pPr>
      <w:r>
        <w:continuationSeparator/>
      </w:r>
    </w:p>
  </w:endnote>
  <w:endnote w:type="continuationNotice" w:id="1">
    <w:p w14:paraId="3CFC4685" w14:textId="77777777" w:rsidR="00951FEB" w:rsidRDefault="00951F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auto"/>
    <w:pitch w:val="variable"/>
    <w:sig w:usb0="E00002FF" w:usb1="7AC7FFFF" w:usb2="00000012" w:usb3="00000000" w:csb0="0002000D" w:csb1="00000000"/>
  </w:font>
  <w:font w:name="TYCZGQ+TimesNewRomanPS-BoldM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26316" w14:textId="77777777" w:rsidR="00951FEB" w:rsidRDefault="00951FEB" w:rsidP="00885288">
      <w:pPr>
        <w:spacing w:after="0" w:line="240" w:lineRule="auto"/>
      </w:pPr>
      <w:r>
        <w:separator/>
      </w:r>
    </w:p>
  </w:footnote>
  <w:footnote w:type="continuationSeparator" w:id="0">
    <w:p w14:paraId="786D3399" w14:textId="77777777" w:rsidR="00951FEB" w:rsidRDefault="00951FEB" w:rsidP="00885288">
      <w:pPr>
        <w:spacing w:after="0" w:line="240" w:lineRule="auto"/>
      </w:pPr>
      <w:r>
        <w:continuationSeparator/>
      </w:r>
    </w:p>
  </w:footnote>
  <w:footnote w:type="continuationNotice" w:id="1">
    <w:p w14:paraId="01F0210E" w14:textId="77777777" w:rsidR="00951FEB" w:rsidRDefault="00951FEB">
      <w:pPr>
        <w:spacing w:after="0" w:line="240" w:lineRule="auto"/>
      </w:pPr>
    </w:p>
  </w:footnote>
  <w:footnote w:id="2">
    <w:p w14:paraId="4C5F47BB" w14:textId="31C252F8" w:rsidR="008449FC" w:rsidRPr="008449FC" w:rsidRDefault="008449FC">
      <w:pPr>
        <w:pStyle w:val="FootnoteText"/>
        <w:rPr>
          <w:rFonts w:cstheme="minorHAnsi"/>
          <w:sz w:val="20"/>
          <w:szCs w:val="20"/>
        </w:rPr>
      </w:pPr>
      <w:r w:rsidRPr="008449FC">
        <w:rPr>
          <w:rStyle w:val="FootnoteReference"/>
          <w:rFonts w:asciiTheme="minorHAnsi" w:hAnsiTheme="minorHAnsi" w:cstheme="minorHAnsi"/>
          <w:sz w:val="20"/>
          <w:szCs w:val="20"/>
        </w:rPr>
        <w:footnoteRef/>
      </w:r>
      <w:r w:rsidRPr="008449FC">
        <w:rPr>
          <w:rFonts w:cstheme="minorHAnsi"/>
          <w:sz w:val="20"/>
          <w:szCs w:val="20"/>
        </w:rPr>
        <w:t xml:space="preserve"> </w:t>
      </w:r>
      <w:r w:rsidRPr="008449FC">
        <w:rPr>
          <w:rFonts w:eastAsia="Calibri"/>
          <w:sz w:val="20"/>
          <w:szCs w:val="20"/>
        </w:rPr>
        <w:t>Prepared Direct Testimony of William G. Saxe</w:t>
      </w:r>
      <w:r>
        <w:rPr>
          <w:rFonts w:eastAsia="Calibri"/>
          <w:sz w:val="20"/>
          <w:szCs w:val="20"/>
        </w:rPr>
        <w:t>, pp. WS-1 and WS-2.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0C147" w14:textId="33939415" w:rsidR="00885288" w:rsidRPr="006414D8" w:rsidRDefault="00885288" w:rsidP="00885288">
    <w:pPr>
      <w:pStyle w:val="Default"/>
      <w:jc w:val="center"/>
      <w:rPr>
        <w:rFonts w:asciiTheme="minorHAnsi" w:hAnsiTheme="minorHAnsi" w:cstheme="minorHAnsi"/>
        <w:b/>
        <w:bCs/>
        <w:sz w:val="23"/>
        <w:szCs w:val="23"/>
      </w:rPr>
    </w:pPr>
    <w:r w:rsidRPr="006414D8">
      <w:rPr>
        <w:rFonts w:asciiTheme="minorHAnsi" w:hAnsiTheme="minorHAnsi" w:cstheme="minorHAnsi"/>
        <w:b/>
        <w:bCs/>
        <w:sz w:val="23"/>
        <w:szCs w:val="23"/>
      </w:rPr>
      <w:t xml:space="preserve">SBUA DATA REQUEST </w:t>
    </w:r>
  </w:p>
  <w:p w14:paraId="45C2F741" w14:textId="6DA84894" w:rsidR="00885288" w:rsidRPr="006414D8" w:rsidRDefault="00885288" w:rsidP="00885288">
    <w:pPr>
      <w:pStyle w:val="Default"/>
      <w:jc w:val="center"/>
      <w:rPr>
        <w:rFonts w:asciiTheme="minorHAnsi" w:hAnsiTheme="minorHAnsi" w:cstheme="minorHAnsi"/>
        <w:b/>
        <w:bCs/>
        <w:sz w:val="23"/>
        <w:szCs w:val="23"/>
      </w:rPr>
    </w:pPr>
    <w:r w:rsidRPr="006414D8">
      <w:rPr>
        <w:rFonts w:asciiTheme="minorHAnsi" w:hAnsiTheme="minorHAnsi" w:cstheme="minorHAnsi"/>
        <w:b/>
        <w:bCs/>
        <w:sz w:val="23"/>
        <w:szCs w:val="23"/>
      </w:rPr>
      <w:t>SBUA-SDG&amp;E-DR-02, REQUEST 1</w:t>
    </w:r>
  </w:p>
  <w:p w14:paraId="4D74B68D" w14:textId="295C9A96" w:rsidR="00885288" w:rsidRPr="006414D8" w:rsidRDefault="00885288" w:rsidP="00885288">
    <w:pPr>
      <w:pStyle w:val="Default"/>
      <w:jc w:val="center"/>
      <w:rPr>
        <w:rFonts w:asciiTheme="minorHAnsi" w:hAnsiTheme="minorHAnsi" w:cstheme="minorHAnsi"/>
        <w:b/>
        <w:bCs/>
        <w:sz w:val="23"/>
        <w:szCs w:val="23"/>
      </w:rPr>
    </w:pPr>
    <w:r w:rsidRPr="006414D8">
      <w:rPr>
        <w:rFonts w:asciiTheme="minorHAnsi" w:hAnsiTheme="minorHAnsi" w:cstheme="minorHAnsi"/>
        <w:b/>
        <w:bCs/>
        <w:sz w:val="23"/>
        <w:szCs w:val="23"/>
      </w:rPr>
      <w:t>APPLICATION FOR APPROVAL OF ELECTRIC VEHICLE HIGH POWER CHARGING RATE (A.19-07-006)</w:t>
    </w:r>
  </w:p>
  <w:p w14:paraId="118C183E" w14:textId="77777777" w:rsidR="00885288" w:rsidRPr="006414D8" w:rsidRDefault="00885288" w:rsidP="00885288">
    <w:pPr>
      <w:pStyle w:val="Default"/>
      <w:jc w:val="center"/>
      <w:rPr>
        <w:rFonts w:asciiTheme="minorHAnsi" w:hAnsiTheme="minorHAnsi" w:cstheme="minorHAnsi"/>
        <w:b/>
        <w:bCs/>
        <w:sz w:val="23"/>
        <w:szCs w:val="23"/>
      </w:rPr>
    </w:pPr>
    <w:r w:rsidRPr="006414D8">
      <w:rPr>
        <w:rFonts w:asciiTheme="minorHAnsi" w:hAnsiTheme="minorHAnsi" w:cstheme="minorHAnsi"/>
        <w:b/>
        <w:bCs/>
        <w:sz w:val="23"/>
        <w:szCs w:val="23"/>
      </w:rPr>
      <w:t xml:space="preserve">SDG&amp;E RESPONSE </w:t>
    </w:r>
  </w:p>
  <w:p w14:paraId="468AADE8" w14:textId="647DBDB6" w:rsidR="00885288" w:rsidRPr="006414D8" w:rsidRDefault="00885288" w:rsidP="00885288">
    <w:pPr>
      <w:pStyle w:val="Default"/>
      <w:jc w:val="center"/>
      <w:rPr>
        <w:rFonts w:asciiTheme="minorHAnsi" w:hAnsiTheme="minorHAnsi" w:cstheme="minorHAnsi"/>
        <w:b/>
        <w:bCs/>
        <w:sz w:val="23"/>
        <w:szCs w:val="23"/>
      </w:rPr>
    </w:pPr>
    <w:r w:rsidRPr="006414D8">
      <w:rPr>
        <w:rFonts w:asciiTheme="minorHAnsi" w:hAnsiTheme="minorHAnsi" w:cstheme="minorHAnsi"/>
        <w:b/>
        <w:bCs/>
        <w:sz w:val="23"/>
        <w:szCs w:val="23"/>
      </w:rPr>
      <w:t xml:space="preserve">DATE RECEIVED: October 17, 2019 </w:t>
    </w:r>
  </w:p>
  <w:p w14:paraId="7FB013BA" w14:textId="34E853B2" w:rsidR="006414D8" w:rsidRDefault="00885288" w:rsidP="00FF1ED7">
    <w:pPr>
      <w:pStyle w:val="Default"/>
      <w:jc w:val="center"/>
      <w:rPr>
        <w:rFonts w:asciiTheme="minorHAnsi" w:hAnsiTheme="minorHAnsi" w:cstheme="minorHAnsi"/>
        <w:b/>
        <w:bCs/>
        <w:color w:val="auto"/>
        <w:sz w:val="23"/>
        <w:szCs w:val="23"/>
      </w:rPr>
    </w:pPr>
    <w:r w:rsidRPr="006414D8">
      <w:rPr>
        <w:rFonts w:asciiTheme="minorHAnsi" w:hAnsiTheme="minorHAnsi" w:cstheme="minorHAnsi"/>
        <w:b/>
        <w:bCs/>
        <w:sz w:val="23"/>
        <w:szCs w:val="23"/>
      </w:rPr>
      <w:t xml:space="preserve">DATE RESPONDED: </w:t>
    </w:r>
    <w:r w:rsidRPr="00FF1ED7">
      <w:rPr>
        <w:rFonts w:asciiTheme="minorHAnsi" w:hAnsiTheme="minorHAnsi" w:cstheme="minorHAnsi"/>
        <w:b/>
        <w:bCs/>
        <w:color w:val="auto"/>
        <w:sz w:val="23"/>
        <w:szCs w:val="23"/>
      </w:rPr>
      <w:t>October 31, 2019</w:t>
    </w:r>
  </w:p>
  <w:p w14:paraId="4FDF9C6B" w14:textId="77777777" w:rsidR="00FF1ED7" w:rsidRPr="00FF1ED7" w:rsidRDefault="00FF1ED7" w:rsidP="00FF1ED7">
    <w:pPr>
      <w:pStyle w:val="Default"/>
      <w:jc w:val="center"/>
      <w:rPr>
        <w:rFonts w:asciiTheme="minorHAnsi" w:hAnsiTheme="minorHAnsi" w:cstheme="minorHAnsi"/>
        <w:b/>
        <w:bCs/>
        <w:color w:val="auto"/>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B2311"/>
    <w:multiLevelType w:val="hybridMultilevel"/>
    <w:tmpl w:val="B5028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3C6E6E"/>
    <w:multiLevelType w:val="hybridMultilevel"/>
    <w:tmpl w:val="DA80DB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linkStyles/>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DBB"/>
    <w:rsid w:val="00021CAC"/>
    <w:rsid w:val="00042FE1"/>
    <w:rsid w:val="00052941"/>
    <w:rsid w:val="00054AB1"/>
    <w:rsid w:val="00055943"/>
    <w:rsid w:val="00056C0F"/>
    <w:rsid w:val="00060B98"/>
    <w:rsid w:val="00090F6E"/>
    <w:rsid w:val="000A1200"/>
    <w:rsid w:val="000A7DAC"/>
    <w:rsid w:val="000D5B13"/>
    <w:rsid w:val="001119EB"/>
    <w:rsid w:val="00114B84"/>
    <w:rsid w:val="00116608"/>
    <w:rsid w:val="001300CF"/>
    <w:rsid w:val="00132D2E"/>
    <w:rsid w:val="001455A2"/>
    <w:rsid w:val="001C2B4C"/>
    <w:rsid w:val="00207060"/>
    <w:rsid w:val="00274B2E"/>
    <w:rsid w:val="00276824"/>
    <w:rsid w:val="002A43DB"/>
    <w:rsid w:val="002C4723"/>
    <w:rsid w:val="002F52E4"/>
    <w:rsid w:val="00333336"/>
    <w:rsid w:val="00374575"/>
    <w:rsid w:val="003772CE"/>
    <w:rsid w:val="00383B11"/>
    <w:rsid w:val="00396719"/>
    <w:rsid w:val="003C051B"/>
    <w:rsid w:val="003C5F4C"/>
    <w:rsid w:val="003E0889"/>
    <w:rsid w:val="00400042"/>
    <w:rsid w:val="00421BBB"/>
    <w:rsid w:val="004C5422"/>
    <w:rsid w:val="00500138"/>
    <w:rsid w:val="00515665"/>
    <w:rsid w:val="005417A2"/>
    <w:rsid w:val="005448BF"/>
    <w:rsid w:val="005D1B24"/>
    <w:rsid w:val="005E25CB"/>
    <w:rsid w:val="005F344F"/>
    <w:rsid w:val="00601F4A"/>
    <w:rsid w:val="00626A11"/>
    <w:rsid w:val="00631618"/>
    <w:rsid w:val="006414D8"/>
    <w:rsid w:val="0069635C"/>
    <w:rsid w:val="006A3879"/>
    <w:rsid w:val="006E58A4"/>
    <w:rsid w:val="00733110"/>
    <w:rsid w:val="00733C5F"/>
    <w:rsid w:val="00744FA0"/>
    <w:rsid w:val="00775397"/>
    <w:rsid w:val="007A1738"/>
    <w:rsid w:val="007C4C50"/>
    <w:rsid w:val="007E3B18"/>
    <w:rsid w:val="0084479F"/>
    <w:rsid w:val="008449FC"/>
    <w:rsid w:val="00856DC7"/>
    <w:rsid w:val="00876E42"/>
    <w:rsid w:val="00885288"/>
    <w:rsid w:val="008A75A5"/>
    <w:rsid w:val="008D0A55"/>
    <w:rsid w:val="008E4AAE"/>
    <w:rsid w:val="008F7A56"/>
    <w:rsid w:val="00901542"/>
    <w:rsid w:val="00912676"/>
    <w:rsid w:val="00925BD5"/>
    <w:rsid w:val="00951FEB"/>
    <w:rsid w:val="00985D31"/>
    <w:rsid w:val="00991ABD"/>
    <w:rsid w:val="009A3CA3"/>
    <w:rsid w:val="00A02CF9"/>
    <w:rsid w:val="00A47264"/>
    <w:rsid w:val="00A66429"/>
    <w:rsid w:val="00A86B46"/>
    <w:rsid w:val="00AD6FA1"/>
    <w:rsid w:val="00B44FFE"/>
    <w:rsid w:val="00B535BC"/>
    <w:rsid w:val="00B64DBB"/>
    <w:rsid w:val="00B8354F"/>
    <w:rsid w:val="00BD704B"/>
    <w:rsid w:val="00BE001E"/>
    <w:rsid w:val="00BE1A09"/>
    <w:rsid w:val="00BE76D4"/>
    <w:rsid w:val="00C036ED"/>
    <w:rsid w:val="00C13699"/>
    <w:rsid w:val="00C96C88"/>
    <w:rsid w:val="00CC282D"/>
    <w:rsid w:val="00CD2A75"/>
    <w:rsid w:val="00CF3752"/>
    <w:rsid w:val="00D04D09"/>
    <w:rsid w:val="00D1269F"/>
    <w:rsid w:val="00D233E9"/>
    <w:rsid w:val="00D34B0C"/>
    <w:rsid w:val="00D34B6E"/>
    <w:rsid w:val="00D47BC2"/>
    <w:rsid w:val="00D55B6F"/>
    <w:rsid w:val="00D924E6"/>
    <w:rsid w:val="00D966B7"/>
    <w:rsid w:val="00DF0E09"/>
    <w:rsid w:val="00E20B7A"/>
    <w:rsid w:val="00E3066C"/>
    <w:rsid w:val="00E65282"/>
    <w:rsid w:val="00E660B1"/>
    <w:rsid w:val="00E673D1"/>
    <w:rsid w:val="00EA79DF"/>
    <w:rsid w:val="00EA7FE9"/>
    <w:rsid w:val="00EB1CAB"/>
    <w:rsid w:val="00EE6B26"/>
    <w:rsid w:val="00EF1515"/>
    <w:rsid w:val="00F33658"/>
    <w:rsid w:val="00F53928"/>
    <w:rsid w:val="00FF00E0"/>
    <w:rsid w:val="00FF1E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5E32C"/>
  <w15:chartTrackingRefBased/>
  <w15:docId w15:val="{F4A516E3-8305-4A29-A234-295ECF56A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43DB"/>
    <w:pPr>
      <w:spacing w:after="160" w:line="259" w:lineRule="auto"/>
    </w:pPr>
    <w:rPr>
      <w:sz w:val="22"/>
      <w:szCs w:val="22"/>
      <w:lang w:bidi="ar-SA"/>
    </w:rPr>
  </w:style>
  <w:style w:type="paragraph" w:styleId="Heading1">
    <w:name w:val="heading 1"/>
    <w:basedOn w:val="Normal"/>
    <w:next w:val="Normal"/>
    <w:link w:val="Heading1Char"/>
    <w:qFormat/>
    <w:rsid w:val="00B64DBB"/>
    <w:pPr>
      <w:keepNext/>
      <w:keepLines/>
      <w:spacing w:before="320" w:line="380" w:lineRule="atLeast"/>
      <w:ind w:left="720" w:hanging="720"/>
      <w:outlineLvl w:val="0"/>
    </w:pPr>
    <w:rPr>
      <w:rFonts w:ascii="Arial" w:hAnsi="Arial"/>
      <w:b/>
      <w:sz w:val="36"/>
    </w:rPr>
  </w:style>
  <w:style w:type="paragraph" w:styleId="Heading2">
    <w:name w:val="heading 2"/>
    <w:basedOn w:val="Heading1"/>
    <w:next w:val="Normal"/>
    <w:link w:val="Heading2Char"/>
    <w:qFormat/>
    <w:rsid w:val="00B64DBB"/>
    <w:pPr>
      <w:spacing w:before="200" w:line="330" w:lineRule="atLeast"/>
      <w:outlineLvl w:val="1"/>
    </w:pPr>
    <w:rPr>
      <w:sz w:val="30"/>
    </w:rPr>
  </w:style>
  <w:style w:type="paragraph" w:styleId="Heading3">
    <w:name w:val="heading 3"/>
    <w:basedOn w:val="Normal"/>
    <w:next w:val="Normal"/>
    <w:link w:val="Heading3Char"/>
    <w:qFormat/>
    <w:rsid w:val="00B64DBB"/>
    <w:pPr>
      <w:spacing w:before="120" w:line="290" w:lineRule="atLeast"/>
      <w:outlineLvl w:val="2"/>
    </w:pPr>
    <w:rPr>
      <w:rFonts w:ascii="Arial" w:hAnsi="Arial"/>
    </w:rPr>
  </w:style>
  <w:style w:type="character" w:default="1" w:styleId="DefaultParagraphFont">
    <w:name w:val="Default Paragraph Font"/>
    <w:uiPriority w:val="1"/>
    <w:semiHidden/>
    <w:unhideWhenUsed/>
    <w:rsid w:val="002A43D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A43DB"/>
  </w:style>
  <w:style w:type="character" w:customStyle="1" w:styleId="Heading1Char">
    <w:name w:val="Heading 1 Char"/>
    <w:basedOn w:val="DefaultParagraphFont"/>
    <w:link w:val="Heading1"/>
    <w:rsid w:val="00B64DBB"/>
    <w:rPr>
      <w:rFonts w:ascii="Arial" w:eastAsiaTheme="minorEastAsia" w:hAnsi="Arial" w:cs="Times New Roman"/>
      <w:b/>
      <w:sz w:val="36"/>
      <w:lang w:eastAsia="ja-JP" w:bidi="ar-SA"/>
    </w:rPr>
  </w:style>
  <w:style w:type="character" w:customStyle="1" w:styleId="Heading2Char">
    <w:name w:val="Heading 2 Char"/>
    <w:basedOn w:val="DefaultParagraphFont"/>
    <w:link w:val="Heading2"/>
    <w:rsid w:val="00B64DBB"/>
    <w:rPr>
      <w:rFonts w:ascii="Arial" w:eastAsiaTheme="minorEastAsia" w:hAnsi="Arial" w:cs="Times New Roman"/>
      <w:b/>
      <w:sz w:val="30"/>
      <w:lang w:eastAsia="ja-JP" w:bidi="ar-SA"/>
    </w:rPr>
  </w:style>
  <w:style w:type="character" w:customStyle="1" w:styleId="Heading3Char">
    <w:name w:val="Heading 3 Char"/>
    <w:basedOn w:val="DefaultParagraphFont"/>
    <w:link w:val="Heading3"/>
    <w:rsid w:val="00B64DBB"/>
    <w:rPr>
      <w:rFonts w:ascii="Arial" w:eastAsiaTheme="minorEastAsia" w:hAnsi="Arial" w:cs="Times New Roman"/>
      <w:sz w:val="26"/>
      <w:lang w:eastAsia="ja-JP" w:bidi="ar-SA"/>
    </w:rPr>
  </w:style>
  <w:style w:type="paragraph" w:customStyle="1" w:styleId="A">
    <w:name w:val="A:"/>
    <w:basedOn w:val="Normal"/>
    <w:next w:val="Normal"/>
    <w:rsid w:val="00B64DBB"/>
    <w:pPr>
      <w:spacing w:line="340" w:lineRule="exact"/>
      <w:ind w:hanging="540"/>
    </w:pPr>
  </w:style>
  <w:style w:type="paragraph" w:customStyle="1" w:styleId="BlockQuote">
    <w:name w:val="Block Quote"/>
    <w:basedOn w:val="Normal"/>
    <w:next w:val="Normal"/>
    <w:rsid w:val="00B64DBB"/>
    <w:pPr>
      <w:keepLines/>
      <w:spacing w:after="140" w:line="320" w:lineRule="atLeast"/>
      <w:ind w:left="547" w:right="547"/>
    </w:pPr>
    <w:rPr>
      <w:sz w:val="24"/>
    </w:rPr>
  </w:style>
  <w:style w:type="paragraph" w:customStyle="1" w:styleId="Folios">
    <w:name w:val="Folios"/>
    <w:basedOn w:val="Normal"/>
    <w:rsid w:val="00B64DBB"/>
    <w:rPr>
      <w:rFonts w:ascii="Arial" w:hAnsi="Arial"/>
      <w:i/>
    </w:rPr>
  </w:style>
  <w:style w:type="paragraph" w:styleId="Footer">
    <w:name w:val="footer"/>
    <w:basedOn w:val="Folios"/>
    <w:link w:val="FooterChar"/>
    <w:rsid w:val="00B64DBB"/>
    <w:pPr>
      <w:tabs>
        <w:tab w:val="right" w:pos="8640"/>
      </w:tabs>
      <w:spacing w:after="0" w:line="240" w:lineRule="auto"/>
      <w:ind w:right="-187"/>
    </w:pPr>
    <w:rPr>
      <w:i w:val="0"/>
      <w:sz w:val="16"/>
    </w:rPr>
  </w:style>
  <w:style w:type="character" w:customStyle="1" w:styleId="FooterChar">
    <w:name w:val="Footer Char"/>
    <w:basedOn w:val="DefaultParagraphFont"/>
    <w:link w:val="Footer"/>
    <w:rsid w:val="00B64DBB"/>
    <w:rPr>
      <w:rFonts w:ascii="Arial" w:eastAsiaTheme="minorEastAsia" w:hAnsi="Arial" w:cs="Times New Roman"/>
      <w:sz w:val="16"/>
      <w:lang w:eastAsia="ja-JP" w:bidi="ar-SA"/>
    </w:rPr>
  </w:style>
  <w:style w:type="character" w:styleId="FootnoteReference">
    <w:name w:val="footnote reference"/>
    <w:basedOn w:val="DefaultParagraphFont"/>
    <w:rsid w:val="00B64DBB"/>
    <w:rPr>
      <w:rFonts w:ascii="Times New Roman" w:hAnsi="Times New Roman"/>
      <w:color w:val="auto"/>
      <w:position w:val="6"/>
      <w:sz w:val="18"/>
    </w:rPr>
  </w:style>
  <w:style w:type="paragraph" w:styleId="FootnoteText">
    <w:name w:val="footnote text"/>
    <w:basedOn w:val="Normal"/>
    <w:link w:val="FootnoteTextChar"/>
    <w:rsid w:val="00B64DBB"/>
    <w:pPr>
      <w:spacing w:after="120" w:line="320" w:lineRule="atLeast"/>
      <w:jc w:val="both"/>
    </w:pPr>
    <w:rPr>
      <w:sz w:val="24"/>
    </w:rPr>
  </w:style>
  <w:style w:type="character" w:customStyle="1" w:styleId="FootnoteTextChar">
    <w:name w:val="Footnote Text Char"/>
    <w:basedOn w:val="DefaultParagraphFont"/>
    <w:link w:val="FootnoteText"/>
    <w:rsid w:val="00B64DBB"/>
    <w:rPr>
      <w:rFonts w:ascii="Times New Roman" w:eastAsiaTheme="minorEastAsia" w:hAnsi="Times New Roman" w:cs="Times New Roman"/>
      <w:lang w:eastAsia="ja-JP" w:bidi="ar-SA"/>
    </w:rPr>
  </w:style>
  <w:style w:type="paragraph" w:styleId="Header">
    <w:name w:val="header"/>
    <w:basedOn w:val="Folios"/>
    <w:link w:val="HeaderChar"/>
    <w:uiPriority w:val="99"/>
    <w:rsid w:val="00B64DBB"/>
    <w:pPr>
      <w:tabs>
        <w:tab w:val="center" w:pos="4320"/>
      </w:tabs>
      <w:spacing w:after="80"/>
    </w:pPr>
  </w:style>
  <w:style w:type="character" w:customStyle="1" w:styleId="HeaderChar">
    <w:name w:val="Header Char"/>
    <w:basedOn w:val="DefaultParagraphFont"/>
    <w:link w:val="Header"/>
    <w:uiPriority w:val="99"/>
    <w:rsid w:val="00B64DBB"/>
    <w:rPr>
      <w:rFonts w:ascii="Arial" w:eastAsiaTheme="minorEastAsia" w:hAnsi="Arial" w:cs="Times New Roman"/>
      <w:i/>
      <w:sz w:val="26"/>
      <w:lang w:eastAsia="ja-JP" w:bidi="ar-SA"/>
    </w:rPr>
  </w:style>
  <w:style w:type="paragraph" w:styleId="List">
    <w:name w:val="List"/>
    <w:basedOn w:val="Normal"/>
    <w:rsid w:val="00B64DBB"/>
    <w:pPr>
      <w:ind w:left="547" w:hanging="547"/>
    </w:pPr>
  </w:style>
  <w:style w:type="paragraph" w:customStyle="1" w:styleId="Q">
    <w:name w:val="Q:"/>
    <w:basedOn w:val="Normal"/>
    <w:next w:val="A"/>
    <w:rsid w:val="00B64DBB"/>
    <w:pPr>
      <w:spacing w:before="200" w:after="120" w:line="320" w:lineRule="exact"/>
      <w:ind w:hanging="540"/>
    </w:pPr>
    <w:rPr>
      <w:b/>
    </w:rPr>
  </w:style>
  <w:style w:type="paragraph" w:customStyle="1" w:styleId="Subhead">
    <w:name w:val="Subhead"/>
    <w:basedOn w:val="Normal"/>
    <w:next w:val="Normal"/>
    <w:rsid w:val="00B64DBB"/>
    <w:pPr>
      <w:keepNext/>
      <w:keepLines/>
      <w:spacing w:before="100" w:after="40"/>
    </w:pPr>
    <w:rPr>
      <w:b/>
    </w:rPr>
  </w:style>
  <w:style w:type="paragraph" w:styleId="Subtitle">
    <w:name w:val="Subtitle"/>
    <w:basedOn w:val="Normal"/>
    <w:link w:val="SubtitleChar"/>
    <w:qFormat/>
    <w:rsid w:val="00B64DBB"/>
    <w:pPr>
      <w:spacing w:after="320"/>
      <w:jc w:val="center"/>
    </w:pPr>
    <w:rPr>
      <w:rFonts w:ascii="Arial" w:hAnsi="Arial"/>
      <w:i/>
      <w:sz w:val="32"/>
    </w:rPr>
  </w:style>
  <w:style w:type="character" w:customStyle="1" w:styleId="SubtitleChar">
    <w:name w:val="Subtitle Char"/>
    <w:basedOn w:val="DefaultParagraphFont"/>
    <w:link w:val="Subtitle"/>
    <w:rsid w:val="00B64DBB"/>
    <w:rPr>
      <w:rFonts w:ascii="Arial" w:eastAsiaTheme="minorEastAsia" w:hAnsi="Arial" w:cs="Times New Roman"/>
      <w:i/>
      <w:sz w:val="32"/>
      <w:lang w:eastAsia="ja-JP" w:bidi="ar-SA"/>
    </w:rPr>
  </w:style>
  <w:style w:type="paragraph" w:customStyle="1" w:styleId="Table">
    <w:name w:val="Table"/>
    <w:basedOn w:val="Normal"/>
    <w:rsid w:val="00B64DBB"/>
    <w:pPr>
      <w:spacing w:before="80" w:after="0" w:line="240" w:lineRule="auto"/>
    </w:pPr>
    <w:rPr>
      <w:rFonts w:ascii="Arial" w:hAnsi="Arial"/>
      <w:sz w:val="20"/>
    </w:rPr>
  </w:style>
  <w:style w:type="paragraph" w:customStyle="1" w:styleId="Testimony">
    <w:name w:val="Testimony"/>
    <w:basedOn w:val="Normal"/>
    <w:rsid w:val="00B64DBB"/>
    <w:pPr>
      <w:tabs>
        <w:tab w:val="left" w:pos="1440"/>
      </w:tabs>
      <w:ind w:left="720" w:firstLine="540"/>
    </w:pPr>
  </w:style>
  <w:style w:type="paragraph" w:styleId="Title">
    <w:name w:val="Title"/>
    <w:basedOn w:val="Normal"/>
    <w:next w:val="Normal"/>
    <w:link w:val="TitleChar"/>
    <w:qFormat/>
    <w:rsid w:val="00B64DBB"/>
    <w:pPr>
      <w:spacing w:line="480" w:lineRule="atLeast"/>
      <w:jc w:val="center"/>
    </w:pPr>
    <w:rPr>
      <w:rFonts w:ascii="Arial" w:hAnsi="Arial"/>
      <w:b/>
      <w:sz w:val="44"/>
    </w:rPr>
  </w:style>
  <w:style w:type="character" w:customStyle="1" w:styleId="TitleChar">
    <w:name w:val="Title Char"/>
    <w:basedOn w:val="DefaultParagraphFont"/>
    <w:link w:val="Title"/>
    <w:rsid w:val="00B64DBB"/>
    <w:rPr>
      <w:rFonts w:ascii="Arial" w:eastAsiaTheme="minorEastAsia" w:hAnsi="Arial" w:cs="Times New Roman"/>
      <w:b/>
      <w:sz w:val="44"/>
      <w:lang w:eastAsia="ja-JP" w:bidi="ar-SA"/>
    </w:rPr>
  </w:style>
  <w:style w:type="character" w:styleId="PageNumber">
    <w:name w:val="page number"/>
    <w:basedOn w:val="DefaultParagraphFont"/>
    <w:rsid w:val="00B64DBB"/>
  </w:style>
  <w:style w:type="paragraph" w:styleId="BalloonText">
    <w:name w:val="Balloon Text"/>
    <w:basedOn w:val="Normal"/>
    <w:link w:val="BalloonTextChar"/>
    <w:uiPriority w:val="99"/>
    <w:semiHidden/>
    <w:unhideWhenUsed/>
    <w:rsid w:val="00B64DB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4DBB"/>
    <w:rPr>
      <w:rFonts w:ascii="Lucida Grande" w:eastAsiaTheme="minorEastAsia" w:hAnsi="Lucida Grande" w:cs="Lucida Grande"/>
      <w:sz w:val="18"/>
      <w:szCs w:val="18"/>
      <w:lang w:eastAsia="ja-JP" w:bidi="ar-SA"/>
    </w:rPr>
  </w:style>
  <w:style w:type="paragraph" w:styleId="ListParagraph">
    <w:name w:val="List Paragraph"/>
    <w:basedOn w:val="Normal"/>
    <w:uiPriority w:val="34"/>
    <w:qFormat/>
    <w:rsid w:val="00B535BC"/>
    <w:pPr>
      <w:widowControl w:val="0"/>
      <w:spacing w:after="120" w:line="240" w:lineRule="auto"/>
      <w:ind w:left="720"/>
      <w:contextualSpacing/>
    </w:pPr>
    <w:rPr>
      <w:rFonts w:eastAsia="ヒラギノ角ゴ Pro W3"/>
      <w:color w:val="000000"/>
      <w:sz w:val="24"/>
    </w:rPr>
  </w:style>
  <w:style w:type="paragraph" w:customStyle="1" w:styleId="Default">
    <w:name w:val="Default"/>
    <w:rsid w:val="00885288"/>
    <w:pPr>
      <w:widowControl w:val="0"/>
      <w:autoSpaceDE w:val="0"/>
      <w:autoSpaceDN w:val="0"/>
      <w:adjustRightInd w:val="0"/>
    </w:pPr>
    <w:rPr>
      <w:rFonts w:ascii="TYCZGQ+TimesNewRomanPS-BoldMT" w:eastAsiaTheme="minorEastAsia" w:hAnsi="TYCZGQ+TimesNewRomanPS-BoldMT" w:cs="TYCZGQ+TimesNewRomanPS-BoldMT"/>
      <w:color w:val="000000"/>
      <w:lang w:bidi="ar-SA"/>
    </w:rPr>
  </w:style>
  <w:style w:type="character" w:styleId="CommentReference">
    <w:name w:val="annotation reference"/>
    <w:basedOn w:val="DefaultParagraphFont"/>
    <w:uiPriority w:val="99"/>
    <w:semiHidden/>
    <w:unhideWhenUsed/>
    <w:rsid w:val="005448BF"/>
    <w:rPr>
      <w:sz w:val="16"/>
      <w:szCs w:val="16"/>
    </w:rPr>
  </w:style>
  <w:style w:type="paragraph" w:styleId="CommentText">
    <w:name w:val="annotation text"/>
    <w:basedOn w:val="Normal"/>
    <w:link w:val="CommentTextChar"/>
    <w:uiPriority w:val="99"/>
    <w:semiHidden/>
    <w:unhideWhenUsed/>
    <w:rsid w:val="005448BF"/>
    <w:pPr>
      <w:spacing w:line="240" w:lineRule="auto"/>
    </w:pPr>
    <w:rPr>
      <w:sz w:val="20"/>
      <w:szCs w:val="20"/>
    </w:rPr>
  </w:style>
  <w:style w:type="character" w:customStyle="1" w:styleId="CommentTextChar">
    <w:name w:val="Comment Text Char"/>
    <w:basedOn w:val="DefaultParagraphFont"/>
    <w:link w:val="CommentText"/>
    <w:uiPriority w:val="99"/>
    <w:semiHidden/>
    <w:rsid w:val="005448BF"/>
    <w:rPr>
      <w:sz w:val="20"/>
      <w:szCs w:val="20"/>
      <w:lang w:bidi="ar-SA"/>
    </w:rPr>
  </w:style>
  <w:style w:type="paragraph" w:styleId="CommentSubject">
    <w:name w:val="annotation subject"/>
    <w:basedOn w:val="CommentText"/>
    <w:next w:val="CommentText"/>
    <w:link w:val="CommentSubjectChar"/>
    <w:uiPriority w:val="99"/>
    <w:semiHidden/>
    <w:unhideWhenUsed/>
    <w:rsid w:val="005448BF"/>
    <w:rPr>
      <w:b/>
      <w:bCs/>
    </w:rPr>
  </w:style>
  <w:style w:type="character" w:customStyle="1" w:styleId="CommentSubjectChar">
    <w:name w:val="Comment Subject Char"/>
    <w:basedOn w:val="CommentTextChar"/>
    <w:link w:val="CommentSubject"/>
    <w:uiPriority w:val="99"/>
    <w:semiHidden/>
    <w:rsid w:val="005448BF"/>
    <w:rPr>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894486">
      <w:bodyDiv w:val="1"/>
      <w:marLeft w:val="0"/>
      <w:marRight w:val="0"/>
      <w:marTop w:val="0"/>
      <w:marBottom w:val="0"/>
      <w:divBdr>
        <w:top w:val="none" w:sz="0" w:space="0" w:color="auto"/>
        <w:left w:val="none" w:sz="0" w:space="0" w:color="auto"/>
        <w:bottom w:val="none" w:sz="0" w:space="0" w:color="auto"/>
        <w:right w:val="none" w:sz="0" w:space="0" w:color="auto"/>
      </w:divBdr>
    </w:div>
    <w:div w:id="1252591953">
      <w:bodyDiv w:val="1"/>
      <w:marLeft w:val="0"/>
      <w:marRight w:val="0"/>
      <w:marTop w:val="0"/>
      <w:marBottom w:val="0"/>
      <w:divBdr>
        <w:top w:val="none" w:sz="0" w:space="0" w:color="auto"/>
        <w:left w:val="none" w:sz="0" w:space="0" w:color="auto"/>
        <w:bottom w:val="none" w:sz="0" w:space="0" w:color="auto"/>
        <w:right w:val="none" w:sz="0" w:space="0" w:color="auto"/>
      </w:divBdr>
    </w:div>
    <w:div w:id="199695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D88087D44EFC4DBA49FC93C76641D8" ma:contentTypeVersion="35" ma:contentTypeDescription="Create a new document." ma:contentTypeScope="" ma:versionID="21982433da38e3836fd4afa4fee2fcff">
  <xsd:schema xmlns:xsd="http://www.w3.org/2001/XMLSchema" xmlns:xs="http://www.w3.org/2001/XMLSchema" xmlns:p="http://schemas.microsoft.com/office/2006/metadata/properties" xmlns:ns2="e4a291b2-2d89-402c-8e64-a2fe3eab2247" xmlns:ns3="http://schemas.microsoft.com/sharepoint/v4" xmlns:ns4="3a0c425c-8a18-4bcd-b07b-a947f609ef0c" targetNamespace="http://schemas.microsoft.com/office/2006/metadata/properties" ma:root="true" ma:fieldsID="28e4a3c50caa40e74decb20f57a1d38f" ns2:_="" ns3:_="" ns4:_="">
    <xsd:import namespace="e4a291b2-2d89-402c-8e64-a2fe3eab2247"/>
    <xsd:import namespace="http://schemas.microsoft.com/sharepoint/v4"/>
    <xsd:import namespace="3a0c425c-8a18-4bcd-b07b-a947f609ef0c"/>
    <xsd:element name="properties">
      <xsd:complexType>
        <xsd:sequence>
          <xsd:element name="documentManagement">
            <xsd:complexType>
              <xsd:all>
                <xsd:element ref="ns2:MediaServiceMetadata" minOccurs="0"/>
                <xsd:element ref="ns2:MediaServiceFastMetadata" minOccurs="0"/>
                <xsd:element ref="ns3:IconOverlay" minOccurs="0"/>
                <xsd:element ref="ns4:TaxCatchAll" minOccurs="0"/>
                <xsd:element ref="ns2:MediaServiceDateTaken" minOccurs="0"/>
                <xsd:element ref="ns2:MediaServiceAutoTags" minOccurs="0"/>
                <xsd:element ref="ns2:MediaServiceLocation" minOccurs="0"/>
                <xsd:element ref="ns4:SharedWithUsers" minOccurs="0"/>
                <xsd:element ref="ns4:SharedWithDetails" minOccurs="0"/>
                <xsd:element ref="ns4:Program_x0020_Statu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291b2-2d89-402c-8e64-a2fe3eab2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0c425c-8a18-4bcd-b07b-a947f609ef0c"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1b239220-5a85-457b-a783-6fb5b40e5e3f}" ma:internalName="TaxCatchAll" ma:showField="CatchAllData" ma:web="3a0c425c-8a18-4bcd-b07b-a947f609ef0c">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Program_x0020_Status" ma:index="18" nillable="true" ma:displayName="Program Status" ma:format="Dropdown" ma:indexed="true" ma:internalName="Program_x0020_Status">
      <xsd:simpleType>
        <xsd:restriction base="dms:Choice">
          <xsd:enumeration value="Approved"/>
          <xsd:enumeration value="Potential/Pending"/>
          <xsd:enumeration value="Not Approved"/>
          <xsd:enumeration value="Comple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3a0c425c-8a18-4bcd-b07b-a947f609ef0c"/>
    <Program_x0020_Status xmlns="3a0c425c-8a18-4bcd-b07b-a947f609ef0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A75C8-8A59-4855-B896-34C5392A6809}">
  <ds:schemaRefs>
    <ds:schemaRef ds:uri="http://schemas.microsoft.com/sharepoint/v3/contenttype/forms"/>
  </ds:schemaRefs>
</ds:datastoreItem>
</file>

<file path=customXml/itemProps2.xml><?xml version="1.0" encoding="utf-8"?>
<ds:datastoreItem xmlns:ds="http://schemas.openxmlformats.org/officeDocument/2006/customXml" ds:itemID="{5BDD5740-DA98-4E99-A231-3D45F8863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291b2-2d89-402c-8e64-a2fe3eab2247"/>
    <ds:schemaRef ds:uri="http://schemas.microsoft.com/sharepoint/v4"/>
    <ds:schemaRef ds:uri="3a0c425c-8a18-4bcd-b07b-a947f609e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0F81-BFE8-4318-88DB-15B34D833213}">
  <ds:schemaRefs>
    <ds:schemaRef ds:uri="http://schemas.microsoft.com/office/2006/metadata/properties"/>
    <ds:schemaRef ds:uri="http://schemas.microsoft.com/office/infopath/2007/PartnerControls"/>
    <ds:schemaRef ds:uri="http://schemas.microsoft.com/sharepoint/v4"/>
    <ds:schemaRef ds:uri="3a0c425c-8a18-4bcd-b07b-a947f609ef0c"/>
  </ds:schemaRefs>
</ds:datastoreItem>
</file>

<file path=customXml/itemProps4.xml><?xml version="1.0" encoding="utf-8"?>
<ds:datastoreItem xmlns:ds="http://schemas.openxmlformats.org/officeDocument/2006/customXml" ds:itemID="{77721C12-0299-4C3B-8CB1-FA8A7A15E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Resource Insight, Inc.</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Chernick</dc:creator>
  <cp:keywords/>
  <dc:description/>
  <cp:lastModifiedBy>Marvin, Taylor</cp:lastModifiedBy>
  <cp:revision>94</cp:revision>
  <dcterms:created xsi:type="dcterms:W3CDTF">2019-10-17T20:05:00Z</dcterms:created>
  <dcterms:modified xsi:type="dcterms:W3CDTF">2019-11-08T23:32:00Z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0x01010016D88087D44EFC4DBA49FC93C76641D8</vt:lpwstr>
  </property>
</Properties>
</file>