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FFA2" w14:textId="307A430F" w:rsidR="007D7020" w:rsidRDefault="007D7020" w:rsidP="00653039">
      <w:pPr>
        <w:numPr>
          <w:ilvl w:val="0"/>
          <w:numId w:val="3"/>
        </w:numPr>
        <w:jc w:val="both"/>
      </w:pPr>
      <w:bookmarkStart w:id="0" w:name="_GoBack"/>
      <w:bookmarkEnd w:id="0"/>
      <w:r>
        <w:t>Refer to EVHP Workpapers Chapter 1. Please provide the derivation of the $125/hour charge rate.</w:t>
      </w:r>
    </w:p>
    <w:p w14:paraId="5D6B7023" w14:textId="77777777" w:rsidR="008B4A4A" w:rsidRDefault="008B4A4A" w:rsidP="00653039">
      <w:pPr>
        <w:jc w:val="both"/>
      </w:pPr>
    </w:p>
    <w:p w14:paraId="5D5D9177" w14:textId="7FA44A57" w:rsidR="003F5049" w:rsidRPr="008639EF" w:rsidRDefault="003F5049" w:rsidP="00653039">
      <w:pPr>
        <w:ind w:left="360"/>
        <w:jc w:val="both"/>
        <w:rPr>
          <w:rFonts w:eastAsia="Calibri"/>
        </w:rPr>
      </w:pPr>
      <w:r>
        <w:rPr>
          <w:rFonts w:eastAsia="Calibri"/>
          <w:b/>
        </w:rPr>
        <w:t>SDG&amp;E Response:</w:t>
      </w:r>
      <w:r w:rsidR="00FF2ACD">
        <w:rPr>
          <w:rFonts w:eastAsia="Calibri"/>
          <w:b/>
        </w:rPr>
        <w:t xml:space="preserve"> </w:t>
      </w:r>
      <w:r w:rsidR="008639EF">
        <w:rPr>
          <w:rFonts w:eastAsia="Calibri"/>
        </w:rPr>
        <w:t xml:space="preserve">The provided $125/hour charge is the standard </w:t>
      </w:r>
      <w:r w:rsidR="004022A4">
        <w:rPr>
          <w:rFonts w:eastAsia="Calibri"/>
        </w:rPr>
        <w:t xml:space="preserve">estimated </w:t>
      </w:r>
      <w:r w:rsidR="008639EF">
        <w:rPr>
          <w:rFonts w:eastAsia="Calibri"/>
        </w:rPr>
        <w:t>contractor rate for the relevant SDG&amp;E departments.</w:t>
      </w:r>
    </w:p>
    <w:p w14:paraId="06AE0760" w14:textId="77777777" w:rsidR="003F5049" w:rsidRDefault="003F5049" w:rsidP="00653039">
      <w:pPr>
        <w:ind w:left="360"/>
        <w:jc w:val="both"/>
      </w:pPr>
    </w:p>
    <w:p w14:paraId="6A5DDD2A" w14:textId="7FC652E4" w:rsidR="007D7020" w:rsidRDefault="007D7020" w:rsidP="00653039">
      <w:pPr>
        <w:numPr>
          <w:ilvl w:val="1"/>
          <w:numId w:val="3"/>
        </w:numPr>
        <w:jc w:val="both"/>
      </w:pPr>
      <w:r>
        <w:t>Please identify the job title for each of the three labor categories.</w:t>
      </w:r>
    </w:p>
    <w:p w14:paraId="7666DFD3" w14:textId="77777777" w:rsidR="008E0BCE" w:rsidRDefault="008E0BCE" w:rsidP="00653039">
      <w:pPr>
        <w:ind w:left="1080"/>
        <w:jc w:val="both"/>
      </w:pPr>
    </w:p>
    <w:p w14:paraId="6F4FAF9D" w14:textId="08FF4380" w:rsidR="003F5049" w:rsidRPr="00E50A87" w:rsidRDefault="003F5049" w:rsidP="00653039">
      <w:pPr>
        <w:ind w:left="1080"/>
        <w:jc w:val="both"/>
        <w:rPr>
          <w:rFonts w:eastAsia="Calibri"/>
        </w:rPr>
      </w:pPr>
      <w:r w:rsidRPr="00AC1EEA">
        <w:rPr>
          <w:rFonts w:eastAsia="Calibri"/>
          <w:b/>
          <w:bCs/>
        </w:rPr>
        <w:t>SDG&amp;E Response:</w:t>
      </w:r>
      <w:r w:rsidR="00E50A87" w:rsidRPr="00AC1EEA">
        <w:rPr>
          <w:rFonts w:eastAsia="Calibri"/>
          <w:b/>
          <w:bCs/>
        </w:rPr>
        <w:t xml:space="preserve"> </w:t>
      </w:r>
      <w:r w:rsidR="00E50A87">
        <w:rPr>
          <w:rFonts w:eastAsia="Calibri"/>
        </w:rPr>
        <w:t>As SDG&amp;E has not hired contract</w:t>
      </w:r>
      <w:r w:rsidR="00D23A17">
        <w:rPr>
          <w:rFonts w:eastAsia="Calibri"/>
        </w:rPr>
        <w:t>or</w:t>
      </w:r>
      <w:r w:rsidR="00E50A87">
        <w:rPr>
          <w:rFonts w:eastAsia="Calibri"/>
        </w:rPr>
        <w:t>s for these three labor categories</w:t>
      </w:r>
      <w:r w:rsidR="00D23A17">
        <w:rPr>
          <w:rFonts w:eastAsia="Calibri"/>
        </w:rPr>
        <w:t>,</w:t>
      </w:r>
      <w:r w:rsidR="00E50A87">
        <w:rPr>
          <w:rFonts w:eastAsia="Calibri"/>
        </w:rPr>
        <w:t xml:space="preserve"> the exact job titles of the </w:t>
      </w:r>
      <w:r w:rsidR="00CB1C7A">
        <w:rPr>
          <w:rFonts w:eastAsia="Calibri"/>
        </w:rPr>
        <w:t>personnel who will perform these tasks is not known at this time.</w:t>
      </w:r>
    </w:p>
    <w:p w14:paraId="5FAF9E10" w14:textId="77777777" w:rsidR="003F5049" w:rsidRDefault="003F5049" w:rsidP="00653039">
      <w:pPr>
        <w:ind w:left="720"/>
        <w:jc w:val="both"/>
      </w:pPr>
    </w:p>
    <w:p w14:paraId="2DFA8314" w14:textId="63A58A2D" w:rsidR="007D7020" w:rsidRDefault="007D7020" w:rsidP="00653039">
      <w:pPr>
        <w:numPr>
          <w:ilvl w:val="1"/>
          <w:numId w:val="3"/>
        </w:numPr>
        <w:jc w:val="both"/>
      </w:pPr>
      <w:r>
        <w:t>Please provide the assumed salary for each of the three labor categories.</w:t>
      </w:r>
    </w:p>
    <w:p w14:paraId="60B2C92C" w14:textId="77777777" w:rsidR="008E0BCE" w:rsidRDefault="008E0BCE" w:rsidP="00653039">
      <w:pPr>
        <w:ind w:left="1080"/>
        <w:jc w:val="both"/>
      </w:pPr>
    </w:p>
    <w:p w14:paraId="4F737AB3" w14:textId="0472BC1C" w:rsidR="003F5049" w:rsidRPr="00CB1C7A" w:rsidRDefault="003F5049" w:rsidP="00653039">
      <w:pPr>
        <w:ind w:left="1080"/>
        <w:jc w:val="both"/>
        <w:rPr>
          <w:rFonts w:eastAsia="Calibri"/>
        </w:rPr>
      </w:pPr>
      <w:r>
        <w:rPr>
          <w:rFonts w:eastAsia="Calibri"/>
          <w:b/>
        </w:rPr>
        <w:t>SDG&amp;E Response:</w:t>
      </w:r>
      <w:r w:rsidR="00CB1C7A">
        <w:rPr>
          <w:rFonts w:eastAsia="Calibri"/>
          <w:b/>
        </w:rPr>
        <w:t xml:space="preserve"> </w:t>
      </w:r>
      <w:r w:rsidR="00CB1C7A">
        <w:rPr>
          <w:rFonts w:eastAsia="Calibri"/>
        </w:rPr>
        <w:t xml:space="preserve">The </w:t>
      </w:r>
      <w:r w:rsidR="00F2072E">
        <w:rPr>
          <w:rFonts w:eastAsia="Calibri"/>
        </w:rPr>
        <w:t xml:space="preserve">estimated </w:t>
      </w:r>
      <w:r w:rsidR="00CB1C7A">
        <w:rPr>
          <w:rFonts w:eastAsia="Calibri"/>
        </w:rPr>
        <w:t>salary of the contracte</w:t>
      </w:r>
      <w:r w:rsidR="00826CC6">
        <w:rPr>
          <w:rFonts w:eastAsia="Calibri"/>
        </w:rPr>
        <w:t xml:space="preserve">d personnel who will perform the manual billing tasks is </w:t>
      </w:r>
      <w:r w:rsidR="00554301">
        <w:rPr>
          <w:rFonts w:eastAsia="Calibri"/>
        </w:rPr>
        <w:t>$125</w:t>
      </w:r>
      <w:r w:rsidR="00435AEF">
        <w:rPr>
          <w:rFonts w:eastAsia="Calibri"/>
        </w:rPr>
        <w:t>/hour</w:t>
      </w:r>
      <w:r w:rsidR="00826CC6">
        <w:rPr>
          <w:rFonts w:eastAsia="Calibri"/>
        </w:rPr>
        <w:t>.</w:t>
      </w:r>
    </w:p>
    <w:p w14:paraId="2DD7EB88" w14:textId="77777777" w:rsidR="003F5049" w:rsidRDefault="003F5049" w:rsidP="00653039">
      <w:pPr>
        <w:ind w:left="720"/>
        <w:jc w:val="both"/>
      </w:pPr>
    </w:p>
    <w:p w14:paraId="7E83628A" w14:textId="45DC7B3E" w:rsidR="007D7020" w:rsidRDefault="007D7020" w:rsidP="00653039">
      <w:pPr>
        <w:numPr>
          <w:ilvl w:val="1"/>
          <w:numId w:val="3"/>
        </w:numPr>
        <w:jc w:val="both"/>
      </w:pPr>
      <w:r>
        <w:t>Please provide SDG&amp;E’s adder for labor costs, and the derivation thereof.</w:t>
      </w:r>
    </w:p>
    <w:p w14:paraId="3670E6B2" w14:textId="77777777" w:rsidR="008E0BCE" w:rsidRDefault="008E0BCE" w:rsidP="00653039">
      <w:pPr>
        <w:ind w:left="1080"/>
        <w:jc w:val="both"/>
      </w:pPr>
    </w:p>
    <w:p w14:paraId="60C5EFFA" w14:textId="252B77F5" w:rsidR="005E3F4F" w:rsidRPr="006C6143" w:rsidRDefault="005E3F4F" w:rsidP="00653039">
      <w:pPr>
        <w:ind w:left="1080"/>
        <w:jc w:val="both"/>
        <w:rPr>
          <w:rFonts w:eastAsia="Calibri"/>
        </w:rPr>
      </w:pPr>
      <w:r>
        <w:rPr>
          <w:rFonts w:eastAsia="Calibri"/>
          <w:b/>
        </w:rPr>
        <w:t>SDG&amp;E Response:</w:t>
      </w:r>
      <w:r w:rsidR="006C6143">
        <w:rPr>
          <w:rFonts w:eastAsia="Calibri"/>
          <w:b/>
        </w:rPr>
        <w:t xml:space="preserve"> </w:t>
      </w:r>
      <w:r w:rsidR="00A62D12">
        <w:rPr>
          <w:rFonts w:eastAsia="Calibri"/>
        </w:rPr>
        <w:t xml:space="preserve">Since SDG&amp;E will be using contracted labor to manually bill the proposed interim rate discount, these direct costs are not subject to the same labor related overheads as internal </w:t>
      </w:r>
      <w:r w:rsidR="006C6143">
        <w:rPr>
          <w:rFonts w:eastAsia="Calibri"/>
        </w:rPr>
        <w:t xml:space="preserve">SDG&amp;E </w:t>
      </w:r>
      <w:r w:rsidR="00A62D12">
        <w:rPr>
          <w:rFonts w:eastAsia="Calibri"/>
        </w:rPr>
        <w:t>resources. For contracted labor costs, SDG&amp;E is applying an estimated loader of 1% which is comprised of the applicable overheads</w:t>
      </w:r>
      <w:r w:rsidR="00D87145">
        <w:rPr>
          <w:rFonts w:eastAsia="Calibri"/>
        </w:rPr>
        <w:t xml:space="preserve"> </w:t>
      </w:r>
      <w:r w:rsidR="0052034D">
        <w:rPr>
          <w:rFonts w:eastAsia="Calibri"/>
        </w:rPr>
        <w:t>for O&amp;M non-labor purchased services</w:t>
      </w:r>
      <w:r w:rsidR="00D87145">
        <w:rPr>
          <w:rFonts w:eastAsia="Calibri"/>
        </w:rPr>
        <w:t>.</w:t>
      </w:r>
    </w:p>
    <w:p w14:paraId="58521A40" w14:textId="77777777" w:rsidR="005E3F4F" w:rsidRDefault="005E3F4F" w:rsidP="00653039">
      <w:pPr>
        <w:ind w:left="1080"/>
        <w:jc w:val="both"/>
      </w:pPr>
    </w:p>
    <w:p w14:paraId="116844E4" w14:textId="249424C9" w:rsidR="007D7020" w:rsidRDefault="007D7020" w:rsidP="00653039">
      <w:pPr>
        <w:numPr>
          <w:ilvl w:val="1"/>
          <w:numId w:val="3"/>
        </w:numPr>
        <w:jc w:val="both"/>
      </w:pPr>
      <w:r>
        <w:t xml:space="preserve">Does SDG&amp;E agree that its reported </w:t>
      </w:r>
      <w:r w:rsidRPr="00271E16">
        <w:t>Pensions and Benefits</w:t>
      </w:r>
      <w:r>
        <w:t xml:space="preserve"> from the 2018 FERC Form 1 (p. 323) is about 18% of SDG&amp;E Payroll (2018 FERC Form 1, p. 355)? </w:t>
      </w:r>
    </w:p>
    <w:p w14:paraId="06CFE1B0" w14:textId="77777777" w:rsidR="008E0BCE" w:rsidRDefault="008E0BCE" w:rsidP="00653039">
      <w:pPr>
        <w:ind w:left="360" w:firstLine="720"/>
        <w:jc w:val="both"/>
        <w:rPr>
          <w:rFonts w:eastAsia="Calibri"/>
          <w:b/>
        </w:rPr>
      </w:pPr>
    </w:p>
    <w:p w14:paraId="47D96627" w14:textId="6EB14E53" w:rsidR="00A62D12" w:rsidRDefault="005E3F4F" w:rsidP="00653039">
      <w:pPr>
        <w:ind w:left="1080"/>
        <w:jc w:val="both"/>
        <w:rPr>
          <w:rFonts w:eastAsia="Calibri"/>
          <w:b/>
        </w:rPr>
      </w:pPr>
      <w:r>
        <w:rPr>
          <w:rFonts w:eastAsia="Calibri"/>
          <w:b/>
        </w:rPr>
        <w:t>SDG&amp;E Response:</w:t>
      </w:r>
      <w:r w:rsidR="00653039">
        <w:rPr>
          <w:rFonts w:eastAsia="Calibri"/>
          <w:b/>
        </w:rPr>
        <w:t xml:space="preserve"> </w:t>
      </w:r>
      <w:r w:rsidR="00A62D12">
        <w:rPr>
          <w:rFonts w:eastAsia="Calibri"/>
        </w:rPr>
        <w:t>This question is not applicable since SDG&amp;E will be using contracted labor to manually bill the proposed interim rate discount.</w:t>
      </w:r>
    </w:p>
    <w:p w14:paraId="6253FA20" w14:textId="77777777" w:rsidR="005E3F4F" w:rsidRDefault="005E3F4F" w:rsidP="00653039">
      <w:pPr>
        <w:jc w:val="both"/>
      </w:pPr>
    </w:p>
    <w:p w14:paraId="6827A2F0" w14:textId="4AB1A8F1" w:rsidR="007D7020" w:rsidRDefault="007D7020" w:rsidP="00653039">
      <w:pPr>
        <w:numPr>
          <w:ilvl w:val="2"/>
          <w:numId w:val="3"/>
        </w:numPr>
        <w:jc w:val="both"/>
      </w:pPr>
      <w:r>
        <w:t>If SDG&amp;E does not use a pension and benefit adder close to that value, please explain why, provide the pension and benefit adder it uses, and provide the derivation of that adder.</w:t>
      </w:r>
    </w:p>
    <w:p w14:paraId="77B455D2" w14:textId="77777777" w:rsidR="008E0BCE" w:rsidRDefault="008E0BCE" w:rsidP="00653039">
      <w:pPr>
        <w:ind w:left="1800"/>
        <w:jc w:val="both"/>
        <w:rPr>
          <w:rFonts w:eastAsia="Calibri"/>
          <w:b/>
        </w:rPr>
      </w:pPr>
    </w:p>
    <w:p w14:paraId="688D000E" w14:textId="7011D8BA" w:rsidR="005E3F4F" w:rsidRPr="00D87145" w:rsidRDefault="005E3F4F" w:rsidP="00653039">
      <w:pPr>
        <w:ind w:left="1800"/>
        <w:jc w:val="both"/>
        <w:rPr>
          <w:rFonts w:eastAsia="Calibri"/>
        </w:rPr>
      </w:pPr>
      <w:r>
        <w:rPr>
          <w:rFonts w:eastAsia="Calibri"/>
          <w:b/>
        </w:rPr>
        <w:t>SDG&amp;E Response:</w:t>
      </w:r>
      <w:r w:rsidR="00D87145">
        <w:rPr>
          <w:rFonts w:eastAsia="Calibri"/>
          <w:b/>
        </w:rPr>
        <w:t xml:space="preserve"> </w:t>
      </w:r>
      <w:r w:rsidR="00D87145">
        <w:rPr>
          <w:rFonts w:eastAsia="Calibri"/>
        </w:rPr>
        <w:t>Since SDG&amp;E will be using contract</w:t>
      </w:r>
      <w:r w:rsidR="00D23A17">
        <w:rPr>
          <w:rFonts w:eastAsia="Calibri"/>
        </w:rPr>
        <w:t>ed</w:t>
      </w:r>
      <w:r w:rsidR="00D87145">
        <w:rPr>
          <w:rFonts w:eastAsia="Calibri"/>
        </w:rPr>
        <w:t xml:space="preserve"> labor to manually bill the proposed interim rate discount </w:t>
      </w:r>
      <w:r w:rsidR="002713B5">
        <w:rPr>
          <w:rFonts w:eastAsia="Calibri"/>
        </w:rPr>
        <w:t>this question is not applicable.</w:t>
      </w:r>
      <w:r w:rsidR="00A62D12">
        <w:rPr>
          <w:rFonts w:eastAsia="Calibri"/>
        </w:rPr>
        <w:t xml:space="preserve"> See the response to question 1c.</w:t>
      </w:r>
    </w:p>
    <w:p w14:paraId="1CAB0935" w14:textId="77777777" w:rsidR="005E3F4F" w:rsidRDefault="005E3F4F" w:rsidP="00653039">
      <w:pPr>
        <w:ind w:left="1800"/>
        <w:jc w:val="both"/>
      </w:pPr>
    </w:p>
    <w:p w14:paraId="53A2AF4C" w14:textId="04481612" w:rsidR="007D7020" w:rsidRDefault="007D7020" w:rsidP="00653039">
      <w:pPr>
        <w:numPr>
          <w:ilvl w:val="1"/>
          <w:numId w:val="3"/>
        </w:numPr>
        <w:jc w:val="both"/>
      </w:pPr>
      <w:r>
        <w:t xml:space="preserve">Does SDG&amp;E agree that its reported payroll taxes from the 2018 FERC Form 1 (p. 262) is about 13% of SDG&amp;E Payroll (2018 FERC Form 1, p. 355)? </w:t>
      </w:r>
    </w:p>
    <w:p w14:paraId="377E40AD" w14:textId="2DCB92AC" w:rsidR="005E3F4F" w:rsidRPr="002713B5" w:rsidRDefault="005E3F4F" w:rsidP="00653039">
      <w:pPr>
        <w:ind w:left="1080"/>
        <w:jc w:val="both"/>
        <w:rPr>
          <w:rFonts w:eastAsia="Calibri"/>
        </w:rPr>
      </w:pPr>
      <w:r>
        <w:rPr>
          <w:rFonts w:eastAsia="Calibri"/>
          <w:b/>
        </w:rPr>
        <w:lastRenderedPageBreak/>
        <w:t>SDG&amp;E Response:</w:t>
      </w:r>
      <w:r w:rsidR="002713B5">
        <w:rPr>
          <w:rFonts w:eastAsia="Calibri"/>
          <w:b/>
        </w:rPr>
        <w:t xml:space="preserve"> </w:t>
      </w:r>
      <w:r w:rsidR="00D23A17">
        <w:rPr>
          <w:rFonts w:eastAsia="Calibri"/>
        </w:rPr>
        <w:t>Since SDG&amp;E will be using contracted labor to manually bill the proposed interim rate discount this question is not applicable.</w:t>
      </w:r>
    </w:p>
    <w:p w14:paraId="5C83631D" w14:textId="77777777" w:rsidR="005E3F4F" w:rsidRDefault="005E3F4F" w:rsidP="00653039">
      <w:pPr>
        <w:ind w:left="1080"/>
        <w:jc w:val="both"/>
      </w:pPr>
    </w:p>
    <w:p w14:paraId="232BD5D8" w14:textId="01841155" w:rsidR="007D7020" w:rsidRDefault="007D7020" w:rsidP="00653039">
      <w:pPr>
        <w:numPr>
          <w:ilvl w:val="2"/>
          <w:numId w:val="3"/>
        </w:numPr>
        <w:jc w:val="both"/>
      </w:pPr>
      <w:r>
        <w:t>If SDG&amp;E does not use a payroll tax adder close to that value, please explain why, provide the adder it uses, and provide the derivation of that adder.</w:t>
      </w:r>
    </w:p>
    <w:p w14:paraId="1ED0C420" w14:textId="77777777" w:rsidR="008E0BCE" w:rsidRDefault="008E0BCE" w:rsidP="00653039">
      <w:pPr>
        <w:ind w:left="1080"/>
        <w:jc w:val="both"/>
        <w:rPr>
          <w:rFonts w:eastAsia="Calibri"/>
          <w:b/>
        </w:rPr>
      </w:pPr>
    </w:p>
    <w:p w14:paraId="1B320C51" w14:textId="1B303D5C" w:rsidR="00D86F3E" w:rsidRDefault="005E3F4F" w:rsidP="00653039">
      <w:pPr>
        <w:ind w:left="1800"/>
        <w:jc w:val="both"/>
        <w:rPr>
          <w:rFonts w:eastAsia="Calibri"/>
          <w:b/>
        </w:rPr>
      </w:pPr>
      <w:r>
        <w:rPr>
          <w:rFonts w:eastAsia="Calibri"/>
          <w:b/>
        </w:rPr>
        <w:t>SDG&amp;E Response:</w:t>
      </w:r>
      <w:r w:rsidR="002713B5">
        <w:rPr>
          <w:rFonts w:eastAsia="Calibri"/>
          <w:b/>
        </w:rPr>
        <w:t xml:space="preserve"> </w:t>
      </w:r>
      <w:r w:rsidR="00D86F3E">
        <w:rPr>
          <w:rFonts w:eastAsia="Calibri"/>
        </w:rPr>
        <w:t>This question is not applicable since SDG&amp;E will be using contracted labor to manually bill the proposed interim rate discount.</w:t>
      </w:r>
    </w:p>
    <w:p w14:paraId="42998D3F" w14:textId="77777777" w:rsidR="005E3F4F" w:rsidRDefault="005E3F4F" w:rsidP="00653039">
      <w:pPr>
        <w:ind w:left="1080" w:firstLine="720"/>
        <w:jc w:val="both"/>
      </w:pPr>
    </w:p>
    <w:p w14:paraId="63B79423" w14:textId="6E66EF97" w:rsidR="007D7020" w:rsidRDefault="007D7020" w:rsidP="00653039">
      <w:pPr>
        <w:numPr>
          <w:ilvl w:val="1"/>
          <w:numId w:val="3"/>
        </w:numPr>
        <w:jc w:val="both"/>
      </w:pPr>
      <w:r>
        <w:t>Please list all other overhead costs that SDG&amp;E expects to incur to support the three employees listed in this workpaper.</w:t>
      </w:r>
    </w:p>
    <w:p w14:paraId="1ADD7BD9" w14:textId="77777777" w:rsidR="008E0BCE" w:rsidRDefault="008E0BCE" w:rsidP="00653039">
      <w:pPr>
        <w:ind w:left="1080"/>
        <w:jc w:val="both"/>
        <w:rPr>
          <w:rFonts w:eastAsia="Calibri"/>
          <w:b/>
        </w:rPr>
      </w:pPr>
    </w:p>
    <w:p w14:paraId="6F0EEDC3" w14:textId="4A00C6F5" w:rsidR="0033380A" w:rsidRPr="006C6143" w:rsidRDefault="003F5049" w:rsidP="00653039">
      <w:pPr>
        <w:ind w:left="1080"/>
        <w:jc w:val="both"/>
        <w:rPr>
          <w:rFonts w:eastAsia="Calibri"/>
        </w:rPr>
      </w:pPr>
      <w:r>
        <w:rPr>
          <w:rFonts w:eastAsia="Calibri"/>
          <w:b/>
        </w:rPr>
        <w:t>SDG&amp;E Response:</w:t>
      </w:r>
      <w:r w:rsidR="0033380A">
        <w:rPr>
          <w:rFonts w:eastAsia="Calibri"/>
          <w:b/>
        </w:rPr>
        <w:t xml:space="preserve"> </w:t>
      </w:r>
      <w:r w:rsidR="00361EDC">
        <w:rPr>
          <w:rFonts w:eastAsia="Calibri"/>
        </w:rPr>
        <w:t>See response to question 1c.</w:t>
      </w:r>
    </w:p>
    <w:p w14:paraId="7E025542" w14:textId="77777777" w:rsidR="003F5049" w:rsidRDefault="003F5049" w:rsidP="00653039">
      <w:pPr>
        <w:jc w:val="both"/>
      </w:pPr>
    </w:p>
    <w:p w14:paraId="14BAE64C" w14:textId="4F114A18" w:rsidR="007D7020" w:rsidRDefault="007D7020" w:rsidP="00653039">
      <w:pPr>
        <w:numPr>
          <w:ilvl w:val="0"/>
          <w:numId w:val="3"/>
        </w:numPr>
        <w:jc w:val="both"/>
      </w:pPr>
      <w:r>
        <w:t xml:space="preserve">Refer to EVHP Workpapers Chapter 1. </w:t>
      </w:r>
    </w:p>
    <w:p w14:paraId="65546869" w14:textId="77777777" w:rsidR="0034759C" w:rsidRDefault="0034759C" w:rsidP="00653039">
      <w:pPr>
        <w:jc w:val="both"/>
      </w:pPr>
    </w:p>
    <w:p w14:paraId="6121B472" w14:textId="7A8EDCD2" w:rsidR="007D7020" w:rsidRDefault="007D7020" w:rsidP="00653039">
      <w:pPr>
        <w:numPr>
          <w:ilvl w:val="1"/>
          <w:numId w:val="3"/>
        </w:numPr>
        <w:jc w:val="both"/>
      </w:pPr>
      <w:r>
        <w:t xml:space="preserve">Please provide the number of EV HP customers that SDG&amp;E expects to bill for each listed month, or the plausible range of that number. </w:t>
      </w:r>
    </w:p>
    <w:p w14:paraId="148A10D8" w14:textId="77777777" w:rsidR="008E0BCE" w:rsidRDefault="008E0BCE" w:rsidP="00653039">
      <w:pPr>
        <w:ind w:left="1080"/>
        <w:jc w:val="both"/>
        <w:rPr>
          <w:rFonts w:eastAsia="Calibri"/>
          <w:b/>
          <w:bCs/>
        </w:rPr>
      </w:pPr>
    </w:p>
    <w:p w14:paraId="55BA604B" w14:textId="3DE4FB50" w:rsidR="005E3F4F" w:rsidRDefault="005E3F4F" w:rsidP="00653039">
      <w:pPr>
        <w:ind w:left="1080"/>
        <w:jc w:val="both"/>
        <w:rPr>
          <w:rFonts w:eastAsia="Calibri"/>
        </w:rPr>
      </w:pPr>
      <w:r w:rsidRPr="3ED925C2">
        <w:rPr>
          <w:rFonts w:eastAsia="Calibri"/>
          <w:b/>
          <w:bCs/>
        </w:rPr>
        <w:t>SDG&amp;E Response:</w:t>
      </w:r>
      <w:r w:rsidR="00D4152D" w:rsidRPr="3ED925C2">
        <w:rPr>
          <w:rFonts w:eastAsia="Calibri"/>
          <w:b/>
          <w:bCs/>
        </w:rPr>
        <w:t xml:space="preserve"> </w:t>
      </w:r>
      <w:r w:rsidR="00CD5F9B" w:rsidRPr="3ED925C2">
        <w:rPr>
          <w:rFonts w:eastAsia="Calibri"/>
        </w:rPr>
        <w:t>While the total number of customers receiving the interim rate discount will d</w:t>
      </w:r>
      <w:r w:rsidR="00462518" w:rsidRPr="3ED925C2">
        <w:rPr>
          <w:rFonts w:eastAsia="Calibri"/>
        </w:rPr>
        <w:t xml:space="preserve">epend on </w:t>
      </w:r>
      <w:r w:rsidR="007E7B3D">
        <w:rPr>
          <w:rFonts w:eastAsia="Calibri"/>
        </w:rPr>
        <w:t>the number of DCFC and MD/HD EV sites added in SDG&amp;E territory</w:t>
      </w:r>
      <w:r w:rsidR="00462518" w:rsidRPr="3ED925C2">
        <w:rPr>
          <w:rFonts w:eastAsia="Calibri"/>
        </w:rPr>
        <w:t xml:space="preserve">, SDG&amp;E anticipates that the discount will be applied to </w:t>
      </w:r>
      <w:r w:rsidR="007D596C">
        <w:rPr>
          <w:rFonts w:eastAsia="Calibri"/>
        </w:rPr>
        <w:t xml:space="preserve">up to </w:t>
      </w:r>
      <w:r w:rsidR="00162BCC" w:rsidRPr="3ED925C2">
        <w:rPr>
          <w:rFonts w:eastAsia="Calibri"/>
        </w:rPr>
        <w:t>approximately 150 customer accounts.</w:t>
      </w:r>
      <w:r w:rsidR="60E9F7D4" w:rsidRPr="3ED925C2">
        <w:rPr>
          <w:rFonts w:eastAsia="Calibri"/>
        </w:rPr>
        <w:t xml:space="preserve"> Potentially more customer accounts may receive the discount towards the end of the listed period.</w:t>
      </w:r>
    </w:p>
    <w:p w14:paraId="46F12E94" w14:textId="2D94BAFC" w:rsidR="00162BCC" w:rsidRDefault="00162BCC" w:rsidP="00653039">
      <w:pPr>
        <w:ind w:left="1080"/>
        <w:jc w:val="both"/>
        <w:rPr>
          <w:rFonts w:eastAsia="Calibri"/>
        </w:rPr>
      </w:pPr>
    </w:p>
    <w:p w14:paraId="72481CD9" w14:textId="31215762" w:rsidR="00D4152D" w:rsidRPr="0034759C" w:rsidRDefault="00162BCC" w:rsidP="00653039">
      <w:pPr>
        <w:ind w:left="1080"/>
        <w:jc w:val="both"/>
        <w:rPr>
          <w:rFonts w:eastAsia="Calibri"/>
        </w:rPr>
      </w:pPr>
      <w:r>
        <w:rPr>
          <w:rFonts w:eastAsia="Calibri"/>
        </w:rPr>
        <w:t>Note that the number of existing DC</w:t>
      </w:r>
      <w:r w:rsidR="00A93926">
        <w:rPr>
          <w:rFonts w:eastAsia="Calibri"/>
        </w:rPr>
        <w:t>FCs</w:t>
      </w:r>
      <w:r>
        <w:rPr>
          <w:rFonts w:eastAsia="Calibri"/>
        </w:rPr>
        <w:t xml:space="preserve"> in SDG&amp;E</w:t>
      </w:r>
      <w:r w:rsidR="00A93926">
        <w:rPr>
          <w:rFonts w:eastAsia="Calibri"/>
        </w:rPr>
        <w:t>’s</w:t>
      </w:r>
      <w:r>
        <w:rPr>
          <w:rFonts w:eastAsia="Calibri"/>
        </w:rPr>
        <w:t xml:space="preserve"> service territory cited in the Chapter 1 prepared testimony is the number of DCFC ports, not DCFC customer accounts.</w:t>
      </w:r>
    </w:p>
    <w:p w14:paraId="164F273A" w14:textId="77777777" w:rsidR="00D4152D" w:rsidRDefault="00D4152D" w:rsidP="00653039">
      <w:pPr>
        <w:ind w:left="1080"/>
        <w:jc w:val="both"/>
      </w:pPr>
    </w:p>
    <w:p w14:paraId="65145426" w14:textId="11FC2FCD" w:rsidR="007D7020" w:rsidRDefault="007D7020" w:rsidP="00653039">
      <w:pPr>
        <w:numPr>
          <w:ilvl w:val="1"/>
          <w:numId w:val="3"/>
        </w:numPr>
        <w:jc w:val="both"/>
      </w:pPr>
      <w:r>
        <w:t>Does SDG&amp;E agree that, if only the 212 existing DCFCs (p. BS-6) are served under the manually billed rate, the computations allow about 50 minutes monthly for each of the three employees, or about 150 minutes total?</w:t>
      </w:r>
    </w:p>
    <w:p w14:paraId="2B101E49" w14:textId="77777777" w:rsidR="008E0BCE" w:rsidRDefault="008E0BCE" w:rsidP="00653039">
      <w:pPr>
        <w:ind w:left="1080"/>
        <w:jc w:val="both"/>
        <w:rPr>
          <w:rFonts w:eastAsia="Calibri"/>
          <w:b/>
        </w:rPr>
      </w:pPr>
    </w:p>
    <w:p w14:paraId="4ACC3F1B" w14:textId="0FB4EDB6" w:rsidR="005E3F4F" w:rsidRDefault="005E3F4F" w:rsidP="00653039">
      <w:pPr>
        <w:ind w:left="1080"/>
        <w:jc w:val="both"/>
        <w:rPr>
          <w:rFonts w:eastAsia="Calibri"/>
          <w:b/>
        </w:rPr>
      </w:pPr>
      <w:r>
        <w:rPr>
          <w:rFonts w:eastAsia="Calibri"/>
          <w:b/>
        </w:rPr>
        <w:t>SDG&amp;E Response:</w:t>
      </w:r>
      <w:r w:rsidR="00D4152D">
        <w:rPr>
          <w:rFonts w:eastAsia="Calibri"/>
          <w:b/>
        </w:rPr>
        <w:t xml:space="preserve"> </w:t>
      </w:r>
      <w:r w:rsidR="00D4152D" w:rsidRPr="00D4152D">
        <w:rPr>
          <w:rFonts w:eastAsia="Calibri"/>
        </w:rPr>
        <w:t xml:space="preserve">No, </w:t>
      </w:r>
      <w:r w:rsidR="00BC2FE0">
        <w:rPr>
          <w:rFonts w:eastAsia="Calibri"/>
        </w:rPr>
        <w:t>SDG&amp;E</w:t>
      </w:r>
      <w:r w:rsidR="00D4152D" w:rsidRPr="00D4152D">
        <w:rPr>
          <w:rFonts w:eastAsia="Calibri"/>
        </w:rPr>
        <w:t xml:space="preserve"> does not agree that 150 minutes total (50 minutes for each employee) is the accurate amount of time require</w:t>
      </w:r>
      <w:r w:rsidR="00FD4308">
        <w:rPr>
          <w:rFonts w:eastAsia="Calibri"/>
        </w:rPr>
        <w:t>d</w:t>
      </w:r>
      <w:r w:rsidR="00D4152D" w:rsidRPr="00D4152D">
        <w:rPr>
          <w:rFonts w:eastAsia="Calibri"/>
        </w:rPr>
        <w:t xml:space="preserve"> to accomplish the tasks necessary to implement the interim solution.</w:t>
      </w:r>
      <w:r w:rsidR="00D4152D" w:rsidRPr="00D4152D">
        <w:rPr>
          <w:rFonts w:eastAsia="Calibri"/>
          <w:b/>
        </w:rPr>
        <w:t xml:space="preserve"> </w:t>
      </w:r>
    </w:p>
    <w:p w14:paraId="12C2809A" w14:textId="77777777" w:rsidR="005E3F4F" w:rsidRDefault="005E3F4F" w:rsidP="00653039">
      <w:pPr>
        <w:ind w:left="1080"/>
        <w:jc w:val="both"/>
      </w:pPr>
    </w:p>
    <w:p w14:paraId="57ED34BB" w14:textId="189DBA44" w:rsidR="007D7020" w:rsidRDefault="007D7020" w:rsidP="00653039">
      <w:pPr>
        <w:numPr>
          <w:ilvl w:val="2"/>
          <w:numId w:val="3"/>
        </w:numPr>
        <w:jc w:val="both"/>
      </w:pPr>
      <w:r>
        <w:t>If so, please explain why retrieving the draft bill, dividing the demand charge by two, and producing the revised bill would require so much time.</w:t>
      </w:r>
    </w:p>
    <w:p w14:paraId="0D7DE52A" w14:textId="77777777" w:rsidR="008E0BCE" w:rsidRDefault="008E0BCE" w:rsidP="00653039">
      <w:pPr>
        <w:ind w:left="1800"/>
        <w:jc w:val="both"/>
        <w:rPr>
          <w:rFonts w:eastAsia="Calibri"/>
          <w:b/>
        </w:rPr>
      </w:pPr>
    </w:p>
    <w:p w14:paraId="63E43A33" w14:textId="24668EB8" w:rsidR="005E3F4F" w:rsidRDefault="005E3F4F" w:rsidP="00653039">
      <w:pPr>
        <w:ind w:left="1800"/>
        <w:jc w:val="both"/>
        <w:rPr>
          <w:rFonts w:eastAsia="Calibri"/>
          <w:b/>
        </w:rPr>
      </w:pPr>
      <w:r>
        <w:rPr>
          <w:rFonts w:eastAsia="Calibri"/>
          <w:b/>
        </w:rPr>
        <w:t>SDG&amp;E Response:</w:t>
      </w:r>
      <w:r w:rsidR="00D4152D">
        <w:rPr>
          <w:rFonts w:eastAsia="Calibri"/>
          <w:b/>
        </w:rPr>
        <w:t xml:space="preserve"> </w:t>
      </w:r>
      <w:r w:rsidR="00D4152D" w:rsidRPr="00D4152D">
        <w:rPr>
          <w:rFonts w:eastAsia="Calibri"/>
        </w:rPr>
        <w:t>See above</w:t>
      </w:r>
      <w:r w:rsidR="00D4152D">
        <w:rPr>
          <w:rFonts w:eastAsia="Calibri"/>
        </w:rPr>
        <w:t xml:space="preserve">. </w:t>
      </w:r>
      <w:r w:rsidR="00BC2FE0">
        <w:rPr>
          <w:rFonts w:eastAsia="Calibri"/>
        </w:rPr>
        <w:t>SDG&amp;E</w:t>
      </w:r>
      <w:r w:rsidR="00D4152D" w:rsidRPr="00D4152D">
        <w:rPr>
          <w:rFonts w:eastAsia="Calibri"/>
        </w:rPr>
        <w:t xml:space="preserve"> does not agree with the assumption specified in the previous question.</w:t>
      </w:r>
    </w:p>
    <w:p w14:paraId="75FF72CE" w14:textId="77777777" w:rsidR="005E3F4F" w:rsidRDefault="005E3F4F" w:rsidP="00653039">
      <w:pPr>
        <w:ind w:left="1800"/>
        <w:jc w:val="both"/>
      </w:pPr>
    </w:p>
    <w:p w14:paraId="420CDE99" w14:textId="4BFE7163" w:rsidR="007D7020" w:rsidRDefault="007D7020" w:rsidP="00653039">
      <w:pPr>
        <w:numPr>
          <w:ilvl w:val="2"/>
          <w:numId w:val="3"/>
        </w:numPr>
        <w:jc w:val="both"/>
      </w:pPr>
      <w:r>
        <w:t>If not, please explain how much time the workpaper allows for the average bill, per employee.</w:t>
      </w:r>
    </w:p>
    <w:p w14:paraId="28F1E25B" w14:textId="77777777" w:rsidR="008E0BCE" w:rsidRDefault="008E0BCE" w:rsidP="00653039">
      <w:pPr>
        <w:ind w:left="1800"/>
        <w:jc w:val="both"/>
        <w:rPr>
          <w:rFonts w:eastAsia="Calibri"/>
          <w:b/>
          <w:bCs/>
        </w:rPr>
      </w:pPr>
    </w:p>
    <w:p w14:paraId="46772A97" w14:textId="31CD3834" w:rsidR="00D4152D" w:rsidRPr="00D4152D" w:rsidRDefault="005E3F4F" w:rsidP="00653039">
      <w:pPr>
        <w:ind w:left="1800"/>
        <w:jc w:val="both"/>
        <w:rPr>
          <w:rFonts w:eastAsia="Calibri"/>
        </w:rPr>
      </w:pPr>
      <w:r w:rsidRPr="5A0F1BBD">
        <w:rPr>
          <w:rFonts w:eastAsia="Calibri"/>
          <w:b/>
          <w:bCs/>
        </w:rPr>
        <w:t>SDG&amp;E Response:</w:t>
      </w:r>
      <w:r w:rsidR="00D4152D" w:rsidRPr="5A0F1BBD">
        <w:rPr>
          <w:rFonts w:eastAsia="Calibri"/>
          <w:b/>
          <w:bCs/>
        </w:rPr>
        <w:t xml:space="preserve"> </w:t>
      </w:r>
      <w:r w:rsidR="00D4152D" w:rsidRPr="5A0F1BBD">
        <w:rPr>
          <w:rFonts w:eastAsia="Calibri"/>
        </w:rPr>
        <w:t>The scope of work required to implement a manual solution requires activities from three different departments, specifically: Customer Operations Support, Billing, and Re</w:t>
      </w:r>
      <w:r w:rsidR="4CA2AFC3" w:rsidRPr="5A0F1BBD">
        <w:rPr>
          <w:rFonts w:eastAsia="Calibri"/>
        </w:rPr>
        <w:t>gulatory Accounting</w:t>
      </w:r>
      <w:r w:rsidR="00D4152D" w:rsidRPr="5A0F1BBD">
        <w:rPr>
          <w:rFonts w:eastAsia="Calibri"/>
        </w:rPr>
        <w:t xml:space="preserve">. </w:t>
      </w:r>
      <w:r w:rsidR="004F264D">
        <w:rPr>
          <w:rFonts w:eastAsia="Calibri"/>
        </w:rPr>
        <w:t>T</w:t>
      </w:r>
      <w:r w:rsidR="00D4152D" w:rsidRPr="5A0F1BBD">
        <w:rPr>
          <w:rFonts w:eastAsia="Calibri"/>
        </w:rPr>
        <w:t>he additional work required by the</w:t>
      </w:r>
      <w:r w:rsidR="00D7213D">
        <w:rPr>
          <w:rFonts w:eastAsia="Calibri"/>
        </w:rPr>
        <w:t xml:space="preserve"> proposed</w:t>
      </w:r>
      <w:r w:rsidR="00D4152D" w:rsidRPr="5A0F1BBD">
        <w:rPr>
          <w:rFonts w:eastAsia="Calibri"/>
        </w:rPr>
        <w:t xml:space="preserve"> interim billing solution would require an incremental resource for each department. </w:t>
      </w:r>
    </w:p>
    <w:p w14:paraId="3401413F" w14:textId="77777777" w:rsidR="005E3F4F" w:rsidRDefault="005E3F4F" w:rsidP="00653039">
      <w:pPr>
        <w:ind w:left="1800"/>
        <w:jc w:val="both"/>
      </w:pPr>
    </w:p>
    <w:p w14:paraId="02C4664F" w14:textId="67221A8C" w:rsidR="007D7020" w:rsidRDefault="007D7020" w:rsidP="00653039">
      <w:pPr>
        <w:numPr>
          <w:ilvl w:val="1"/>
          <w:numId w:val="3"/>
        </w:numPr>
        <w:jc w:val="both"/>
      </w:pPr>
      <w:r>
        <w:t xml:space="preserve">Please detail the actions and operations that each of the three employees would need to undertake for each bill each month. </w:t>
      </w:r>
    </w:p>
    <w:p w14:paraId="226165CC" w14:textId="77777777" w:rsidR="0034759C" w:rsidRDefault="0034759C" w:rsidP="00653039">
      <w:pPr>
        <w:jc w:val="both"/>
      </w:pPr>
    </w:p>
    <w:p w14:paraId="351455FF" w14:textId="1A05D5A6" w:rsidR="00D4152D" w:rsidRDefault="003F5049" w:rsidP="00653039">
      <w:pPr>
        <w:ind w:left="1080"/>
        <w:jc w:val="both"/>
        <w:rPr>
          <w:rFonts w:eastAsia="Calibri"/>
        </w:rPr>
      </w:pPr>
      <w:r>
        <w:rPr>
          <w:rFonts w:eastAsia="Calibri"/>
          <w:b/>
        </w:rPr>
        <w:t>SDG&amp;E Response</w:t>
      </w:r>
      <w:r w:rsidRPr="00D4152D">
        <w:rPr>
          <w:rFonts w:eastAsia="Calibri"/>
        </w:rPr>
        <w:t>:</w:t>
      </w:r>
      <w:r w:rsidR="00D4152D" w:rsidRPr="00D4152D">
        <w:rPr>
          <w:rFonts w:eastAsia="Calibri"/>
        </w:rPr>
        <w:t xml:space="preserve"> It is unlikely that one employee could conduct all the different tasks relevant to the </w:t>
      </w:r>
      <w:r w:rsidR="002930EF">
        <w:rPr>
          <w:rFonts w:eastAsia="Calibri"/>
        </w:rPr>
        <w:t xml:space="preserve">interim </w:t>
      </w:r>
      <w:r w:rsidR="00D4152D" w:rsidRPr="00D4152D">
        <w:rPr>
          <w:rFonts w:eastAsia="Calibri"/>
        </w:rPr>
        <w:t xml:space="preserve">manually billed rate. More specifically, it would require that the employee resources perform all the related tasks for the distinct roles involved in each work group, namely: </w:t>
      </w:r>
    </w:p>
    <w:p w14:paraId="175D37A2" w14:textId="77777777" w:rsidR="00D4152D" w:rsidRPr="00D4152D" w:rsidRDefault="00D4152D" w:rsidP="00653039">
      <w:pPr>
        <w:ind w:left="1080"/>
        <w:jc w:val="both"/>
        <w:rPr>
          <w:rFonts w:eastAsia="Calibri"/>
        </w:rPr>
      </w:pPr>
    </w:p>
    <w:p w14:paraId="6833ECFA" w14:textId="2884B3AF" w:rsidR="00D4152D" w:rsidRPr="00D4152D" w:rsidRDefault="00D4152D" w:rsidP="00653039">
      <w:pPr>
        <w:pStyle w:val="ListParagraph"/>
        <w:numPr>
          <w:ilvl w:val="0"/>
          <w:numId w:val="4"/>
        </w:numPr>
        <w:spacing w:after="0"/>
        <w:jc w:val="both"/>
        <w:rPr>
          <w:b/>
          <w:bCs/>
          <w:color w:val="000000" w:themeColor="text1"/>
        </w:rPr>
      </w:pPr>
      <w:r w:rsidRPr="00AC1EEA">
        <w:rPr>
          <w:rFonts w:eastAsia="Calibri"/>
          <w:b/>
          <w:bCs/>
        </w:rPr>
        <w:t>Customer Operations Support</w:t>
      </w:r>
      <w:r w:rsidR="001D2420">
        <w:rPr>
          <w:rFonts w:eastAsia="Calibri"/>
          <w:b/>
          <w:bCs/>
        </w:rPr>
        <w:t xml:space="preserve"> (COS)</w:t>
      </w:r>
      <w:r w:rsidRPr="00AC1EEA">
        <w:rPr>
          <w:rFonts w:eastAsia="Calibri"/>
          <w:b/>
          <w:bCs/>
        </w:rPr>
        <w:t>:</w:t>
      </w:r>
      <w:r w:rsidRPr="00D4152D">
        <w:rPr>
          <w:rFonts w:eastAsia="Calibri"/>
        </w:rPr>
        <w:t xml:space="preserve"> </w:t>
      </w:r>
      <w:r w:rsidR="00F50A99">
        <w:rPr>
          <w:rFonts w:eastAsia="Calibri"/>
        </w:rPr>
        <w:t>O</w:t>
      </w:r>
      <w:r w:rsidRPr="00D4152D">
        <w:rPr>
          <w:rFonts w:eastAsia="Calibri"/>
        </w:rPr>
        <w:t xml:space="preserve">ne </w:t>
      </w:r>
      <w:r w:rsidR="005E6BF2">
        <w:rPr>
          <w:rFonts w:eastAsia="Calibri"/>
        </w:rPr>
        <w:t>additional resource</w:t>
      </w:r>
      <w:r w:rsidR="005E6BF2" w:rsidRPr="00D4152D">
        <w:rPr>
          <w:rFonts w:eastAsia="Calibri"/>
        </w:rPr>
        <w:t xml:space="preserve"> </w:t>
      </w:r>
      <w:r w:rsidRPr="00D4152D">
        <w:rPr>
          <w:rFonts w:eastAsia="Calibri"/>
        </w:rPr>
        <w:t xml:space="preserve">is required to assist in managing the Company’s daily back-end system monitors business systems to identify and resolve errors so that customers receive service and are billed accurately. </w:t>
      </w:r>
      <w:r w:rsidRPr="007543EE">
        <w:rPr>
          <w:rFonts w:eastAsia="Calibri"/>
        </w:rPr>
        <w:t>The COS resource dispatches reports on a regular basis to identify anomalies in customer activity and provide resolution if necessary.</w:t>
      </w:r>
    </w:p>
    <w:p w14:paraId="2B172EC1" w14:textId="77777777" w:rsidR="00D4152D" w:rsidRPr="00D4152D" w:rsidRDefault="00D4152D" w:rsidP="00653039">
      <w:pPr>
        <w:ind w:left="360" w:firstLine="720"/>
        <w:jc w:val="both"/>
        <w:rPr>
          <w:rFonts w:eastAsia="Calibri"/>
        </w:rPr>
      </w:pPr>
    </w:p>
    <w:p w14:paraId="33696639" w14:textId="412CC3A4" w:rsidR="00D4152D" w:rsidRPr="00D4152D" w:rsidRDefault="00D4152D" w:rsidP="00653039">
      <w:pPr>
        <w:pStyle w:val="ListParagraph"/>
        <w:numPr>
          <w:ilvl w:val="0"/>
          <w:numId w:val="4"/>
        </w:numPr>
        <w:spacing w:after="0"/>
        <w:jc w:val="both"/>
        <w:rPr>
          <w:rFonts w:eastAsia="Calibri"/>
        </w:rPr>
      </w:pPr>
      <w:r w:rsidRPr="5A0F1BBD">
        <w:rPr>
          <w:rFonts w:eastAsia="Calibri"/>
          <w:b/>
          <w:bCs/>
        </w:rPr>
        <w:t>Billing group:</w:t>
      </w:r>
      <w:r w:rsidRPr="5A0F1BBD">
        <w:rPr>
          <w:rFonts w:eastAsia="Calibri"/>
        </w:rPr>
        <w:t xml:space="preserve"> The billing resource is the process owner and executer for manually adjusting the bills in the legacy billings system. The resource uses the tools provided by COS to determine the dollar amount that needs to be adjusted in the system. The resource has a knowledge of exception cases and difficult billing scenarios. The resource monitors </w:t>
      </w:r>
      <w:r w:rsidR="22E23D42" w:rsidRPr="5A0F1BBD">
        <w:rPr>
          <w:rFonts w:eastAsia="Calibri"/>
        </w:rPr>
        <w:t>each</w:t>
      </w:r>
      <w:r w:rsidRPr="5A0F1BBD">
        <w:rPr>
          <w:rFonts w:eastAsia="Calibri"/>
        </w:rPr>
        <w:t xml:space="preserve"> </w:t>
      </w:r>
      <w:r w:rsidR="22E23D42" w:rsidRPr="5A0F1BBD">
        <w:rPr>
          <w:rFonts w:eastAsia="Calibri"/>
        </w:rPr>
        <w:t xml:space="preserve">bill </w:t>
      </w:r>
      <w:r w:rsidRPr="5A0F1BBD">
        <w:rPr>
          <w:rFonts w:eastAsia="Calibri"/>
        </w:rPr>
        <w:t xml:space="preserve">and ensures that </w:t>
      </w:r>
      <w:r w:rsidR="52F63D21" w:rsidRPr="5A0F1BBD">
        <w:rPr>
          <w:rFonts w:eastAsia="Calibri"/>
        </w:rPr>
        <w:t xml:space="preserve">the </w:t>
      </w:r>
      <w:r w:rsidRPr="5A0F1BBD">
        <w:rPr>
          <w:rFonts w:eastAsia="Calibri"/>
        </w:rPr>
        <w:t xml:space="preserve">bills are not delayed. </w:t>
      </w:r>
    </w:p>
    <w:p w14:paraId="6D8376D1" w14:textId="77777777" w:rsidR="00D4152D" w:rsidRPr="00D4152D" w:rsidRDefault="00D4152D" w:rsidP="00653039">
      <w:pPr>
        <w:ind w:left="360" w:firstLine="720"/>
        <w:jc w:val="both"/>
        <w:rPr>
          <w:rFonts w:eastAsia="Calibri"/>
        </w:rPr>
      </w:pPr>
    </w:p>
    <w:p w14:paraId="67720F28" w14:textId="6D5A4FF4" w:rsidR="00D4152D" w:rsidRPr="00D4152D" w:rsidRDefault="00AA1AC9" w:rsidP="00653039">
      <w:pPr>
        <w:pStyle w:val="ListParagraph"/>
        <w:numPr>
          <w:ilvl w:val="0"/>
          <w:numId w:val="4"/>
        </w:numPr>
        <w:spacing w:after="0"/>
        <w:jc w:val="both"/>
        <w:rPr>
          <w:rFonts w:eastAsia="Calibri"/>
        </w:rPr>
      </w:pPr>
      <w:r>
        <w:rPr>
          <w:rFonts w:eastAsia="Calibri"/>
          <w:b/>
          <w:bCs/>
        </w:rPr>
        <w:t>Regulatory Accounting</w:t>
      </w:r>
      <w:r w:rsidR="00D4152D" w:rsidRPr="29F2DE38">
        <w:rPr>
          <w:rFonts w:eastAsia="Calibri"/>
          <w:b/>
          <w:bCs/>
        </w:rPr>
        <w:t>:</w:t>
      </w:r>
      <w:r w:rsidR="00D4152D" w:rsidRPr="29F2DE38">
        <w:rPr>
          <w:rFonts w:eastAsia="Calibri"/>
        </w:rPr>
        <w:t xml:space="preserve"> The </w:t>
      </w:r>
      <w:r>
        <w:rPr>
          <w:rFonts w:eastAsia="Calibri"/>
        </w:rPr>
        <w:t>Regulatory Accounting</w:t>
      </w:r>
      <w:r w:rsidR="00D4152D" w:rsidRPr="29F2DE38">
        <w:rPr>
          <w:rFonts w:eastAsia="Calibri"/>
        </w:rPr>
        <w:t xml:space="preserve"> resource shall correctly account for the manual adjustment applied by the billing resource so that the adjustment </w:t>
      </w:r>
      <w:r w:rsidR="00F7169D">
        <w:rPr>
          <w:rFonts w:eastAsia="Calibri"/>
        </w:rPr>
        <w:t xml:space="preserve">is </w:t>
      </w:r>
      <w:r w:rsidR="00D4152D" w:rsidRPr="29F2DE38">
        <w:rPr>
          <w:rFonts w:eastAsia="Calibri"/>
        </w:rPr>
        <w:t xml:space="preserve">properly allocated under the general ledger. </w:t>
      </w:r>
    </w:p>
    <w:p w14:paraId="1DBC6CA4" w14:textId="77777777" w:rsidR="00D4152D" w:rsidRPr="00D4152D" w:rsidRDefault="00D4152D" w:rsidP="00653039">
      <w:pPr>
        <w:ind w:left="360" w:firstLine="720"/>
        <w:jc w:val="both"/>
        <w:rPr>
          <w:rFonts w:eastAsia="Calibri"/>
        </w:rPr>
      </w:pPr>
    </w:p>
    <w:p w14:paraId="6CEBA785" w14:textId="1E1ADDCD" w:rsidR="003F5049" w:rsidRPr="00D4152D" w:rsidRDefault="00D4152D" w:rsidP="00653039">
      <w:pPr>
        <w:pStyle w:val="ListParagraph"/>
        <w:numPr>
          <w:ilvl w:val="0"/>
          <w:numId w:val="4"/>
        </w:numPr>
        <w:spacing w:after="0"/>
        <w:jc w:val="both"/>
        <w:rPr>
          <w:rFonts w:eastAsia="Calibri"/>
        </w:rPr>
      </w:pPr>
      <w:r w:rsidRPr="00D4152D">
        <w:rPr>
          <w:rFonts w:eastAsia="Calibri"/>
        </w:rPr>
        <w:t>Additionally, I</w:t>
      </w:r>
      <w:r w:rsidR="075E87F3" w:rsidRPr="00D4152D">
        <w:rPr>
          <w:rFonts w:eastAsia="Calibri"/>
        </w:rPr>
        <w:t>T and I</w:t>
      </w:r>
      <w:r w:rsidRPr="00D4152D">
        <w:rPr>
          <w:rFonts w:eastAsia="Calibri"/>
        </w:rPr>
        <w:t xml:space="preserve">TQA </w:t>
      </w:r>
      <w:r w:rsidR="651C535A" w:rsidRPr="00D4152D">
        <w:rPr>
          <w:rFonts w:eastAsia="Calibri"/>
        </w:rPr>
        <w:t xml:space="preserve">(Information Technology Quality Assurance) resource effort </w:t>
      </w:r>
      <w:r w:rsidRPr="00D4152D">
        <w:rPr>
          <w:rFonts w:eastAsia="Calibri"/>
        </w:rPr>
        <w:t xml:space="preserve">may be required for code changes </w:t>
      </w:r>
      <w:r w:rsidR="650DA839" w:rsidRPr="00D4152D">
        <w:rPr>
          <w:rFonts w:eastAsia="Calibri"/>
        </w:rPr>
        <w:t xml:space="preserve">and testing </w:t>
      </w:r>
      <w:r w:rsidRPr="00D4152D">
        <w:rPr>
          <w:rFonts w:eastAsia="Calibri"/>
        </w:rPr>
        <w:t xml:space="preserve">related to the display notification of adjustment on </w:t>
      </w:r>
      <w:r w:rsidR="704F5EC1" w:rsidRPr="007543EE">
        <w:rPr>
          <w:rFonts w:eastAsia="Calibri"/>
        </w:rPr>
        <w:t xml:space="preserve">each </w:t>
      </w:r>
      <w:r w:rsidRPr="00D4152D">
        <w:rPr>
          <w:rFonts w:eastAsia="Calibri"/>
        </w:rPr>
        <w:t xml:space="preserve">bill. </w:t>
      </w:r>
    </w:p>
    <w:p w14:paraId="2C7506DB" w14:textId="77777777" w:rsidR="00D24DA4" w:rsidRPr="00D4152D" w:rsidRDefault="00D24DA4" w:rsidP="00653039">
      <w:pPr>
        <w:jc w:val="both"/>
      </w:pPr>
    </w:p>
    <w:p w14:paraId="2094C445" w14:textId="77777777" w:rsidR="00D24DA4" w:rsidRPr="00D4152D" w:rsidRDefault="00D24DA4" w:rsidP="00653039">
      <w:pPr>
        <w:jc w:val="both"/>
      </w:pPr>
    </w:p>
    <w:sectPr w:rsidR="00D24DA4" w:rsidRPr="00D4152D" w:rsidSect="00AC1EE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FE0A" w14:textId="77777777" w:rsidR="00996170" w:rsidRDefault="00996170" w:rsidP="003F5049">
      <w:r>
        <w:separator/>
      </w:r>
    </w:p>
  </w:endnote>
  <w:endnote w:type="continuationSeparator" w:id="0">
    <w:p w14:paraId="7FE3F2BF" w14:textId="77777777" w:rsidR="00996170" w:rsidRDefault="00996170" w:rsidP="003F5049">
      <w:r>
        <w:continuationSeparator/>
      </w:r>
    </w:p>
  </w:endnote>
  <w:endnote w:type="continuationNotice" w:id="1">
    <w:p w14:paraId="6726471F" w14:textId="77777777" w:rsidR="00996170" w:rsidRDefault="00996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80"/>
    <w:family w:val="auto"/>
    <w:pitch w:val="variable"/>
    <w:sig w:usb0="E00002FF" w:usb1="7AC7FFFF" w:usb2="00000012" w:usb3="00000000" w:csb0="0002000D"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9B729" w14:textId="77777777" w:rsidR="00996170" w:rsidRDefault="00996170" w:rsidP="003F5049">
      <w:r>
        <w:separator/>
      </w:r>
    </w:p>
  </w:footnote>
  <w:footnote w:type="continuationSeparator" w:id="0">
    <w:p w14:paraId="4176FB3F" w14:textId="77777777" w:rsidR="00996170" w:rsidRDefault="00996170" w:rsidP="003F5049">
      <w:r>
        <w:continuationSeparator/>
      </w:r>
    </w:p>
  </w:footnote>
  <w:footnote w:type="continuationNotice" w:id="1">
    <w:p w14:paraId="432E6F4C" w14:textId="77777777" w:rsidR="00996170" w:rsidRDefault="00996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6A53" w14:textId="77777777"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SBUA DATA REQUEST </w:t>
    </w:r>
  </w:p>
  <w:p w14:paraId="728ADD5F" w14:textId="39220FCE"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SBUA-SDG&amp;E-DR-01, REQUEST 1</w:t>
    </w:r>
  </w:p>
  <w:p w14:paraId="545B8304" w14:textId="77777777"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APPLICATION FOR APPROVAL OF ELECTRIC VEHICLE HIGH POWER CHARGING RATE (A.19-07-006)</w:t>
    </w:r>
  </w:p>
  <w:p w14:paraId="55BE13E2" w14:textId="77777777" w:rsidR="003F5049"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SDG&amp;E RESPONSE </w:t>
    </w:r>
  </w:p>
  <w:p w14:paraId="780DA05C" w14:textId="2A06B390" w:rsidR="003F5049" w:rsidRPr="0034759C" w:rsidRDefault="003F5049" w:rsidP="003F5049">
    <w:pPr>
      <w:pStyle w:val="Default"/>
      <w:jc w:val="center"/>
      <w:rPr>
        <w:rFonts w:asciiTheme="minorHAnsi" w:hAnsiTheme="minorHAnsi" w:cstheme="minorHAnsi"/>
        <w:b/>
        <w:bCs/>
        <w:sz w:val="23"/>
        <w:szCs w:val="23"/>
      </w:rPr>
    </w:pPr>
    <w:r>
      <w:rPr>
        <w:rFonts w:asciiTheme="minorHAnsi" w:hAnsiTheme="minorHAnsi" w:cstheme="minorHAnsi"/>
        <w:b/>
        <w:bCs/>
        <w:sz w:val="23"/>
        <w:szCs w:val="23"/>
      </w:rPr>
      <w:t xml:space="preserve">DATE </w:t>
    </w:r>
    <w:r w:rsidRPr="0034759C">
      <w:rPr>
        <w:rFonts w:asciiTheme="minorHAnsi" w:hAnsiTheme="minorHAnsi" w:cstheme="minorHAnsi"/>
        <w:b/>
        <w:bCs/>
        <w:sz w:val="23"/>
        <w:szCs w:val="23"/>
      </w:rPr>
      <w:t xml:space="preserve">RECEIVED: October 11, 2019 </w:t>
    </w:r>
  </w:p>
  <w:p w14:paraId="3DCDF2C4" w14:textId="689CE029" w:rsidR="003F5049" w:rsidRDefault="003F5049" w:rsidP="003F5049">
    <w:pPr>
      <w:pStyle w:val="Default"/>
      <w:jc w:val="center"/>
      <w:rPr>
        <w:rFonts w:asciiTheme="minorHAnsi" w:hAnsiTheme="minorHAnsi" w:cstheme="minorHAnsi"/>
        <w:b/>
        <w:bCs/>
        <w:color w:val="auto"/>
        <w:sz w:val="23"/>
        <w:szCs w:val="23"/>
      </w:rPr>
    </w:pPr>
    <w:r w:rsidRPr="0034759C">
      <w:rPr>
        <w:rFonts w:asciiTheme="minorHAnsi" w:hAnsiTheme="minorHAnsi" w:cstheme="minorHAnsi"/>
        <w:b/>
        <w:bCs/>
        <w:sz w:val="23"/>
        <w:szCs w:val="23"/>
      </w:rPr>
      <w:t xml:space="preserve">DATE RESPONDED: </w:t>
    </w:r>
    <w:r w:rsidRPr="0034759C">
      <w:rPr>
        <w:rFonts w:asciiTheme="minorHAnsi" w:hAnsiTheme="minorHAnsi" w:cstheme="minorHAnsi"/>
        <w:b/>
        <w:bCs/>
        <w:color w:val="auto"/>
        <w:sz w:val="23"/>
        <w:szCs w:val="23"/>
      </w:rPr>
      <w:t>October 25, 2019</w:t>
    </w:r>
  </w:p>
  <w:p w14:paraId="07547F73" w14:textId="77777777" w:rsidR="003F5049" w:rsidRPr="003F5049" w:rsidRDefault="003F5049" w:rsidP="0034759C">
    <w:pPr>
      <w:pStyle w:val="Header"/>
      <w:rPr>
        <w:rFonts w:ascii="Arial" w:hAnsi="Arial" w:cstheme="minorBidi"/>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311"/>
    <w:multiLevelType w:val="hybridMultilevel"/>
    <w:tmpl w:val="B5028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E79B5"/>
    <w:multiLevelType w:val="hybridMultilevel"/>
    <w:tmpl w:val="BDE221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3F1D4D"/>
    <w:multiLevelType w:val="hybridMultilevel"/>
    <w:tmpl w:val="AD8C8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6796F"/>
    <w:multiLevelType w:val="hybridMultilevel"/>
    <w:tmpl w:val="688C3816"/>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E8"/>
    <w:rsid w:val="00003C00"/>
    <w:rsid w:val="00015305"/>
    <w:rsid w:val="001128CE"/>
    <w:rsid w:val="00162BCC"/>
    <w:rsid w:val="001C2818"/>
    <w:rsid w:val="001D2420"/>
    <w:rsid w:val="00267E7F"/>
    <w:rsid w:val="002713B5"/>
    <w:rsid w:val="002930EF"/>
    <w:rsid w:val="002B7166"/>
    <w:rsid w:val="0033380A"/>
    <w:rsid w:val="00344A9B"/>
    <w:rsid w:val="0034759C"/>
    <w:rsid w:val="003510B3"/>
    <w:rsid w:val="00361EDC"/>
    <w:rsid w:val="003C7A52"/>
    <w:rsid w:val="003F5049"/>
    <w:rsid w:val="003F5CE8"/>
    <w:rsid w:val="004022A4"/>
    <w:rsid w:val="00431DE7"/>
    <w:rsid w:val="00435AEF"/>
    <w:rsid w:val="00452F88"/>
    <w:rsid w:val="004532B0"/>
    <w:rsid w:val="00462518"/>
    <w:rsid w:val="00477364"/>
    <w:rsid w:val="00491B16"/>
    <w:rsid w:val="004B2D0D"/>
    <w:rsid w:val="004B60B3"/>
    <w:rsid w:val="004F264D"/>
    <w:rsid w:val="0052034D"/>
    <w:rsid w:val="00554301"/>
    <w:rsid w:val="00561811"/>
    <w:rsid w:val="005E3F4F"/>
    <w:rsid w:val="005E6BF2"/>
    <w:rsid w:val="0061246D"/>
    <w:rsid w:val="00653039"/>
    <w:rsid w:val="006C211B"/>
    <w:rsid w:val="006C6143"/>
    <w:rsid w:val="006F2073"/>
    <w:rsid w:val="00737C47"/>
    <w:rsid w:val="00741C00"/>
    <w:rsid w:val="007533C7"/>
    <w:rsid w:val="007543EE"/>
    <w:rsid w:val="007A48C4"/>
    <w:rsid w:val="007D596C"/>
    <w:rsid w:val="007D7020"/>
    <w:rsid w:val="007E5273"/>
    <w:rsid w:val="007E7B3D"/>
    <w:rsid w:val="007F6054"/>
    <w:rsid w:val="00826CC6"/>
    <w:rsid w:val="00833594"/>
    <w:rsid w:val="008639EF"/>
    <w:rsid w:val="008A4210"/>
    <w:rsid w:val="008B4A4A"/>
    <w:rsid w:val="008D5150"/>
    <w:rsid w:val="008E0BCE"/>
    <w:rsid w:val="00906A6D"/>
    <w:rsid w:val="0092161A"/>
    <w:rsid w:val="0092320F"/>
    <w:rsid w:val="009605BF"/>
    <w:rsid w:val="00996170"/>
    <w:rsid w:val="00A0588A"/>
    <w:rsid w:val="00A11E0A"/>
    <w:rsid w:val="00A62D12"/>
    <w:rsid w:val="00A93926"/>
    <w:rsid w:val="00AA1AC9"/>
    <w:rsid w:val="00AC1EEA"/>
    <w:rsid w:val="00AC69D8"/>
    <w:rsid w:val="00B1291A"/>
    <w:rsid w:val="00B363D9"/>
    <w:rsid w:val="00B762F5"/>
    <w:rsid w:val="00BA0246"/>
    <w:rsid w:val="00BB3122"/>
    <w:rsid w:val="00BC2FE0"/>
    <w:rsid w:val="00BC4DB2"/>
    <w:rsid w:val="00C06D0A"/>
    <w:rsid w:val="00C41106"/>
    <w:rsid w:val="00C74E83"/>
    <w:rsid w:val="00C93F00"/>
    <w:rsid w:val="00CB1C7A"/>
    <w:rsid w:val="00CD5F9B"/>
    <w:rsid w:val="00CE4267"/>
    <w:rsid w:val="00D23A17"/>
    <w:rsid w:val="00D24DA4"/>
    <w:rsid w:val="00D4152D"/>
    <w:rsid w:val="00D6694D"/>
    <w:rsid w:val="00D7213D"/>
    <w:rsid w:val="00D86F3E"/>
    <w:rsid w:val="00D87145"/>
    <w:rsid w:val="00DB1E49"/>
    <w:rsid w:val="00DE42E8"/>
    <w:rsid w:val="00E10B49"/>
    <w:rsid w:val="00E50A87"/>
    <w:rsid w:val="00EA7911"/>
    <w:rsid w:val="00EE0FDB"/>
    <w:rsid w:val="00F20028"/>
    <w:rsid w:val="00F2072E"/>
    <w:rsid w:val="00F423A6"/>
    <w:rsid w:val="00F50A99"/>
    <w:rsid w:val="00F7169D"/>
    <w:rsid w:val="00FA3AD0"/>
    <w:rsid w:val="00FD4308"/>
    <w:rsid w:val="00FF2ACD"/>
    <w:rsid w:val="075E87F3"/>
    <w:rsid w:val="095F6C04"/>
    <w:rsid w:val="0D0D4EA4"/>
    <w:rsid w:val="101659D7"/>
    <w:rsid w:val="1CC77647"/>
    <w:rsid w:val="22E23D42"/>
    <w:rsid w:val="29F2DE38"/>
    <w:rsid w:val="347481F8"/>
    <w:rsid w:val="3ED925C2"/>
    <w:rsid w:val="454569EC"/>
    <w:rsid w:val="4BBD97F1"/>
    <w:rsid w:val="4CA2AFC3"/>
    <w:rsid w:val="52F63D21"/>
    <w:rsid w:val="5A0F1BBD"/>
    <w:rsid w:val="5BEC7FBE"/>
    <w:rsid w:val="60137E4B"/>
    <w:rsid w:val="60E9F7D4"/>
    <w:rsid w:val="650DA839"/>
    <w:rsid w:val="651C535A"/>
    <w:rsid w:val="704F5EC1"/>
    <w:rsid w:val="7085A414"/>
    <w:rsid w:val="73D2EA02"/>
    <w:rsid w:val="742EF5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E6CC"/>
  <w15:chartTrackingRefBased/>
  <w15:docId w15:val="{9AA9E3D3-05EF-401A-987D-1F63FC2A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CE8"/>
    <w:rPr>
      <w:rFonts w:ascii="Times New Roman" w:eastAsia="ヒラギノ角ゴ Pro W3"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CE8"/>
    <w:pPr>
      <w:widowControl w:val="0"/>
      <w:spacing w:after="120"/>
      <w:ind w:left="720"/>
      <w:contextualSpacing/>
    </w:pPr>
    <w:rPr>
      <w:color w:val="000000"/>
    </w:rPr>
  </w:style>
  <w:style w:type="paragraph" w:styleId="Header">
    <w:name w:val="header"/>
    <w:basedOn w:val="Normal"/>
    <w:link w:val="HeaderChar"/>
    <w:uiPriority w:val="99"/>
    <w:unhideWhenUsed/>
    <w:rsid w:val="003F5049"/>
    <w:pPr>
      <w:tabs>
        <w:tab w:val="center" w:pos="4680"/>
        <w:tab w:val="right" w:pos="9360"/>
      </w:tabs>
    </w:pPr>
  </w:style>
  <w:style w:type="character" w:customStyle="1" w:styleId="HeaderChar">
    <w:name w:val="Header Char"/>
    <w:basedOn w:val="DefaultParagraphFont"/>
    <w:link w:val="Header"/>
    <w:uiPriority w:val="99"/>
    <w:rsid w:val="003F5049"/>
    <w:rPr>
      <w:rFonts w:ascii="Times New Roman" w:eastAsia="ヒラギノ角ゴ Pro W3" w:hAnsi="Times New Roman" w:cs="Times New Roman"/>
    </w:rPr>
  </w:style>
  <w:style w:type="paragraph" w:styleId="Footer">
    <w:name w:val="footer"/>
    <w:basedOn w:val="Normal"/>
    <w:link w:val="FooterChar"/>
    <w:uiPriority w:val="99"/>
    <w:unhideWhenUsed/>
    <w:rsid w:val="003F5049"/>
    <w:pPr>
      <w:tabs>
        <w:tab w:val="center" w:pos="4680"/>
        <w:tab w:val="right" w:pos="9360"/>
      </w:tabs>
    </w:pPr>
  </w:style>
  <w:style w:type="character" w:customStyle="1" w:styleId="FooterChar">
    <w:name w:val="Footer Char"/>
    <w:basedOn w:val="DefaultParagraphFont"/>
    <w:link w:val="Footer"/>
    <w:uiPriority w:val="99"/>
    <w:rsid w:val="003F5049"/>
    <w:rPr>
      <w:rFonts w:ascii="Times New Roman" w:eastAsia="ヒラギノ角ゴ Pro W3" w:hAnsi="Times New Roman" w:cs="Times New Roman"/>
    </w:rPr>
  </w:style>
  <w:style w:type="paragraph" w:customStyle="1" w:styleId="Default">
    <w:name w:val="Default"/>
    <w:rsid w:val="003F5049"/>
    <w:pPr>
      <w:widowControl w:val="0"/>
      <w:autoSpaceDE w:val="0"/>
      <w:autoSpaceDN w:val="0"/>
      <w:adjustRightInd w:val="0"/>
    </w:pPr>
    <w:rPr>
      <w:rFonts w:ascii="TYCZGQ+TimesNewRomanPS-BoldMT" w:eastAsiaTheme="minorEastAsia" w:hAnsi="TYCZGQ+TimesNewRomanPS-BoldMT" w:cs="TYCZGQ+TimesNewRomanPS-BoldMT"/>
      <w:color w:val="000000"/>
    </w:rPr>
  </w:style>
  <w:style w:type="character" w:styleId="CommentReference">
    <w:name w:val="annotation reference"/>
    <w:basedOn w:val="DefaultParagraphFont"/>
    <w:uiPriority w:val="99"/>
    <w:semiHidden/>
    <w:unhideWhenUsed/>
    <w:rsid w:val="002713B5"/>
    <w:rPr>
      <w:sz w:val="16"/>
      <w:szCs w:val="16"/>
    </w:rPr>
  </w:style>
  <w:style w:type="paragraph" w:styleId="CommentText">
    <w:name w:val="annotation text"/>
    <w:basedOn w:val="Normal"/>
    <w:link w:val="CommentTextChar"/>
    <w:uiPriority w:val="99"/>
    <w:semiHidden/>
    <w:unhideWhenUsed/>
    <w:rsid w:val="002713B5"/>
    <w:rPr>
      <w:sz w:val="20"/>
      <w:szCs w:val="20"/>
    </w:rPr>
  </w:style>
  <w:style w:type="character" w:customStyle="1" w:styleId="CommentTextChar">
    <w:name w:val="Comment Text Char"/>
    <w:basedOn w:val="DefaultParagraphFont"/>
    <w:link w:val="CommentText"/>
    <w:uiPriority w:val="99"/>
    <w:semiHidden/>
    <w:rsid w:val="002713B5"/>
    <w:rPr>
      <w:rFonts w:ascii="Times New Roman" w:eastAsia="ヒラギノ角ゴ Pro W3"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13B5"/>
    <w:rPr>
      <w:b/>
      <w:bCs/>
    </w:rPr>
  </w:style>
  <w:style w:type="character" w:customStyle="1" w:styleId="CommentSubjectChar">
    <w:name w:val="Comment Subject Char"/>
    <w:basedOn w:val="CommentTextChar"/>
    <w:link w:val="CommentSubject"/>
    <w:uiPriority w:val="99"/>
    <w:semiHidden/>
    <w:rsid w:val="002713B5"/>
    <w:rPr>
      <w:rFonts w:ascii="Times New Roman" w:eastAsia="ヒラギノ角ゴ Pro W3" w:hAnsi="Times New Roman" w:cs="Times New Roman"/>
      <w:b/>
      <w:bCs/>
      <w:sz w:val="20"/>
      <w:szCs w:val="20"/>
    </w:rPr>
  </w:style>
  <w:style w:type="paragraph" w:styleId="BalloonText">
    <w:name w:val="Balloon Text"/>
    <w:basedOn w:val="Normal"/>
    <w:link w:val="BalloonTextChar"/>
    <w:uiPriority w:val="99"/>
    <w:semiHidden/>
    <w:unhideWhenUsed/>
    <w:rsid w:val="00271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3B5"/>
    <w:rPr>
      <w:rFonts w:ascii="Segoe UI" w:eastAsia="ヒラギノ角ゴ Pro W3" w:hAnsi="Segoe UI" w:cs="Segoe UI"/>
      <w:sz w:val="18"/>
      <w:szCs w:val="18"/>
    </w:rPr>
  </w:style>
  <w:style w:type="paragraph" w:styleId="Revision">
    <w:name w:val="Revision"/>
    <w:hidden/>
    <w:uiPriority w:val="99"/>
    <w:semiHidden/>
    <w:rsid w:val="00A11E0A"/>
    <w:rPr>
      <w:rFonts w:ascii="Times New Roman" w:eastAsia="ヒラギノ角ゴ Pro W3"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59654">
      <w:bodyDiv w:val="1"/>
      <w:marLeft w:val="0"/>
      <w:marRight w:val="0"/>
      <w:marTop w:val="0"/>
      <w:marBottom w:val="0"/>
      <w:divBdr>
        <w:top w:val="none" w:sz="0" w:space="0" w:color="auto"/>
        <w:left w:val="none" w:sz="0" w:space="0" w:color="auto"/>
        <w:bottom w:val="none" w:sz="0" w:space="0" w:color="auto"/>
        <w:right w:val="none" w:sz="0" w:space="0" w:color="auto"/>
      </w:divBdr>
    </w:div>
    <w:div w:id="1203714164">
      <w:bodyDiv w:val="1"/>
      <w:marLeft w:val="0"/>
      <w:marRight w:val="0"/>
      <w:marTop w:val="0"/>
      <w:marBottom w:val="0"/>
      <w:divBdr>
        <w:top w:val="none" w:sz="0" w:space="0" w:color="auto"/>
        <w:left w:val="none" w:sz="0" w:space="0" w:color="auto"/>
        <w:bottom w:val="none" w:sz="0" w:space="0" w:color="auto"/>
        <w:right w:val="none" w:sz="0" w:space="0" w:color="auto"/>
      </w:divBdr>
    </w:div>
    <w:div w:id="1554147772">
      <w:bodyDiv w:val="1"/>
      <w:marLeft w:val="0"/>
      <w:marRight w:val="0"/>
      <w:marTop w:val="0"/>
      <w:marBottom w:val="0"/>
      <w:divBdr>
        <w:top w:val="none" w:sz="0" w:space="0" w:color="auto"/>
        <w:left w:val="none" w:sz="0" w:space="0" w:color="auto"/>
        <w:bottom w:val="none" w:sz="0" w:space="0" w:color="auto"/>
        <w:right w:val="none" w:sz="0" w:space="0" w:color="auto"/>
      </w:divBdr>
    </w:div>
    <w:div w:id="19153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ling Document" ma:contentTypeID="0x0101003840FE4813D4A94DA97272E13764617F00973A8118B1D45142920B8ED3A31983F5" ma:contentTypeVersion="5" ma:contentTypeDescription="" ma:contentTypeScope="" ma:versionID="d2e24632040ccc244bdb024b9f893dfb">
  <xsd:schema xmlns:xsd="http://www.w3.org/2001/XMLSchema" xmlns:xs="http://www.w3.org/2001/XMLSchema" xmlns:p="http://schemas.microsoft.com/office/2006/metadata/properties" xmlns:ns2="3a0c425c-8a18-4bcd-b07b-a947f609ef0c" targetNamespace="http://schemas.microsoft.com/office/2006/metadata/properties" ma:root="true" ma:fieldsID="b092c1723953783a5659c60c6250df22" ns2:_="">
    <xsd:import namespace="3a0c425c-8a18-4bcd-b07b-a947f609ef0c"/>
    <xsd:element name="properties">
      <xsd:complexType>
        <xsd:sequence>
          <xsd:element name="documentManagement">
            <xsd:complexType>
              <xsd:all>
                <xsd:element ref="ns2:Document_x0020_Type" minOccurs="0"/>
                <xsd:element ref="ns2:Decision" minOccurs="0"/>
                <xsd:element ref="ns2:Hearing" minOccurs="0"/>
                <xsd:element ref="ns2:Opening" minOccurs="0"/>
                <xsd:element ref="ns2:Reply" minOccurs="0"/>
                <xsd:element ref="ns2:Testimony" minOccurs="0"/>
                <xsd:element ref="ns2:Workpaper" minOccurs="0"/>
                <xsd:element ref="ns2:Program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425c-8a18-4bcd-b07b-a947f609ef0c" elementFormDefault="qualified">
    <xsd:import namespace="http://schemas.microsoft.com/office/2006/documentManagement/types"/>
    <xsd:import namespace="http://schemas.microsoft.com/office/infopath/2007/PartnerControls"/>
    <xsd:element name="Document_x0020_Type" ma:index="8" nillable="true" ma:displayName="Filing Doc Type" ma:format="Dropdown" ma:internalName="Document_x0020_Type">
      <xsd:simpleType>
        <xsd:restriction base="dms:Choice">
          <xsd:enumeration value="Advice Letter"/>
          <xsd:enumeration value="Analysis"/>
          <xsd:enumeration value="Application"/>
          <xsd:enumeration value="Customer"/>
          <xsd:enumeration value="Decision (Final)"/>
          <xsd:enumeration value="Decision (Proposed)"/>
          <xsd:enumeration value="Discovery"/>
          <xsd:enumeration value="Filing Schedule"/>
          <xsd:enumeration value="Hearing"/>
          <xsd:enumeration value="Noticing"/>
          <xsd:enumeration value="Presentation"/>
          <xsd:enumeration value="RFI/RFP"/>
          <xsd:enumeration value="Settlement"/>
          <xsd:enumeration value="Supporting Info"/>
          <xsd:enumeration value="Testimony"/>
          <xsd:enumeration value="Workpaper"/>
        </xsd:restriction>
      </xsd:simpleType>
    </xsd:element>
    <xsd:element name="Decision" ma:index="9" nillable="true" ma:displayName="Decision" ma:format="Dropdown" ma:internalName="Decision">
      <xsd:simpleType>
        <xsd:restriction base="dms:Choice">
          <xsd:enumeration value="Proposed"/>
          <xsd:enumeration value="Final"/>
        </xsd:restriction>
      </xsd:simpleType>
    </xsd:element>
    <xsd:element name="Hearing" ma:index="10" nillable="true" ma:displayName="Hearing" ma:format="Dropdown" ma:internalName="Hearing">
      <xsd:simpleType>
        <xsd:restriction base="dms:Choice">
          <xsd:enumeration value="PHC"/>
          <xsd:enumeration value="PPH"/>
          <xsd:enumeration value="Evidentiary Hearing Prep"/>
          <xsd:enumeration value="Transcripts"/>
        </xsd:restriction>
      </xsd:simpleType>
    </xsd:element>
    <xsd:element name="Opening" ma:index="11" nillable="true" ma:displayName="Opening" ma:format="Dropdown" ma:internalName="Opening">
      <xsd:simpleType>
        <xsd:restriction base="dms:Choice">
          <xsd:enumeration value="Opening Brief"/>
          <xsd:enumeration value="Opening Comments to Proposed Decision"/>
        </xsd:restriction>
      </xsd:simpleType>
    </xsd:element>
    <xsd:element name="Reply" ma:index="12" nillable="true" ma:displayName="Reply" ma:format="Dropdown" ma:internalName="Reply">
      <xsd:simpleType>
        <xsd:restriction base="dms:Choice">
          <xsd:enumeration value="Reply Brief"/>
          <xsd:enumeration value="Reply Comments to Proposed Decision"/>
          <xsd:enumeration value="Reply to Protests and Responses to Application"/>
        </xsd:restriction>
      </xsd:simpleType>
    </xsd:element>
    <xsd:element name="Testimony" ma:index="13" nillable="true" ma:displayName="Testimony" ma:format="Dropdown" ma:internalName="Testimony">
      <xsd:simpleType>
        <xsd:restriction base="dms:Choice">
          <xsd:enumeration value="Concurrent Rebuttal"/>
          <xsd:enumeration value="Direct"/>
          <xsd:enumeration value="Intervenor"/>
        </xsd:restriction>
      </xsd:simpleType>
    </xsd:element>
    <xsd:element name="Workpaper" ma:index="14" nillable="true" ma:displayName="Workpaper" ma:format="Dropdown" ma:internalName="Workpaper">
      <xsd:simpleType>
        <xsd:union memberTypes="dms:Text">
          <xsd:simpleType>
            <xsd:restriction base="dms:Choice">
              <xsd:enumeration value="Cost"/>
            </xsd:restriction>
          </xsd:simpleType>
        </xsd:union>
      </xsd:simpleType>
    </xsd:element>
    <xsd:element name="Program_x0020_Status" ma:index="15" nillable="true" ma:displayName="Program Status" ma:format="Dropdown" ma:indexed="true" ma:internalName="Program_x0020_Status">
      <xsd:simpleType>
        <xsd:restriction base="dms:Choice">
          <xsd:enumeration value="Approved"/>
          <xsd:enumeration value="Potential/Pending"/>
          <xsd:enumeration value="Not Approved"/>
          <xsd:enumeration value="Comple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earing xmlns="3a0c425c-8a18-4bcd-b07b-a947f609ef0c" xsi:nil="true"/>
    <Decision xmlns="3a0c425c-8a18-4bcd-b07b-a947f609ef0c" xsi:nil="true"/>
    <Reply xmlns="3a0c425c-8a18-4bcd-b07b-a947f609ef0c" xsi:nil="true"/>
    <Workpaper xmlns="3a0c425c-8a18-4bcd-b07b-a947f609ef0c" xsi:nil="true"/>
    <Document_x0020_Type xmlns="3a0c425c-8a18-4bcd-b07b-a947f609ef0c" xsi:nil="true"/>
    <Opening xmlns="3a0c425c-8a18-4bcd-b07b-a947f609ef0c" xsi:nil="true"/>
    <Testimony xmlns="3a0c425c-8a18-4bcd-b07b-a947f609ef0c" xsi:nil="true"/>
    <Program_x0020_Status xmlns="3a0c425c-8a18-4bcd-b07b-a947f609ef0c" xsi:nil="true"/>
  </documentManagement>
</p:properties>
</file>

<file path=customXml/itemProps1.xml><?xml version="1.0" encoding="utf-8"?>
<ds:datastoreItem xmlns:ds="http://schemas.openxmlformats.org/officeDocument/2006/customXml" ds:itemID="{7FF47C34-6353-471A-853F-67175CA52FA6}">
  <ds:schemaRefs>
    <ds:schemaRef ds:uri="http://schemas.microsoft.com/sharepoint/v3/contenttype/forms"/>
  </ds:schemaRefs>
</ds:datastoreItem>
</file>

<file path=customXml/itemProps2.xml><?xml version="1.0" encoding="utf-8"?>
<ds:datastoreItem xmlns:ds="http://schemas.openxmlformats.org/officeDocument/2006/customXml" ds:itemID="{CB91F419-E12B-44F9-AA47-888EB3FB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425c-8a18-4bcd-b07b-a947f609e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E0C57-4C6C-4919-8922-0E19510158F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3a0c425c-8a18-4bcd-b07b-a947f609ef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889</Words>
  <Characters>5069</Characters>
  <Application>Microsoft Office Word</Application>
  <DocSecurity>0</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Weberski</dc:creator>
  <cp:keywords/>
  <dc:description/>
  <cp:lastModifiedBy>Woldegiorgis, Shewit T</cp:lastModifiedBy>
  <cp:revision>14</cp:revision>
  <dcterms:created xsi:type="dcterms:W3CDTF">2019-10-25T19:47:00Z</dcterms:created>
  <dcterms:modified xsi:type="dcterms:W3CDTF">2019-10-25T20:15:00Z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0x0101003840FE4813D4A94DA97272E13764617F00973A8118B1D45142920B8ED3A31983F5</vt:lpwstr>
  </property>
</Properties>
</file>