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70E0" w14:textId="77777777" w:rsidR="007046D3" w:rsidRPr="00EB3877" w:rsidRDefault="007046D3" w:rsidP="00F3194F">
      <w:pPr>
        <w:spacing w:after="0" w:line="240" w:lineRule="auto"/>
        <w:ind w:firstLine="0"/>
        <w:rPr>
          <w:sz w:val="24"/>
        </w:rPr>
      </w:pPr>
      <w:bookmarkStart w:id="0" w:name="_GoBack"/>
      <w:bookmarkEnd w:id="0"/>
    </w:p>
    <w:p w14:paraId="1E89169C" w14:textId="389C6C36" w:rsidR="002758B9" w:rsidRPr="00EB3877" w:rsidRDefault="002758B9" w:rsidP="00F3194F">
      <w:pPr>
        <w:numPr>
          <w:ilvl w:val="0"/>
          <w:numId w:val="1"/>
        </w:numPr>
        <w:spacing w:after="0" w:line="240" w:lineRule="auto"/>
        <w:rPr>
          <w:sz w:val="24"/>
        </w:rPr>
      </w:pPr>
      <w:r w:rsidRPr="00EB3877">
        <w:rPr>
          <w:sz w:val="24"/>
        </w:rPr>
        <w:t>Please explain whether SDG&amp;E intends that ancillary and auxiliary equipment associated with the EV chargers (e.g., lighting, billing equipment) could be included in the EV-HP load, or whether those loads would need to be metered separately or included in another metered account.</w:t>
      </w:r>
    </w:p>
    <w:p w14:paraId="72D6E837" w14:textId="77777777" w:rsidR="00F3194F" w:rsidRDefault="00F3194F" w:rsidP="00F3194F">
      <w:pPr>
        <w:spacing w:after="0" w:line="240" w:lineRule="auto"/>
        <w:ind w:left="360" w:firstLine="0"/>
        <w:jc w:val="both"/>
        <w:rPr>
          <w:rFonts w:eastAsia="Calibri"/>
          <w:b/>
          <w:sz w:val="24"/>
        </w:rPr>
      </w:pPr>
    </w:p>
    <w:p w14:paraId="14DDB6F0" w14:textId="1B1E4201" w:rsidR="00C50880" w:rsidRDefault="005F2184" w:rsidP="00F3194F">
      <w:pPr>
        <w:spacing w:after="0" w:line="240" w:lineRule="auto"/>
        <w:ind w:left="360" w:firstLine="0"/>
        <w:jc w:val="both"/>
        <w:rPr>
          <w:rFonts w:eastAsia="Calibri"/>
          <w:sz w:val="24"/>
        </w:rPr>
      </w:pPr>
      <w:r w:rsidRPr="00EB3877">
        <w:rPr>
          <w:rFonts w:eastAsia="Calibri"/>
          <w:b/>
          <w:sz w:val="24"/>
        </w:rPr>
        <w:t>SDG&amp;E Response:</w:t>
      </w:r>
      <w:r w:rsidR="00202211">
        <w:rPr>
          <w:rFonts w:eastAsia="Calibri"/>
          <w:sz w:val="24"/>
        </w:rPr>
        <w:t xml:space="preserve">  The EV-HP rate is intended to be used for </w:t>
      </w:r>
      <w:r w:rsidR="00AE7B8B">
        <w:rPr>
          <w:rFonts w:eastAsia="Calibri"/>
          <w:sz w:val="24"/>
        </w:rPr>
        <w:t xml:space="preserve">EV charging equipment load. If the ancillary and auxiliary equipment is </w:t>
      </w:r>
      <w:r w:rsidR="00797256">
        <w:rPr>
          <w:rFonts w:eastAsia="Calibri"/>
          <w:sz w:val="24"/>
        </w:rPr>
        <w:t xml:space="preserve">required and </w:t>
      </w:r>
      <w:r w:rsidR="00AE7B8B">
        <w:rPr>
          <w:rFonts w:eastAsia="Calibri"/>
          <w:sz w:val="24"/>
        </w:rPr>
        <w:t>necessary for the operation of the</w:t>
      </w:r>
      <w:r w:rsidR="005F4EE1">
        <w:rPr>
          <w:rFonts w:eastAsia="Calibri"/>
          <w:sz w:val="24"/>
        </w:rPr>
        <w:t xml:space="preserve"> charging stations then they will be allowed to be on the same meter and use the EV-HP rate. </w:t>
      </w:r>
      <w:r w:rsidR="00A20D93">
        <w:rPr>
          <w:rFonts w:eastAsia="Calibri"/>
          <w:sz w:val="24"/>
        </w:rPr>
        <w:t xml:space="preserve">Examples of this may include lighting that is necessary for safety or operations directly </w:t>
      </w:r>
      <w:r w:rsidR="00CC3503">
        <w:rPr>
          <w:rFonts w:eastAsia="Calibri"/>
          <w:sz w:val="24"/>
        </w:rPr>
        <w:t xml:space="preserve">associated with the charging stations. However, other lighting such as general parking lot lighting may not be included.  </w:t>
      </w:r>
    </w:p>
    <w:p w14:paraId="63F01C4C" w14:textId="7559E61C" w:rsidR="005F2184" w:rsidRPr="00EB3877" w:rsidRDefault="005F2184" w:rsidP="00F3194F">
      <w:pPr>
        <w:spacing w:after="0" w:line="240" w:lineRule="auto"/>
        <w:ind w:firstLine="360"/>
        <w:jc w:val="both"/>
        <w:rPr>
          <w:rFonts w:eastAsia="Calibri"/>
          <w:sz w:val="24"/>
        </w:rPr>
      </w:pPr>
    </w:p>
    <w:p w14:paraId="47DCFAD6" w14:textId="75A1E63A" w:rsidR="00F276EF" w:rsidRPr="00EB3877" w:rsidRDefault="00F276EF" w:rsidP="00F3194F">
      <w:pPr>
        <w:numPr>
          <w:ilvl w:val="0"/>
          <w:numId w:val="1"/>
        </w:numPr>
        <w:spacing w:after="0" w:line="240" w:lineRule="auto"/>
        <w:rPr>
          <w:sz w:val="24"/>
        </w:rPr>
      </w:pPr>
      <w:r w:rsidRPr="00EB3877">
        <w:rPr>
          <w:sz w:val="24"/>
        </w:rPr>
        <w:t>Please explain how SDG&amp;E selected the peak and off-peak hours for the TOU rate.</w:t>
      </w:r>
    </w:p>
    <w:p w14:paraId="1C97BA83" w14:textId="77777777" w:rsidR="00F3194F" w:rsidRDefault="00F3194F" w:rsidP="00F3194F">
      <w:pPr>
        <w:spacing w:after="0" w:line="240" w:lineRule="auto"/>
        <w:ind w:left="360" w:firstLine="0"/>
        <w:jc w:val="both"/>
        <w:rPr>
          <w:rFonts w:eastAsia="Calibri"/>
          <w:b/>
          <w:sz w:val="24"/>
        </w:rPr>
      </w:pPr>
    </w:p>
    <w:p w14:paraId="5F0A46EA" w14:textId="0896CF34" w:rsidR="00B1229D" w:rsidRPr="00C50880" w:rsidRDefault="00B1229D" w:rsidP="00F3194F">
      <w:pPr>
        <w:spacing w:after="0" w:line="240" w:lineRule="auto"/>
        <w:ind w:left="360" w:firstLine="0"/>
        <w:jc w:val="both"/>
        <w:rPr>
          <w:rFonts w:eastAsia="Calibri"/>
          <w:sz w:val="24"/>
        </w:rPr>
      </w:pPr>
      <w:r w:rsidRPr="00C50880">
        <w:rPr>
          <w:rFonts w:eastAsia="Calibri"/>
          <w:b/>
          <w:sz w:val="24"/>
        </w:rPr>
        <w:t>SDG&amp;E Response:</w:t>
      </w:r>
      <w:r w:rsidR="00C50880">
        <w:rPr>
          <w:rFonts w:eastAsia="Calibri"/>
          <w:b/>
          <w:sz w:val="24"/>
        </w:rPr>
        <w:t xml:space="preserve"> </w:t>
      </w:r>
      <w:r w:rsidR="004F5E0E">
        <w:rPr>
          <w:rFonts w:eastAsia="Calibri"/>
          <w:sz w:val="24"/>
        </w:rPr>
        <w:t xml:space="preserve">The TOU periods for the </w:t>
      </w:r>
      <w:r w:rsidR="00E82A7C">
        <w:rPr>
          <w:rFonts w:eastAsia="Calibri"/>
          <w:sz w:val="24"/>
        </w:rPr>
        <w:t xml:space="preserve">proposed </w:t>
      </w:r>
      <w:r w:rsidR="004F5E0E">
        <w:rPr>
          <w:rFonts w:eastAsia="Calibri"/>
          <w:sz w:val="24"/>
        </w:rPr>
        <w:t xml:space="preserve">EV-HP rate are the TOU </w:t>
      </w:r>
      <w:r w:rsidR="00AB1395">
        <w:rPr>
          <w:rFonts w:eastAsia="Calibri"/>
          <w:sz w:val="24"/>
        </w:rPr>
        <w:t>periods adopted for SDG&amp;E customers in Decision 17-08-030.</w:t>
      </w:r>
    </w:p>
    <w:p w14:paraId="0FF239E6" w14:textId="77777777" w:rsidR="00C50880" w:rsidRPr="00C50880" w:rsidRDefault="00C50880" w:rsidP="00F3194F">
      <w:pPr>
        <w:spacing w:after="0" w:line="240" w:lineRule="auto"/>
        <w:ind w:firstLine="360"/>
        <w:jc w:val="both"/>
        <w:rPr>
          <w:rFonts w:eastAsia="Calibri"/>
          <w:b/>
          <w:sz w:val="24"/>
        </w:rPr>
      </w:pPr>
    </w:p>
    <w:p w14:paraId="0AC1E80D" w14:textId="3C166256" w:rsidR="00F434B0" w:rsidRPr="00C50880" w:rsidRDefault="00F434B0" w:rsidP="00F3194F">
      <w:pPr>
        <w:numPr>
          <w:ilvl w:val="0"/>
          <w:numId w:val="1"/>
        </w:numPr>
        <w:spacing w:after="0" w:line="240" w:lineRule="auto"/>
        <w:rPr>
          <w:sz w:val="24"/>
        </w:rPr>
      </w:pPr>
      <w:r w:rsidRPr="00C50880">
        <w:rPr>
          <w:sz w:val="24"/>
        </w:rPr>
        <w:t>Please explain how SDG&amp;E selected the TOU energy rate differentials.</w:t>
      </w:r>
    </w:p>
    <w:p w14:paraId="1BB44A73" w14:textId="77777777" w:rsidR="00F3194F" w:rsidRDefault="00F3194F" w:rsidP="00F3194F">
      <w:pPr>
        <w:spacing w:after="0" w:line="240" w:lineRule="auto"/>
        <w:ind w:left="360" w:firstLine="0"/>
        <w:jc w:val="both"/>
        <w:rPr>
          <w:rFonts w:eastAsia="Calibri"/>
          <w:b/>
          <w:sz w:val="24"/>
        </w:rPr>
      </w:pPr>
    </w:p>
    <w:p w14:paraId="41C74A7E" w14:textId="13E03740" w:rsidR="00B1229D" w:rsidRDefault="00B1229D" w:rsidP="00F3194F">
      <w:pPr>
        <w:spacing w:after="0" w:line="240" w:lineRule="auto"/>
        <w:ind w:left="360" w:firstLine="0"/>
        <w:jc w:val="both"/>
        <w:rPr>
          <w:rFonts w:eastAsia="Calibri"/>
          <w:b/>
          <w:sz w:val="24"/>
        </w:rPr>
      </w:pPr>
      <w:r w:rsidRPr="00C50880">
        <w:rPr>
          <w:rFonts w:eastAsia="Calibri"/>
          <w:b/>
          <w:sz w:val="24"/>
        </w:rPr>
        <w:t>SDG&amp;E Response:</w:t>
      </w:r>
      <w:r w:rsidR="00A14CAA">
        <w:rPr>
          <w:rFonts w:eastAsia="Calibri"/>
          <w:b/>
          <w:sz w:val="24"/>
        </w:rPr>
        <w:t xml:space="preserve"> </w:t>
      </w:r>
      <w:r w:rsidR="00AB39AD">
        <w:rPr>
          <w:rFonts w:eastAsia="Calibri"/>
          <w:sz w:val="24"/>
        </w:rPr>
        <w:t xml:space="preserve">The </w:t>
      </w:r>
      <w:r w:rsidR="00C96B6A">
        <w:rPr>
          <w:rFonts w:eastAsia="Calibri"/>
          <w:sz w:val="24"/>
        </w:rPr>
        <w:t xml:space="preserve">starting point for the EV-HP </w:t>
      </w:r>
      <w:r w:rsidR="00AB39AD">
        <w:rPr>
          <w:rFonts w:eastAsia="Calibri"/>
          <w:sz w:val="24"/>
        </w:rPr>
        <w:t xml:space="preserve">TOU energy rate differentials </w:t>
      </w:r>
      <w:r w:rsidR="00E82A7C">
        <w:rPr>
          <w:rFonts w:eastAsia="Calibri"/>
          <w:sz w:val="24"/>
        </w:rPr>
        <w:t xml:space="preserve">are the TOU rate energy </w:t>
      </w:r>
      <w:r w:rsidR="00C528CF">
        <w:rPr>
          <w:rFonts w:eastAsia="Calibri"/>
          <w:sz w:val="24"/>
        </w:rPr>
        <w:t xml:space="preserve">rate </w:t>
      </w:r>
      <w:r w:rsidR="00E82A7C">
        <w:rPr>
          <w:rFonts w:eastAsia="Calibri"/>
          <w:sz w:val="24"/>
        </w:rPr>
        <w:t xml:space="preserve">differentials </w:t>
      </w:r>
      <w:r w:rsidR="00FB7E64">
        <w:rPr>
          <w:rFonts w:eastAsia="Calibri"/>
          <w:sz w:val="24"/>
        </w:rPr>
        <w:t>adopted for Schedule AL-TOU.</w:t>
      </w:r>
      <w:r w:rsidR="00C528CF">
        <w:rPr>
          <w:rFonts w:eastAsia="Calibri"/>
          <w:sz w:val="24"/>
        </w:rPr>
        <w:t xml:space="preserve">  However, as explained on pages WS-</w:t>
      </w:r>
      <w:r w:rsidR="0021407F">
        <w:rPr>
          <w:rFonts w:eastAsia="Calibri"/>
          <w:sz w:val="24"/>
        </w:rPr>
        <w:t>3</w:t>
      </w:r>
      <w:r w:rsidR="00C528CF">
        <w:rPr>
          <w:rFonts w:eastAsia="Calibri"/>
          <w:sz w:val="24"/>
        </w:rPr>
        <w:t xml:space="preserve"> </w:t>
      </w:r>
      <w:r w:rsidR="0021407F">
        <w:rPr>
          <w:rFonts w:eastAsia="Calibri"/>
          <w:sz w:val="24"/>
        </w:rPr>
        <w:t xml:space="preserve">through </w:t>
      </w:r>
      <w:r w:rsidR="00D230E8">
        <w:rPr>
          <w:rFonts w:eastAsia="Calibri"/>
          <w:sz w:val="24"/>
        </w:rPr>
        <w:t xml:space="preserve">WS-6 </w:t>
      </w:r>
      <w:r w:rsidR="00C528CF">
        <w:rPr>
          <w:rFonts w:eastAsia="Calibri"/>
          <w:sz w:val="24"/>
        </w:rPr>
        <w:t>of the Prepared Direct Testimony of William G</w:t>
      </w:r>
      <w:r w:rsidR="007C07FA">
        <w:rPr>
          <w:rFonts w:eastAsia="Calibri"/>
          <w:sz w:val="24"/>
        </w:rPr>
        <w:t>.</w:t>
      </w:r>
      <w:r w:rsidR="00C528CF">
        <w:rPr>
          <w:rFonts w:eastAsia="Calibri"/>
          <w:sz w:val="24"/>
        </w:rPr>
        <w:t xml:space="preserve"> Saxe</w:t>
      </w:r>
      <w:r w:rsidR="00D230E8">
        <w:rPr>
          <w:rFonts w:eastAsia="Calibri"/>
          <w:sz w:val="24"/>
        </w:rPr>
        <w:t xml:space="preserve">, the </w:t>
      </w:r>
      <w:r w:rsidR="007D6933">
        <w:rPr>
          <w:rFonts w:eastAsia="Calibri"/>
          <w:sz w:val="24"/>
        </w:rPr>
        <w:t xml:space="preserve">energy rate </w:t>
      </w:r>
      <w:r w:rsidR="00604452">
        <w:rPr>
          <w:rFonts w:eastAsia="Calibri"/>
          <w:sz w:val="24"/>
        </w:rPr>
        <w:t xml:space="preserve">differentials </w:t>
      </w:r>
      <w:r w:rsidR="007D6933">
        <w:rPr>
          <w:rFonts w:eastAsia="Calibri"/>
          <w:sz w:val="24"/>
        </w:rPr>
        <w:t xml:space="preserve">for EV-HP </w:t>
      </w:r>
      <w:r w:rsidR="00604452">
        <w:rPr>
          <w:rFonts w:eastAsia="Calibri"/>
          <w:sz w:val="24"/>
        </w:rPr>
        <w:t xml:space="preserve">were modified </w:t>
      </w:r>
      <w:r w:rsidR="006E47C4">
        <w:rPr>
          <w:rFonts w:eastAsia="Calibri"/>
          <w:sz w:val="24"/>
        </w:rPr>
        <w:t xml:space="preserve">to eliminate demand charges </w:t>
      </w:r>
      <w:r w:rsidR="00604452">
        <w:rPr>
          <w:rFonts w:eastAsia="Calibri"/>
          <w:sz w:val="24"/>
        </w:rPr>
        <w:t>by</w:t>
      </w:r>
      <w:r w:rsidR="00020775">
        <w:rPr>
          <w:rFonts w:eastAsia="Calibri"/>
          <w:sz w:val="24"/>
        </w:rPr>
        <w:t>:</w:t>
      </w:r>
      <w:r w:rsidR="00604452">
        <w:rPr>
          <w:rFonts w:eastAsia="Calibri"/>
          <w:sz w:val="24"/>
        </w:rPr>
        <w:t xml:space="preserve"> </w:t>
      </w:r>
      <w:r w:rsidR="00020775">
        <w:rPr>
          <w:rFonts w:eastAsia="Calibri"/>
          <w:sz w:val="24"/>
        </w:rPr>
        <w:t xml:space="preserve">(a) </w:t>
      </w:r>
      <w:r w:rsidR="00395384">
        <w:rPr>
          <w:rFonts w:eastAsia="Calibri"/>
          <w:sz w:val="24"/>
        </w:rPr>
        <w:t xml:space="preserve">recovering allocated </w:t>
      </w:r>
      <w:r w:rsidR="0020429C">
        <w:rPr>
          <w:rFonts w:eastAsia="Calibri"/>
          <w:sz w:val="24"/>
        </w:rPr>
        <w:t xml:space="preserve">distribution </w:t>
      </w:r>
      <w:r w:rsidR="00395384">
        <w:rPr>
          <w:rFonts w:eastAsia="Calibri"/>
          <w:sz w:val="24"/>
        </w:rPr>
        <w:t xml:space="preserve">on-peak demand costs through on-peak </w:t>
      </w:r>
      <w:r w:rsidR="00DD7228">
        <w:rPr>
          <w:rFonts w:eastAsia="Calibri"/>
          <w:sz w:val="24"/>
        </w:rPr>
        <w:t xml:space="preserve">distribution </w:t>
      </w:r>
      <w:r w:rsidR="00395384">
        <w:rPr>
          <w:rFonts w:eastAsia="Calibri"/>
          <w:sz w:val="24"/>
        </w:rPr>
        <w:t xml:space="preserve">energy charges rather than on-peak </w:t>
      </w:r>
      <w:r w:rsidR="00DD7228">
        <w:rPr>
          <w:rFonts w:eastAsia="Calibri"/>
          <w:sz w:val="24"/>
        </w:rPr>
        <w:t xml:space="preserve">distribution </w:t>
      </w:r>
      <w:r w:rsidR="00395384">
        <w:rPr>
          <w:rFonts w:eastAsia="Calibri"/>
          <w:sz w:val="24"/>
        </w:rPr>
        <w:t>demand charges</w:t>
      </w:r>
      <w:r w:rsidR="00A77EB6">
        <w:rPr>
          <w:rFonts w:eastAsia="Calibri"/>
          <w:sz w:val="24"/>
        </w:rPr>
        <w:t xml:space="preserve">; (b) </w:t>
      </w:r>
      <w:r w:rsidR="006531EC">
        <w:rPr>
          <w:rFonts w:eastAsia="Calibri"/>
          <w:sz w:val="24"/>
        </w:rPr>
        <w:t xml:space="preserve">recovering allocated </w:t>
      </w:r>
      <w:r w:rsidR="001F40A3">
        <w:rPr>
          <w:rFonts w:eastAsia="Calibri"/>
          <w:sz w:val="24"/>
        </w:rPr>
        <w:t xml:space="preserve">base </w:t>
      </w:r>
      <w:r w:rsidR="006531EC">
        <w:rPr>
          <w:rFonts w:eastAsia="Calibri"/>
          <w:sz w:val="24"/>
        </w:rPr>
        <w:t>transmission and RS</w:t>
      </w:r>
      <w:r w:rsidR="001F40A3">
        <w:rPr>
          <w:rFonts w:eastAsia="Calibri"/>
          <w:sz w:val="24"/>
        </w:rPr>
        <w:t xml:space="preserve"> costs through </w:t>
      </w:r>
      <w:r w:rsidR="00DD7228">
        <w:rPr>
          <w:rFonts w:eastAsia="Calibri"/>
          <w:sz w:val="24"/>
        </w:rPr>
        <w:t xml:space="preserve">transmission and RS </w:t>
      </w:r>
      <w:r w:rsidR="001F40A3">
        <w:rPr>
          <w:rFonts w:eastAsia="Calibri"/>
          <w:sz w:val="24"/>
        </w:rPr>
        <w:t xml:space="preserve">energy charges rather than </w:t>
      </w:r>
      <w:r w:rsidR="00DD7228">
        <w:rPr>
          <w:rFonts w:eastAsia="Calibri"/>
          <w:sz w:val="24"/>
        </w:rPr>
        <w:t xml:space="preserve">transmission and RS </w:t>
      </w:r>
      <w:r w:rsidR="001F40A3">
        <w:rPr>
          <w:rFonts w:eastAsia="Calibri"/>
          <w:sz w:val="24"/>
        </w:rPr>
        <w:t>demand charges; and (c)</w:t>
      </w:r>
      <w:r w:rsidR="006E47C4">
        <w:rPr>
          <w:rFonts w:eastAsia="Calibri"/>
          <w:sz w:val="24"/>
        </w:rPr>
        <w:t xml:space="preserve"> reducing the super off-peak </w:t>
      </w:r>
      <w:r w:rsidR="00947576">
        <w:rPr>
          <w:rFonts w:eastAsia="Calibri"/>
          <w:sz w:val="24"/>
        </w:rPr>
        <w:t xml:space="preserve">commodity </w:t>
      </w:r>
      <w:r w:rsidR="006E47C4">
        <w:rPr>
          <w:rFonts w:eastAsia="Calibri"/>
          <w:sz w:val="24"/>
        </w:rPr>
        <w:t>energy</w:t>
      </w:r>
      <w:r w:rsidR="00C84DF9">
        <w:rPr>
          <w:rFonts w:eastAsia="Calibri"/>
          <w:sz w:val="24"/>
        </w:rPr>
        <w:t xml:space="preserve"> charges by $0.03/kWh with the </w:t>
      </w:r>
      <w:r w:rsidR="00F26951">
        <w:rPr>
          <w:rFonts w:eastAsia="Calibri"/>
          <w:sz w:val="24"/>
        </w:rPr>
        <w:t xml:space="preserve">revenues not collected in super off-peak </w:t>
      </w:r>
      <w:r w:rsidR="00F76268">
        <w:rPr>
          <w:rFonts w:eastAsia="Calibri"/>
          <w:sz w:val="24"/>
        </w:rPr>
        <w:t xml:space="preserve">energy </w:t>
      </w:r>
      <w:r w:rsidR="000C2F51">
        <w:rPr>
          <w:rFonts w:eastAsia="Calibri"/>
          <w:sz w:val="24"/>
        </w:rPr>
        <w:t>charges</w:t>
      </w:r>
      <w:r w:rsidR="00F26951">
        <w:rPr>
          <w:rFonts w:eastAsia="Calibri"/>
          <w:sz w:val="24"/>
        </w:rPr>
        <w:t xml:space="preserve"> being collected in</w:t>
      </w:r>
      <w:r w:rsidR="00F76268">
        <w:rPr>
          <w:rFonts w:eastAsia="Calibri"/>
          <w:sz w:val="24"/>
        </w:rPr>
        <w:t>stead through</w:t>
      </w:r>
      <w:r w:rsidR="00F26951">
        <w:rPr>
          <w:rFonts w:eastAsia="Calibri"/>
          <w:sz w:val="24"/>
        </w:rPr>
        <w:t xml:space="preserve"> </w:t>
      </w:r>
      <w:r w:rsidR="00F76268">
        <w:rPr>
          <w:rFonts w:eastAsia="Calibri"/>
          <w:sz w:val="24"/>
        </w:rPr>
        <w:t xml:space="preserve">on-peak </w:t>
      </w:r>
      <w:r w:rsidR="00947576">
        <w:rPr>
          <w:rFonts w:eastAsia="Calibri"/>
          <w:sz w:val="24"/>
        </w:rPr>
        <w:t xml:space="preserve">commodity </w:t>
      </w:r>
      <w:r w:rsidR="00F76268">
        <w:rPr>
          <w:rFonts w:eastAsia="Calibri"/>
          <w:sz w:val="24"/>
        </w:rPr>
        <w:t xml:space="preserve">energy </w:t>
      </w:r>
      <w:r w:rsidR="000C2F51">
        <w:rPr>
          <w:rFonts w:eastAsia="Calibri"/>
          <w:sz w:val="24"/>
        </w:rPr>
        <w:t>charges</w:t>
      </w:r>
      <w:r w:rsidR="0066096A">
        <w:rPr>
          <w:rFonts w:eastAsia="Calibri"/>
          <w:sz w:val="24"/>
        </w:rPr>
        <w:t>,</w:t>
      </w:r>
      <w:r w:rsidR="00F76268">
        <w:rPr>
          <w:rFonts w:eastAsia="Calibri"/>
          <w:sz w:val="24"/>
        </w:rPr>
        <w:t xml:space="preserve"> resulting in increases </w:t>
      </w:r>
      <w:r w:rsidR="00682557">
        <w:rPr>
          <w:rFonts w:eastAsia="Calibri"/>
          <w:sz w:val="24"/>
        </w:rPr>
        <w:t>to</w:t>
      </w:r>
      <w:r w:rsidR="0066096A">
        <w:rPr>
          <w:rFonts w:eastAsia="Calibri"/>
          <w:sz w:val="24"/>
        </w:rPr>
        <w:t xml:space="preserve"> </w:t>
      </w:r>
      <w:r w:rsidR="00F76268">
        <w:rPr>
          <w:rFonts w:eastAsia="Calibri"/>
          <w:sz w:val="24"/>
        </w:rPr>
        <w:t xml:space="preserve">on-peak </w:t>
      </w:r>
      <w:r w:rsidR="00947576">
        <w:rPr>
          <w:rFonts w:eastAsia="Calibri"/>
          <w:sz w:val="24"/>
        </w:rPr>
        <w:t xml:space="preserve">commodity </w:t>
      </w:r>
      <w:r w:rsidR="00F76268">
        <w:rPr>
          <w:rFonts w:eastAsia="Calibri"/>
          <w:sz w:val="24"/>
        </w:rPr>
        <w:t xml:space="preserve">energy </w:t>
      </w:r>
      <w:r w:rsidR="00682557">
        <w:rPr>
          <w:rFonts w:eastAsia="Calibri"/>
          <w:sz w:val="24"/>
        </w:rPr>
        <w:t>charges of approximately $0.04/kWh.</w:t>
      </w:r>
      <w:r w:rsidR="00F76268">
        <w:rPr>
          <w:rFonts w:eastAsia="Calibri"/>
          <w:sz w:val="24"/>
        </w:rPr>
        <w:t xml:space="preserve"> </w:t>
      </w:r>
      <w:r w:rsidR="006E47C4">
        <w:rPr>
          <w:rFonts w:eastAsia="Calibri"/>
          <w:sz w:val="24"/>
        </w:rPr>
        <w:t xml:space="preserve"> </w:t>
      </w:r>
      <w:r w:rsidR="006531EC">
        <w:rPr>
          <w:rFonts w:eastAsia="Calibri"/>
          <w:sz w:val="24"/>
        </w:rPr>
        <w:t xml:space="preserve"> </w:t>
      </w:r>
      <w:r w:rsidR="00A14CAA">
        <w:rPr>
          <w:rFonts w:eastAsia="Calibri"/>
          <w:b/>
          <w:sz w:val="24"/>
        </w:rPr>
        <w:t xml:space="preserve"> </w:t>
      </w:r>
    </w:p>
    <w:p w14:paraId="6CFE78B9" w14:textId="77777777" w:rsidR="00A14CAA" w:rsidRPr="00C50880" w:rsidRDefault="00A14CAA" w:rsidP="00F3194F">
      <w:pPr>
        <w:spacing w:after="0" w:line="240" w:lineRule="auto"/>
        <w:ind w:firstLine="360"/>
        <w:jc w:val="both"/>
        <w:rPr>
          <w:rFonts w:eastAsia="Calibri"/>
          <w:b/>
          <w:sz w:val="24"/>
        </w:rPr>
      </w:pPr>
    </w:p>
    <w:p w14:paraId="468AA93D" w14:textId="2905173E" w:rsidR="00F434B0" w:rsidRPr="00C50880" w:rsidRDefault="00F434B0" w:rsidP="00F3194F">
      <w:pPr>
        <w:numPr>
          <w:ilvl w:val="0"/>
          <w:numId w:val="1"/>
        </w:numPr>
        <w:spacing w:after="0" w:line="240" w:lineRule="auto"/>
        <w:rPr>
          <w:sz w:val="24"/>
        </w:rPr>
      </w:pPr>
      <w:r w:rsidRPr="00C50880">
        <w:rPr>
          <w:sz w:val="24"/>
        </w:rPr>
        <w:t>Please explain how SDG&amp;E selected the CPP energy rate.</w:t>
      </w:r>
    </w:p>
    <w:p w14:paraId="4E8574EE" w14:textId="77777777" w:rsidR="00625AF8" w:rsidRDefault="00625AF8" w:rsidP="00F3194F">
      <w:pPr>
        <w:spacing w:after="0" w:line="240" w:lineRule="auto"/>
        <w:ind w:left="360" w:firstLine="0"/>
        <w:jc w:val="both"/>
        <w:rPr>
          <w:rFonts w:eastAsia="Calibri"/>
          <w:b/>
          <w:sz w:val="24"/>
        </w:rPr>
      </w:pPr>
    </w:p>
    <w:p w14:paraId="49390617" w14:textId="7F8C9036" w:rsidR="00F3194F" w:rsidRPr="00F3194F" w:rsidRDefault="00B1229D" w:rsidP="00F3194F">
      <w:pPr>
        <w:spacing w:after="0" w:line="240" w:lineRule="auto"/>
        <w:ind w:left="360" w:firstLine="0"/>
        <w:jc w:val="both"/>
        <w:rPr>
          <w:rFonts w:eastAsia="Calibri"/>
          <w:sz w:val="24"/>
        </w:rPr>
      </w:pPr>
      <w:r w:rsidRPr="00C50880">
        <w:rPr>
          <w:rFonts w:eastAsia="Calibri"/>
          <w:b/>
          <w:sz w:val="24"/>
        </w:rPr>
        <w:t>SDG&amp;E Response:</w:t>
      </w:r>
      <w:r w:rsidR="00FB7E64">
        <w:rPr>
          <w:rFonts w:eastAsia="Calibri"/>
          <w:b/>
          <w:sz w:val="24"/>
        </w:rPr>
        <w:t xml:space="preserve"> </w:t>
      </w:r>
      <w:r w:rsidR="009A6982">
        <w:rPr>
          <w:rFonts w:eastAsia="Calibri"/>
          <w:sz w:val="24"/>
        </w:rPr>
        <w:t xml:space="preserve">The CPP energy rate for the proposed EV-HP rate are the CPP rates for Schedule AL-TOU, which are the </w:t>
      </w:r>
      <w:r w:rsidR="00215E96">
        <w:rPr>
          <w:rFonts w:eastAsia="Calibri"/>
          <w:sz w:val="24"/>
        </w:rPr>
        <w:t>Schedule EECC-</w:t>
      </w:r>
      <w:r w:rsidR="00636535">
        <w:rPr>
          <w:rFonts w:eastAsia="Calibri"/>
          <w:sz w:val="24"/>
        </w:rPr>
        <w:t>CPP-D rates.</w:t>
      </w:r>
    </w:p>
    <w:p w14:paraId="6F921E45" w14:textId="77777777" w:rsidR="00F3194F" w:rsidRDefault="00F3194F" w:rsidP="00F3194F">
      <w:pPr>
        <w:spacing w:after="0" w:line="240" w:lineRule="auto"/>
        <w:ind w:left="360" w:firstLine="0"/>
        <w:rPr>
          <w:sz w:val="24"/>
        </w:rPr>
      </w:pPr>
    </w:p>
    <w:p w14:paraId="0F1BCA73" w14:textId="630AC2B2" w:rsidR="00F434B0" w:rsidRPr="00C50880" w:rsidRDefault="00F434B0" w:rsidP="00F3194F">
      <w:pPr>
        <w:numPr>
          <w:ilvl w:val="0"/>
          <w:numId w:val="1"/>
        </w:numPr>
        <w:spacing w:after="0" w:line="240" w:lineRule="auto"/>
        <w:rPr>
          <w:sz w:val="24"/>
        </w:rPr>
      </w:pPr>
      <w:r w:rsidRPr="00C50880">
        <w:rPr>
          <w:sz w:val="24"/>
        </w:rPr>
        <w:t>Please explain the conditions under which SDG&amp;E would declare a CPP event.</w:t>
      </w:r>
    </w:p>
    <w:p w14:paraId="78F3AD06" w14:textId="77777777" w:rsidR="00F3194F" w:rsidRDefault="00F3194F" w:rsidP="00F3194F">
      <w:pPr>
        <w:spacing w:after="0" w:line="240" w:lineRule="auto"/>
        <w:ind w:left="360" w:firstLine="0"/>
        <w:jc w:val="both"/>
        <w:rPr>
          <w:rFonts w:eastAsia="Calibri"/>
          <w:b/>
          <w:sz w:val="24"/>
        </w:rPr>
      </w:pPr>
    </w:p>
    <w:p w14:paraId="26716DC1" w14:textId="6E98DA18" w:rsidR="008B62A5" w:rsidRPr="008B62A5" w:rsidRDefault="00B1229D" w:rsidP="00F3194F">
      <w:pPr>
        <w:spacing w:after="0" w:line="240" w:lineRule="auto"/>
        <w:ind w:left="360" w:firstLine="0"/>
        <w:jc w:val="both"/>
        <w:rPr>
          <w:rFonts w:eastAsia="Calibri"/>
          <w:sz w:val="24"/>
        </w:rPr>
      </w:pPr>
      <w:r w:rsidRPr="00C50880">
        <w:rPr>
          <w:rFonts w:eastAsia="Calibri"/>
          <w:b/>
          <w:sz w:val="24"/>
        </w:rPr>
        <w:t>SDG&amp;E Response:</w:t>
      </w:r>
      <w:r w:rsidR="00591F40" w:rsidRPr="00C50880">
        <w:rPr>
          <w:rFonts w:eastAsia="Calibri"/>
          <w:b/>
          <w:sz w:val="24"/>
        </w:rPr>
        <w:t xml:space="preserve"> </w:t>
      </w:r>
      <w:r w:rsidR="008B62A5">
        <w:rPr>
          <w:rFonts w:eastAsia="Calibri"/>
          <w:sz w:val="24"/>
        </w:rPr>
        <w:t xml:space="preserve">As stated in Special Condition </w:t>
      </w:r>
      <w:r w:rsidR="006A59B0">
        <w:rPr>
          <w:rFonts w:eastAsia="Calibri"/>
          <w:sz w:val="24"/>
        </w:rPr>
        <w:t xml:space="preserve">12 of Schedule EECC-CPP-D, </w:t>
      </w:r>
    </w:p>
    <w:p w14:paraId="716AB14F" w14:textId="7493B51E" w:rsidR="006A59B0" w:rsidRDefault="006A59B0" w:rsidP="00F3194F">
      <w:pPr>
        <w:spacing w:after="0" w:line="240" w:lineRule="auto"/>
        <w:ind w:left="360" w:firstLine="0"/>
        <w:rPr>
          <w:rFonts w:eastAsia="Calibri"/>
          <w:sz w:val="24"/>
        </w:rPr>
      </w:pPr>
      <w:r w:rsidRPr="006A59B0">
        <w:rPr>
          <w:sz w:val="24"/>
        </w:rPr>
        <w:lastRenderedPageBreak/>
        <w:t>“</w:t>
      </w:r>
      <w:r w:rsidR="008B62A5" w:rsidRPr="006A59B0">
        <w:rPr>
          <w:sz w:val="24"/>
        </w:rPr>
        <w:t>A CPP Event may be triggered if the day-ahead system load forecast for the potential event day is greater than 4,000 MW. Events may also be triggered in response to high forecasted temperatures, extreme conditions, and emergencies.</w:t>
      </w:r>
      <w:r w:rsidR="00DE5A7D">
        <w:rPr>
          <w:sz w:val="24"/>
        </w:rPr>
        <w:t xml:space="preserve">  </w:t>
      </w:r>
      <w:r w:rsidR="00372513" w:rsidRPr="00372513">
        <w:rPr>
          <w:sz w:val="24"/>
        </w:rPr>
        <w:t>Whenever the California Independent System Operator has issued an alert or warning notice, the California Independent System Operator shall be entitled to request that the utility, at its discretion, call a program event pursuant to this Schedule.</w:t>
      </w:r>
      <w:r w:rsidR="00DE5A7D">
        <w:rPr>
          <w:sz w:val="24"/>
        </w:rPr>
        <w:t xml:space="preserve">  </w:t>
      </w:r>
      <w:r w:rsidR="00372513" w:rsidRPr="00372513">
        <w:rPr>
          <w:sz w:val="24"/>
        </w:rPr>
        <w:t>Events may be triggered for testing/evaluation purposed.</w:t>
      </w:r>
      <w:r w:rsidR="00DE5A7D">
        <w:rPr>
          <w:sz w:val="24"/>
        </w:rPr>
        <w:t>”</w:t>
      </w:r>
    </w:p>
    <w:p w14:paraId="0753F877" w14:textId="77777777" w:rsidR="00DE5A7D" w:rsidRPr="00372513" w:rsidRDefault="00DE5A7D" w:rsidP="00F3194F">
      <w:pPr>
        <w:spacing w:after="0" w:line="240" w:lineRule="auto"/>
        <w:ind w:left="360" w:firstLine="0"/>
        <w:rPr>
          <w:rFonts w:eastAsia="Calibri"/>
          <w:sz w:val="24"/>
        </w:rPr>
      </w:pPr>
    </w:p>
    <w:p w14:paraId="42192154" w14:textId="48921DE3" w:rsidR="00F434B0" w:rsidRPr="00C50880" w:rsidRDefault="00F434B0" w:rsidP="00F3194F">
      <w:pPr>
        <w:numPr>
          <w:ilvl w:val="1"/>
          <w:numId w:val="1"/>
        </w:numPr>
        <w:spacing w:after="0" w:line="240" w:lineRule="auto"/>
        <w:rPr>
          <w:sz w:val="24"/>
        </w:rPr>
      </w:pPr>
      <w:r w:rsidRPr="00C50880">
        <w:rPr>
          <w:sz w:val="24"/>
        </w:rPr>
        <w:t>How much notice would SDG&amp;E give customers of a CPP event?</w:t>
      </w:r>
    </w:p>
    <w:p w14:paraId="6C6411DE" w14:textId="77777777" w:rsidR="00F3194F" w:rsidRDefault="00F3194F" w:rsidP="00F3194F">
      <w:pPr>
        <w:spacing w:after="0" w:line="240" w:lineRule="auto"/>
        <w:ind w:left="1080" w:firstLine="7"/>
        <w:jc w:val="both"/>
        <w:rPr>
          <w:rFonts w:eastAsia="Calibri"/>
          <w:b/>
          <w:sz w:val="24"/>
        </w:rPr>
      </w:pPr>
    </w:p>
    <w:p w14:paraId="59240D8F" w14:textId="3741A502" w:rsidR="00F876B1" w:rsidRPr="00A25B60" w:rsidRDefault="00B1229D" w:rsidP="00F3194F">
      <w:pPr>
        <w:spacing w:after="0" w:line="240" w:lineRule="auto"/>
        <w:ind w:left="1080" w:firstLine="7"/>
        <w:jc w:val="both"/>
        <w:rPr>
          <w:rFonts w:eastAsia="Calibri"/>
          <w:sz w:val="24"/>
        </w:rPr>
      </w:pPr>
      <w:r w:rsidRPr="00C50880">
        <w:rPr>
          <w:rFonts w:eastAsia="Calibri"/>
          <w:b/>
          <w:sz w:val="24"/>
        </w:rPr>
        <w:t>SDG&amp;E Response:</w:t>
      </w:r>
      <w:r w:rsidR="000A6197" w:rsidRPr="00C50880">
        <w:rPr>
          <w:rFonts w:eastAsia="Calibri"/>
          <w:b/>
          <w:sz w:val="24"/>
        </w:rPr>
        <w:t xml:space="preserve"> </w:t>
      </w:r>
      <w:r w:rsidR="00AF736C">
        <w:rPr>
          <w:rFonts w:eastAsia="Calibri"/>
          <w:sz w:val="24"/>
        </w:rPr>
        <w:t>As stated in Special Condition 12 of Schedule EECC-CPP-D</w:t>
      </w:r>
      <w:r w:rsidR="004A5B21">
        <w:rPr>
          <w:rFonts w:eastAsia="Calibri"/>
          <w:sz w:val="24"/>
        </w:rPr>
        <w:t>.</w:t>
      </w:r>
      <w:r w:rsidR="00AF736C" w:rsidRPr="00C50880">
        <w:rPr>
          <w:rFonts w:eastAsia="Calibri"/>
          <w:sz w:val="24"/>
        </w:rPr>
        <w:t xml:space="preserve"> </w:t>
      </w:r>
      <w:r w:rsidR="004A5B21">
        <w:rPr>
          <w:rFonts w:eastAsia="Calibri"/>
          <w:sz w:val="24"/>
        </w:rPr>
        <w:t xml:space="preserve"> </w:t>
      </w:r>
      <w:r w:rsidR="003B7B93">
        <w:rPr>
          <w:sz w:val="24"/>
        </w:rPr>
        <w:t>“</w:t>
      </w:r>
      <w:r w:rsidR="00A25B60" w:rsidRPr="00A25B60">
        <w:rPr>
          <w:sz w:val="24"/>
        </w:rPr>
        <w:t>Customers will be notified no later th</w:t>
      </w:r>
      <w:r w:rsidR="00385C61">
        <w:rPr>
          <w:sz w:val="24"/>
        </w:rPr>
        <w:t>an</w:t>
      </w:r>
      <w:r w:rsidR="00A25B60" w:rsidRPr="00A25B60">
        <w:rPr>
          <w:sz w:val="24"/>
        </w:rPr>
        <w:t xml:space="preserve"> 3 p.m. the day before a CPP Event will be in effect. When conditions exist that indicate a potential CPP Event would occur on a Sunday, Monday or a day immediately following a holiday, the Utility may provide an informational notice to customers by 3 p.m. on the business day immediately preceding the Sunday, Monday or holiday. If, on Saturday, Sunday or a holiday, conditions exist that cause the triggering of a CPP Event for the next day, the Utility will provide firm notification to customers no later than 3 p.m. on that Saturday, Sunday or holiday. Customers may elect to be notified of a CPP Event by email message or text message. Notice will also be posted on the Utility’s website.</w:t>
      </w:r>
      <w:r w:rsidR="00385C61">
        <w:rPr>
          <w:sz w:val="24"/>
        </w:rPr>
        <w:t>”</w:t>
      </w:r>
      <w:r w:rsidR="00A25B60" w:rsidRPr="00A25B60">
        <w:rPr>
          <w:sz w:val="24"/>
        </w:rPr>
        <w:t xml:space="preserve"> </w:t>
      </w:r>
    </w:p>
    <w:p w14:paraId="18C67FE1" w14:textId="77777777" w:rsidR="00385C61" w:rsidRPr="00A25B60" w:rsidRDefault="00385C61" w:rsidP="00F3194F">
      <w:pPr>
        <w:spacing w:after="0" w:line="240" w:lineRule="auto"/>
        <w:ind w:left="540" w:firstLine="0"/>
        <w:jc w:val="both"/>
        <w:rPr>
          <w:rFonts w:eastAsia="Calibri"/>
          <w:sz w:val="24"/>
        </w:rPr>
      </w:pPr>
    </w:p>
    <w:p w14:paraId="058D9DF7" w14:textId="693484EF" w:rsidR="00F434B0" w:rsidRPr="00C50880" w:rsidRDefault="00F434B0" w:rsidP="00F3194F">
      <w:pPr>
        <w:numPr>
          <w:ilvl w:val="0"/>
          <w:numId w:val="1"/>
        </w:numPr>
        <w:spacing w:after="0" w:line="240" w:lineRule="auto"/>
        <w:rPr>
          <w:sz w:val="24"/>
        </w:rPr>
      </w:pPr>
      <w:r w:rsidRPr="00C50880">
        <w:rPr>
          <w:sz w:val="24"/>
        </w:rPr>
        <w:t>Please provide SDG&amp;E’s estimate of the number of occasions and the number of hours per year that it would declare to be CPP events.</w:t>
      </w:r>
    </w:p>
    <w:p w14:paraId="0318AB2F" w14:textId="77777777" w:rsidR="00F3194F" w:rsidRDefault="00F3194F" w:rsidP="00F3194F">
      <w:pPr>
        <w:spacing w:after="0" w:line="240" w:lineRule="auto"/>
        <w:ind w:left="360" w:firstLine="0"/>
        <w:jc w:val="both"/>
        <w:rPr>
          <w:rFonts w:eastAsia="Calibri"/>
          <w:b/>
          <w:sz w:val="24"/>
        </w:rPr>
      </w:pPr>
    </w:p>
    <w:p w14:paraId="21A566A9" w14:textId="560E712D" w:rsidR="0021586E" w:rsidRPr="00EA3BBF" w:rsidRDefault="00B1229D" w:rsidP="00F3194F">
      <w:pPr>
        <w:spacing w:after="0" w:line="240" w:lineRule="auto"/>
        <w:ind w:left="360" w:firstLine="0"/>
        <w:jc w:val="both"/>
        <w:rPr>
          <w:rFonts w:eastAsia="Calibri"/>
          <w:sz w:val="24"/>
        </w:rPr>
      </w:pPr>
      <w:r w:rsidRPr="00C50880">
        <w:rPr>
          <w:rFonts w:eastAsia="Calibri"/>
          <w:b/>
          <w:sz w:val="24"/>
        </w:rPr>
        <w:t>SDG&amp;E Response:</w:t>
      </w:r>
      <w:r w:rsidR="000A6197" w:rsidRPr="00C50880">
        <w:rPr>
          <w:rFonts w:eastAsia="Calibri"/>
          <w:b/>
          <w:sz w:val="24"/>
        </w:rPr>
        <w:t xml:space="preserve"> </w:t>
      </w:r>
      <w:r w:rsidR="00EA3BBF">
        <w:rPr>
          <w:rFonts w:eastAsia="Calibri"/>
          <w:sz w:val="24"/>
        </w:rPr>
        <w:t>As stated in Special Condition 12 of Schedule EECC-CPP-D,</w:t>
      </w:r>
      <w:r w:rsidR="00EA3BBF" w:rsidRPr="00C50880">
        <w:rPr>
          <w:rFonts w:eastAsia="Calibri"/>
          <w:sz w:val="24"/>
        </w:rPr>
        <w:t xml:space="preserve"> </w:t>
      </w:r>
      <w:r w:rsidR="00EA3BBF">
        <w:rPr>
          <w:rFonts w:eastAsia="Calibri"/>
          <w:sz w:val="24"/>
        </w:rPr>
        <w:t>“</w:t>
      </w:r>
      <w:r w:rsidR="00942D25" w:rsidRPr="00942D25">
        <w:rPr>
          <w:sz w:val="24"/>
        </w:rPr>
        <w:t>A maximum of eighteen (18) CPP Events can be triggered on any day of the week, year round. CPP Events shall be effective from 2:00 p.m. – 6:00 p.m.</w:t>
      </w:r>
      <w:r w:rsidR="00EA3BBF">
        <w:rPr>
          <w:sz w:val="24"/>
        </w:rPr>
        <w:t>”</w:t>
      </w:r>
    </w:p>
    <w:p w14:paraId="2CFC7D9B" w14:textId="77777777" w:rsidR="00EA3BBF" w:rsidRPr="00942D25" w:rsidRDefault="00EA3BBF" w:rsidP="00F3194F">
      <w:pPr>
        <w:spacing w:after="0" w:line="240" w:lineRule="auto"/>
        <w:ind w:left="360" w:firstLine="0"/>
        <w:jc w:val="both"/>
        <w:rPr>
          <w:rFonts w:eastAsia="Calibri"/>
          <w:sz w:val="24"/>
        </w:rPr>
      </w:pPr>
    </w:p>
    <w:p w14:paraId="3F819C01" w14:textId="790F5AFD" w:rsidR="00F276EF" w:rsidRPr="00EB3877" w:rsidRDefault="00F276EF" w:rsidP="00F3194F">
      <w:pPr>
        <w:numPr>
          <w:ilvl w:val="0"/>
          <w:numId w:val="1"/>
        </w:numPr>
        <w:spacing w:after="0" w:line="240" w:lineRule="auto"/>
        <w:rPr>
          <w:sz w:val="24"/>
        </w:rPr>
      </w:pPr>
      <w:r w:rsidRPr="00EB3877">
        <w:rPr>
          <w:sz w:val="24"/>
        </w:rPr>
        <w:t>Please provide SDG&amp;E’s estimate of the average LMP by hour for whatever period SDG&amp;E has projected LMPs.</w:t>
      </w:r>
    </w:p>
    <w:p w14:paraId="1AF3C6D2" w14:textId="77777777" w:rsidR="00F3194F" w:rsidRDefault="00F3194F" w:rsidP="00F3194F">
      <w:pPr>
        <w:spacing w:after="0" w:line="240" w:lineRule="auto"/>
        <w:ind w:left="360" w:firstLine="0"/>
        <w:jc w:val="both"/>
        <w:rPr>
          <w:rFonts w:eastAsia="Calibri"/>
          <w:b/>
          <w:sz w:val="24"/>
          <w:highlight w:val="yellow"/>
        </w:rPr>
      </w:pPr>
    </w:p>
    <w:p w14:paraId="45790F5B" w14:textId="0FCA99C1" w:rsidR="00051B6B" w:rsidRPr="005B3E44" w:rsidRDefault="00B1229D" w:rsidP="00F3194F">
      <w:pPr>
        <w:spacing w:after="0" w:line="240" w:lineRule="auto"/>
        <w:ind w:left="360" w:firstLine="0"/>
        <w:jc w:val="both"/>
        <w:rPr>
          <w:rFonts w:eastAsia="Calibri"/>
          <w:b/>
          <w:sz w:val="24"/>
        </w:rPr>
      </w:pPr>
      <w:r w:rsidRPr="005B3E44">
        <w:rPr>
          <w:rFonts w:eastAsia="Calibri"/>
          <w:b/>
          <w:sz w:val="24"/>
        </w:rPr>
        <w:t>SDG&amp;E Response:</w:t>
      </w:r>
      <w:r w:rsidR="000C5E06" w:rsidRPr="005B3E44">
        <w:rPr>
          <w:rFonts w:eastAsia="Calibri"/>
          <w:b/>
          <w:sz w:val="24"/>
        </w:rPr>
        <w:t xml:space="preserve"> </w:t>
      </w:r>
      <w:r w:rsidR="002E4A8C" w:rsidRPr="005B3E44">
        <w:rPr>
          <w:rFonts w:eastAsia="Calibri"/>
          <w:b/>
          <w:sz w:val="24"/>
        </w:rPr>
        <w:t>[</w:t>
      </w:r>
      <w:r w:rsidR="008B6215" w:rsidRPr="005B3E44">
        <w:rPr>
          <w:rFonts w:eastAsia="Calibri"/>
          <w:b/>
        </w:rPr>
        <w:t>As noted below, p</w:t>
      </w:r>
      <w:r w:rsidR="00F25A30" w:rsidRPr="005B3E44">
        <w:rPr>
          <w:rFonts w:eastAsia="Calibri"/>
          <w:b/>
        </w:rPr>
        <w:t xml:space="preserve">ortions of the </w:t>
      </w:r>
      <w:r w:rsidR="00051B6B" w:rsidRPr="005B3E44">
        <w:rPr>
          <w:rFonts w:eastAsia="Calibri"/>
          <w:b/>
        </w:rPr>
        <w:t>attached worksheet</w:t>
      </w:r>
      <w:r w:rsidR="00F25A30" w:rsidRPr="005B3E44">
        <w:rPr>
          <w:rFonts w:eastAsia="Calibri"/>
          <w:b/>
        </w:rPr>
        <w:t xml:space="preserve"> (</w:t>
      </w:r>
      <w:r w:rsidR="00BB0784" w:rsidRPr="005B3E44">
        <w:rPr>
          <w:rFonts w:eastAsia="Calibri"/>
          <w:b/>
        </w:rPr>
        <w:t>redacted in black</w:t>
      </w:r>
      <w:r w:rsidR="00F25A30" w:rsidRPr="005B3E44">
        <w:rPr>
          <w:rFonts w:eastAsia="Calibri"/>
          <w:b/>
        </w:rPr>
        <w:t>) are CONFIDENTIAL and considered Protected Material subject to the applicable NDA</w:t>
      </w:r>
      <w:r w:rsidR="009A758E" w:rsidRPr="005B3E44">
        <w:rPr>
          <w:rFonts w:eastAsia="Calibri"/>
          <w:b/>
        </w:rPr>
        <w:t>.</w:t>
      </w:r>
      <w:r w:rsidR="002E4A8C" w:rsidRPr="005B3E44">
        <w:rPr>
          <w:rFonts w:eastAsia="Calibri"/>
          <w:b/>
          <w:sz w:val="24"/>
        </w:rPr>
        <w:t xml:space="preserve">] </w:t>
      </w:r>
    </w:p>
    <w:p w14:paraId="7FEE755E" w14:textId="77777777" w:rsidR="00051B6B" w:rsidRPr="005B3E44" w:rsidRDefault="00051B6B" w:rsidP="00F3194F">
      <w:pPr>
        <w:spacing w:after="0" w:line="240" w:lineRule="auto"/>
        <w:ind w:left="360" w:firstLine="0"/>
        <w:jc w:val="both"/>
        <w:rPr>
          <w:rFonts w:eastAsia="Calibri"/>
          <w:sz w:val="24"/>
        </w:rPr>
      </w:pPr>
    </w:p>
    <w:p w14:paraId="3C1C7684" w14:textId="0C2C72A4" w:rsidR="008B6215" w:rsidRPr="005B3E44" w:rsidRDefault="008205DE" w:rsidP="00F3194F">
      <w:pPr>
        <w:spacing w:after="0" w:line="240" w:lineRule="auto"/>
        <w:ind w:left="360" w:firstLine="0"/>
        <w:jc w:val="both"/>
        <w:rPr>
          <w:rFonts w:eastAsia="Calibri"/>
          <w:sz w:val="24"/>
        </w:rPr>
      </w:pPr>
      <w:r w:rsidRPr="005B3E44">
        <w:rPr>
          <w:rFonts w:eastAsia="Calibri"/>
          <w:sz w:val="24"/>
        </w:rPr>
        <w:t>See attached worksheet SBUA-SDG&amp;E-DR-03-01</w:t>
      </w:r>
      <w:r w:rsidR="00BB0784" w:rsidRPr="005B3E44">
        <w:rPr>
          <w:rFonts w:eastAsia="Calibri"/>
          <w:sz w:val="24"/>
        </w:rPr>
        <w:t xml:space="preserve"> (Redacted)</w:t>
      </w:r>
      <w:r w:rsidRPr="005B3E44">
        <w:rPr>
          <w:rFonts w:eastAsia="Calibri"/>
          <w:sz w:val="24"/>
        </w:rPr>
        <w:t>.</w:t>
      </w:r>
      <w:r w:rsidR="00EB67C0" w:rsidRPr="005B3E44">
        <w:rPr>
          <w:rFonts w:eastAsia="Calibri"/>
          <w:sz w:val="24"/>
        </w:rPr>
        <w:t xml:space="preserve"> </w:t>
      </w:r>
    </w:p>
    <w:p w14:paraId="0E6AD486" w14:textId="77777777" w:rsidR="008B6215" w:rsidRDefault="008B6215" w:rsidP="00F3194F">
      <w:pPr>
        <w:spacing w:after="0" w:line="240" w:lineRule="auto"/>
        <w:ind w:left="360" w:firstLine="0"/>
        <w:jc w:val="both"/>
        <w:rPr>
          <w:rFonts w:eastAsia="Calibri"/>
          <w:sz w:val="24"/>
          <w:highlight w:val="yellow"/>
        </w:rPr>
      </w:pPr>
    </w:p>
    <w:p w14:paraId="5D22A2EE" w14:textId="2D37E06E" w:rsidR="00B1229D" w:rsidRPr="002E4A8C" w:rsidRDefault="00EB67C0" w:rsidP="00F3194F">
      <w:pPr>
        <w:spacing w:after="0" w:line="240" w:lineRule="auto"/>
        <w:ind w:left="360" w:firstLine="0"/>
        <w:jc w:val="both"/>
        <w:rPr>
          <w:rFonts w:eastAsia="Calibri"/>
          <w:b/>
          <w:sz w:val="24"/>
          <w:highlight w:val="yellow"/>
        </w:rPr>
      </w:pPr>
      <w:r w:rsidRPr="00B23129">
        <w:rPr>
          <w:rFonts w:eastAsia="Calibri"/>
          <w:sz w:val="24"/>
        </w:rPr>
        <w:t>Please note that the LMP data provided in th</w:t>
      </w:r>
      <w:r w:rsidR="00E614A5">
        <w:rPr>
          <w:rFonts w:eastAsia="Calibri"/>
          <w:sz w:val="24"/>
        </w:rPr>
        <w:t xml:space="preserve">e attached worksheet, referenced above, </w:t>
      </w:r>
      <w:r w:rsidRPr="00B23129">
        <w:rPr>
          <w:rFonts w:eastAsia="Calibri"/>
          <w:sz w:val="24"/>
        </w:rPr>
        <w:t>is considered Confidential</w:t>
      </w:r>
      <w:r w:rsidR="008B6215">
        <w:rPr>
          <w:rFonts w:eastAsia="Calibri"/>
          <w:sz w:val="24"/>
        </w:rPr>
        <w:t xml:space="preserve"> </w:t>
      </w:r>
      <w:r w:rsidRPr="00B23129">
        <w:rPr>
          <w:rFonts w:eastAsia="Calibri"/>
          <w:sz w:val="24"/>
        </w:rPr>
        <w:t xml:space="preserve">pursuant to Section </w:t>
      </w:r>
      <w:r w:rsidR="000C494F">
        <w:rPr>
          <w:rFonts w:eastAsia="Calibri"/>
          <w:sz w:val="24"/>
        </w:rPr>
        <w:t>II.A.2</w:t>
      </w:r>
      <w:r w:rsidRPr="00B23129">
        <w:rPr>
          <w:rFonts w:eastAsia="Calibri"/>
          <w:sz w:val="24"/>
        </w:rPr>
        <w:t xml:space="preserve"> of the IOU Confidentiality Matri</w:t>
      </w:r>
      <w:r w:rsidR="00F25A30" w:rsidRPr="00B23129">
        <w:rPr>
          <w:rFonts w:eastAsia="Calibri"/>
          <w:sz w:val="24"/>
        </w:rPr>
        <w:t>x</w:t>
      </w:r>
      <w:r w:rsidRPr="00B23129">
        <w:rPr>
          <w:rFonts w:eastAsia="Calibri"/>
          <w:sz w:val="24"/>
        </w:rPr>
        <w:t>, adopted as Appendix 1 of D.06-06-066</w:t>
      </w:r>
      <w:r w:rsidR="00F3194F" w:rsidRPr="00B23129">
        <w:rPr>
          <w:rFonts w:eastAsia="Calibri"/>
          <w:sz w:val="24"/>
        </w:rPr>
        <w:t>.</w:t>
      </w:r>
    </w:p>
    <w:p w14:paraId="3F990FB3" w14:textId="77777777" w:rsidR="00237DCE" w:rsidRPr="00EB3877" w:rsidRDefault="00237DCE" w:rsidP="00F3194F">
      <w:pPr>
        <w:spacing w:after="0" w:line="240" w:lineRule="auto"/>
        <w:ind w:firstLine="360"/>
        <w:jc w:val="both"/>
        <w:rPr>
          <w:rFonts w:eastAsia="Calibri"/>
          <w:b/>
          <w:sz w:val="24"/>
        </w:rPr>
      </w:pPr>
    </w:p>
    <w:p w14:paraId="0BF743E2" w14:textId="562DFF5F" w:rsidR="00F276EF" w:rsidRPr="00EB3877" w:rsidRDefault="00F276EF" w:rsidP="00F3194F">
      <w:pPr>
        <w:numPr>
          <w:ilvl w:val="0"/>
          <w:numId w:val="1"/>
        </w:numPr>
        <w:spacing w:after="0" w:line="240" w:lineRule="auto"/>
        <w:rPr>
          <w:sz w:val="24"/>
        </w:rPr>
      </w:pPr>
      <w:r w:rsidRPr="00EB3877">
        <w:rPr>
          <w:sz w:val="24"/>
        </w:rPr>
        <w:t>Please provide SDG&amp;E’s estimate of the marginal distribution costs by hour of the day for whatever period SDG&amp;E has estimated the pattern of those costs.</w:t>
      </w:r>
    </w:p>
    <w:p w14:paraId="03A1B5AB" w14:textId="0840CF55" w:rsidR="00EC5E81" w:rsidRDefault="00EC5E81" w:rsidP="00F3194F">
      <w:pPr>
        <w:spacing w:after="0" w:line="240" w:lineRule="auto"/>
        <w:ind w:firstLine="360"/>
        <w:jc w:val="both"/>
        <w:rPr>
          <w:rFonts w:eastAsia="Calibri"/>
          <w:b/>
          <w:sz w:val="24"/>
        </w:rPr>
      </w:pPr>
    </w:p>
    <w:p w14:paraId="6B49AAF2" w14:textId="152F5530" w:rsidR="00B1229D" w:rsidRPr="005E6FC9" w:rsidRDefault="00B1229D" w:rsidP="00F3194F">
      <w:pPr>
        <w:spacing w:after="0" w:line="240" w:lineRule="auto"/>
        <w:ind w:left="360" w:firstLine="0"/>
        <w:jc w:val="both"/>
        <w:rPr>
          <w:rFonts w:eastAsia="Calibri"/>
          <w:sz w:val="24"/>
        </w:rPr>
      </w:pPr>
      <w:r w:rsidRPr="00EB3877">
        <w:rPr>
          <w:rFonts w:eastAsia="Calibri"/>
          <w:b/>
          <w:sz w:val="24"/>
        </w:rPr>
        <w:t>SDG&amp;E Response:</w:t>
      </w:r>
      <w:r w:rsidR="005E6FC9">
        <w:rPr>
          <w:rFonts w:eastAsia="Calibri"/>
          <w:sz w:val="24"/>
        </w:rPr>
        <w:t xml:space="preserve"> Marginal distribution </w:t>
      </w:r>
      <w:r w:rsidR="000147D1">
        <w:rPr>
          <w:rFonts w:eastAsia="Calibri"/>
          <w:sz w:val="24"/>
        </w:rPr>
        <w:t xml:space="preserve">costs are either driven by the number of customers </w:t>
      </w:r>
      <w:r w:rsidR="00716324">
        <w:rPr>
          <w:rFonts w:eastAsia="Calibri"/>
          <w:sz w:val="24"/>
        </w:rPr>
        <w:t xml:space="preserve">(marginal distribution customer costs) </w:t>
      </w:r>
      <w:r w:rsidR="000147D1">
        <w:rPr>
          <w:rFonts w:eastAsia="Calibri"/>
          <w:sz w:val="24"/>
        </w:rPr>
        <w:t xml:space="preserve">or </w:t>
      </w:r>
      <w:r w:rsidR="00716324">
        <w:rPr>
          <w:rFonts w:eastAsia="Calibri"/>
          <w:sz w:val="24"/>
        </w:rPr>
        <w:t>the m</w:t>
      </w:r>
      <w:r w:rsidR="000147D1">
        <w:rPr>
          <w:rFonts w:eastAsia="Calibri"/>
          <w:sz w:val="24"/>
        </w:rPr>
        <w:t xml:space="preserve">aximum </w:t>
      </w:r>
      <w:r w:rsidR="00716324">
        <w:rPr>
          <w:rFonts w:eastAsia="Calibri"/>
          <w:sz w:val="24"/>
        </w:rPr>
        <w:t xml:space="preserve">kW </w:t>
      </w:r>
      <w:r w:rsidR="000147D1">
        <w:rPr>
          <w:rFonts w:eastAsia="Calibri"/>
          <w:sz w:val="24"/>
        </w:rPr>
        <w:t>demand of the customers</w:t>
      </w:r>
      <w:r w:rsidR="00716324">
        <w:rPr>
          <w:rFonts w:eastAsia="Calibri"/>
          <w:sz w:val="24"/>
        </w:rPr>
        <w:t xml:space="preserve"> (</w:t>
      </w:r>
      <w:r w:rsidR="004A6432">
        <w:rPr>
          <w:rFonts w:eastAsia="Calibri"/>
          <w:sz w:val="24"/>
        </w:rPr>
        <w:t>marginal distribution demand costs)</w:t>
      </w:r>
      <w:r w:rsidR="000147D1">
        <w:rPr>
          <w:rFonts w:eastAsia="Calibri"/>
          <w:sz w:val="24"/>
        </w:rPr>
        <w:t xml:space="preserve">.  </w:t>
      </w:r>
      <w:r w:rsidR="006A3CD4">
        <w:rPr>
          <w:rFonts w:eastAsia="Calibri"/>
          <w:sz w:val="24"/>
        </w:rPr>
        <w:t xml:space="preserve">As stated in SDG&amp;E’s 2016 General Rate Case (GRC) Phase 2 workpapers, </w:t>
      </w:r>
      <w:r w:rsidR="00716324">
        <w:rPr>
          <w:rFonts w:eastAsia="Calibri"/>
          <w:sz w:val="24"/>
        </w:rPr>
        <w:t>SDG&amp;E’s marginal distribution</w:t>
      </w:r>
      <w:r w:rsidR="004A6432">
        <w:rPr>
          <w:rFonts w:eastAsia="Calibri"/>
          <w:sz w:val="24"/>
        </w:rPr>
        <w:t xml:space="preserve"> demand costs </w:t>
      </w:r>
      <w:r w:rsidR="003A3749">
        <w:rPr>
          <w:rFonts w:eastAsia="Calibri"/>
          <w:sz w:val="24"/>
        </w:rPr>
        <w:t>is</w:t>
      </w:r>
      <w:r w:rsidR="004A6432">
        <w:rPr>
          <w:rFonts w:eastAsia="Calibri"/>
          <w:sz w:val="24"/>
        </w:rPr>
        <w:t xml:space="preserve"> $80.4</w:t>
      </w:r>
      <w:r w:rsidR="006F79EF">
        <w:rPr>
          <w:rFonts w:eastAsia="Calibri"/>
          <w:sz w:val="24"/>
        </w:rPr>
        <w:t>0</w:t>
      </w:r>
      <w:r w:rsidR="004A6432">
        <w:rPr>
          <w:rFonts w:eastAsia="Calibri"/>
          <w:sz w:val="24"/>
        </w:rPr>
        <w:t xml:space="preserve"> </w:t>
      </w:r>
      <w:r w:rsidR="003A3749">
        <w:rPr>
          <w:rFonts w:eastAsia="Calibri"/>
          <w:sz w:val="24"/>
        </w:rPr>
        <w:t xml:space="preserve">per kW </w:t>
      </w:r>
      <w:r w:rsidR="004A6432">
        <w:rPr>
          <w:rFonts w:eastAsia="Calibri"/>
          <w:sz w:val="24"/>
        </w:rPr>
        <w:t>on an</w:t>
      </w:r>
      <w:r w:rsidR="006F79EF">
        <w:rPr>
          <w:rFonts w:eastAsia="Calibri"/>
          <w:sz w:val="24"/>
        </w:rPr>
        <w:t xml:space="preserve"> annual basis or </w:t>
      </w:r>
      <w:r w:rsidR="003A3749">
        <w:rPr>
          <w:rFonts w:eastAsia="Calibri"/>
          <w:sz w:val="24"/>
        </w:rPr>
        <w:t>approximately $6.70 per kW-month.</w:t>
      </w:r>
      <w:r w:rsidR="00D96419">
        <w:rPr>
          <w:rFonts w:eastAsia="Calibri"/>
          <w:sz w:val="24"/>
        </w:rPr>
        <w:t xml:space="preserve">  SDG&amp;E’s marginal distribution demand </w:t>
      </w:r>
      <w:r w:rsidR="00DD61F1">
        <w:rPr>
          <w:rFonts w:eastAsia="Calibri"/>
          <w:sz w:val="24"/>
        </w:rPr>
        <w:t xml:space="preserve">costs are based on the customer’s maximum demand and thus, the </w:t>
      </w:r>
      <w:r w:rsidR="0021430C">
        <w:rPr>
          <w:rFonts w:eastAsia="Calibri"/>
          <w:sz w:val="24"/>
        </w:rPr>
        <w:t xml:space="preserve">marginal distribution costs on an hourly basis </w:t>
      </w:r>
      <w:r w:rsidR="00F74623">
        <w:rPr>
          <w:rFonts w:eastAsia="Calibri"/>
          <w:sz w:val="24"/>
        </w:rPr>
        <w:t xml:space="preserve">for the SDG&amp;E system </w:t>
      </w:r>
      <w:r w:rsidR="0021430C">
        <w:rPr>
          <w:rFonts w:eastAsia="Calibri"/>
          <w:sz w:val="24"/>
        </w:rPr>
        <w:t>would also b</w:t>
      </w:r>
      <w:r w:rsidR="009E3D96">
        <w:rPr>
          <w:rFonts w:eastAsia="Calibri"/>
          <w:sz w:val="24"/>
        </w:rPr>
        <w:t>e $6.70 per kW</w:t>
      </w:r>
      <w:r w:rsidR="00C807A1">
        <w:rPr>
          <w:rFonts w:eastAsia="Calibri"/>
          <w:sz w:val="24"/>
        </w:rPr>
        <w:t xml:space="preserve">.  </w:t>
      </w:r>
      <w:r w:rsidR="0021430C">
        <w:rPr>
          <w:rFonts w:eastAsia="Calibri"/>
          <w:sz w:val="24"/>
        </w:rPr>
        <w:t xml:space="preserve"> </w:t>
      </w:r>
      <w:r w:rsidR="00716324">
        <w:rPr>
          <w:rFonts w:eastAsia="Calibri"/>
          <w:sz w:val="24"/>
        </w:rPr>
        <w:t xml:space="preserve"> </w:t>
      </w:r>
      <w:r w:rsidR="006A3CD4">
        <w:rPr>
          <w:rFonts w:eastAsia="Calibri"/>
          <w:sz w:val="24"/>
        </w:rPr>
        <w:t xml:space="preserve"> </w:t>
      </w:r>
    </w:p>
    <w:p w14:paraId="5C5C9D33" w14:textId="0840CF55" w:rsidR="00EC5E81" w:rsidRPr="00EB3877" w:rsidRDefault="00EC5E81" w:rsidP="00F3194F">
      <w:pPr>
        <w:spacing w:after="0" w:line="240" w:lineRule="auto"/>
        <w:ind w:firstLine="360"/>
        <w:jc w:val="both"/>
        <w:rPr>
          <w:rFonts w:eastAsia="Calibri"/>
          <w:b/>
          <w:sz w:val="24"/>
        </w:rPr>
      </w:pPr>
    </w:p>
    <w:p w14:paraId="6221B4AB" w14:textId="77777777" w:rsidR="00522160" w:rsidRDefault="00427E7A" w:rsidP="00F3194F">
      <w:pPr>
        <w:numPr>
          <w:ilvl w:val="0"/>
          <w:numId w:val="1"/>
        </w:numPr>
        <w:spacing w:after="0" w:line="240" w:lineRule="auto"/>
        <w:rPr>
          <w:sz w:val="24"/>
        </w:rPr>
      </w:pPr>
      <w:r w:rsidRPr="00EB3877">
        <w:rPr>
          <w:sz w:val="24"/>
        </w:rPr>
        <w:t>Please provide the derivation of the following rate components</w:t>
      </w:r>
    </w:p>
    <w:p w14:paraId="71E961F8" w14:textId="421CED8C" w:rsidR="00427E7A" w:rsidRPr="00EB3877" w:rsidRDefault="00427E7A" w:rsidP="00F3194F">
      <w:pPr>
        <w:spacing w:after="0" w:line="240" w:lineRule="auto"/>
        <w:ind w:left="360" w:firstLine="0"/>
        <w:rPr>
          <w:sz w:val="24"/>
        </w:rPr>
      </w:pPr>
    </w:p>
    <w:p w14:paraId="601A5763" w14:textId="4BEF64A1" w:rsidR="00427E7A" w:rsidRPr="00EB3877" w:rsidRDefault="00427E7A" w:rsidP="00F3194F">
      <w:pPr>
        <w:numPr>
          <w:ilvl w:val="1"/>
          <w:numId w:val="1"/>
        </w:numPr>
        <w:spacing w:after="0" w:line="240" w:lineRule="auto"/>
        <w:rPr>
          <w:sz w:val="24"/>
        </w:rPr>
      </w:pPr>
      <w:r w:rsidRPr="00EB3877">
        <w:rPr>
          <w:sz w:val="24"/>
        </w:rPr>
        <w:t>The capacity-reservation demand charge.</w:t>
      </w:r>
    </w:p>
    <w:p w14:paraId="422DD656" w14:textId="77777777" w:rsidR="00F3194F" w:rsidRDefault="00F3194F" w:rsidP="00F3194F">
      <w:pPr>
        <w:spacing w:after="0" w:line="240" w:lineRule="auto"/>
        <w:ind w:left="1080" w:firstLine="0"/>
        <w:jc w:val="both"/>
        <w:rPr>
          <w:rFonts w:eastAsia="Calibri"/>
          <w:b/>
          <w:sz w:val="24"/>
        </w:rPr>
      </w:pPr>
    </w:p>
    <w:p w14:paraId="39F44B08" w14:textId="53A02810" w:rsidR="00B1229D" w:rsidRPr="00522160" w:rsidRDefault="00B1229D" w:rsidP="00F3194F">
      <w:pPr>
        <w:spacing w:after="0" w:line="240" w:lineRule="auto"/>
        <w:ind w:left="1080" w:firstLine="0"/>
        <w:jc w:val="both"/>
        <w:rPr>
          <w:rFonts w:eastAsia="Calibri"/>
          <w:sz w:val="24"/>
          <w:highlight w:val="yellow"/>
        </w:rPr>
      </w:pPr>
      <w:r w:rsidRPr="00522160">
        <w:rPr>
          <w:rFonts w:eastAsia="Calibri"/>
          <w:b/>
          <w:sz w:val="24"/>
        </w:rPr>
        <w:t>SDG&amp;E Response:</w:t>
      </w:r>
      <w:r w:rsidR="00522160">
        <w:rPr>
          <w:rFonts w:eastAsia="Calibri"/>
          <w:b/>
          <w:sz w:val="24"/>
        </w:rPr>
        <w:t xml:space="preserve"> </w:t>
      </w:r>
      <w:r w:rsidR="00522160">
        <w:rPr>
          <w:rFonts w:eastAsia="Calibri"/>
          <w:sz w:val="24"/>
        </w:rPr>
        <w:t xml:space="preserve">The </w:t>
      </w:r>
      <w:r w:rsidR="0068311B">
        <w:rPr>
          <w:rFonts w:eastAsia="Calibri"/>
          <w:sz w:val="24"/>
        </w:rPr>
        <w:t>commodity capacity</w:t>
      </w:r>
      <w:r w:rsidR="00724433">
        <w:rPr>
          <w:rFonts w:eastAsia="Calibri"/>
          <w:sz w:val="24"/>
        </w:rPr>
        <w:t>-</w:t>
      </w:r>
      <w:r w:rsidR="0068311B">
        <w:rPr>
          <w:rFonts w:eastAsia="Calibri"/>
          <w:sz w:val="24"/>
        </w:rPr>
        <w:t>reservation</w:t>
      </w:r>
      <w:r w:rsidR="00724433">
        <w:rPr>
          <w:rFonts w:eastAsia="Calibri"/>
          <w:sz w:val="24"/>
        </w:rPr>
        <w:t xml:space="preserve"> demand </w:t>
      </w:r>
      <w:r w:rsidR="0068311B">
        <w:rPr>
          <w:rFonts w:eastAsia="Calibri"/>
          <w:sz w:val="24"/>
        </w:rPr>
        <w:t xml:space="preserve">charge that will apply </w:t>
      </w:r>
      <w:r w:rsidR="00BD2004">
        <w:rPr>
          <w:rFonts w:eastAsia="Calibri"/>
          <w:sz w:val="24"/>
        </w:rPr>
        <w:t xml:space="preserve">under the proposed EV-HP rate will be the </w:t>
      </w:r>
      <w:r w:rsidR="00724433">
        <w:rPr>
          <w:rFonts w:eastAsia="Calibri"/>
          <w:sz w:val="24"/>
        </w:rPr>
        <w:t xml:space="preserve">Capacity Reservation Charge </w:t>
      </w:r>
      <w:r w:rsidR="000F7C1B">
        <w:rPr>
          <w:rFonts w:eastAsia="Calibri"/>
          <w:sz w:val="24"/>
        </w:rPr>
        <w:t xml:space="preserve">presented in </w:t>
      </w:r>
      <w:r w:rsidR="00CB4330">
        <w:rPr>
          <w:rFonts w:eastAsia="Calibri"/>
          <w:sz w:val="24"/>
        </w:rPr>
        <w:t>Schedule EECC-CPP-D.</w:t>
      </w:r>
      <w:r w:rsidR="00724433">
        <w:rPr>
          <w:rFonts w:eastAsia="Calibri"/>
          <w:sz w:val="24"/>
        </w:rPr>
        <w:t xml:space="preserve"> </w:t>
      </w:r>
    </w:p>
    <w:p w14:paraId="3C0303F4" w14:textId="77777777" w:rsidR="00F74623" w:rsidRPr="00EB3877" w:rsidRDefault="00F74623" w:rsidP="00F3194F">
      <w:pPr>
        <w:spacing w:after="0" w:line="240" w:lineRule="auto"/>
        <w:ind w:left="540" w:firstLine="540"/>
        <w:jc w:val="both"/>
        <w:rPr>
          <w:rFonts w:eastAsia="Calibri"/>
          <w:b/>
          <w:sz w:val="24"/>
        </w:rPr>
      </w:pPr>
    </w:p>
    <w:p w14:paraId="5382039A" w14:textId="7BD912C6" w:rsidR="00427E7A" w:rsidRPr="00EB3877" w:rsidRDefault="00427E7A" w:rsidP="00F3194F">
      <w:pPr>
        <w:numPr>
          <w:ilvl w:val="1"/>
          <w:numId w:val="1"/>
        </w:numPr>
        <w:spacing w:after="0" w:line="240" w:lineRule="auto"/>
        <w:rPr>
          <w:sz w:val="24"/>
        </w:rPr>
      </w:pPr>
      <w:r w:rsidRPr="00EB3877">
        <w:rPr>
          <w:sz w:val="24"/>
        </w:rPr>
        <w:t>The subscription demand charge.</w:t>
      </w:r>
    </w:p>
    <w:p w14:paraId="3EAEAC91" w14:textId="77777777" w:rsidR="00F3194F" w:rsidRDefault="00F3194F" w:rsidP="00F3194F">
      <w:pPr>
        <w:spacing w:after="0" w:line="240" w:lineRule="auto"/>
        <w:ind w:left="1080" w:firstLine="0"/>
        <w:jc w:val="both"/>
        <w:rPr>
          <w:rFonts w:eastAsia="Calibri"/>
          <w:b/>
          <w:sz w:val="24"/>
        </w:rPr>
      </w:pPr>
    </w:p>
    <w:p w14:paraId="51B237EE" w14:textId="738489FD" w:rsidR="00B1229D" w:rsidRPr="00EB3877" w:rsidRDefault="00B1229D" w:rsidP="00F3194F">
      <w:pPr>
        <w:spacing w:after="0" w:line="240" w:lineRule="auto"/>
        <w:ind w:left="1080" w:firstLine="0"/>
        <w:jc w:val="both"/>
        <w:rPr>
          <w:rFonts w:eastAsia="Calibri"/>
          <w:sz w:val="24"/>
        </w:rPr>
      </w:pPr>
      <w:r w:rsidRPr="00EB3877">
        <w:rPr>
          <w:rFonts w:eastAsia="Calibri"/>
          <w:b/>
          <w:sz w:val="24"/>
        </w:rPr>
        <w:t>SDG&amp;E Response:</w:t>
      </w:r>
      <w:r w:rsidR="009C3200" w:rsidRPr="00EB3877">
        <w:rPr>
          <w:rFonts w:eastAsia="Calibri"/>
          <w:b/>
          <w:sz w:val="24"/>
        </w:rPr>
        <w:t xml:space="preserve"> </w:t>
      </w:r>
      <w:r w:rsidR="00E363E3">
        <w:rPr>
          <w:rFonts w:eastAsia="Calibri"/>
          <w:sz w:val="24"/>
        </w:rPr>
        <w:t>As explain</w:t>
      </w:r>
      <w:r w:rsidR="005960FE">
        <w:rPr>
          <w:rFonts w:eastAsia="Calibri"/>
          <w:sz w:val="24"/>
        </w:rPr>
        <w:t>ed</w:t>
      </w:r>
      <w:r w:rsidR="00E363E3">
        <w:rPr>
          <w:rFonts w:eastAsia="Calibri"/>
          <w:sz w:val="24"/>
        </w:rPr>
        <w:t xml:space="preserve"> on page WS-2 of </w:t>
      </w:r>
      <w:r w:rsidR="00BD5FD8">
        <w:rPr>
          <w:rFonts w:eastAsia="Calibri"/>
          <w:sz w:val="24"/>
        </w:rPr>
        <w:t xml:space="preserve">the Prepared Direct Testimony of </w:t>
      </w:r>
      <w:r w:rsidR="00924B0D">
        <w:rPr>
          <w:rFonts w:eastAsia="Calibri"/>
          <w:sz w:val="24"/>
        </w:rPr>
        <w:t>William G</w:t>
      </w:r>
      <w:r w:rsidR="00D05826">
        <w:rPr>
          <w:rFonts w:eastAsia="Calibri"/>
          <w:sz w:val="24"/>
        </w:rPr>
        <w:t>.</w:t>
      </w:r>
      <w:r w:rsidR="00924B0D">
        <w:rPr>
          <w:rFonts w:eastAsia="Calibri"/>
          <w:sz w:val="24"/>
        </w:rPr>
        <w:t xml:space="preserve"> Saxe, t</w:t>
      </w:r>
      <w:r w:rsidR="009C3200" w:rsidRPr="00EB3877">
        <w:rPr>
          <w:rFonts w:eastAsia="Calibri"/>
          <w:sz w:val="24"/>
        </w:rPr>
        <w:t xml:space="preserve">he proposed EV-HP subscription charge is based on non-coincident distribution demand costs </w:t>
      </w:r>
      <w:r w:rsidR="00D6090B">
        <w:rPr>
          <w:rFonts w:eastAsia="Calibri"/>
          <w:sz w:val="24"/>
        </w:rPr>
        <w:t>allocated to Schedule AL-TOU</w:t>
      </w:r>
      <w:r w:rsidR="009C3200" w:rsidRPr="00EB3877">
        <w:rPr>
          <w:rFonts w:eastAsia="Calibri"/>
          <w:sz w:val="24"/>
        </w:rPr>
        <w:t>.</w:t>
      </w:r>
    </w:p>
    <w:p w14:paraId="644286A1" w14:textId="77777777" w:rsidR="00522160" w:rsidRDefault="00522160" w:rsidP="00F3194F">
      <w:pPr>
        <w:spacing w:after="0" w:line="240" w:lineRule="auto"/>
        <w:ind w:left="1080" w:firstLine="0"/>
        <w:rPr>
          <w:sz w:val="24"/>
        </w:rPr>
      </w:pPr>
    </w:p>
    <w:p w14:paraId="017C1923" w14:textId="1C6F077A" w:rsidR="00427E7A" w:rsidRDefault="00427E7A" w:rsidP="00F3194F">
      <w:pPr>
        <w:numPr>
          <w:ilvl w:val="1"/>
          <w:numId w:val="1"/>
        </w:numPr>
        <w:spacing w:after="0" w:line="240" w:lineRule="auto"/>
        <w:rPr>
          <w:sz w:val="24"/>
        </w:rPr>
      </w:pPr>
      <w:r w:rsidRPr="00EB3877">
        <w:rPr>
          <w:sz w:val="24"/>
        </w:rPr>
        <w:t>The CPP event adder.</w:t>
      </w:r>
    </w:p>
    <w:p w14:paraId="1690433C" w14:textId="77777777" w:rsidR="00F3194F" w:rsidRDefault="00F3194F" w:rsidP="00F3194F">
      <w:pPr>
        <w:spacing w:after="0" w:line="240" w:lineRule="auto"/>
        <w:ind w:left="1080" w:firstLine="0"/>
        <w:jc w:val="both"/>
        <w:rPr>
          <w:rFonts w:eastAsia="Calibri"/>
          <w:b/>
          <w:sz w:val="24"/>
        </w:rPr>
      </w:pPr>
    </w:p>
    <w:p w14:paraId="5CE98F67" w14:textId="4E1F01AE" w:rsidR="00B03F04" w:rsidRPr="00522160" w:rsidRDefault="00B1229D" w:rsidP="00F3194F">
      <w:pPr>
        <w:spacing w:after="0" w:line="240" w:lineRule="auto"/>
        <w:ind w:left="1080" w:firstLine="0"/>
        <w:jc w:val="both"/>
        <w:rPr>
          <w:rFonts w:eastAsia="Calibri"/>
          <w:sz w:val="24"/>
          <w:highlight w:val="yellow"/>
        </w:rPr>
      </w:pPr>
      <w:r w:rsidRPr="00462C4C">
        <w:rPr>
          <w:rFonts w:eastAsia="Calibri"/>
          <w:b/>
          <w:sz w:val="24"/>
        </w:rPr>
        <w:t>SDG&amp;E Response:</w:t>
      </w:r>
      <w:r w:rsidR="00462C4C">
        <w:rPr>
          <w:rFonts w:eastAsia="Calibri"/>
          <w:sz w:val="24"/>
        </w:rPr>
        <w:t xml:space="preserve"> </w:t>
      </w:r>
      <w:r w:rsidR="00B03F04">
        <w:rPr>
          <w:rFonts w:eastAsia="Calibri"/>
          <w:sz w:val="24"/>
        </w:rPr>
        <w:t xml:space="preserve">The CPP event adder that will apply under the proposed EV-HP rate will be the </w:t>
      </w:r>
      <w:r w:rsidR="0072738A">
        <w:rPr>
          <w:rFonts w:eastAsia="Calibri"/>
          <w:sz w:val="24"/>
        </w:rPr>
        <w:t xml:space="preserve">CPP Event Day Adders </w:t>
      </w:r>
      <w:r w:rsidR="000F7C1B">
        <w:rPr>
          <w:rFonts w:eastAsia="Calibri"/>
          <w:sz w:val="24"/>
        </w:rPr>
        <w:t xml:space="preserve">presented in </w:t>
      </w:r>
      <w:r w:rsidR="00B03F04">
        <w:rPr>
          <w:rFonts w:eastAsia="Calibri"/>
          <w:sz w:val="24"/>
        </w:rPr>
        <w:t xml:space="preserve">Schedule EECC-CPP-D. </w:t>
      </w:r>
    </w:p>
    <w:p w14:paraId="2CE4687B" w14:textId="77777777" w:rsidR="00462C4C" w:rsidRPr="00EB3877" w:rsidRDefault="00462C4C" w:rsidP="00F3194F">
      <w:pPr>
        <w:spacing w:after="0" w:line="240" w:lineRule="auto"/>
        <w:ind w:left="540" w:firstLine="540"/>
        <w:jc w:val="both"/>
        <w:rPr>
          <w:rFonts w:eastAsia="Calibri"/>
          <w:b/>
          <w:sz w:val="24"/>
        </w:rPr>
      </w:pPr>
    </w:p>
    <w:p w14:paraId="205C08B2" w14:textId="023B59B1" w:rsidR="00803597" w:rsidRPr="00EB3877" w:rsidRDefault="00803597" w:rsidP="00F3194F">
      <w:pPr>
        <w:numPr>
          <w:ilvl w:val="0"/>
          <w:numId w:val="1"/>
        </w:numPr>
        <w:spacing w:after="0" w:line="240" w:lineRule="auto"/>
        <w:rPr>
          <w:sz w:val="24"/>
        </w:rPr>
      </w:pPr>
      <w:r w:rsidRPr="00EB3877">
        <w:rPr>
          <w:sz w:val="24"/>
        </w:rPr>
        <w:t>Please explain whether SDG&amp;E intends to charge the capacity-reservation demand charge based on maximum hourly consumption, maximum 15-minute consumption, or something else.</w:t>
      </w:r>
    </w:p>
    <w:p w14:paraId="278DCB79" w14:textId="77777777" w:rsidR="00F3194F" w:rsidRDefault="00F3194F" w:rsidP="00F3194F">
      <w:pPr>
        <w:spacing w:after="0" w:line="240" w:lineRule="auto"/>
        <w:ind w:left="360" w:firstLine="0"/>
        <w:jc w:val="both"/>
        <w:rPr>
          <w:rFonts w:eastAsia="Calibri"/>
          <w:b/>
          <w:sz w:val="24"/>
        </w:rPr>
      </w:pPr>
    </w:p>
    <w:p w14:paraId="78C8B406" w14:textId="30758576" w:rsidR="006F6B0B" w:rsidRPr="00EB3877" w:rsidRDefault="00B1229D" w:rsidP="00F3194F">
      <w:pPr>
        <w:spacing w:after="0" w:line="240" w:lineRule="auto"/>
        <w:ind w:left="360" w:firstLine="0"/>
        <w:jc w:val="both"/>
        <w:rPr>
          <w:rFonts w:eastAsia="Calibri"/>
          <w:sz w:val="24"/>
        </w:rPr>
      </w:pPr>
      <w:r w:rsidRPr="00EB3877">
        <w:rPr>
          <w:rFonts w:eastAsia="Calibri"/>
          <w:b/>
          <w:sz w:val="24"/>
        </w:rPr>
        <w:t>SDG&amp;E Response:</w:t>
      </w:r>
      <w:r w:rsidR="00483D04" w:rsidRPr="00EB3877">
        <w:rPr>
          <w:rFonts w:eastAsia="Calibri"/>
          <w:b/>
          <w:sz w:val="24"/>
        </w:rPr>
        <w:t xml:space="preserve"> </w:t>
      </w:r>
      <w:r w:rsidR="00B144CD">
        <w:rPr>
          <w:rFonts w:eastAsia="Calibri"/>
          <w:sz w:val="24"/>
        </w:rPr>
        <w:t xml:space="preserve">As stated in </w:t>
      </w:r>
      <w:r w:rsidR="00237E25">
        <w:rPr>
          <w:rFonts w:eastAsia="Calibri"/>
          <w:sz w:val="24"/>
        </w:rPr>
        <w:t xml:space="preserve">Special Condition 9 of </w:t>
      </w:r>
      <w:r w:rsidR="00B144CD">
        <w:rPr>
          <w:rFonts w:eastAsia="Calibri"/>
          <w:sz w:val="24"/>
        </w:rPr>
        <w:t>Schedule EECC-CPP-D</w:t>
      </w:r>
      <w:r w:rsidR="00237E25">
        <w:rPr>
          <w:rFonts w:eastAsia="Calibri"/>
          <w:sz w:val="24"/>
        </w:rPr>
        <w:t>,</w:t>
      </w:r>
      <w:r w:rsidR="00B144CD">
        <w:rPr>
          <w:rFonts w:eastAsia="Calibri"/>
          <w:sz w:val="24"/>
        </w:rPr>
        <w:t xml:space="preserve"> </w:t>
      </w:r>
      <w:r w:rsidR="000346B8" w:rsidRPr="00A834A9">
        <w:rPr>
          <w:rFonts w:eastAsia="Calibri"/>
          <w:sz w:val="24"/>
        </w:rPr>
        <w:t>“</w:t>
      </w:r>
      <w:r w:rsidR="00564759" w:rsidRPr="00A834A9">
        <w:rPr>
          <w:sz w:val="24"/>
        </w:rPr>
        <w:t xml:space="preserve">Customers shall be provided with the option to self-select and reserve a level of generation capacity, specified in kW, that would protect that portion of their load from </w:t>
      </w:r>
      <w:r w:rsidR="00564759" w:rsidRPr="008E45DA">
        <w:rPr>
          <w:sz w:val="24"/>
        </w:rPr>
        <w:t>the CPPD Event Day Adder applicable during a CPP Event.</w:t>
      </w:r>
      <w:r w:rsidR="000346B8" w:rsidRPr="008E45DA">
        <w:rPr>
          <w:sz w:val="24"/>
        </w:rPr>
        <w:t xml:space="preserve">”  </w:t>
      </w:r>
      <w:r w:rsidR="00A834A9" w:rsidRPr="008E45DA">
        <w:rPr>
          <w:sz w:val="24"/>
        </w:rPr>
        <w:t>Therefore</w:t>
      </w:r>
      <w:r w:rsidR="00ED7C70" w:rsidRPr="008E45DA">
        <w:rPr>
          <w:sz w:val="24"/>
        </w:rPr>
        <w:t xml:space="preserve">, the customer </w:t>
      </w:r>
      <w:r w:rsidR="00ED7C70" w:rsidRPr="008E45DA">
        <w:rPr>
          <w:sz w:val="24"/>
        </w:rPr>
        <w:lastRenderedPageBreak/>
        <w:t xml:space="preserve">will choose the level of kW demand that will be billed under the </w:t>
      </w:r>
      <w:r w:rsidR="008E45DA" w:rsidRPr="008E45DA">
        <w:rPr>
          <w:sz w:val="24"/>
        </w:rPr>
        <w:t xml:space="preserve">Schedule EECC-CPP-D </w:t>
      </w:r>
      <w:r w:rsidR="00ED7C70" w:rsidRPr="008E45DA">
        <w:rPr>
          <w:sz w:val="24"/>
        </w:rPr>
        <w:t>Capacity Res</w:t>
      </w:r>
      <w:r w:rsidR="008E45DA" w:rsidRPr="008E45DA">
        <w:rPr>
          <w:sz w:val="24"/>
        </w:rPr>
        <w:t>ervation Charge.</w:t>
      </w:r>
    </w:p>
    <w:p w14:paraId="6CB8DAFA" w14:textId="3028AC69" w:rsidR="008E45DA" w:rsidRPr="00EB3877" w:rsidRDefault="008E45DA" w:rsidP="00F3194F">
      <w:pPr>
        <w:spacing w:after="0" w:line="240" w:lineRule="auto"/>
        <w:ind w:left="360" w:firstLine="0"/>
        <w:jc w:val="both"/>
        <w:rPr>
          <w:rFonts w:eastAsia="Calibri"/>
          <w:sz w:val="24"/>
        </w:rPr>
      </w:pPr>
    </w:p>
    <w:p w14:paraId="547E18AD" w14:textId="3028AC69" w:rsidR="00803597" w:rsidRPr="00EB3877" w:rsidRDefault="00803597" w:rsidP="00F3194F">
      <w:pPr>
        <w:numPr>
          <w:ilvl w:val="1"/>
          <w:numId w:val="1"/>
        </w:numPr>
        <w:spacing w:after="0" w:line="240" w:lineRule="auto"/>
        <w:rPr>
          <w:sz w:val="24"/>
        </w:rPr>
      </w:pPr>
      <w:r w:rsidRPr="00EB3877">
        <w:rPr>
          <w:sz w:val="24"/>
        </w:rPr>
        <w:t>Please explain why SDG&amp;E believes that this billing interval is appropriate for this charge.</w:t>
      </w:r>
    </w:p>
    <w:p w14:paraId="69B53F32" w14:textId="77777777" w:rsidR="004812A3" w:rsidRDefault="004812A3" w:rsidP="00F3194F">
      <w:pPr>
        <w:spacing w:after="0" w:line="240" w:lineRule="auto"/>
        <w:ind w:left="1080" w:firstLine="0"/>
        <w:jc w:val="both"/>
        <w:rPr>
          <w:rFonts w:eastAsia="Calibri"/>
          <w:b/>
          <w:sz w:val="24"/>
        </w:rPr>
      </w:pPr>
    </w:p>
    <w:p w14:paraId="561DECC7" w14:textId="694655AD" w:rsidR="008E45DA" w:rsidRDefault="00B1229D" w:rsidP="00F3194F">
      <w:pPr>
        <w:spacing w:after="0" w:line="240" w:lineRule="auto"/>
        <w:ind w:left="1080" w:firstLine="0"/>
        <w:jc w:val="both"/>
        <w:rPr>
          <w:rFonts w:eastAsia="Calibri"/>
          <w:sz w:val="24"/>
        </w:rPr>
      </w:pPr>
      <w:r w:rsidRPr="00EB3877">
        <w:rPr>
          <w:rFonts w:eastAsia="Calibri"/>
          <w:b/>
          <w:sz w:val="24"/>
        </w:rPr>
        <w:t>SDG&amp;E Response:</w:t>
      </w:r>
      <w:r w:rsidR="009C3200" w:rsidRPr="00EB3877">
        <w:rPr>
          <w:rFonts w:eastAsia="Calibri"/>
          <w:b/>
          <w:sz w:val="24"/>
        </w:rPr>
        <w:t xml:space="preserve"> </w:t>
      </w:r>
      <w:r w:rsidR="009C3200" w:rsidRPr="00EB3877">
        <w:rPr>
          <w:rFonts w:eastAsia="Calibri"/>
          <w:sz w:val="24"/>
        </w:rPr>
        <w:t>See</w:t>
      </w:r>
      <w:r w:rsidR="002006DC" w:rsidRPr="00EB3877">
        <w:rPr>
          <w:rFonts w:eastAsia="Calibri"/>
          <w:sz w:val="24"/>
        </w:rPr>
        <w:t xml:space="preserve"> response to Question 10</w:t>
      </w:r>
      <w:r w:rsidR="009C3200" w:rsidRPr="00EB3877">
        <w:rPr>
          <w:rFonts w:eastAsia="Calibri"/>
          <w:sz w:val="24"/>
        </w:rPr>
        <w:t>.</w:t>
      </w:r>
    </w:p>
    <w:p w14:paraId="4A51B8FF" w14:textId="77777777" w:rsidR="004812A3" w:rsidRPr="00EB3877" w:rsidRDefault="004812A3" w:rsidP="00F3194F">
      <w:pPr>
        <w:spacing w:after="0" w:line="240" w:lineRule="auto"/>
        <w:ind w:left="1080" w:firstLine="0"/>
        <w:jc w:val="both"/>
        <w:rPr>
          <w:rFonts w:eastAsia="Calibri"/>
          <w:sz w:val="24"/>
        </w:rPr>
      </w:pPr>
    </w:p>
    <w:p w14:paraId="0C854F4F" w14:textId="3D53FA62" w:rsidR="00F276EF" w:rsidRPr="00EB3877" w:rsidRDefault="00F276EF" w:rsidP="00F3194F">
      <w:pPr>
        <w:numPr>
          <w:ilvl w:val="0"/>
          <w:numId w:val="1"/>
        </w:numPr>
        <w:spacing w:after="0" w:line="240" w:lineRule="auto"/>
        <w:rPr>
          <w:sz w:val="24"/>
        </w:rPr>
      </w:pPr>
      <w:r w:rsidRPr="00EB3877">
        <w:rPr>
          <w:sz w:val="24"/>
        </w:rPr>
        <w:t xml:space="preserve">Please explain what </w:t>
      </w:r>
      <w:r w:rsidR="00803597" w:rsidRPr="00EB3877">
        <w:rPr>
          <w:sz w:val="24"/>
        </w:rPr>
        <w:t>costs SDG&amp;E intends to reflect or recover through the capacity-reservation demand charge (e.g., distribution capacity, generation capacity).</w:t>
      </w:r>
    </w:p>
    <w:p w14:paraId="6CBEAB88" w14:textId="77777777" w:rsidR="00F3194F" w:rsidRDefault="00F3194F" w:rsidP="00F3194F">
      <w:pPr>
        <w:spacing w:after="0" w:line="240" w:lineRule="auto"/>
        <w:ind w:left="360" w:firstLine="0"/>
        <w:jc w:val="both"/>
        <w:rPr>
          <w:rFonts w:eastAsia="Calibri"/>
          <w:b/>
          <w:sz w:val="24"/>
        </w:rPr>
      </w:pPr>
    </w:p>
    <w:p w14:paraId="22E09187" w14:textId="04B360E1" w:rsidR="003F3442" w:rsidRDefault="00B1229D" w:rsidP="00F3194F">
      <w:pPr>
        <w:spacing w:after="0" w:line="240" w:lineRule="auto"/>
        <w:ind w:left="360" w:firstLine="0"/>
        <w:jc w:val="both"/>
        <w:rPr>
          <w:rFonts w:eastAsia="Calibri"/>
          <w:sz w:val="24"/>
        </w:rPr>
      </w:pPr>
      <w:r w:rsidRPr="003F3442">
        <w:rPr>
          <w:rFonts w:eastAsia="Calibri"/>
          <w:b/>
          <w:sz w:val="24"/>
        </w:rPr>
        <w:t>SDG&amp;E Response:</w:t>
      </w:r>
      <w:r w:rsidR="003F3442">
        <w:rPr>
          <w:rFonts w:eastAsia="Calibri"/>
          <w:sz w:val="24"/>
        </w:rPr>
        <w:t xml:space="preserve"> </w:t>
      </w:r>
      <w:r w:rsidR="00DA7CB6">
        <w:rPr>
          <w:rFonts w:eastAsia="Calibri"/>
          <w:sz w:val="24"/>
        </w:rPr>
        <w:t xml:space="preserve">The Schedule EECC-CPP-D Capacity Reservation Charge is designed to recover the </w:t>
      </w:r>
      <w:r w:rsidR="007C31CB">
        <w:rPr>
          <w:rFonts w:eastAsia="Calibri"/>
          <w:sz w:val="24"/>
        </w:rPr>
        <w:t xml:space="preserve">generation capacity costs that would be recovered </w:t>
      </w:r>
      <w:r w:rsidR="00F922AF">
        <w:rPr>
          <w:rFonts w:eastAsia="Calibri"/>
          <w:sz w:val="24"/>
        </w:rPr>
        <w:t xml:space="preserve">from Medium/Large Commercial &amp; Industrial </w:t>
      </w:r>
      <w:r w:rsidR="0009754E">
        <w:rPr>
          <w:rFonts w:eastAsia="Calibri"/>
          <w:sz w:val="24"/>
        </w:rPr>
        <w:t xml:space="preserve">(M/L C&amp;I) customers </w:t>
      </w:r>
      <w:r w:rsidR="007C31CB">
        <w:rPr>
          <w:rFonts w:eastAsia="Calibri"/>
          <w:sz w:val="24"/>
        </w:rPr>
        <w:t xml:space="preserve">in </w:t>
      </w:r>
      <w:r w:rsidR="001864AB">
        <w:rPr>
          <w:rFonts w:eastAsia="Calibri"/>
          <w:sz w:val="24"/>
        </w:rPr>
        <w:t xml:space="preserve">Maximum On-Peak Demand </w:t>
      </w:r>
      <w:r w:rsidR="001C44E7">
        <w:rPr>
          <w:rFonts w:eastAsia="Calibri"/>
          <w:sz w:val="24"/>
        </w:rPr>
        <w:t>Charges from customers that opt</w:t>
      </w:r>
      <w:r w:rsidR="00F922AF">
        <w:rPr>
          <w:rFonts w:eastAsia="Calibri"/>
          <w:sz w:val="24"/>
        </w:rPr>
        <w:t xml:space="preserve"> out of Schedule EECC-CPP-D </w:t>
      </w:r>
      <w:r w:rsidR="0009754E">
        <w:rPr>
          <w:rFonts w:eastAsia="Calibri"/>
          <w:sz w:val="24"/>
        </w:rPr>
        <w:t xml:space="preserve">and take commodity service on </w:t>
      </w:r>
      <w:r w:rsidR="006A4F2E">
        <w:rPr>
          <w:rFonts w:eastAsia="Calibri"/>
          <w:sz w:val="24"/>
        </w:rPr>
        <w:t>Schedule AL-TOU st</w:t>
      </w:r>
      <w:r w:rsidR="003208EC">
        <w:rPr>
          <w:rFonts w:eastAsia="Calibri"/>
          <w:sz w:val="24"/>
        </w:rPr>
        <w:t>andard EECC rates.</w:t>
      </w:r>
    </w:p>
    <w:p w14:paraId="70985B9F" w14:textId="77777777" w:rsidR="004812A3" w:rsidRPr="00F3194F" w:rsidRDefault="004812A3" w:rsidP="00F3194F">
      <w:pPr>
        <w:spacing w:after="0" w:line="240" w:lineRule="auto"/>
        <w:ind w:left="360" w:firstLine="0"/>
        <w:jc w:val="both"/>
        <w:rPr>
          <w:rFonts w:eastAsia="Calibri"/>
          <w:sz w:val="24"/>
        </w:rPr>
      </w:pPr>
    </w:p>
    <w:p w14:paraId="1F7F2C72" w14:textId="300F60FA" w:rsidR="00803597" w:rsidRDefault="00803597" w:rsidP="00F3194F">
      <w:pPr>
        <w:numPr>
          <w:ilvl w:val="0"/>
          <w:numId w:val="1"/>
        </w:numPr>
        <w:spacing w:after="0" w:line="240" w:lineRule="auto"/>
        <w:rPr>
          <w:sz w:val="24"/>
        </w:rPr>
      </w:pPr>
      <w:r w:rsidRPr="00EB3877">
        <w:rPr>
          <w:sz w:val="24"/>
        </w:rPr>
        <w:t xml:space="preserve">Please explain whether SDG&amp;E intends to charge the capacity-reservation demand rate based on the customer’s maximum non-coincident peak load in any interval in the month, or only in designated peak periods. </w:t>
      </w:r>
    </w:p>
    <w:p w14:paraId="3434CC30" w14:textId="77777777" w:rsidR="004812A3" w:rsidRDefault="004812A3" w:rsidP="00F3194F">
      <w:pPr>
        <w:spacing w:after="0" w:line="240" w:lineRule="auto"/>
        <w:ind w:left="360" w:firstLine="0"/>
        <w:jc w:val="both"/>
        <w:rPr>
          <w:rFonts w:eastAsia="Calibri"/>
          <w:b/>
          <w:sz w:val="24"/>
        </w:rPr>
      </w:pPr>
    </w:p>
    <w:p w14:paraId="59083035" w14:textId="1FFFD255" w:rsidR="00B1229D" w:rsidRDefault="00B1229D" w:rsidP="00F3194F">
      <w:pPr>
        <w:spacing w:after="0" w:line="240" w:lineRule="auto"/>
        <w:ind w:left="360" w:firstLine="0"/>
        <w:jc w:val="both"/>
        <w:rPr>
          <w:rFonts w:eastAsia="Calibri"/>
          <w:sz w:val="24"/>
        </w:rPr>
      </w:pPr>
      <w:r w:rsidRPr="00EB3877">
        <w:rPr>
          <w:rFonts w:eastAsia="Calibri"/>
          <w:b/>
          <w:sz w:val="24"/>
        </w:rPr>
        <w:t>SDG&amp;E Response:</w:t>
      </w:r>
      <w:r w:rsidR="002006DC" w:rsidRPr="00EB3877">
        <w:rPr>
          <w:rFonts w:eastAsia="Calibri"/>
          <w:b/>
          <w:sz w:val="24"/>
        </w:rPr>
        <w:t xml:space="preserve"> </w:t>
      </w:r>
      <w:r w:rsidR="002006DC" w:rsidRPr="00EB3877">
        <w:rPr>
          <w:rFonts w:eastAsia="Calibri"/>
          <w:sz w:val="24"/>
        </w:rPr>
        <w:t>See response to Question 10 above</w:t>
      </w:r>
      <w:r w:rsidR="00DD4114">
        <w:rPr>
          <w:rFonts w:eastAsia="Calibri"/>
          <w:sz w:val="24"/>
        </w:rPr>
        <w:t>.</w:t>
      </w:r>
    </w:p>
    <w:p w14:paraId="49486B58" w14:textId="77777777" w:rsidR="003208EC" w:rsidRPr="00EB3877" w:rsidRDefault="003208EC" w:rsidP="00F3194F">
      <w:pPr>
        <w:spacing w:after="0" w:line="240" w:lineRule="auto"/>
        <w:ind w:left="360" w:firstLine="0"/>
        <w:jc w:val="both"/>
        <w:rPr>
          <w:rFonts w:eastAsia="Calibri"/>
          <w:sz w:val="24"/>
        </w:rPr>
      </w:pPr>
    </w:p>
    <w:p w14:paraId="440431A8" w14:textId="17258C1A" w:rsidR="00803597" w:rsidRPr="00EB3877" w:rsidRDefault="00803597" w:rsidP="00F3194F">
      <w:pPr>
        <w:numPr>
          <w:ilvl w:val="1"/>
          <w:numId w:val="1"/>
        </w:numPr>
        <w:spacing w:after="0" w:line="240" w:lineRule="auto"/>
        <w:rPr>
          <w:sz w:val="24"/>
        </w:rPr>
      </w:pPr>
      <w:r w:rsidRPr="00EB3877">
        <w:rPr>
          <w:sz w:val="24"/>
        </w:rPr>
        <w:t>Please explain why SDG&amp;E is proposing this billing rule.</w:t>
      </w:r>
    </w:p>
    <w:p w14:paraId="172B7F4E" w14:textId="77777777" w:rsidR="004812A3" w:rsidRDefault="004812A3" w:rsidP="00F3194F">
      <w:pPr>
        <w:spacing w:after="0" w:line="240" w:lineRule="auto"/>
        <w:ind w:left="1080" w:firstLine="0"/>
        <w:jc w:val="both"/>
        <w:rPr>
          <w:rFonts w:eastAsia="Calibri"/>
          <w:b/>
          <w:sz w:val="24"/>
        </w:rPr>
      </w:pPr>
    </w:p>
    <w:p w14:paraId="167C77B2" w14:textId="688A27F3" w:rsidR="00B1229D" w:rsidRDefault="00B1229D" w:rsidP="00F3194F">
      <w:pPr>
        <w:spacing w:after="0" w:line="240" w:lineRule="auto"/>
        <w:ind w:left="1080" w:firstLine="0"/>
        <w:jc w:val="both"/>
        <w:rPr>
          <w:rFonts w:eastAsia="Calibri"/>
          <w:sz w:val="24"/>
        </w:rPr>
      </w:pPr>
      <w:r w:rsidRPr="00EB3877">
        <w:rPr>
          <w:rFonts w:eastAsia="Calibri"/>
          <w:b/>
          <w:sz w:val="24"/>
        </w:rPr>
        <w:t>SDG&amp;E Response:</w:t>
      </w:r>
      <w:r w:rsidR="002006DC" w:rsidRPr="00EB3877">
        <w:rPr>
          <w:rFonts w:eastAsia="Calibri"/>
          <w:b/>
          <w:sz w:val="24"/>
        </w:rPr>
        <w:t xml:space="preserve"> </w:t>
      </w:r>
      <w:r w:rsidR="00BB146D">
        <w:rPr>
          <w:rFonts w:eastAsia="Calibri"/>
          <w:sz w:val="24"/>
        </w:rPr>
        <w:t xml:space="preserve">Schedule EECC-CPP-D is an </w:t>
      </w:r>
      <w:r w:rsidR="002006DC" w:rsidRPr="00EB3877">
        <w:rPr>
          <w:rFonts w:eastAsia="Calibri"/>
          <w:sz w:val="24"/>
        </w:rPr>
        <w:t xml:space="preserve">existing </w:t>
      </w:r>
      <w:r w:rsidR="00BB146D">
        <w:rPr>
          <w:rFonts w:eastAsia="Calibri"/>
          <w:sz w:val="24"/>
        </w:rPr>
        <w:t xml:space="preserve">commodity rate </w:t>
      </w:r>
      <w:r w:rsidR="002006DC" w:rsidRPr="00EB3877">
        <w:rPr>
          <w:rFonts w:eastAsia="Calibri"/>
          <w:sz w:val="24"/>
        </w:rPr>
        <w:t>optio</w:t>
      </w:r>
      <w:r w:rsidR="00BB146D">
        <w:rPr>
          <w:rFonts w:eastAsia="Calibri"/>
          <w:sz w:val="24"/>
        </w:rPr>
        <w:t xml:space="preserve">n that is available to M/L C&amp;I customers </w:t>
      </w:r>
      <w:r w:rsidR="00F271DA">
        <w:rPr>
          <w:rFonts w:eastAsia="Calibri"/>
          <w:sz w:val="24"/>
        </w:rPr>
        <w:t>like EV-HP customers.</w:t>
      </w:r>
    </w:p>
    <w:p w14:paraId="5DC22D6C" w14:textId="77777777" w:rsidR="00D50C41" w:rsidRPr="00EB3877" w:rsidRDefault="00D50C41" w:rsidP="00F3194F">
      <w:pPr>
        <w:spacing w:after="0" w:line="240" w:lineRule="auto"/>
        <w:ind w:left="1080" w:firstLine="0"/>
        <w:jc w:val="both"/>
        <w:rPr>
          <w:rFonts w:eastAsia="Calibri"/>
          <w:sz w:val="24"/>
        </w:rPr>
      </w:pPr>
    </w:p>
    <w:p w14:paraId="18699BC0" w14:textId="6FA12F06" w:rsidR="00803597" w:rsidRPr="00EB3877" w:rsidRDefault="00F276EF" w:rsidP="00F3194F">
      <w:pPr>
        <w:numPr>
          <w:ilvl w:val="0"/>
          <w:numId w:val="1"/>
        </w:numPr>
        <w:spacing w:after="0" w:line="240" w:lineRule="auto"/>
        <w:rPr>
          <w:sz w:val="24"/>
        </w:rPr>
      </w:pPr>
      <w:r w:rsidRPr="00EB3877">
        <w:rPr>
          <w:sz w:val="24"/>
        </w:rPr>
        <w:t>Please explain why SDG&amp;E believes that a capacity-reservation demand charge is preferable to TOU or CPP energy charges</w:t>
      </w:r>
      <w:r w:rsidR="00803597" w:rsidRPr="00EB3877">
        <w:rPr>
          <w:sz w:val="24"/>
        </w:rPr>
        <w:t xml:space="preserve"> to recover the costs reflected in the capacity-reservation demand charge.</w:t>
      </w:r>
    </w:p>
    <w:p w14:paraId="20C349D0" w14:textId="77777777" w:rsidR="004812A3" w:rsidRDefault="004812A3" w:rsidP="00F3194F">
      <w:pPr>
        <w:spacing w:after="0" w:line="240" w:lineRule="auto"/>
        <w:ind w:left="360" w:firstLine="0"/>
        <w:jc w:val="both"/>
        <w:rPr>
          <w:rFonts w:eastAsia="Calibri"/>
          <w:b/>
          <w:sz w:val="24"/>
        </w:rPr>
      </w:pPr>
    </w:p>
    <w:p w14:paraId="1595F903" w14:textId="7ABF87A2" w:rsidR="00B1229D" w:rsidRDefault="00B1229D" w:rsidP="00F3194F">
      <w:pPr>
        <w:spacing w:after="0" w:line="240" w:lineRule="auto"/>
        <w:ind w:left="360" w:firstLine="0"/>
        <w:jc w:val="both"/>
        <w:rPr>
          <w:rFonts w:eastAsia="Calibri"/>
          <w:sz w:val="24"/>
        </w:rPr>
      </w:pPr>
      <w:r w:rsidRPr="00EB3877">
        <w:rPr>
          <w:rFonts w:eastAsia="Calibri"/>
          <w:b/>
          <w:sz w:val="24"/>
        </w:rPr>
        <w:t>SDG&amp;E Response:</w:t>
      </w:r>
      <w:r w:rsidR="00D56002" w:rsidRPr="00EB3877">
        <w:rPr>
          <w:rFonts w:eastAsia="Calibri"/>
          <w:b/>
          <w:sz w:val="24"/>
        </w:rPr>
        <w:t xml:space="preserve"> </w:t>
      </w:r>
      <w:r w:rsidR="00FF55C9">
        <w:rPr>
          <w:rFonts w:eastAsia="Calibri"/>
          <w:sz w:val="24"/>
        </w:rPr>
        <w:t>As explained in response to Question 10, t</w:t>
      </w:r>
      <w:r w:rsidR="00D56002" w:rsidRPr="00EB3877">
        <w:rPr>
          <w:rFonts w:eastAsia="Calibri"/>
          <w:sz w:val="24"/>
        </w:rPr>
        <w:t xml:space="preserve">he </w:t>
      </w:r>
      <w:r w:rsidR="00290CE2">
        <w:rPr>
          <w:rFonts w:eastAsia="Calibri"/>
          <w:sz w:val="24"/>
        </w:rPr>
        <w:t xml:space="preserve">Schedule EECC-CPP-D </w:t>
      </w:r>
      <w:r w:rsidR="00D56002" w:rsidRPr="00EB3877">
        <w:rPr>
          <w:rFonts w:eastAsia="Calibri"/>
          <w:sz w:val="24"/>
        </w:rPr>
        <w:t>Capacity Reservation Charge is an option</w:t>
      </w:r>
      <w:r w:rsidR="00A16549">
        <w:rPr>
          <w:rFonts w:eastAsia="Calibri"/>
          <w:sz w:val="24"/>
        </w:rPr>
        <w:t xml:space="preserve"> available to customers taking commodity service on </w:t>
      </w:r>
      <w:r w:rsidR="00223F1D">
        <w:rPr>
          <w:rFonts w:eastAsia="Calibri"/>
          <w:sz w:val="24"/>
        </w:rPr>
        <w:t xml:space="preserve">Schedule EECC-CPP-D </w:t>
      </w:r>
      <w:r w:rsidR="00D56002" w:rsidRPr="00EB3877">
        <w:rPr>
          <w:rFonts w:eastAsia="Calibri"/>
          <w:sz w:val="24"/>
        </w:rPr>
        <w:t xml:space="preserve">that allows customers to avoid </w:t>
      </w:r>
      <w:r w:rsidR="008848FB">
        <w:rPr>
          <w:rFonts w:eastAsia="Calibri"/>
          <w:sz w:val="24"/>
        </w:rPr>
        <w:t xml:space="preserve">paying </w:t>
      </w:r>
      <w:r w:rsidR="00D56002" w:rsidRPr="00EB3877">
        <w:rPr>
          <w:rFonts w:eastAsia="Calibri"/>
          <w:sz w:val="24"/>
        </w:rPr>
        <w:t>high charges for energy usage during CPP events</w:t>
      </w:r>
      <w:r w:rsidR="00223F1D">
        <w:rPr>
          <w:rFonts w:eastAsia="Calibri"/>
          <w:sz w:val="24"/>
        </w:rPr>
        <w:t xml:space="preserve"> by reserving </w:t>
      </w:r>
      <w:r w:rsidR="008848FB">
        <w:rPr>
          <w:rFonts w:eastAsia="Calibri"/>
          <w:sz w:val="24"/>
        </w:rPr>
        <w:t xml:space="preserve">a level of their </w:t>
      </w:r>
      <w:r w:rsidR="00C71918">
        <w:rPr>
          <w:rFonts w:eastAsia="Calibri"/>
          <w:sz w:val="24"/>
        </w:rPr>
        <w:t>load</w:t>
      </w:r>
      <w:r w:rsidR="00AD76BA">
        <w:rPr>
          <w:rFonts w:eastAsia="Calibri"/>
          <w:sz w:val="24"/>
        </w:rPr>
        <w:t xml:space="preserve"> to be protected from CPP rates</w:t>
      </w:r>
      <w:r w:rsidR="00D56002" w:rsidRPr="00EB3877">
        <w:rPr>
          <w:rFonts w:eastAsia="Calibri"/>
          <w:sz w:val="24"/>
        </w:rPr>
        <w:t xml:space="preserve">. </w:t>
      </w:r>
      <w:r w:rsidR="00C71918">
        <w:rPr>
          <w:rFonts w:eastAsia="Calibri"/>
          <w:sz w:val="24"/>
        </w:rPr>
        <w:t xml:space="preserve"> </w:t>
      </w:r>
      <w:r w:rsidR="00D56002" w:rsidRPr="00EB3877">
        <w:rPr>
          <w:rFonts w:eastAsia="Calibri"/>
          <w:sz w:val="24"/>
        </w:rPr>
        <w:t>It is intended to provide an option to reduce bill instability for CPP customers.</w:t>
      </w:r>
    </w:p>
    <w:p w14:paraId="03B733F5" w14:textId="77777777" w:rsidR="000A6F24" w:rsidRPr="00EB3877" w:rsidRDefault="000A6F24" w:rsidP="00F3194F">
      <w:pPr>
        <w:spacing w:after="0" w:line="240" w:lineRule="auto"/>
        <w:ind w:left="360" w:firstLine="0"/>
        <w:jc w:val="both"/>
        <w:rPr>
          <w:rFonts w:eastAsia="Calibri"/>
          <w:sz w:val="24"/>
        </w:rPr>
      </w:pPr>
    </w:p>
    <w:p w14:paraId="29C31835" w14:textId="6653AB55" w:rsidR="00803597" w:rsidRPr="00EB3877" w:rsidRDefault="00803597" w:rsidP="00F3194F">
      <w:pPr>
        <w:numPr>
          <w:ilvl w:val="0"/>
          <w:numId w:val="1"/>
        </w:numPr>
        <w:spacing w:after="0" w:line="240" w:lineRule="auto"/>
        <w:rPr>
          <w:sz w:val="24"/>
        </w:rPr>
      </w:pPr>
      <w:r w:rsidRPr="00EB3877">
        <w:rPr>
          <w:sz w:val="24"/>
        </w:rPr>
        <w:t>Please explain what costs SDG&amp;E intends to reflect or recover through the subscription demand charge (e.g., distribution feeder capacity, substation capacity, generation capacity).</w:t>
      </w:r>
    </w:p>
    <w:p w14:paraId="0997AC90" w14:textId="77777777" w:rsidR="004812A3" w:rsidRDefault="004812A3" w:rsidP="007C222C">
      <w:pPr>
        <w:spacing w:after="0" w:line="240" w:lineRule="auto"/>
        <w:ind w:firstLine="0"/>
        <w:jc w:val="both"/>
        <w:rPr>
          <w:rFonts w:eastAsia="Calibri"/>
          <w:b/>
          <w:sz w:val="24"/>
        </w:rPr>
      </w:pPr>
    </w:p>
    <w:p w14:paraId="7366C7DB" w14:textId="52EA825B" w:rsidR="00B1229D" w:rsidRDefault="00B1229D" w:rsidP="00F3194F">
      <w:pPr>
        <w:spacing w:after="0" w:line="240" w:lineRule="auto"/>
        <w:ind w:left="360" w:firstLine="0"/>
        <w:jc w:val="both"/>
        <w:rPr>
          <w:rFonts w:eastAsia="Calibri"/>
          <w:sz w:val="24"/>
        </w:rPr>
      </w:pPr>
      <w:r w:rsidRPr="00EB3877">
        <w:rPr>
          <w:rFonts w:eastAsia="Calibri"/>
          <w:b/>
          <w:sz w:val="24"/>
        </w:rPr>
        <w:t>SDG&amp;E Response:</w:t>
      </w:r>
      <w:r w:rsidR="00D56002" w:rsidRPr="00EB3877">
        <w:rPr>
          <w:rFonts w:eastAsia="Calibri"/>
          <w:b/>
          <w:sz w:val="24"/>
        </w:rPr>
        <w:t xml:space="preserve"> </w:t>
      </w:r>
      <w:r w:rsidR="003F2592">
        <w:rPr>
          <w:rFonts w:eastAsia="Calibri"/>
          <w:sz w:val="24"/>
        </w:rPr>
        <w:t>As explained on page WS-2 of the Prepared Direct Testimony of William G</w:t>
      </w:r>
      <w:r w:rsidR="00D05826">
        <w:rPr>
          <w:rFonts w:eastAsia="Calibri"/>
          <w:sz w:val="24"/>
        </w:rPr>
        <w:t>.</w:t>
      </w:r>
      <w:r w:rsidR="003F2592">
        <w:rPr>
          <w:rFonts w:eastAsia="Calibri"/>
          <w:sz w:val="24"/>
        </w:rPr>
        <w:t xml:space="preserve"> Saxe, </w:t>
      </w:r>
      <w:r w:rsidR="00F43AC4">
        <w:rPr>
          <w:rFonts w:eastAsia="Calibri"/>
          <w:sz w:val="24"/>
        </w:rPr>
        <w:t>t</w:t>
      </w:r>
      <w:r w:rsidR="00D56002" w:rsidRPr="00EB3877">
        <w:rPr>
          <w:rFonts w:eastAsia="Calibri"/>
          <w:sz w:val="24"/>
        </w:rPr>
        <w:t>he proposed EV-HP subscription charge recovers non-coincident distribution demand costs</w:t>
      </w:r>
      <w:r w:rsidR="00F43AC4">
        <w:rPr>
          <w:rFonts w:eastAsia="Calibri"/>
          <w:sz w:val="24"/>
        </w:rPr>
        <w:t xml:space="preserve"> allocated to Schedule AL-TOU</w:t>
      </w:r>
      <w:r w:rsidR="00295AFE" w:rsidRPr="00EB3877">
        <w:rPr>
          <w:rFonts w:eastAsia="Calibri"/>
          <w:sz w:val="24"/>
        </w:rPr>
        <w:t xml:space="preserve">. </w:t>
      </w:r>
    </w:p>
    <w:p w14:paraId="431A901A" w14:textId="77777777" w:rsidR="00AD76BA" w:rsidRPr="00EB3877" w:rsidRDefault="00AD76BA" w:rsidP="00F3194F">
      <w:pPr>
        <w:spacing w:after="0" w:line="240" w:lineRule="auto"/>
        <w:ind w:left="360" w:firstLine="0"/>
        <w:jc w:val="both"/>
        <w:rPr>
          <w:rFonts w:eastAsia="Calibri"/>
          <w:sz w:val="24"/>
        </w:rPr>
      </w:pPr>
    </w:p>
    <w:p w14:paraId="1F2E5AFD" w14:textId="44CF0E31" w:rsidR="00F434B0" w:rsidRPr="00EB3877" w:rsidRDefault="00F434B0" w:rsidP="00F3194F">
      <w:pPr>
        <w:numPr>
          <w:ilvl w:val="0"/>
          <w:numId w:val="1"/>
        </w:numPr>
        <w:spacing w:after="0" w:line="240" w:lineRule="auto"/>
        <w:rPr>
          <w:sz w:val="24"/>
        </w:rPr>
      </w:pPr>
      <w:r w:rsidRPr="00EB3877">
        <w:rPr>
          <w:sz w:val="24"/>
        </w:rPr>
        <w:t>Please explain whether SDG&amp;E intends to charge the subscription demand charge based on maximum hourly consumption, maximum 15-minute consumption, or something else.</w:t>
      </w:r>
    </w:p>
    <w:p w14:paraId="619FE08C" w14:textId="77777777" w:rsidR="004812A3" w:rsidRDefault="004812A3" w:rsidP="00F3194F">
      <w:pPr>
        <w:spacing w:after="0" w:line="240" w:lineRule="auto"/>
        <w:ind w:left="360" w:firstLine="0"/>
        <w:jc w:val="both"/>
        <w:rPr>
          <w:rFonts w:eastAsia="Calibri"/>
          <w:b/>
          <w:sz w:val="24"/>
        </w:rPr>
      </w:pPr>
    </w:p>
    <w:p w14:paraId="6EFC36D4" w14:textId="1AC3B913" w:rsidR="000C61CE" w:rsidRDefault="00B1229D" w:rsidP="00F3194F">
      <w:pPr>
        <w:spacing w:after="0" w:line="240" w:lineRule="auto"/>
        <w:ind w:left="360" w:firstLine="0"/>
        <w:jc w:val="both"/>
        <w:rPr>
          <w:rFonts w:eastAsia="Calibri"/>
          <w:sz w:val="24"/>
        </w:rPr>
      </w:pPr>
      <w:r w:rsidRPr="00EB3877">
        <w:rPr>
          <w:rFonts w:eastAsia="Calibri"/>
          <w:b/>
          <w:sz w:val="24"/>
        </w:rPr>
        <w:t>SDG&amp;E Response:</w:t>
      </w:r>
      <w:r w:rsidR="002C3405" w:rsidRPr="00EB3877">
        <w:rPr>
          <w:rFonts w:eastAsia="Calibri"/>
          <w:b/>
          <w:sz w:val="24"/>
        </w:rPr>
        <w:t xml:space="preserve"> </w:t>
      </w:r>
      <w:r w:rsidR="002C3405" w:rsidRPr="00EB3877">
        <w:rPr>
          <w:rFonts w:eastAsia="Calibri"/>
          <w:sz w:val="24"/>
        </w:rPr>
        <w:t xml:space="preserve">The proposed EV-HP subscription charge is selected by the customer based on their anticipated maximum </w:t>
      </w:r>
      <w:r w:rsidR="00385C81" w:rsidRPr="00EB3877">
        <w:rPr>
          <w:rFonts w:eastAsia="Calibri"/>
          <w:sz w:val="24"/>
        </w:rPr>
        <w:t>non-coincident 15-minute demand.</w:t>
      </w:r>
    </w:p>
    <w:p w14:paraId="5660398D" w14:textId="5B5535C2" w:rsidR="00B1229D" w:rsidRPr="00EB3877" w:rsidRDefault="00385C81" w:rsidP="00F3194F">
      <w:pPr>
        <w:spacing w:after="0" w:line="240" w:lineRule="auto"/>
        <w:ind w:left="360" w:firstLine="0"/>
        <w:jc w:val="both"/>
        <w:rPr>
          <w:rFonts w:eastAsia="Calibri"/>
          <w:sz w:val="24"/>
        </w:rPr>
      </w:pPr>
      <w:r w:rsidRPr="00EB3877">
        <w:rPr>
          <w:rFonts w:eastAsia="Calibri"/>
          <w:sz w:val="24"/>
        </w:rPr>
        <w:t xml:space="preserve"> </w:t>
      </w:r>
    </w:p>
    <w:p w14:paraId="5065511C" w14:textId="3379956C" w:rsidR="00F434B0" w:rsidRPr="00EB3877" w:rsidRDefault="00F434B0" w:rsidP="00F3194F">
      <w:pPr>
        <w:numPr>
          <w:ilvl w:val="1"/>
          <w:numId w:val="1"/>
        </w:numPr>
        <w:spacing w:after="0" w:line="240" w:lineRule="auto"/>
        <w:rPr>
          <w:sz w:val="24"/>
        </w:rPr>
      </w:pPr>
      <w:r w:rsidRPr="00EB3877">
        <w:rPr>
          <w:sz w:val="24"/>
        </w:rPr>
        <w:t>Please explain why SDG&amp;E believes that this billing interval is appropriate for this charge.</w:t>
      </w:r>
    </w:p>
    <w:p w14:paraId="4CD3118D" w14:textId="77777777" w:rsidR="004812A3" w:rsidRDefault="004812A3" w:rsidP="00F3194F">
      <w:pPr>
        <w:spacing w:after="0" w:line="240" w:lineRule="auto"/>
        <w:ind w:left="1080" w:firstLine="0"/>
        <w:jc w:val="both"/>
        <w:rPr>
          <w:rFonts w:eastAsia="Calibri"/>
          <w:b/>
          <w:sz w:val="24"/>
        </w:rPr>
      </w:pPr>
    </w:p>
    <w:p w14:paraId="5A49CE71" w14:textId="4D76421C" w:rsidR="000C61CE" w:rsidRDefault="00B1229D" w:rsidP="00F3194F">
      <w:pPr>
        <w:spacing w:after="0" w:line="240" w:lineRule="auto"/>
        <w:ind w:left="1080" w:firstLine="0"/>
        <w:jc w:val="both"/>
        <w:rPr>
          <w:rFonts w:eastAsia="Calibri"/>
          <w:sz w:val="24"/>
        </w:rPr>
      </w:pPr>
      <w:r w:rsidRPr="00EB3877">
        <w:rPr>
          <w:rFonts w:eastAsia="Calibri"/>
          <w:b/>
          <w:sz w:val="24"/>
        </w:rPr>
        <w:t>SDG&amp;E Response:</w:t>
      </w:r>
      <w:r w:rsidR="00385C81" w:rsidRPr="00EB3877">
        <w:rPr>
          <w:rFonts w:eastAsia="Calibri"/>
          <w:b/>
          <w:sz w:val="24"/>
        </w:rPr>
        <w:t xml:space="preserve"> </w:t>
      </w:r>
      <w:r w:rsidR="00385C81" w:rsidRPr="00EB3877">
        <w:rPr>
          <w:rFonts w:eastAsia="Calibri"/>
          <w:sz w:val="24"/>
        </w:rPr>
        <w:t xml:space="preserve">The proposed EV-HP subscription charge recovers non-coincident distribution demand costs </w:t>
      </w:r>
      <w:r w:rsidR="00844F79">
        <w:rPr>
          <w:rFonts w:eastAsia="Calibri"/>
          <w:sz w:val="24"/>
        </w:rPr>
        <w:t>allocated to Schedule AL-TOU</w:t>
      </w:r>
      <w:r w:rsidR="00F41B0B">
        <w:rPr>
          <w:rFonts w:eastAsia="Calibri"/>
          <w:sz w:val="24"/>
        </w:rPr>
        <w:t>,</w:t>
      </w:r>
      <w:r w:rsidR="00844F79">
        <w:rPr>
          <w:rFonts w:eastAsia="Calibri"/>
          <w:sz w:val="24"/>
        </w:rPr>
        <w:t xml:space="preserve"> </w:t>
      </w:r>
      <w:r w:rsidR="00F41B0B">
        <w:rPr>
          <w:rFonts w:eastAsia="Calibri"/>
          <w:sz w:val="24"/>
        </w:rPr>
        <w:t xml:space="preserve">which are </w:t>
      </w:r>
      <w:r w:rsidR="00385C81" w:rsidRPr="00EB3877">
        <w:rPr>
          <w:rFonts w:eastAsia="Calibri"/>
          <w:sz w:val="24"/>
        </w:rPr>
        <w:t xml:space="preserve">billed </w:t>
      </w:r>
      <w:r w:rsidR="00F41B0B">
        <w:rPr>
          <w:rFonts w:eastAsia="Calibri"/>
          <w:sz w:val="24"/>
        </w:rPr>
        <w:t xml:space="preserve">to </w:t>
      </w:r>
      <w:r w:rsidR="00385C81" w:rsidRPr="00EB3877">
        <w:rPr>
          <w:rFonts w:eastAsia="Calibri"/>
          <w:sz w:val="24"/>
        </w:rPr>
        <w:t xml:space="preserve">customer’s </w:t>
      </w:r>
      <w:r w:rsidR="00F41B0B">
        <w:rPr>
          <w:rFonts w:eastAsia="Calibri"/>
          <w:sz w:val="24"/>
        </w:rPr>
        <w:t xml:space="preserve">based on their </w:t>
      </w:r>
      <w:r w:rsidR="00385C81" w:rsidRPr="00EB3877">
        <w:rPr>
          <w:rFonts w:eastAsia="Calibri"/>
          <w:sz w:val="24"/>
        </w:rPr>
        <w:t xml:space="preserve">maximum non-coincident </w:t>
      </w:r>
      <w:r w:rsidR="009B4B02">
        <w:rPr>
          <w:rFonts w:eastAsia="Calibri"/>
          <w:sz w:val="24"/>
        </w:rPr>
        <w:t xml:space="preserve">monthly </w:t>
      </w:r>
      <w:r w:rsidR="00385C81" w:rsidRPr="00EB3877">
        <w:rPr>
          <w:rFonts w:eastAsia="Calibri"/>
          <w:sz w:val="24"/>
        </w:rPr>
        <w:t>demand</w:t>
      </w:r>
      <w:r w:rsidR="00751B78">
        <w:rPr>
          <w:rFonts w:eastAsia="Calibri"/>
          <w:sz w:val="24"/>
        </w:rPr>
        <w:t>.</w:t>
      </w:r>
      <w:r w:rsidR="00E409E7" w:rsidRPr="00EB3877">
        <w:rPr>
          <w:rFonts w:eastAsia="Calibri"/>
          <w:sz w:val="24"/>
        </w:rPr>
        <w:t xml:space="preserve"> </w:t>
      </w:r>
    </w:p>
    <w:p w14:paraId="5A662A39" w14:textId="7F4A23BC" w:rsidR="00B1229D" w:rsidRPr="00EB3877" w:rsidRDefault="00385C81" w:rsidP="00F3194F">
      <w:pPr>
        <w:spacing w:after="0" w:line="240" w:lineRule="auto"/>
        <w:ind w:left="1080" w:firstLine="0"/>
        <w:jc w:val="both"/>
        <w:rPr>
          <w:rFonts w:eastAsia="Calibri"/>
          <w:sz w:val="24"/>
        </w:rPr>
      </w:pPr>
      <w:r w:rsidRPr="00EB3877">
        <w:rPr>
          <w:rFonts w:eastAsia="Calibri"/>
          <w:sz w:val="24"/>
        </w:rPr>
        <w:t xml:space="preserve"> </w:t>
      </w:r>
    </w:p>
    <w:p w14:paraId="114C5B88" w14:textId="77777777" w:rsidR="0056069F" w:rsidRDefault="002758B9" w:rsidP="00F3194F">
      <w:pPr>
        <w:numPr>
          <w:ilvl w:val="0"/>
          <w:numId w:val="1"/>
        </w:numPr>
        <w:spacing w:after="0" w:line="240" w:lineRule="auto"/>
        <w:rPr>
          <w:sz w:val="24"/>
        </w:rPr>
      </w:pPr>
      <w:r w:rsidRPr="00EB3877">
        <w:rPr>
          <w:sz w:val="24"/>
        </w:rPr>
        <w:t>Please explain why SDG&amp;E has proposed to charge the same subscription charge for a customer using 26 kW and one using 49 kW.</w:t>
      </w:r>
    </w:p>
    <w:p w14:paraId="548D2F64" w14:textId="77777777" w:rsidR="004812A3" w:rsidRDefault="004812A3" w:rsidP="00F3194F">
      <w:pPr>
        <w:spacing w:after="0" w:line="240" w:lineRule="auto"/>
        <w:ind w:left="360" w:firstLine="0"/>
        <w:rPr>
          <w:rFonts w:eastAsia="Calibri"/>
          <w:b/>
          <w:sz w:val="24"/>
        </w:rPr>
      </w:pPr>
    </w:p>
    <w:p w14:paraId="7FE9F738" w14:textId="58551ED8" w:rsidR="00BD50E2" w:rsidRDefault="00B1229D" w:rsidP="00F3194F">
      <w:pPr>
        <w:spacing w:after="0" w:line="240" w:lineRule="auto"/>
        <w:ind w:left="360" w:firstLine="0"/>
        <w:rPr>
          <w:rFonts w:eastAsia="Calibri"/>
          <w:sz w:val="24"/>
        </w:rPr>
      </w:pPr>
      <w:r w:rsidRPr="0056069F">
        <w:rPr>
          <w:rFonts w:eastAsia="Calibri"/>
          <w:b/>
          <w:sz w:val="24"/>
        </w:rPr>
        <w:t>SDG&amp;E Response:</w:t>
      </w:r>
      <w:r w:rsidR="00E409E7" w:rsidRPr="0056069F">
        <w:rPr>
          <w:rFonts w:eastAsia="Calibri"/>
          <w:b/>
          <w:sz w:val="24"/>
        </w:rPr>
        <w:t xml:space="preserve"> </w:t>
      </w:r>
      <w:r w:rsidR="00E409E7" w:rsidRPr="0056069F">
        <w:rPr>
          <w:rFonts w:eastAsia="Calibri"/>
          <w:sz w:val="24"/>
        </w:rPr>
        <w:t xml:space="preserve">Delineating the EV-HP subscription charge in 25 kW increments is intended to </w:t>
      </w:r>
      <w:r w:rsidR="00301A9C" w:rsidRPr="0056069F">
        <w:rPr>
          <w:rFonts w:eastAsia="Calibri"/>
          <w:sz w:val="24"/>
        </w:rPr>
        <w:t>reduce bill instability and simplify the customer experience.</w:t>
      </w:r>
      <w:r w:rsidR="000D686B">
        <w:rPr>
          <w:rFonts w:eastAsia="Calibri"/>
          <w:sz w:val="24"/>
        </w:rPr>
        <w:t xml:space="preserve"> In the example presented in Q 16, both customers</w:t>
      </w:r>
      <w:r w:rsidR="002A7CF3">
        <w:rPr>
          <w:rFonts w:eastAsia="Calibri"/>
          <w:sz w:val="24"/>
        </w:rPr>
        <w:t>’ subscription charge</w:t>
      </w:r>
      <w:r w:rsidR="00775952">
        <w:rPr>
          <w:rFonts w:eastAsia="Calibri"/>
          <w:sz w:val="24"/>
        </w:rPr>
        <w:t>s</w:t>
      </w:r>
      <w:r w:rsidR="002A7CF3">
        <w:rPr>
          <w:rFonts w:eastAsia="Calibri"/>
          <w:sz w:val="24"/>
        </w:rPr>
        <w:t xml:space="preserve"> </w:t>
      </w:r>
      <w:r w:rsidR="00775952">
        <w:rPr>
          <w:rFonts w:eastAsia="Calibri"/>
          <w:sz w:val="24"/>
        </w:rPr>
        <w:t>are</w:t>
      </w:r>
      <w:r w:rsidR="004B635A">
        <w:rPr>
          <w:rFonts w:eastAsia="Calibri"/>
          <w:sz w:val="24"/>
        </w:rPr>
        <w:t xml:space="preserve"> </w:t>
      </w:r>
      <w:r w:rsidR="0090285A">
        <w:rPr>
          <w:rFonts w:eastAsia="Calibri"/>
          <w:sz w:val="24"/>
        </w:rPr>
        <w:t xml:space="preserve">based on the middle of the </w:t>
      </w:r>
      <w:r w:rsidR="00AC6C04">
        <w:rPr>
          <w:rFonts w:eastAsia="Calibri"/>
          <w:sz w:val="24"/>
        </w:rPr>
        <w:t xml:space="preserve">second </w:t>
      </w:r>
      <w:r w:rsidR="0090285A">
        <w:rPr>
          <w:rFonts w:eastAsia="Calibri"/>
          <w:sz w:val="24"/>
        </w:rPr>
        <w:t xml:space="preserve">25 kW tranche or </w:t>
      </w:r>
      <w:r w:rsidR="00E5530B">
        <w:rPr>
          <w:rFonts w:eastAsia="Calibri"/>
          <w:sz w:val="24"/>
        </w:rPr>
        <w:t xml:space="preserve">37.5 kW.  </w:t>
      </w:r>
    </w:p>
    <w:p w14:paraId="78052B69" w14:textId="4C6CAB07" w:rsidR="00B1229D" w:rsidRPr="0056069F" w:rsidRDefault="00301A9C" w:rsidP="00F3194F">
      <w:pPr>
        <w:spacing w:after="0" w:line="240" w:lineRule="auto"/>
        <w:ind w:left="360" w:firstLine="0"/>
        <w:rPr>
          <w:sz w:val="24"/>
        </w:rPr>
      </w:pPr>
      <w:r w:rsidRPr="0056069F">
        <w:rPr>
          <w:rFonts w:eastAsia="Calibri"/>
          <w:sz w:val="24"/>
        </w:rPr>
        <w:t xml:space="preserve"> </w:t>
      </w:r>
    </w:p>
    <w:p w14:paraId="43F914BD" w14:textId="13E33A1B" w:rsidR="002758B9" w:rsidRPr="00EB3877" w:rsidRDefault="002758B9" w:rsidP="00F3194F">
      <w:pPr>
        <w:numPr>
          <w:ilvl w:val="1"/>
          <w:numId w:val="1"/>
        </w:numPr>
        <w:spacing w:after="0" w:line="240" w:lineRule="auto"/>
        <w:rPr>
          <w:sz w:val="24"/>
        </w:rPr>
      </w:pPr>
      <w:r w:rsidRPr="00EB3877">
        <w:rPr>
          <w:sz w:val="24"/>
        </w:rPr>
        <w:t>Please explain why SDG&amp;E believes this rate design is equitable.</w:t>
      </w:r>
    </w:p>
    <w:p w14:paraId="46A8FAF9" w14:textId="77777777" w:rsidR="004812A3" w:rsidRDefault="004812A3" w:rsidP="00F3194F">
      <w:pPr>
        <w:spacing w:after="0" w:line="240" w:lineRule="auto"/>
        <w:ind w:left="1080" w:firstLine="0"/>
        <w:jc w:val="both"/>
        <w:rPr>
          <w:rFonts w:eastAsia="Calibri"/>
          <w:b/>
          <w:sz w:val="24"/>
        </w:rPr>
      </w:pPr>
    </w:p>
    <w:p w14:paraId="0F38D602" w14:textId="475FF0E2" w:rsidR="00B1229D" w:rsidRDefault="00B1229D" w:rsidP="00F3194F">
      <w:pPr>
        <w:spacing w:after="0" w:line="240" w:lineRule="auto"/>
        <w:ind w:left="1080" w:firstLine="0"/>
        <w:jc w:val="both"/>
        <w:rPr>
          <w:rFonts w:eastAsia="Calibri"/>
          <w:b/>
          <w:sz w:val="24"/>
        </w:rPr>
      </w:pPr>
      <w:r w:rsidRPr="00B71081">
        <w:rPr>
          <w:rFonts w:eastAsia="Calibri"/>
          <w:b/>
          <w:sz w:val="24"/>
        </w:rPr>
        <w:t>SDG&amp;E Response:</w:t>
      </w:r>
      <w:r w:rsidR="00B71081">
        <w:rPr>
          <w:rFonts w:eastAsia="Calibri"/>
          <w:b/>
          <w:sz w:val="24"/>
        </w:rPr>
        <w:t xml:space="preserve"> </w:t>
      </w:r>
      <w:r w:rsidR="00B71081">
        <w:rPr>
          <w:rFonts w:eastAsia="Calibri"/>
          <w:sz w:val="24"/>
        </w:rPr>
        <w:t xml:space="preserve">As explained above in response to Question 16, </w:t>
      </w:r>
      <w:r w:rsidR="000F5688">
        <w:rPr>
          <w:rFonts w:eastAsia="Calibri"/>
          <w:sz w:val="24"/>
        </w:rPr>
        <w:t xml:space="preserve">the </w:t>
      </w:r>
      <w:r w:rsidR="00B90529">
        <w:rPr>
          <w:rFonts w:eastAsia="Calibri"/>
          <w:sz w:val="24"/>
        </w:rPr>
        <w:t xml:space="preserve">reason for using </w:t>
      </w:r>
      <w:r w:rsidR="000F5688">
        <w:rPr>
          <w:rFonts w:eastAsia="Calibri"/>
          <w:sz w:val="24"/>
        </w:rPr>
        <w:t xml:space="preserve">25 kW demand ranges in the </w:t>
      </w:r>
      <w:r w:rsidR="00B27DC1">
        <w:rPr>
          <w:rFonts w:eastAsia="Calibri"/>
          <w:sz w:val="24"/>
        </w:rPr>
        <w:t>proposed EV-HP subscription charge</w:t>
      </w:r>
      <w:r w:rsidR="00B90529">
        <w:rPr>
          <w:rFonts w:eastAsia="Calibri"/>
          <w:sz w:val="24"/>
        </w:rPr>
        <w:t xml:space="preserve"> is to simplify the customer experience.  </w:t>
      </w:r>
      <w:r w:rsidR="00CD1C9E">
        <w:rPr>
          <w:rFonts w:eastAsia="Calibri"/>
          <w:sz w:val="24"/>
        </w:rPr>
        <w:t>Thi</w:t>
      </w:r>
      <w:r w:rsidR="00FD44C1">
        <w:rPr>
          <w:rFonts w:eastAsia="Calibri"/>
          <w:sz w:val="24"/>
        </w:rPr>
        <w:t xml:space="preserve">s rate design is equitable to the EV-HP class because </w:t>
      </w:r>
      <w:r w:rsidR="00C63E7B">
        <w:rPr>
          <w:rFonts w:eastAsia="Calibri"/>
          <w:sz w:val="24"/>
        </w:rPr>
        <w:t xml:space="preserve">the subscription charge is </w:t>
      </w:r>
      <w:r w:rsidR="00FD44C1">
        <w:rPr>
          <w:rFonts w:eastAsia="Calibri"/>
          <w:sz w:val="24"/>
        </w:rPr>
        <w:t xml:space="preserve">designed to recover </w:t>
      </w:r>
      <w:r w:rsidR="00C63E7B">
        <w:rPr>
          <w:rFonts w:eastAsia="Calibri"/>
          <w:sz w:val="24"/>
        </w:rPr>
        <w:t xml:space="preserve">the </w:t>
      </w:r>
      <w:r w:rsidR="000225C4">
        <w:rPr>
          <w:rFonts w:eastAsia="Calibri"/>
          <w:sz w:val="24"/>
        </w:rPr>
        <w:t xml:space="preserve">non-coincident demand </w:t>
      </w:r>
      <w:r w:rsidR="00C63E7B">
        <w:rPr>
          <w:rFonts w:eastAsia="Calibri"/>
          <w:sz w:val="24"/>
        </w:rPr>
        <w:t>costs allocated to Schedule AL-TOU.</w:t>
      </w:r>
      <w:r w:rsidR="002B5015">
        <w:rPr>
          <w:rFonts w:eastAsia="Calibri"/>
          <w:sz w:val="24"/>
        </w:rPr>
        <w:t xml:space="preserve"> </w:t>
      </w:r>
      <w:r w:rsidR="00B27DC1">
        <w:rPr>
          <w:rFonts w:eastAsia="Calibri"/>
          <w:sz w:val="24"/>
        </w:rPr>
        <w:t xml:space="preserve"> </w:t>
      </w:r>
      <w:r w:rsidR="00065FA9" w:rsidRPr="00EB3877">
        <w:rPr>
          <w:rFonts w:eastAsia="Calibri"/>
          <w:b/>
          <w:sz w:val="24"/>
        </w:rPr>
        <w:t xml:space="preserve"> </w:t>
      </w:r>
    </w:p>
    <w:p w14:paraId="0EADF390" w14:textId="77777777" w:rsidR="00BD50E2" w:rsidRPr="00EB3877" w:rsidRDefault="00BD50E2" w:rsidP="00F3194F">
      <w:pPr>
        <w:spacing w:after="0" w:line="240" w:lineRule="auto"/>
        <w:ind w:left="540" w:firstLine="540"/>
        <w:jc w:val="both"/>
        <w:rPr>
          <w:rFonts w:eastAsia="Calibri"/>
          <w:b/>
          <w:sz w:val="24"/>
        </w:rPr>
      </w:pPr>
    </w:p>
    <w:p w14:paraId="273D4122" w14:textId="4872A890" w:rsidR="002758B9" w:rsidRPr="00EB3877" w:rsidRDefault="002758B9" w:rsidP="00F3194F">
      <w:pPr>
        <w:numPr>
          <w:ilvl w:val="1"/>
          <w:numId w:val="1"/>
        </w:numPr>
        <w:spacing w:after="0" w:line="240" w:lineRule="auto"/>
        <w:rPr>
          <w:sz w:val="24"/>
        </w:rPr>
      </w:pPr>
      <w:r w:rsidRPr="00EB3877">
        <w:rPr>
          <w:sz w:val="24"/>
        </w:rPr>
        <w:t>Please explain why SDG&amp;E believes this rate design is efficient.</w:t>
      </w:r>
    </w:p>
    <w:p w14:paraId="2F5BA654" w14:textId="77777777" w:rsidR="004812A3" w:rsidRDefault="004812A3" w:rsidP="00F3194F">
      <w:pPr>
        <w:spacing w:after="0" w:line="240" w:lineRule="auto"/>
        <w:ind w:left="540" w:firstLine="540"/>
        <w:jc w:val="both"/>
        <w:rPr>
          <w:rFonts w:eastAsia="Calibri"/>
          <w:b/>
          <w:sz w:val="24"/>
        </w:rPr>
      </w:pPr>
    </w:p>
    <w:p w14:paraId="71B97BFE" w14:textId="5BB0F95F" w:rsidR="00B1229D" w:rsidRPr="00C63E7B" w:rsidRDefault="00B1229D" w:rsidP="00F3194F">
      <w:pPr>
        <w:spacing w:after="0" w:line="240" w:lineRule="auto"/>
        <w:ind w:left="540" w:firstLine="540"/>
        <w:jc w:val="both"/>
        <w:rPr>
          <w:rFonts w:eastAsia="Calibri"/>
          <w:sz w:val="24"/>
          <w:highlight w:val="yellow"/>
        </w:rPr>
      </w:pPr>
      <w:r w:rsidRPr="00C63E7B">
        <w:rPr>
          <w:rFonts w:eastAsia="Calibri"/>
          <w:b/>
          <w:sz w:val="24"/>
        </w:rPr>
        <w:t>SDG&amp;E Response:</w:t>
      </w:r>
      <w:r w:rsidR="00C63E7B">
        <w:rPr>
          <w:rFonts w:eastAsia="Calibri"/>
          <w:b/>
          <w:sz w:val="24"/>
        </w:rPr>
        <w:t xml:space="preserve"> </w:t>
      </w:r>
      <w:r w:rsidR="00C63E7B">
        <w:rPr>
          <w:rFonts w:eastAsia="Calibri"/>
          <w:sz w:val="24"/>
        </w:rPr>
        <w:t>Please</w:t>
      </w:r>
      <w:r w:rsidR="0004752B">
        <w:rPr>
          <w:rFonts w:eastAsia="Calibri"/>
          <w:sz w:val="24"/>
        </w:rPr>
        <w:t xml:space="preserve"> see responses to Question 16 and 16a.</w:t>
      </w:r>
    </w:p>
    <w:p w14:paraId="572CAF45" w14:textId="77777777" w:rsidR="00C63E7B" w:rsidRPr="00EB3877" w:rsidRDefault="00C63E7B" w:rsidP="00F3194F">
      <w:pPr>
        <w:spacing w:after="0" w:line="240" w:lineRule="auto"/>
        <w:ind w:left="540" w:firstLine="540"/>
        <w:jc w:val="both"/>
        <w:rPr>
          <w:rFonts w:eastAsia="Calibri"/>
          <w:b/>
          <w:sz w:val="24"/>
        </w:rPr>
      </w:pPr>
    </w:p>
    <w:p w14:paraId="01D33F9D" w14:textId="0BC3C7B5" w:rsidR="00803597" w:rsidRPr="00EB3877" w:rsidRDefault="00803597" w:rsidP="00F3194F">
      <w:pPr>
        <w:numPr>
          <w:ilvl w:val="0"/>
          <w:numId w:val="1"/>
        </w:numPr>
        <w:spacing w:after="0" w:line="240" w:lineRule="auto"/>
        <w:rPr>
          <w:sz w:val="24"/>
        </w:rPr>
      </w:pPr>
      <w:r w:rsidRPr="00EB3877">
        <w:rPr>
          <w:sz w:val="24"/>
        </w:rPr>
        <w:t xml:space="preserve">Please explain whether SDG&amp;E intends to charge the subscription demand rate based on the customer’s maximum non-coincident peak load in any interval in the month, or only in designated peak periods. </w:t>
      </w:r>
    </w:p>
    <w:p w14:paraId="67C1512D" w14:textId="77777777" w:rsidR="004812A3" w:rsidRDefault="004812A3" w:rsidP="00F3194F">
      <w:pPr>
        <w:spacing w:after="0" w:line="240" w:lineRule="auto"/>
        <w:ind w:left="360" w:firstLine="0"/>
        <w:jc w:val="both"/>
        <w:rPr>
          <w:rFonts w:eastAsia="Calibri"/>
          <w:b/>
          <w:sz w:val="24"/>
        </w:rPr>
      </w:pPr>
    </w:p>
    <w:p w14:paraId="70D11E4D" w14:textId="6A089ECF" w:rsidR="00B1229D" w:rsidRDefault="00B1229D" w:rsidP="00F3194F">
      <w:pPr>
        <w:spacing w:after="0" w:line="240" w:lineRule="auto"/>
        <w:ind w:left="360" w:firstLine="0"/>
        <w:jc w:val="both"/>
        <w:rPr>
          <w:rFonts w:eastAsia="Calibri"/>
          <w:sz w:val="24"/>
        </w:rPr>
      </w:pPr>
      <w:r w:rsidRPr="00EB3877">
        <w:rPr>
          <w:rFonts w:eastAsia="Calibri"/>
          <w:b/>
          <w:sz w:val="24"/>
        </w:rPr>
        <w:t>SDG&amp;E Response:</w:t>
      </w:r>
      <w:r w:rsidR="00C24F7D" w:rsidRPr="00EB3877">
        <w:rPr>
          <w:rFonts w:eastAsia="Calibri"/>
          <w:b/>
          <w:sz w:val="24"/>
        </w:rPr>
        <w:t xml:space="preserve"> </w:t>
      </w:r>
      <w:r w:rsidR="00C24F7D" w:rsidRPr="00EB3877">
        <w:rPr>
          <w:rFonts w:eastAsia="Calibri"/>
          <w:sz w:val="24"/>
        </w:rPr>
        <w:t xml:space="preserve">The subscription charge is selected by the customer based on their anticipated maximum non-coincident </w:t>
      </w:r>
      <w:r w:rsidR="00412F8C" w:rsidRPr="00EB3877">
        <w:rPr>
          <w:rFonts w:eastAsia="Calibri"/>
          <w:sz w:val="24"/>
        </w:rPr>
        <w:t>demand in any TOU period.</w:t>
      </w:r>
      <w:r w:rsidR="00B45A1D">
        <w:rPr>
          <w:rFonts w:eastAsia="Calibri"/>
          <w:sz w:val="24"/>
        </w:rPr>
        <w:t xml:space="preserve">  </w:t>
      </w:r>
    </w:p>
    <w:p w14:paraId="40A47081" w14:textId="77777777" w:rsidR="00DE580F" w:rsidRPr="00EB3877" w:rsidRDefault="00DE580F" w:rsidP="00F3194F">
      <w:pPr>
        <w:spacing w:after="0" w:line="240" w:lineRule="auto"/>
        <w:ind w:left="360" w:firstLine="0"/>
        <w:jc w:val="both"/>
        <w:rPr>
          <w:rFonts w:eastAsia="Calibri"/>
          <w:sz w:val="24"/>
        </w:rPr>
      </w:pPr>
    </w:p>
    <w:p w14:paraId="203C1126" w14:textId="33FA987A" w:rsidR="00803597" w:rsidRPr="00EB3877" w:rsidRDefault="00803597" w:rsidP="00F3194F">
      <w:pPr>
        <w:numPr>
          <w:ilvl w:val="1"/>
          <w:numId w:val="1"/>
        </w:numPr>
        <w:spacing w:after="0" w:line="240" w:lineRule="auto"/>
        <w:rPr>
          <w:sz w:val="24"/>
        </w:rPr>
      </w:pPr>
      <w:r w:rsidRPr="00EB3877">
        <w:rPr>
          <w:sz w:val="24"/>
        </w:rPr>
        <w:t>Please explain why SDG&amp;E is proposing this billing rule.</w:t>
      </w:r>
    </w:p>
    <w:p w14:paraId="79912602" w14:textId="77777777" w:rsidR="004812A3" w:rsidRDefault="004812A3" w:rsidP="00F3194F">
      <w:pPr>
        <w:spacing w:after="0" w:line="240" w:lineRule="auto"/>
        <w:ind w:left="1080" w:firstLine="0"/>
        <w:jc w:val="both"/>
        <w:rPr>
          <w:rFonts w:eastAsia="Calibri"/>
          <w:b/>
          <w:sz w:val="24"/>
        </w:rPr>
      </w:pPr>
    </w:p>
    <w:p w14:paraId="2FB85750" w14:textId="7E540D5A" w:rsidR="00B1229D" w:rsidRDefault="00B1229D" w:rsidP="00F3194F">
      <w:pPr>
        <w:spacing w:after="0" w:line="240" w:lineRule="auto"/>
        <w:ind w:left="1080" w:firstLine="0"/>
        <w:jc w:val="both"/>
        <w:rPr>
          <w:rFonts w:eastAsia="Calibri"/>
          <w:sz w:val="24"/>
        </w:rPr>
      </w:pPr>
      <w:r w:rsidRPr="00EB3877">
        <w:rPr>
          <w:rFonts w:eastAsia="Calibri"/>
          <w:b/>
          <w:sz w:val="24"/>
        </w:rPr>
        <w:t>SDG&amp;E Response:</w:t>
      </w:r>
      <w:r w:rsidR="00412F8C" w:rsidRPr="00EB3877">
        <w:rPr>
          <w:rFonts w:eastAsia="Calibri"/>
          <w:b/>
          <w:sz w:val="24"/>
        </w:rPr>
        <w:t xml:space="preserve"> </w:t>
      </w:r>
      <w:r w:rsidR="00412F8C" w:rsidRPr="00EB3877">
        <w:rPr>
          <w:rFonts w:eastAsia="Calibri"/>
          <w:sz w:val="24"/>
        </w:rPr>
        <w:t>The subscription charge recovers non-coincident distribution demand costs incurred regardless of when a customer consumes energy.</w:t>
      </w:r>
    </w:p>
    <w:p w14:paraId="02CBE3B6" w14:textId="77777777" w:rsidR="00897AA4" w:rsidRPr="00EB3877" w:rsidRDefault="00897AA4" w:rsidP="00F3194F">
      <w:pPr>
        <w:spacing w:after="0" w:line="240" w:lineRule="auto"/>
        <w:ind w:left="1080" w:firstLine="0"/>
        <w:jc w:val="both"/>
        <w:rPr>
          <w:rFonts w:eastAsia="Calibri"/>
          <w:sz w:val="24"/>
        </w:rPr>
      </w:pPr>
    </w:p>
    <w:p w14:paraId="14AB1F8C" w14:textId="5EED9A84" w:rsidR="00803597" w:rsidRPr="00EB3877" w:rsidRDefault="00803597" w:rsidP="00F3194F">
      <w:pPr>
        <w:numPr>
          <w:ilvl w:val="0"/>
          <w:numId w:val="1"/>
        </w:numPr>
        <w:spacing w:after="0" w:line="240" w:lineRule="auto"/>
        <w:rPr>
          <w:sz w:val="24"/>
        </w:rPr>
      </w:pPr>
      <w:r w:rsidRPr="00EB3877">
        <w:rPr>
          <w:sz w:val="24"/>
        </w:rPr>
        <w:t xml:space="preserve">Please explain why SDG&amp;E believes that a subscription demand charge that the customer pays every month regardless of usage level is preferable to a normal demand charge (assessed each month as a function of customer non-coincident peak load) to recover the costs reflected in the subscription demand charge.  </w:t>
      </w:r>
    </w:p>
    <w:p w14:paraId="5FEFDB95" w14:textId="77777777" w:rsidR="004812A3" w:rsidRDefault="004812A3" w:rsidP="00F3194F">
      <w:pPr>
        <w:spacing w:after="0" w:line="240" w:lineRule="auto"/>
        <w:ind w:firstLine="360"/>
        <w:jc w:val="both"/>
        <w:rPr>
          <w:rFonts w:eastAsia="Calibri"/>
          <w:b/>
          <w:sz w:val="24"/>
        </w:rPr>
      </w:pPr>
    </w:p>
    <w:p w14:paraId="5C4DA061" w14:textId="506C25B8" w:rsidR="00B1229D" w:rsidRDefault="00B1229D" w:rsidP="004812A3">
      <w:pPr>
        <w:spacing w:after="0" w:line="240" w:lineRule="auto"/>
        <w:ind w:left="360" w:firstLine="0"/>
        <w:jc w:val="both"/>
        <w:rPr>
          <w:rFonts w:eastAsia="Calibri"/>
          <w:sz w:val="24"/>
        </w:rPr>
      </w:pPr>
      <w:r w:rsidRPr="00EB3877">
        <w:rPr>
          <w:rFonts w:eastAsia="Calibri"/>
          <w:b/>
          <w:sz w:val="24"/>
        </w:rPr>
        <w:t>SDG&amp;E Response:</w:t>
      </w:r>
      <w:r w:rsidR="004F29AB" w:rsidRPr="00EB3877">
        <w:rPr>
          <w:rFonts w:eastAsia="Calibri"/>
          <w:b/>
          <w:sz w:val="24"/>
        </w:rPr>
        <w:t xml:space="preserve"> </w:t>
      </w:r>
      <w:r w:rsidR="004F29AB" w:rsidRPr="00EB3877">
        <w:rPr>
          <w:rFonts w:eastAsia="Calibri"/>
          <w:sz w:val="24"/>
        </w:rPr>
        <w:t>The subscription charge is intended to provide greater bill stability and a simpler customer experience than existing demand charges</w:t>
      </w:r>
      <w:r w:rsidR="00FE2404" w:rsidRPr="00EB3877">
        <w:rPr>
          <w:rFonts w:eastAsia="Calibri"/>
          <w:sz w:val="24"/>
        </w:rPr>
        <w:t>.</w:t>
      </w:r>
    </w:p>
    <w:p w14:paraId="33DE5C45" w14:textId="77777777" w:rsidR="009A06A3" w:rsidRPr="00EB3877" w:rsidRDefault="009A06A3" w:rsidP="00F3194F">
      <w:pPr>
        <w:spacing w:after="0" w:line="240" w:lineRule="auto"/>
        <w:ind w:firstLine="360"/>
        <w:jc w:val="both"/>
        <w:rPr>
          <w:rFonts w:eastAsia="Calibri"/>
          <w:sz w:val="24"/>
        </w:rPr>
      </w:pPr>
    </w:p>
    <w:p w14:paraId="4D5F40D7" w14:textId="003AB1DF" w:rsidR="00F434B0" w:rsidRPr="00EB3877" w:rsidRDefault="00803597" w:rsidP="00F3194F">
      <w:pPr>
        <w:numPr>
          <w:ilvl w:val="0"/>
          <w:numId w:val="1"/>
        </w:numPr>
        <w:spacing w:after="0" w:line="240" w:lineRule="auto"/>
        <w:rPr>
          <w:sz w:val="24"/>
        </w:rPr>
      </w:pPr>
      <w:r w:rsidRPr="00EB3877">
        <w:rPr>
          <w:sz w:val="24"/>
        </w:rPr>
        <w:t>Please explain why SDG&amp;E believes that a subscription demand charge that the customer pays every month regardless of usage level is preferable to TOU or CPP energy charges to recover the costs reflected in the subscription demand charge.</w:t>
      </w:r>
    </w:p>
    <w:p w14:paraId="00B13957" w14:textId="77777777" w:rsidR="004812A3" w:rsidRDefault="004812A3" w:rsidP="00F3194F">
      <w:pPr>
        <w:spacing w:after="0" w:line="240" w:lineRule="auto"/>
        <w:ind w:firstLine="360"/>
        <w:jc w:val="both"/>
        <w:rPr>
          <w:rFonts w:eastAsia="Calibri"/>
          <w:b/>
          <w:sz w:val="24"/>
        </w:rPr>
      </w:pPr>
    </w:p>
    <w:p w14:paraId="66C673CD" w14:textId="0270D64F" w:rsidR="00B1229D" w:rsidRPr="00EB3877" w:rsidRDefault="00B1229D" w:rsidP="004812A3">
      <w:pPr>
        <w:spacing w:after="0" w:line="240" w:lineRule="auto"/>
        <w:ind w:left="360" w:firstLine="0"/>
        <w:jc w:val="both"/>
        <w:rPr>
          <w:rFonts w:eastAsia="Calibri"/>
          <w:sz w:val="24"/>
        </w:rPr>
      </w:pPr>
      <w:r w:rsidRPr="00EB3877">
        <w:rPr>
          <w:rFonts w:eastAsia="Calibri"/>
          <w:b/>
          <w:sz w:val="24"/>
        </w:rPr>
        <w:t>SDG&amp;E Response:</w:t>
      </w:r>
      <w:r w:rsidR="005977A2" w:rsidRPr="00EB3877">
        <w:rPr>
          <w:rFonts w:eastAsia="Calibri"/>
          <w:b/>
          <w:sz w:val="24"/>
        </w:rPr>
        <w:t xml:space="preserve"> </w:t>
      </w:r>
      <w:r w:rsidR="005977A2" w:rsidRPr="00EB3877">
        <w:rPr>
          <w:rFonts w:eastAsia="Calibri"/>
          <w:sz w:val="24"/>
        </w:rPr>
        <w:t>Distribution demand costs are incurred based on a customer’s power demand and not their energy consumption, and</w:t>
      </w:r>
      <w:r w:rsidR="00207ECB" w:rsidRPr="00EB3877">
        <w:rPr>
          <w:rFonts w:eastAsia="Calibri"/>
          <w:sz w:val="24"/>
        </w:rPr>
        <w:t xml:space="preserve"> to align with the principles of cost causation should be recovered via demand, fixed, or subscription charges.</w:t>
      </w:r>
      <w:r w:rsidR="0059320F" w:rsidRPr="00EB3877">
        <w:rPr>
          <w:rFonts w:eastAsia="Calibri"/>
          <w:sz w:val="24"/>
        </w:rPr>
        <w:t xml:space="preserve"> Including non-coincident distribution demand costs in </w:t>
      </w:r>
      <w:r w:rsidR="000A61FC">
        <w:rPr>
          <w:rFonts w:eastAsia="Calibri"/>
          <w:sz w:val="24"/>
        </w:rPr>
        <w:t xml:space="preserve">CPP </w:t>
      </w:r>
      <w:r w:rsidR="00BD374A">
        <w:rPr>
          <w:rFonts w:eastAsia="Calibri"/>
          <w:sz w:val="24"/>
        </w:rPr>
        <w:t xml:space="preserve">or TOU </w:t>
      </w:r>
      <w:r w:rsidR="00FC35D5">
        <w:rPr>
          <w:rFonts w:eastAsia="Calibri"/>
          <w:sz w:val="24"/>
        </w:rPr>
        <w:t xml:space="preserve">energy </w:t>
      </w:r>
      <w:r w:rsidR="000A61FC">
        <w:rPr>
          <w:rFonts w:eastAsia="Calibri"/>
          <w:sz w:val="24"/>
        </w:rPr>
        <w:t>charge</w:t>
      </w:r>
      <w:r w:rsidR="00FC35D5">
        <w:rPr>
          <w:rFonts w:eastAsia="Calibri"/>
          <w:sz w:val="24"/>
        </w:rPr>
        <w:t>s</w:t>
      </w:r>
      <w:r w:rsidR="000A61FC">
        <w:rPr>
          <w:rFonts w:eastAsia="Calibri"/>
          <w:sz w:val="24"/>
        </w:rPr>
        <w:t xml:space="preserve"> would not align with the principles of cost causation</w:t>
      </w:r>
      <w:r w:rsidR="00FC35D5">
        <w:rPr>
          <w:rFonts w:eastAsia="Calibri"/>
          <w:sz w:val="24"/>
        </w:rPr>
        <w:t>.</w:t>
      </w:r>
      <w:r w:rsidR="0059320F" w:rsidRPr="00EB3877">
        <w:rPr>
          <w:rFonts w:eastAsia="Calibri"/>
          <w:sz w:val="24"/>
        </w:rPr>
        <w:t xml:space="preserve"> </w:t>
      </w:r>
    </w:p>
    <w:p w14:paraId="37A4A3F6" w14:textId="77777777" w:rsidR="00E17739" w:rsidRPr="00EB3877" w:rsidRDefault="00E17739" w:rsidP="00F3194F">
      <w:pPr>
        <w:spacing w:after="0" w:line="240" w:lineRule="auto"/>
        <w:ind w:firstLine="360"/>
        <w:jc w:val="both"/>
        <w:rPr>
          <w:rFonts w:eastAsia="Calibri"/>
          <w:sz w:val="24"/>
        </w:rPr>
      </w:pPr>
    </w:p>
    <w:p w14:paraId="5A75B77D" w14:textId="63894D24" w:rsidR="00F434B0" w:rsidRPr="00EB3877" w:rsidRDefault="00F434B0" w:rsidP="00F3194F">
      <w:pPr>
        <w:numPr>
          <w:ilvl w:val="0"/>
          <w:numId w:val="1"/>
        </w:numPr>
        <w:spacing w:after="0" w:line="240" w:lineRule="auto"/>
        <w:rPr>
          <w:sz w:val="24"/>
        </w:rPr>
      </w:pPr>
      <w:r w:rsidRPr="00EB3877">
        <w:rPr>
          <w:sz w:val="24"/>
        </w:rPr>
        <w:t xml:space="preserve">Please provide a comparison of bills under the proposed EV-HP rate to bills for the same load under the TOU-M rate, in a manner similar to the Chapter 3 workpapers. </w:t>
      </w:r>
    </w:p>
    <w:p w14:paraId="3122253D" w14:textId="77777777" w:rsidR="004812A3" w:rsidRDefault="004812A3" w:rsidP="00F3194F">
      <w:pPr>
        <w:spacing w:after="0" w:line="240" w:lineRule="auto"/>
        <w:ind w:firstLine="360"/>
        <w:jc w:val="both"/>
        <w:rPr>
          <w:rFonts w:eastAsia="Calibri"/>
          <w:b/>
          <w:sz w:val="24"/>
        </w:rPr>
      </w:pPr>
    </w:p>
    <w:p w14:paraId="25615956" w14:textId="29F18258" w:rsidR="00B1229D" w:rsidRDefault="00B1229D" w:rsidP="00F3194F">
      <w:pPr>
        <w:spacing w:after="0" w:line="240" w:lineRule="auto"/>
        <w:ind w:firstLine="360"/>
        <w:jc w:val="both"/>
        <w:rPr>
          <w:rFonts w:eastAsia="Calibri"/>
          <w:sz w:val="24"/>
        </w:rPr>
      </w:pPr>
      <w:r w:rsidRPr="00EB3877">
        <w:rPr>
          <w:rFonts w:eastAsia="Calibri"/>
          <w:b/>
          <w:sz w:val="24"/>
        </w:rPr>
        <w:t>SDG&amp;E Response:</w:t>
      </w:r>
      <w:r w:rsidR="004A07C3">
        <w:rPr>
          <w:rFonts w:eastAsia="Calibri"/>
          <w:b/>
          <w:sz w:val="24"/>
        </w:rPr>
        <w:t xml:space="preserve"> </w:t>
      </w:r>
      <w:r w:rsidR="004A07C3" w:rsidRPr="00EE58F0">
        <w:rPr>
          <w:rFonts w:eastAsia="Calibri"/>
          <w:sz w:val="24"/>
        </w:rPr>
        <w:t>See attached workpaper</w:t>
      </w:r>
      <w:r w:rsidR="008205DE" w:rsidRPr="00EE58F0">
        <w:rPr>
          <w:rFonts w:eastAsia="Calibri"/>
          <w:sz w:val="24"/>
        </w:rPr>
        <w:t xml:space="preserve"> SBUA-SDG&amp;E-DR-03-02</w:t>
      </w:r>
      <w:r w:rsidR="004A07C3" w:rsidRPr="00EE58F0">
        <w:rPr>
          <w:rFonts w:eastAsia="Calibri"/>
          <w:sz w:val="24"/>
        </w:rPr>
        <w:t>.</w:t>
      </w:r>
    </w:p>
    <w:p w14:paraId="2C6F189B" w14:textId="77777777" w:rsidR="00EB745C" w:rsidRPr="004A07C3" w:rsidRDefault="00EB745C" w:rsidP="00F3194F">
      <w:pPr>
        <w:spacing w:after="0" w:line="240" w:lineRule="auto"/>
        <w:ind w:firstLine="360"/>
        <w:jc w:val="both"/>
        <w:rPr>
          <w:rFonts w:eastAsia="Calibri"/>
          <w:sz w:val="24"/>
        </w:rPr>
      </w:pPr>
    </w:p>
    <w:p w14:paraId="061F8FAB" w14:textId="77777777" w:rsidR="007F1E68" w:rsidRPr="00EB3877" w:rsidRDefault="007F1E68" w:rsidP="00F3194F">
      <w:pPr>
        <w:numPr>
          <w:ilvl w:val="0"/>
          <w:numId w:val="1"/>
        </w:numPr>
        <w:spacing w:after="0" w:line="240" w:lineRule="auto"/>
        <w:rPr>
          <w:sz w:val="24"/>
        </w:rPr>
      </w:pPr>
      <w:r w:rsidRPr="00EB3877">
        <w:rPr>
          <w:sz w:val="24"/>
        </w:rPr>
        <w:t xml:space="preserve">Regarding the response to Cal PA-SDG&amp;E-DR-03 Question 6, which states that “SDG&amp;E tracks costs regarding upgrades relating to EV infrastructure installations for the reoccurring Joint Investor-Owned Utility (IOU) Load Research Reports.” </w:t>
      </w:r>
    </w:p>
    <w:p w14:paraId="2DBCF8E1" w14:textId="2C4FDDD6" w:rsidR="00F276EF" w:rsidRPr="00EB3877" w:rsidRDefault="007F1E68" w:rsidP="00F3194F">
      <w:pPr>
        <w:numPr>
          <w:ilvl w:val="1"/>
          <w:numId w:val="1"/>
        </w:numPr>
        <w:spacing w:after="0" w:line="240" w:lineRule="auto"/>
        <w:rPr>
          <w:sz w:val="24"/>
        </w:rPr>
      </w:pPr>
      <w:r w:rsidRPr="00EB3877">
        <w:rPr>
          <w:sz w:val="24"/>
        </w:rPr>
        <w:t xml:space="preserve">Please explain where in those reports SDG&amp;E </w:t>
      </w:r>
      <w:r w:rsidR="00540374" w:rsidRPr="00EB3877">
        <w:rPr>
          <w:sz w:val="24"/>
        </w:rPr>
        <w:t>(</w:t>
      </w:r>
      <w:r w:rsidRPr="00EB3877">
        <w:rPr>
          <w:sz w:val="24"/>
        </w:rPr>
        <w:t>or any of the utilities</w:t>
      </w:r>
      <w:r w:rsidR="00540374" w:rsidRPr="00EB3877">
        <w:rPr>
          <w:sz w:val="24"/>
        </w:rPr>
        <w:t>)</w:t>
      </w:r>
      <w:r w:rsidRPr="00EB3877">
        <w:rPr>
          <w:sz w:val="24"/>
        </w:rPr>
        <w:t xml:space="preserve"> reports upgrade costs, other than for residential EV installations.</w:t>
      </w:r>
      <w:r w:rsidR="00F276EF" w:rsidRPr="00EB3877">
        <w:rPr>
          <w:sz w:val="24"/>
        </w:rPr>
        <w:t xml:space="preserve">  </w:t>
      </w:r>
    </w:p>
    <w:p w14:paraId="2F23AD68" w14:textId="77777777" w:rsidR="004812A3" w:rsidRDefault="004812A3" w:rsidP="00F3194F">
      <w:pPr>
        <w:spacing w:after="0" w:line="240" w:lineRule="auto"/>
        <w:ind w:left="540" w:firstLine="540"/>
        <w:jc w:val="both"/>
        <w:rPr>
          <w:rFonts w:eastAsia="Calibri"/>
          <w:b/>
          <w:sz w:val="24"/>
        </w:rPr>
      </w:pPr>
    </w:p>
    <w:p w14:paraId="48FA8C63" w14:textId="3E0DB69E" w:rsidR="00B1229D" w:rsidRPr="00EB3877" w:rsidRDefault="00B1229D" w:rsidP="004812A3">
      <w:pPr>
        <w:spacing w:after="0" w:line="240" w:lineRule="auto"/>
        <w:ind w:left="1080" w:firstLine="0"/>
        <w:jc w:val="both"/>
        <w:rPr>
          <w:rFonts w:eastAsia="Calibri"/>
          <w:sz w:val="24"/>
        </w:rPr>
      </w:pPr>
      <w:r w:rsidRPr="00EB3877">
        <w:rPr>
          <w:rFonts w:eastAsia="Calibri"/>
          <w:b/>
          <w:sz w:val="24"/>
        </w:rPr>
        <w:t>SDG&amp;E Response:</w:t>
      </w:r>
      <w:r w:rsidR="00B67610" w:rsidRPr="00EB3877">
        <w:rPr>
          <w:rFonts w:eastAsia="Calibri"/>
          <w:b/>
          <w:sz w:val="24"/>
        </w:rPr>
        <w:t xml:space="preserve"> </w:t>
      </w:r>
      <w:r w:rsidR="00EE58F0">
        <w:rPr>
          <w:rFonts w:eastAsia="Calibri"/>
          <w:sz w:val="24"/>
        </w:rPr>
        <w:t>The Joint IOU Load Research Report</w:t>
      </w:r>
      <w:r w:rsidR="00B67610" w:rsidRPr="00EB3877">
        <w:rPr>
          <w:rFonts w:eastAsia="Calibri"/>
          <w:sz w:val="24"/>
        </w:rPr>
        <w:t xml:space="preserve"> </w:t>
      </w:r>
      <w:r w:rsidR="001C07DD">
        <w:rPr>
          <w:rFonts w:eastAsia="Calibri"/>
          <w:sz w:val="24"/>
        </w:rPr>
        <w:t>did</w:t>
      </w:r>
      <w:r w:rsidR="001C07DD" w:rsidRPr="00EB3877">
        <w:rPr>
          <w:rFonts w:eastAsia="Calibri"/>
          <w:sz w:val="24"/>
        </w:rPr>
        <w:t xml:space="preserve"> </w:t>
      </w:r>
      <w:r w:rsidR="00B67610" w:rsidRPr="00EB3877">
        <w:rPr>
          <w:rFonts w:eastAsia="Calibri"/>
          <w:sz w:val="24"/>
        </w:rPr>
        <w:t xml:space="preserve">not track distribution upgrade costs related to non-residential EV installations. </w:t>
      </w:r>
    </w:p>
    <w:p w14:paraId="0EFE3316" w14:textId="77777777" w:rsidR="00B1229D" w:rsidRPr="00EB3877" w:rsidRDefault="00B1229D" w:rsidP="00F3194F">
      <w:pPr>
        <w:spacing w:after="0" w:line="240" w:lineRule="auto"/>
        <w:ind w:left="1080" w:firstLine="0"/>
        <w:rPr>
          <w:sz w:val="24"/>
        </w:rPr>
      </w:pPr>
    </w:p>
    <w:sectPr w:rsidR="00B1229D" w:rsidRPr="00EB3877">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20741" w14:textId="77777777" w:rsidR="00CA5536" w:rsidRDefault="00CA5536">
      <w:pPr>
        <w:spacing w:after="0" w:line="240" w:lineRule="auto"/>
      </w:pPr>
      <w:r>
        <w:separator/>
      </w:r>
    </w:p>
  </w:endnote>
  <w:endnote w:type="continuationSeparator" w:id="0">
    <w:p w14:paraId="0B816460" w14:textId="77777777" w:rsidR="00CA5536" w:rsidRDefault="00CA5536">
      <w:pPr>
        <w:spacing w:after="0" w:line="240" w:lineRule="auto"/>
      </w:pPr>
      <w:r>
        <w:continuationSeparator/>
      </w:r>
    </w:p>
  </w:endnote>
  <w:endnote w:type="continuationNotice" w:id="1">
    <w:p w14:paraId="257866AB" w14:textId="77777777" w:rsidR="00CA5536" w:rsidRDefault="00CA5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189F" w14:textId="27DE3500" w:rsidR="00A52301" w:rsidRDefault="00A52301">
    <w:pPr>
      <w:pStyle w:val="Footer"/>
    </w:pPr>
    <w:r>
      <w:fldChar w:fldCharType="begin"/>
    </w:r>
    <w:r>
      <w:instrText xml:space="preserve">title </w:instrText>
    </w:r>
    <w:r>
      <w:fldChar w:fldCharType="end"/>
    </w:r>
    <w:r>
      <w:tab/>
    </w:r>
    <w:r>
      <w:fldChar w:fldCharType="begin"/>
    </w:r>
    <w:r>
      <w:instrText xml:space="preserve">filename </w:instrText>
    </w:r>
    <w:r>
      <w:fldChar w:fldCharType="separate"/>
    </w:r>
    <w:r>
      <w:t>Document4</w:t>
    </w:r>
    <w:r>
      <w:fldChar w:fldCharType="end"/>
    </w:r>
    <w:r>
      <w:br/>
      <w:t xml:space="preserve">by </w:t>
    </w:r>
    <w:r>
      <w:fldChar w:fldCharType="begin"/>
    </w:r>
    <w:r>
      <w:instrText xml:space="preserve">author </w:instrText>
    </w:r>
    <w:r>
      <w:fldChar w:fldCharType="separate"/>
    </w:r>
    <w:r>
      <w:t>Paul Chernick</w:t>
    </w:r>
    <w:r>
      <w:fldChar w:fldCharType="end"/>
    </w:r>
    <w:r>
      <w:t xml:space="preserve">, via </w:t>
    </w:r>
    <w:r>
      <w:fldChar w:fldCharType="begin"/>
    </w:r>
    <w:r>
      <w:instrText xml:space="preserve">userinitials </w:instrText>
    </w:r>
    <w:r>
      <w:fldChar w:fldCharType="separate"/>
    </w:r>
    <w:r>
      <w:t>PC</w:t>
    </w:r>
    <w:r>
      <w:fldChar w:fldCharType="end"/>
    </w:r>
    <w:r>
      <w:tab/>
    </w:r>
    <w:r>
      <w:fldChar w:fldCharType="begin"/>
    </w:r>
    <w:r>
      <w:instrText>TIME \@ "MM/dd/yy"</w:instrText>
    </w:r>
    <w:r>
      <w:fldChar w:fldCharType="separate"/>
    </w:r>
    <w:r w:rsidR="00BB0784">
      <w:rPr>
        <w:noProof/>
      </w:rPr>
      <w:t>01/02/20</w:t>
    </w:r>
    <w:r>
      <w:fldChar w:fldCharType="end"/>
    </w:r>
    <w:r>
      <w:t xml:space="preserve">, </w:t>
    </w:r>
    <w:r>
      <w:fldChar w:fldCharType="begin"/>
    </w:r>
    <w:r>
      <w:instrText>time \@ "hh:mm AM/PM"</w:instrText>
    </w:r>
    <w:r>
      <w:fldChar w:fldCharType="separate"/>
    </w:r>
    <w:r w:rsidR="00BB0784">
      <w:rPr>
        <w:noProof/>
      </w:rPr>
      <w:t>10:44 AM</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7AE4" w14:textId="25F82639" w:rsidR="00A52301" w:rsidRDefault="00A52301">
    <w:pPr>
      <w:pStyle w:val="Footer"/>
    </w:pPr>
    <w:r>
      <w:fldChar w:fldCharType="begin"/>
    </w:r>
    <w:r>
      <w:instrText xml:space="preserve">title </w:instrTex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DCF0" w14:textId="74D062CA" w:rsidR="00A52301" w:rsidRDefault="00A52301">
    <w:pPr>
      <w:pStyle w:val="Footer"/>
    </w:pPr>
    <w:r>
      <w:fldChar w:fldCharType="begin"/>
    </w:r>
    <w:r>
      <w:instrText xml:space="preserve">title </w:instrText>
    </w:r>
    <w:r>
      <w:fldChar w:fldCharType="end"/>
    </w:r>
    <w:r>
      <w:tab/>
    </w:r>
    <w:r>
      <w:fldChar w:fldCharType="begin"/>
    </w:r>
    <w:r>
      <w:instrText xml:space="preserve">filename </w:instrText>
    </w:r>
    <w:r>
      <w:fldChar w:fldCharType="separate"/>
    </w:r>
    <w:r>
      <w:t>Document4</w:t>
    </w:r>
    <w:r>
      <w:fldChar w:fldCharType="end"/>
    </w:r>
    <w:r>
      <w:br/>
      <w:t xml:space="preserve">by </w:t>
    </w:r>
    <w:r>
      <w:fldChar w:fldCharType="begin"/>
    </w:r>
    <w:r>
      <w:instrText xml:space="preserve">author </w:instrText>
    </w:r>
    <w:r>
      <w:fldChar w:fldCharType="separate"/>
    </w:r>
    <w:r>
      <w:t>Paul Chernick</w:t>
    </w:r>
    <w:r>
      <w:fldChar w:fldCharType="end"/>
    </w:r>
    <w:r>
      <w:t xml:space="preserve">, via </w:t>
    </w:r>
    <w:r>
      <w:fldChar w:fldCharType="begin"/>
    </w:r>
    <w:r>
      <w:instrText xml:space="preserve">userinitials </w:instrText>
    </w:r>
    <w:r>
      <w:fldChar w:fldCharType="separate"/>
    </w:r>
    <w:r>
      <w:t>PC</w:t>
    </w:r>
    <w:r>
      <w:fldChar w:fldCharType="end"/>
    </w:r>
    <w:r>
      <w:tab/>
    </w:r>
    <w:r>
      <w:fldChar w:fldCharType="begin"/>
    </w:r>
    <w:r>
      <w:instrText>TIME \@ "MM/dd/yy"</w:instrText>
    </w:r>
    <w:r>
      <w:fldChar w:fldCharType="separate"/>
    </w:r>
    <w:r w:rsidR="00BB0784">
      <w:rPr>
        <w:noProof/>
      </w:rPr>
      <w:t>01/02/20</w:t>
    </w:r>
    <w:r>
      <w:fldChar w:fldCharType="end"/>
    </w:r>
    <w:r>
      <w:t xml:space="preserve">, </w:t>
    </w:r>
    <w:r>
      <w:fldChar w:fldCharType="begin"/>
    </w:r>
    <w:r>
      <w:instrText>time \@ "hh:mm AM/PM"</w:instrText>
    </w:r>
    <w:r>
      <w:fldChar w:fldCharType="separate"/>
    </w:r>
    <w:r w:rsidR="00BB0784">
      <w:rPr>
        <w:noProof/>
      </w:rPr>
      <w:t>10:44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BF4F8" w14:textId="77777777" w:rsidR="00CA5536" w:rsidRDefault="00CA5536">
      <w:pPr>
        <w:spacing w:after="0" w:line="240" w:lineRule="auto"/>
      </w:pPr>
      <w:r>
        <w:separator/>
      </w:r>
    </w:p>
  </w:footnote>
  <w:footnote w:type="continuationSeparator" w:id="0">
    <w:p w14:paraId="7E2E0B39" w14:textId="77777777" w:rsidR="00CA5536" w:rsidRDefault="00CA5536">
      <w:pPr>
        <w:spacing w:after="0" w:line="240" w:lineRule="auto"/>
      </w:pPr>
      <w:r>
        <w:continuationSeparator/>
      </w:r>
    </w:p>
  </w:footnote>
  <w:footnote w:type="continuationNotice" w:id="1">
    <w:p w14:paraId="67044126" w14:textId="77777777" w:rsidR="00CA5536" w:rsidRDefault="00CA5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640B" w14:textId="77777777" w:rsidR="00A52301" w:rsidRDefault="00A52301">
    <w:pPr>
      <w:pStyle w:val="Header"/>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author </w:instrText>
    </w:r>
    <w:r>
      <w:rPr>
        <w:rFonts w:ascii="Times New Roman" w:hAnsi="Times New Roman"/>
        <w:sz w:val="24"/>
      </w:rPr>
      <w:fldChar w:fldCharType="separate"/>
    </w:r>
    <w:r>
      <w:rPr>
        <w:rFonts w:ascii="Times New Roman" w:hAnsi="Times New Roman"/>
        <w:sz w:val="24"/>
      </w:rPr>
      <w:t>Paul Chernick</w:t>
    </w:r>
    <w:r>
      <w:rPr>
        <w:rFonts w:ascii="Times New Roman" w:hAnsi="Times New Roman"/>
        <w:sz w:val="24"/>
      </w:rPr>
      <w:fldChar w:fldCharType="end"/>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sz w:val="24"/>
      </w:rPr>
      <w:t>2</w:t>
    </w:r>
    <w:r>
      <w:rPr>
        <w:rStyle w:val="PageNumber"/>
        <w:rFonts w:ascii="Times New Roman" w:hAnsi="Times New Roman"/>
        <w:sz w:val="24"/>
      </w:rPr>
      <w:fldChar w:fldCharType="end"/>
    </w:r>
    <w:r>
      <w:rPr>
        <w:rStyle w:val="PageNumber"/>
        <w:rFonts w:ascii="Times New Roman" w:hAnsi="Times New Roman"/>
        <w:sz w:val="24"/>
      </w:rPr>
      <w:t xml:space="preserve"> of </w:t>
    </w:r>
    <w:r>
      <w:rPr>
        <w:rStyle w:val="PageNumber"/>
        <w:rFonts w:ascii="Times New Roman" w:hAnsi="Times New Roman"/>
        <w:sz w:val="24"/>
      </w:rPr>
      <w:fldChar w:fldCharType="begin"/>
    </w:r>
    <w:r>
      <w:rPr>
        <w:rStyle w:val="PageNumber"/>
        <w:rFonts w:ascii="Times New Roman" w:hAnsi="Times New Roman"/>
        <w:sz w:val="24"/>
      </w:rPr>
      <w:instrText xml:space="preserve"> NUMPAGES </w:instrText>
    </w:r>
    <w:r>
      <w:rPr>
        <w:rStyle w:val="PageNumber"/>
        <w:rFonts w:ascii="Times New Roman" w:hAnsi="Times New Roman"/>
        <w:sz w:val="24"/>
      </w:rPr>
      <w:fldChar w:fldCharType="separate"/>
    </w:r>
    <w:r>
      <w:rPr>
        <w:rStyle w:val="PageNumber"/>
        <w:rFonts w:ascii="Times New Roman" w:hAnsi="Times New Roman"/>
        <w:sz w:val="24"/>
      </w:rPr>
      <w:t>1</w:t>
    </w:r>
    <w:r>
      <w:rPr>
        <w:rStyle w:val="PageNumbe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DA76" w14:textId="77777777" w:rsidR="00A52301" w:rsidRPr="005F2184" w:rsidRDefault="00A52301" w:rsidP="005F2184">
    <w:pPr>
      <w:pStyle w:val="Default"/>
      <w:jc w:val="center"/>
      <w:rPr>
        <w:rFonts w:ascii="Times New Roman" w:hAnsi="Times New Roman" w:cs="Times New Roman"/>
        <w:b/>
        <w:bCs/>
        <w:sz w:val="22"/>
        <w:szCs w:val="22"/>
      </w:rPr>
    </w:pPr>
    <w:r w:rsidRPr="005F2184">
      <w:rPr>
        <w:rFonts w:ascii="Times New Roman" w:hAnsi="Times New Roman" w:cs="Times New Roman"/>
        <w:b/>
        <w:bCs/>
        <w:sz w:val="22"/>
        <w:szCs w:val="22"/>
      </w:rPr>
      <w:t xml:space="preserve">SBUA DATA REQUEST </w:t>
    </w:r>
  </w:p>
  <w:p w14:paraId="67CFD2AE" w14:textId="76567420" w:rsidR="00A52301" w:rsidRPr="005F2184" w:rsidRDefault="00A52301" w:rsidP="005F2184">
    <w:pPr>
      <w:pStyle w:val="Default"/>
      <w:jc w:val="center"/>
      <w:rPr>
        <w:rFonts w:ascii="Times New Roman" w:hAnsi="Times New Roman" w:cs="Times New Roman"/>
        <w:b/>
        <w:bCs/>
        <w:sz w:val="22"/>
        <w:szCs w:val="22"/>
      </w:rPr>
    </w:pPr>
    <w:r w:rsidRPr="005F2184">
      <w:rPr>
        <w:rFonts w:ascii="Times New Roman" w:hAnsi="Times New Roman" w:cs="Times New Roman"/>
        <w:b/>
        <w:bCs/>
        <w:sz w:val="22"/>
        <w:szCs w:val="22"/>
      </w:rPr>
      <w:t>SBUA-SDG&amp;E-DR-0</w:t>
    </w:r>
    <w:r>
      <w:rPr>
        <w:rFonts w:ascii="Times New Roman" w:hAnsi="Times New Roman" w:cs="Times New Roman"/>
        <w:b/>
        <w:bCs/>
        <w:sz w:val="22"/>
        <w:szCs w:val="22"/>
      </w:rPr>
      <w:t>3</w:t>
    </w:r>
    <w:r w:rsidRPr="005F2184">
      <w:rPr>
        <w:rFonts w:ascii="Times New Roman" w:hAnsi="Times New Roman" w:cs="Times New Roman"/>
        <w:b/>
        <w:bCs/>
        <w:sz w:val="22"/>
        <w:szCs w:val="22"/>
      </w:rPr>
      <w:t>, REQUEST 1</w:t>
    </w:r>
  </w:p>
  <w:p w14:paraId="2AD25A0B" w14:textId="77777777" w:rsidR="00A52301" w:rsidRPr="005F2184" w:rsidRDefault="00A52301" w:rsidP="005F2184">
    <w:pPr>
      <w:pStyle w:val="Default"/>
      <w:jc w:val="center"/>
      <w:rPr>
        <w:rFonts w:ascii="Times New Roman" w:hAnsi="Times New Roman" w:cs="Times New Roman"/>
        <w:b/>
        <w:bCs/>
        <w:sz w:val="22"/>
        <w:szCs w:val="22"/>
      </w:rPr>
    </w:pPr>
    <w:r w:rsidRPr="005F2184">
      <w:rPr>
        <w:rFonts w:ascii="Times New Roman" w:hAnsi="Times New Roman" w:cs="Times New Roman"/>
        <w:b/>
        <w:bCs/>
        <w:sz w:val="22"/>
        <w:szCs w:val="22"/>
      </w:rPr>
      <w:t>APPLICATION FOR APPROVAL OF ELECTRIC VEHICLE HIGH POWER CHARGING RATE (A.19-07-006)</w:t>
    </w:r>
  </w:p>
  <w:p w14:paraId="62D522FF" w14:textId="77777777" w:rsidR="00A52301" w:rsidRPr="005F2184" w:rsidRDefault="00A52301" w:rsidP="005F2184">
    <w:pPr>
      <w:pStyle w:val="Default"/>
      <w:jc w:val="center"/>
      <w:rPr>
        <w:rFonts w:ascii="Times New Roman" w:hAnsi="Times New Roman" w:cs="Times New Roman"/>
        <w:b/>
        <w:bCs/>
        <w:sz w:val="22"/>
        <w:szCs w:val="22"/>
      </w:rPr>
    </w:pPr>
    <w:r w:rsidRPr="005F2184">
      <w:rPr>
        <w:rFonts w:ascii="Times New Roman" w:hAnsi="Times New Roman" w:cs="Times New Roman"/>
        <w:b/>
        <w:bCs/>
        <w:sz w:val="22"/>
        <w:szCs w:val="22"/>
      </w:rPr>
      <w:t xml:space="preserve">SDG&amp;E RESPONSE </w:t>
    </w:r>
  </w:p>
  <w:p w14:paraId="25AC8A06" w14:textId="34BF8A44" w:rsidR="00A52301" w:rsidRPr="005F2184" w:rsidRDefault="00A52301" w:rsidP="005F2184">
    <w:pPr>
      <w:pStyle w:val="Default"/>
      <w:jc w:val="center"/>
      <w:rPr>
        <w:rFonts w:ascii="Times New Roman" w:hAnsi="Times New Roman" w:cs="Times New Roman"/>
        <w:b/>
        <w:bCs/>
        <w:sz w:val="22"/>
        <w:szCs w:val="22"/>
      </w:rPr>
    </w:pPr>
    <w:r w:rsidRPr="005F2184">
      <w:rPr>
        <w:rFonts w:ascii="Times New Roman" w:hAnsi="Times New Roman" w:cs="Times New Roman"/>
        <w:b/>
        <w:bCs/>
        <w:sz w:val="22"/>
        <w:szCs w:val="22"/>
      </w:rPr>
      <w:t xml:space="preserve">DATE RECEIVED: </w:t>
    </w:r>
    <w:r>
      <w:rPr>
        <w:rFonts w:ascii="Times New Roman" w:hAnsi="Times New Roman" w:cs="Times New Roman"/>
        <w:b/>
        <w:bCs/>
        <w:sz w:val="22"/>
        <w:szCs w:val="22"/>
      </w:rPr>
      <w:t>November</w:t>
    </w:r>
    <w:r w:rsidRPr="005F2184">
      <w:rPr>
        <w:rFonts w:ascii="Times New Roman" w:hAnsi="Times New Roman" w:cs="Times New Roman"/>
        <w:b/>
        <w:bCs/>
        <w:sz w:val="22"/>
        <w:szCs w:val="22"/>
      </w:rPr>
      <w:t xml:space="preserve"> </w:t>
    </w:r>
    <w:r>
      <w:rPr>
        <w:rFonts w:ascii="Times New Roman" w:hAnsi="Times New Roman" w:cs="Times New Roman"/>
        <w:b/>
        <w:bCs/>
        <w:sz w:val="22"/>
        <w:szCs w:val="22"/>
      </w:rPr>
      <w:t>22</w:t>
    </w:r>
    <w:r w:rsidRPr="005F2184">
      <w:rPr>
        <w:rFonts w:ascii="Times New Roman" w:hAnsi="Times New Roman" w:cs="Times New Roman"/>
        <w:b/>
        <w:bCs/>
        <w:sz w:val="22"/>
        <w:szCs w:val="22"/>
      </w:rPr>
      <w:t xml:space="preserve">, 2019 </w:t>
    </w:r>
  </w:p>
  <w:p w14:paraId="6DAAAFC5" w14:textId="140F6013" w:rsidR="00A52301" w:rsidRDefault="00A52301" w:rsidP="009D3E7B">
    <w:pPr>
      <w:pStyle w:val="Default"/>
      <w:jc w:val="center"/>
      <w:rPr>
        <w:rFonts w:ascii="Times New Roman" w:hAnsi="Times New Roman" w:cs="Times New Roman"/>
        <w:b/>
        <w:bCs/>
        <w:color w:val="auto"/>
        <w:sz w:val="22"/>
        <w:szCs w:val="22"/>
      </w:rPr>
    </w:pPr>
    <w:r w:rsidRPr="005F2184">
      <w:rPr>
        <w:rFonts w:ascii="Times New Roman" w:hAnsi="Times New Roman" w:cs="Times New Roman"/>
        <w:b/>
        <w:bCs/>
        <w:sz w:val="22"/>
        <w:szCs w:val="22"/>
      </w:rPr>
      <w:t xml:space="preserve">DATE RESPONDED: </w:t>
    </w:r>
    <w:r w:rsidRPr="009D3E7B">
      <w:rPr>
        <w:rFonts w:ascii="Times New Roman" w:hAnsi="Times New Roman" w:cs="Times New Roman"/>
        <w:b/>
        <w:bCs/>
        <w:color w:val="auto"/>
        <w:sz w:val="22"/>
        <w:szCs w:val="22"/>
      </w:rPr>
      <w:t xml:space="preserve">December </w:t>
    </w:r>
    <w:r w:rsidR="00290F8E" w:rsidRPr="009D3E7B">
      <w:rPr>
        <w:rFonts w:ascii="Times New Roman" w:hAnsi="Times New Roman" w:cs="Times New Roman"/>
        <w:b/>
        <w:bCs/>
        <w:color w:val="auto"/>
        <w:sz w:val="22"/>
        <w:szCs w:val="22"/>
      </w:rPr>
      <w:t>1</w:t>
    </w:r>
    <w:r w:rsidR="009D3E7B">
      <w:rPr>
        <w:rFonts w:ascii="Times New Roman" w:hAnsi="Times New Roman" w:cs="Times New Roman"/>
        <w:b/>
        <w:bCs/>
        <w:color w:val="auto"/>
        <w:sz w:val="22"/>
        <w:szCs w:val="22"/>
      </w:rPr>
      <w:t>2</w:t>
    </w:r>
    <w:r w:rsidRPr="009D3E7B">
      <w:rPr>
        <w:rFonts w:ascii="Times New Roman" w:hAnsi="Times New Roman" w:cs="Times New Roman"/>
        <w:b/>
        <w:bCs/>
        <w:color w:val="auto"/>
        <w:sz w:val="22"/>
        <w:szCs w:val="22"/>
      </w:rPr>
      <w:t>, 2019</w:t>
    </w:r>
  </w:p>
  <w:p w14:paraId="77DFBDAC" w14:textId="77777777" w:rsidR="009D3E7B" w:rsidRPr="009D3E7B" w:rsidRDefault="009D3E7B" w:rsidP="009D3E7B">
    <w:pPr>
      <w:pStyle w:val="Default"/>
      <w:jc w:val="center"/>
      <w:rPr>
        <w:rFonts w:ascii="Times New Roman" w:hAnsi="Times New Roman" w:cs="Times New Roman"/>
        <w:b/>
        <w:bCs/>
        <w:color w:val="au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4925" w14:textId="77777777" w:rsidR="00A52301" w:rsidRDefault="00A52301">
    <w:pPr>
      <w:pStyle w:val="Header"/>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author </w:instrText>
    </w:r>
    <w:r>
      <w:rPr>
        <w:rFonts w:ascii="Times New Roman" w:hAnsi="Times New Roman"/>
        <w:sz w:val="24"/>
      </w:rPr>
      <w:fldChar w:fldCharType="separate"/>
    </w:r>
    <w:r>
      <w:rPr>
        <w:rFonts w:ascii="Times New Roman" w:hAnsi="Times New Roman"/>
        <w:sz w:val="24"/>
      </w:rPr>
      <w:t>Paul Chernick</w:t>
    </w:r>
    <w:r>
      <w:rPr>
        <w:rFonts w:ascii="Times New Roman" w:hAnsi="Times New Roman"/>
        <w:sz w:val="24"/>
      </w:rPr>
      <w:fldChar w:fldCharType="end"/>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sz w:val="24"/>
      </w:rPr>
      <w:t>1</w:t>
    </w:r>
    <w:r>
      <w:rPr>
        <w:rStyle w:val="PageNumber"/>
        <w:rFonts w:ascii="Times New Roman" w:hAnsi="Times New Roman"/>
        <w:sz w:val="24"/>
      </w:rPr>
      <w:fldChar w:fldCharType="end"/>
    </w:r>
    <w:r>
      <w:rPr>
        <w:rStyle w:val="PageNumber"/>
        <w:rFonts w:ascii="Times New Roman" w:hAnsi="Times New Roman"/>
        <w:sz w:val="24"/>
      </w:rPr>
      <w:t xml:space="preserve"> of </w:t>
    </w:r>
    <w:r>
      <w:rPr>
        <w:rStyle w:val="PageNumber"/>
        <w:rFonts w:ascii="Times New Roman" w:hAnsi="Times New Roman"/>
        <w:sz w:val="24"/>
      </w:rPr>
      <w:fldChar w:fldCharType="begin"/>
    </w:r>
    <w:r>
      <w:rPr>
        <w:rStyle w:val="PageNumber"/>
        <w:rFonts w:ascii="Times New Roman" w:hAnsi="Times New Roman"/>
        <w:sz w:val="24"/>
      </w:rPr>
      <w:instrText xml:space="preserve"> NUMPAGES </w:instrText>
    </w:r>
    <w:r>
      <w:rPr>
        <w:rStyle w:val="PageNumber"/>
        <w:rFonts w:ascii="Times New Roman" w:hAnsi="Times New Roman"/>
        <w:sz w:val="24"/>
      </w:rPr>
      <w:fldChar w:fldCharType="separate"/>
    </w:r>
    <w:r>
      <w:rPr>
        <w:rStyle w:val="PageNumber"/>
        <w:rFonts w:ascii="Times New Roman" w:hAnsi="Times New Roman"/>
        <w:sz w:val="24"/>
      </w:rPr>
      <w:t>1</w:t>
    </w:r>
    <w:r>
      <w:rPr>
        <w:rStyle w:val="PageNumbe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E54AC"/>
    <w:multiLevelType w:val="hybridMultilevel"/>
    <w:tmpl w:val="3FA284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54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EF"/>
    <w:rsid w:val="0000288D"/>
    <w:rsid w:val="00006665"/>
    <w:rsid w:val="0001205B"/>
    <w:rsid w:val="000132B4"/>
    <w:rsid w:val="000147D1"/>
    <w:rsid w:val="00014B1E"/>
    <w:rsid w:val="00014C5C"/>
    <w:rsid w:val="00014EFA"/>
    <w:rsid w:val="0002046B"/>
    <w:rsid w:val="00020775"/>
    <w:rsid w:val="000212EA"/>
    <w:rsid w:val="00022190"/>
    <w:rsid w:val="000225C4"/>
    <w:rsid w:val="00022DB0"/>
    <w:rsid w:val="000243AD"/>
    <w:rsid w:val="00025763"/>
    <w:rsid w:val="00026DDF"/>
    <w:rsid w:val="0003094F"/>
    <w:rsid w:val="00031104"/>
    <w:rsid w:val="000346B8"/>
    <w:rsid w:val="000358B5"/>
    <w:rsid w:val="0004009D"/>
    <w:rsid w:val="00040A3F"/>
    <w:rsid w:val="00042F68"/>
    <w:rsid w:val="000434AB"/>
    <w:rsid w:val="0004752B"/>
    <w:rsid w:val="000479B9"/>
    <w:rsid w:val="00051B6B"/>
    <w:rsid w:val="00051DBC"/>
    <w:rsid w:val="00053635"/>
    <w:rsid w:val="00056190"/>
    <w:rsid w:val="000578C1"/>
    <w:rsid w:val="00062AA1"/>
    <w:rsid w:val="0006479C"/>
    <w:rsid w:val="00065180"/>
    <w:rsid w:val="00065FA9"/>
    <w:rsid w:val="00066DB8"/>
    <w:rsid w:val="00072D34"/>
    <w:rsid w:val="00074302"/>
    <w:rsid w:val="00077645"/>
    <w:rsid w:val="00094BFE"/>
    <w:rsid w:val="00095D54"/>
    <w:rsid w:val="00096A3C"/>
    <w:rsid w:val="00096FC8"/>
    <w:rsid w:val="0009754E"/>
    <w:rsid w:val="000A5CFA"/>
    <w:rsid w:val="000A6197"/>
    <w:rsid w:val="000A61FC"/>
    <w:rsid w:val="000A6F24"/>
    <w:rsid w:val="000B08AE"/>
    <w:rsid w:val="000B2A2B"/>
    <w:rsid w:val="000B5CF6"/>
    <w:rsid w:val="000C0417"/>
    <w:rsid w:val="000C2F51"/>
    <w:rsid w:val="000C38C3"/>
    <w:rsid w:val="000C494F"/>
    <w:rsid w:val="000C5E06"/>
    <w:rsid w:val="000C61CE"/>
    <w:rsid w:val="000D0F1C"/>
    <w:rsid w:val="000D686B"/>
    <w:rsid w:val="000D7410"/>
    <w:rsid w:val="000E2BCC"/>
    <w:rsid w:val="000E4922"/>
    <w:rsid w:val="000E53F3"/>
    <w:rsid w:val="000E5596"/>
    <w:rsid w:val="000F27A2"/>
    <w:rsid w:val="000F5688"/>
    <w:rsid w:val="000F5AEE"/>
    <w:rsid w:val="000F7C1B"/>
    <w:rsid w:val="00101A06"/>
    <w:rsid w:val="001028C2"/>
    <w:rsid w:val="001034CE"/>
    <w:rsid w:val="00104117"/>
    <w:rsid w:val="00105E39"/>
    <w:rsid w:val="001137F8"/>
    <w:rsid w:val="00117B05"/>
    <w:rsid w:val="0012120E"/>
    <w:rsid w:val="00123505"/>
    <w:rsid w:val="00124CA4"/>
    <w:rsid w:val="00125B46"/>
    <w:rsid w:val="001275C5"/>
    <w:rsid w:val="00130850"/>
    <w:rsid w:val="00135D1B"/>
    <w:rsid w:val="00135F2E"/>
    <w:rsid w:val="0013743F"/>
    <w:rsid w:val="0015509E"/>
    <w:rsid w:val="00155799"/>
    <w:rsid w:val="00157597"/>
    <w:rsid w:val="00167C9A"/>
    <w:rsid w:val="001731E9"/>
    <w:rsid w:val="00173AAC"/>
    <w:rsid w:val="00174E6F"/>
    <w:rsid w:val="001760B0"/>
    <w:rsid w:val="001805A7"/>
    <w:rsid w:val="001829F0"/>
    <w:rsid w:val="00185773"/>
    <w:rsid w:val="00186498"/>
    <w:rsid w:val="001864AB"/>
    <w:rsid w:val="00190699"/>
    <w:rsid w:val="00193645"/>
    <w:rsid w:val="00194AA5"/>
    <w:rsid w:val="001A2D87"/>
    <w:rsid w:val="001A4436"/>
    <w:rsid w:val="001B0ABE"/>
    <w:rsid w:val="001B1D78"/>
    <w:rsid w:val="001B20AE"/>
    <w:rsid w:val="001B2E4C"/>
    <w:rsid w:val="001B618C"/>
    <w:rsid w:val="001C07DD"/>
    <w:rsid w:val="001C1FD6"/>
    <w:rsid w:val="001C3739"/>
    <w:rsid w:val="001C44E7"/>
    <w:rsid w:val="001C5555"/>
    <w:rsid w:val="001C6A8E"/>
    <w:rsid w:val="001D54E2"/>
    <w:rsid w:val="001D5891"/>
    <w:rsid w:val="001E2E58"/>
    <w:rsid w:val="001E6542"/>
    <w:rsid w:val="001E7684"/>
    <w:rsid w:val="001F20A5"/>
    <w:rsid w:val="001F40A3"/>
    <w:rsid w:val="001F4E89"/>
    <w:rsid w:val="001F4F10"/>
    <w:rsid w:val="002006DC"/>
    <w:rsid w:val="00202211"/>
    <w:rsid w:val="0020320E"/>
    <w:rsid w:val="0020429C"/>
    <w:rsid w:val="00206FF2"/>
    <w:rsid w:val="002074EE"/>
    <w:rsid w:val="00207ECB"/>
    <w:rsid w:val="00210213"/>
    <w:rsid w:val="0021084B"/>
    <w:rsid w:val="002129CD"/>
    <w:rsid w:val="0021407F"/>
    <w:rsid w:val="0021430C"/>
    <w:rsid w:val="0021586E"/>
    <w:rsid w:val="00215E96"/>
    <w:rsid w:val="00223C15"/>
    <w:rsid w:val="00223C8C"/>
    <w:rsid w:val="00223F1D"/>
    <w:rsid w:val="00224642"/>
    <w:rsid w:val="002246F3"/>
    <w:rsid w:val="0022702F"/>
    <w:rsid w:val="00237A18"/>
    <w:rsid w:val="00237DCE"/>
    <w:rsid w:val="00237E25"/>
    <w:rsid w:val="002407E3"/>
    <w:rsid w:val="00241145"/>
    <w:rsid w:val="00241BE2"/>
    <w:rsid w:val="002428DE"/>
    <w:rsid w:val="00243D07"/>
    <w:rsid w:val="002440AD"/>
    <w:rsid w:val="00245484"/>
    <w:rsid w:val="00245755"/>
    <w:rsid w:val="00252E00"/>
    <w:rsid w:val="00257010"/>
    <w:rsid w:val="0025706B"/>
    <w:rsid w:val="00260CE9"/>
    <w:rsid w:val="002617CB"/>
    <w:rsid w:val="0026546B"/>
    <w:rsid w:val="00265848"/>
    <w:rsid w:val="002679CC"/>
    <w:rsid w:val="00267BE5"/>
    <w:rsid w:val="00267E70"/>
    <w:rsid w:val="00273057"/>
    <w:rsid w:val="002736EB"/>
    <w:rsid w:val="00274BEA"/>
    <w:rsid w:val="002758B9"/>
    <w:rsid w:val="00283B8A"/>
    <w:rsid w:val="0028477D"/>
    <w:rsid w:val="00290CE2"/>
    <w:rsid w:val="00290F8E"/>
    <w:rsid w:val="00295AFE"/>
    <w:rsid w:val="002973BB"/>
    <w:rsid w:val="0029792F"/>
    <w:rsid w:val="002A2EA9"/>
    <w:rsid w:val="002A370C"/>
    <w:rsid w:val="002A4758"/>
    <w:rsid w:val="002A5932"/>
    <w:rsid w:val="002A7CF3"/>
    <w:rsid w:val="002B1E69"/>
    <w:rsid w:val="002B49CA"/>
    <w:rsid w:val="002B5015"/>
    <w:rsid w:val="002B572C"/>
    <w:rsid w:val="002B653E"/>
    <w:rsid w:val="002B6D09"/>
    <w:rsid w:val="002B7DD5"/>
    <w:rsid w:val="002C056F"/>
    <w:rsid w:val="002C1217"/>
    <w:rsid w:val="002C3405"/>
    <w:rsid w:val="002C3DF1"/>
    <w:rsid w:val="002C5AA0"/>
    <w:rsid w:val="002C7A04"/>
    <w:rsid w:val="002D036C"/>
    <w:rsid w:val="002E083F"/>
    <w:rsid w:val="002E2F9A"/>
    <w:rsid w:val="002E4A8C"/>
    <w:rsid w:val="002E64AE"/>
    <w:rsid w:val="002E73BD"/>
    <w:rsid w:val="002F0A14"/>
    <w:rsid w:val="002F2434"/>
    <w:rsid w:val="002F39E3"/>
    <w:rsid w:val="002F7F89"/>
    <w:rsid w:val="00301A9C"/>
    <w:rsid w:val="003038D1"/>
    <w:rsid w:val="003118DE"/>
    <w:rsid w:val="003133C7"/>
    <w:rsid w:val="003208EC"/>
    <w:rsid w:val="00322202"/>
    <w:rsid w:val="00324D33"/>
    <w:rsid w:val="003329E6"/>
    <w:rsid w:val="00335154"/>
    <w:rsid w:val="00336482"/>
    <w:rsid w:val="003378BC"/>
    <w:rsid w:val="00342E60"/>
    <w:rsid w:val="00344755"/>
    <w:rsid w:val="00345E87"/>
    <w:rsid w:val="003512E7"/>
    <w:rsid w:val="003538E1"/>
    <w:rsid w:val="00353ECD"/>
    <w:rsid w:val="00357928"/>
    <w:rsid w:val="00364E00"/>
    <w:rsid w:val="0036599E"/>
    <w:rsid w:val="00365E71"/>
    <w:rsid w:val="00366052"/>
    <w:rsid w:val="00372513"/>
    <w:rsid w:val="0037456C"/>
    <w:rsid w:val="0038482B"/>
    <w:rsid w:val="00385C61"/>
    <w:rsid w:val="00385C81"/>
    <w:rsid w:val="00392B63"/>
    <w:rsid w:val="003940F6"/>
    <w:rsid w:val="00395384"/>
    <w:rsid w:val="00395835"/>
    <w:rsid w:val="0039635C"/>
    <w:rsid w:val="003A3749"/>
    <w:rsid w:val="003A5164"/>
    <w:rsid w:val="003B003F"/>
    <w:rsid w:val="003B2940"/>
    <w:rsid w:val="003B2FFB"/>
    <w:rsid w:val="003B7B93"/>
    <w:rsid w:val="003C13ED"/>
    <w:rsid w:val="003C291D"/>
    <w:rsid w:val="003C4561"/>
    <w:rsid w:val="003D1103"/>
    <w:rsid w:val="003D13FB"/>
    <w:rsid w:val="003D4168"/>
    <w:rsid w:val="003D74FC"/>
    <w:rsid w:val="003E11FB"/>
    <w:rsid w:val="003E350C"/>
    <w:rsid w:val="003E4B9A"/>
    <w:rsid w:val="003E5616"/>
    <w:rsid w:val="003E5872"/>
    <w:rsid w:val="003E5A83"/>
    <w:rsid w:val="003F15C6"/>
    <w:rsid w:val="003F2301"/>
    <w:rsid w:val="003F2592"/>
    <w:rsid w:val="003F3442"/>
    <w:rsid w:val="003F3507"/>
    <w:rsid w:val="003F359F"/>
    <w:rsid w:val="00400805"/>
    <w:rsid w:val="00401606"/>
    <w:rsid w:val="00406DA7"/>
    <w:rsid w:val="004072FF"/>
    <w:rsid w:val="004104BD"/>
    <w:rsid w:val="00412366"/>
    <w:rsid w:val="00412F8C"/>
    <w:rsid w:val="004145EB"/>
    <w:rsid w:val="00415BC0"/>
    <w:rsid w:val="00416612"/>
    <w:rsid w:val="00425474"/>
    <w:rsid w:val="00426CD1"/>
    <w:rsid w:val="00427821"/>
    <w:rsid w:val="00427E7A"/>
    <w:rsid w:val="00430FAD"/>
    <w:rsid w:val="00454226"/>
    <w:rsid w:val="00456A70"/>
    <w:rsid w:val="004623AC"/>
    <w:rsid w:val="00462C4C"/>
    <w:rsid w:val="004634B1"/>
    <w:rsid w:val="00464608"/>
    <w:rsid w:val="004725C4"/>
    <w:rsid w:val="00473026"/>
    <w:rsid w:val="00477EFD"/>
    <w:rsid w:val="004812A3"/>
    <w:rsid w:val="00482F7F"/>
    <w:rsid w:val="00483CC8"/>
    <w:rsid w:val="00483D04"/>
    <w:rsid w:val="00486DA9"/>
    <w:rsid w:val="0049484A"/>
    <w:rsid w:val="00495AB7"/>
    <w:rsid w:val="004A07C3"/>
    <w:rsid w:val="004A5B21"/>
    <w:rsid w:val="004A636F"/>
    <w:rsid w:val="004A6432"/>
    <w:rsid w:val="004B3CA0"/>
    <w:rsid w:val="004B44BD"/>
    <w:rsid w:val="004B635A"/>
    <w:rsid w:val="004B7E7F"/>
    <w:rsid w:val="004C05AE"/>
    <w:rsid w:val="004C0688"/>
    <w:rsid w:val="004C086B"/>
    <w:rsid w:val="004C546B"/>
    <w:rsid w:val="004C6EAA"/>
    <w:rsid w:val="004C74C7"/>
    <w:rsid w:val="004D12B8"/>
    <w:rsid w:val="004D1577"/>
    <w:rsid w:val="004D56D9"/>
    <w:rsid w:val="004D69A5"/>
    <w:rsid w:val="004D6E56"/>
    <w:rsid w:val="004E5DF0"/>
    <w:rsid w:val="004E7320"/>
    <w:rsid w:val="004E7663"/>
    <w:rsid w:val="004F0201"/>
    <w:rsid w:val="004F29AB"/>
    <w:rsid w:val="004F5E0E"/>
    <w:rsid w:val="004F671F"/>
    <w:rsid w:val="004F7D86"/>
    <w:rsid w:val="005014D8"/>
    <w:rsid w:val="0050204F"/>
    <w:rsid w:val="005062FD"/>
    <w:rsid w:val="00506A32"/>
    <w:rsid w:val="00510F3E"/>
    <w:rsid w:val="0051332B"/>
    <w:rsid w:val="00515B8F"/>
    <w:rsid w:val="00522160"/>
    <w:rsid w:val="00522D5B"/>
    <w:rsid w:val="00523BBD"/>
    <w:rsid w:val="00527556"/>
    <w:rsid w:val="00531A26"/>
    <w:rsid w:val="0053287E"/>
    <w:rsid w:val="005334FD"/>
    <w:rsid w:val="00540374"/>
    <w:rsid w:val="00541C23"/>
    <w:rsid w:val="00542EB3"/>
    <w:rsid w:val="005431AF"/>
    <w:rsid w:val="0055094D"/>
    <w:rsid w:val="00550E8F"/>
    <w:rsid w:val="00551915"/>
    <w:rsid w:val="0055584F"/>
    <w:rsid w:val="005563C4"/>
    <w:rsid w:val="0055773F"/>
    <w:rsid w:val="0056069F"/>
    <w:rsid w:val="00561F8F"/>
    <w:rsid w:val="00564759"/>
    <w:rsid w:val="00577E5D"/>
    <w:rsid w:val="0058175E"/>
    <w:rsid w:val="0058264D"/>
    <w:rsid w:val="0058322C"/>
    <w:rsid w:val="0058444A"/>
    <w:rsid w:val="005856F4"/>
    <w:rsid w:val="00587BD0"/>
    <w:rsid w:val="00591412"/>
    <w:rsid w:val="00591F40"/>
    <w:rsid w:val="00592EDB"/>
    <w:rsid w:val="0059320F"/>
    <w:rsid w:val="00593537"/>
    <w:rsid w:val="005960FE"/>
    <w:rsid w:val="00596342"/>
    <w:rsid w:val="005977A2"/>
    <w:rsid w:val="005A2584"/>
    <w:rsid w:val="005A5A35"/>
    <w:rsid w:val="005A7EC4"/>
    <w:rsid w:val="005A7FDA"/>
    <w:rsid w:val="005B2E8B"/>
    <w:rsid w:val="005B3E44"/>
    <w:rsid w:val="005C228A"/>
    <w:rsid w:val="005C5324"/>
    <w:rsid w:val="005C62E2"/>
    <w:rsid w:val="005C68B1"/>
    <w:rsid w:val="005D05D1"/>
    <w:rsid w:val="005D1284"/>
    <w:rsid w:val="005D1DE5"/>
    <w:rsid w:val="005D4CB3"/>
    <w:rsid w:val="005D5079"/>
    <w:rsid w:val="005E199E"/>
    <w:rsid w:val="005E3F6A"/>
    <w:rsid w:val="005E4872"/>
    <w:rsid w:val="005E6135"/>
    <w:rsid w:val="005E651C"/>
    <w:rsid w:val="005E6FC9"/>
    <w:rsid w:val="005F2184"/>
    <w:rsid w:val="005F4EE1"/>
    <w:rsid w:val="005F5239"/>
    <w:rsid w:val="005F6D3F"/>
    <w:rsid w:val="00604097"/>
    <w:rsid w:val="00604452"/>
    <w:rsid w:val="006044F8"/>
    <w:rsid w:val="00604E53"/>
    <w:rsid w:val="006059CA"/>
    <w:rsid w:val="00605D0D"/>
    <w:rsid w:val="00605DFE"/>
    <w:rsid w:val="00606E7C"/>
    <w:rsid w:val="006106C4"/>
    <w:rsid w:val="00610B9E"/>
    <w:rsid w:val="00620258"/>
    <w:rsid w:val="00620F0D"/>
    <w:rsid w:val="00625AF8"/>
    <w:rsid w:val="00631D3B"/>
    <w:rsid w:val="00633738"/>
    <w:rsid w:val="00633A59"/>
    <w:rsid w:val="00636535"/>
    <w:rsid w:val="00647DCC"/>
    <w:rsid w:val="006531EC"/>
    <w:rsid w:val="006537C1"/>
    <w:rsid w:val="00656B0C"/>
    <w:rsid w:val="00656F75"/>
    <w:rsid w:val="0066096A"/>
    <w:rsid w:val="00663AB8"/>
    <w:rsid w:val="00664ECB"/>
    <w:rsid w:val="00665423"/>
    <w:rsid w:val="00666F60"/>
    <w:rsid w:val="006671EE"/>
    <w:rsid w:val="00671112"/>
    <w:rsid w:val="00682557"/>
    <w:rsid w:val="0068311B"/>
    <w:rsid w:val="00683AC0"/>
    <w:rsid w:val="00685C63"/>
    <w:rsid w:val="006864B0"/>
    <w:rsid w:val="00687B2C"/>
    <w:rsid w:val="00690473"/>
    <w:rsid w:val="00691368"/>
    <w:rsid w:val="006922B8"/>
    <w:rsid w:val="00694C9B"/>
    <w:rsid w:val="006A2F1C"/>
    <w:rsid w:val="006A3938"/>
    <w:rsid w:val="006A3CD4"/>
    <w:rsid w:val="006A4F2E"/>
    <w:rsid w:val="006A59B0"/>
    <w:rsid w:val="006A5FFF"/>
    <w:rsid w:val="006B0504"/>
    <w:rsid w:val="006B1EAD"/>
    <w:rsid w:val="006C018A"/>
    <w:rsid w:val="006C1948"/>
    <w:rsid w:val="006C4517"/>
    <w:rsid w:val="006C5052"/>
    <w:rsid w:val="006D580B"/>
    <w:rsid w:val="006D5D51"/>
    <w:rsid w:val="006D6BF9"/>
    <w:rsid w:val="006E06A4"/>
    <w:rsid w:val="006E47C4"/>
    <w:rsid w:val="006E5894"/>
    <w:rsid w:val="006F5997"/>
    <w:rsid w:val="006F5C97"/>
    <w:rsid w:val="006F6B0B"/>
    <w:rsid w:val="006F79EF"/>
    <w:rsid w:val="00701E3B"/>
    <w:rsid w:val="007046D3"/>
    <w:rsid w:val="00706810"/>
    <w:rsid w:val="00715EB9"/>
    <w:rsid w:val="00716324"/>
    <w:rsid w:val="00720764"/>
    <w:rsid w:val="00723A61"/>
    <w:rsid w:val="00723D9A"/>
    <w:rsid w:val="00724433"/>
    <w:rsid w:val="007249E6"/>
    <w:rsid w:val="0072738A"/>
    <w:rsid w:val="007325A9"/>
    <w:rsid w:val="00732D49"/>
    <w:rsid w:val="00733EA3"/>
    <w:rsid w:val="007352C1"/>
    <w:rsid w:val="00737F4A"/>
    <w:rsid w:val="0074067C"/>
    <w:rsid w:val="007430E7"/>
    <w:rsid w:val="00751A34"/>
    <w:rsid w:val="00751B78"/>
    <w:rsid w:val="0075679E"/>
    <w:rsid w:val="00756808"/>
    <w:rsid w:val="00756924"/>
    <w:rsid w:val="007575B4"/>
    <w:rsid w:val="00761C22"/>
    <w:rsid w:val="00763B88"/>
    <w:rsid w:val="007648F3"/>
    <w:rsid w:val="00767003"/>
    <w:rsid w:val="00767314"/>
    <w:rsid w:val="00772739"/>
    <w:rsid w:val="00772FA5"/>
    <w:rsid w:val="00773CB4"/>
    <w:rsid w:val="00775952"/>
    <w:rsid w:val="007801CB"/>
    <w:rsid w:val="00780BA6"/>
    <w:rsid w:val="007831B2"/>
    <w:rsid w:val="00787388"/>
    <w:rsid w:val="007901C3"/>
    <w:rsid w:val="0079028E"/>
    <w:rsid w:val="00790668"/>
    <w:rsid w:val="00791C83"/>
    <w:rsid w:val="00793FA3"/>
    <w:rsid w:val="0079656A"/>
    <w:rsid w:val="00796AC3"/>
    <w:rsid w:val="00797256"/>
    <w:rsid w:val="007975AC"/>
    <w:rsid w:val="007A6880"/>
    <w:rsid w:val="007B1DDF"/>
    <w:rsid w:val="007B413C"/>
    <w:rsid w:val="007B59F7"/>
    <w:rsid w:val="007B732A"/>
    <w:rsid w:val="007C07FA"/>
    <w:rsid w:val="007C222C"/>
    <w:rsid w:val="007C31CB"/>
    <w:rsid w:val="007C45BE"/>
    <w:rsid w:val="007C51E7"/>
    <w:rsid w:val="007D0011"/>
    <w:rsid w:val="007D34E8"/>
    <w:rsid w:val="007D3E7D"/>
    <w:rsid w:val="007D6933"/>
    <w:rsid w:val="007D77ED"/>
    <w:rsid w:val="007E1D0A"/>
    <w:rsid w:val="007E2DC9"/>
    <w:rsid w:val="007E7911"/>
    <w:rsid w:val="007F015B"/>
    <w:rsid w:val="007F1E68"/>
    <w:rsid w:val="007F2A9B"/>
    <w:rsid w:val="00800D27"/>
    <w:rsid w:val="00801E95"/>
    <w:rsid w:val="00803597"/>
    <w:rsid w:val="00804E8E"/>
    <w:rsid w:val="0080578D"/>
    <w:rsid w:val="008068C3"/>
    <w:rsid w:val="00816925"/>
    <w:rsid w:val="008205DE"/>
    <w:rsid w:val="00825C43"/>
    <w:rsid w:val="008304F5"/>
    <w:rsid w:val="00830890"/>
    <w:rsid w:val="00830CC2"/>
    <w:rsid w:val="008339E3"/>
    <w:rsid w:val="00833C09"/>
    <w:rsid w:val="00842F64"/>
    <w:rsid w:val="00844F79"/>
    <w:rsid w:val="00851B49"/>
    <w:rsid w:val="00853054"/>
    <w:rsid w:val="00855935"/>
    <w:rsid w:val="00861168"/>
    <w:rsid w:val="00861D9D"/>
    <w:rsid w:val="00865958"/>
    <w:rsid w:val="008672F5"/>
    <w:rsid w:val="008707AD"/>
    <w:rsid w:val="008713E3"/>
    <w:rsid w:val="00875205"/>
    <w:rsid w:val="008848FB"/>
    <w:rsid w:val="00884D8F"/>
    <w:rsid w:val="0088630B"/>
    <w:rsid w:val="00890C41"/>
    <w:rsid w:val="0089366D"/>
    <w:rsid w:val="00896663"/>
    <w:rsid w:val="00896EA0"/>
    <w:rsid w:val="00897593"/>
    <w:rsid w:val="00897AA4"/>
    <w:rsid w:val="008A0E97"/>
    <w:rsid w:val="008A4666"/>
    <w:rsid w:val="008A794B"/>
    <w:rsid w:val="008B10C0"/>
    <w:rsid w:val="008B21B9"/>
    <w:rsid w:val="008B2D35"/>
    <w:rsid w:val="008B3EB1"/>
    <w:rsid w:val="008B576A"/>
    <w:rsid w:val="008B6215"/>
    <w:rsid w:val="008B62A5"/>
    <w:rsid w:val="008B7EEC"/>
    <w:rsid w:val="008C0624"/>
    <w:rsid w:val="008C703C"/>
    <w:rsid w:val="008D7138"/>
    <w:rsid w:val="008D74B4"/>
    <w:rsid w:val="008E4151"/>
    <w:rsid w:val="008E45DA"/>
    <w:rsid w:val="008F1985"/>
    <w:rsid w:val="008F4297"/>
    <w:rsid w:val="00901344"/>
    <w:rsid w:val="009025B7"/>
    <w:rsid w:val="0090285A"/>
    <w:rsid w:val="00903395"/>
    <w:rsid w:val="00905405"/>
    <w:rsid w:val="00910DD5"/>
    <w:rsid w:val="00911D36"/>
    <w:rsid w:val="00912A15"/>
    <w:rsid w:val="00913331"/>
    <w:rsid w:val="00917892"/>
    <w:rsid w:val="00917FF3"/>
    <w:rsid w:val="009201F0"/>
    <w:rsid w:val="0092225D"/>
    <w:rsid w:val="00924B0D"/>
    <w:rsid w:val="00926F2C"/>
    <w:rsid w:val="009305E3"/>
    <w:rsid w:val="00930B95"/>
    <w:rsid w:val="00934F42"/>
    <w:rsid w:val="00940E51"/>
    <w:rsid w:val="00942D25"/>
    <w:rsid w:val="00945EC2"/>
    <w:rsid w:val="00947576"/>
    <w:rsid w:val="00950EFE"/>
    <w:rsid w:val="00951BC5"/>
    <w:rsid w:val="0096329E"/>
    <w:rsid w:val="00964FA9"/>
    <w:rsid w:val="009656C3"/>
    <w:rsid w:val="009657BC"/>
    <w:rsid w:val="009671D6"/>
    <w:rsid w:val="00976CAA"/>
    <w:rsid w:val="00976CC8"/>
    <w:rsid w:val="00977018"/>
    <w:rsid w:val="00982533"/>
    <w:rsid w:val="00992B7F"/>
    <w:rsid w:val="009935C7"/>
    <w:rsid w:val="00994689"/>
    <w:rsid w:val="009A06A3"/>
    <w:rsid w:val="009A2C64"/>
    <w:rsid w:val="009A6982"/>
    <w:rsid w:val="009A758E"/>
    <w:rsid w:val="009B4B02"/>
    <w:rsid w:val="009B7A85"/>
    <w:rsid w:val="009C172E"/>
    <w:rsid w:val="009C17CA"/>
    <w:rsid w:val="009C1C4E"/>
    <w:rsid w:val="009C3200"/>
    <w:rsid w:val="009C5C75"/>
    <w:rsid w:val="009C725D"/>
    <w:rsid w:val="009D3E7B"/>
    <w:rsid w:val="009D5B6A"/>
    <w:rsid w:val="009E3447"/>
    <w:rsid w:val="009E3D96"/>
    <w:rsid w:val="009F04D1"/>
    <w:rsid w:val="009F0C89"/>
    <w:rsid w:val="009F6A13"/>
    <w:rsid w:val="00A00C5C"/>
    <w:rsid w:val="00A05C0A"/>
    <w:rsid w:val="00A06ED0"/>
    <w:rsid w:val="00A10D75"/>
    <w:rsid w:val="00A12FE5"/>
    <w:rsid w:val="00A13904"/>
    <w:rsid w:val="00A13E0A"/>
    <w:rsid w:val="00A14CAA"/>
    <w:rsid w:val="00A155C6"/>
    <w:rsid w:val="00A16549"/>
    <w:rsid w:val="00A2097D"/>
    <w:rsid w:val="00A20D93"/>
    <w:rsid w:val="00A25B60"/>
    <w:rsid w:val="00A2718A"/>
    <w:rsid w:val="00A343A3"/>
    <w:rsid w:val="00A475CF"/>
    <w:rsid w:val="00A47DF1"/>
    <w:rsid w:val="00A50FC5"/>
    <w:rsid w:val="00A52301"/>
    <w:rsid w:val="00A52704"/>
    <w:rsid w:val="00A554A6"/>
    <w:rsid w:val="00A60416"/>
    <w:rsid w:val="00A65D2E"/>
    <w:rsid w:val="00A67874"/>
    <w:rsid w:val="00A70A38"/>
    <w:rsid w:val="00A731E7"/>
    <w:rsid w:val="00A7482E"/>
    <w:rsid w:val="00A762C2"/>
    <w:rsid w:val="00A77527"/>
    <w:rsid w:val="00A77EB6"/>
    <w:rsid w:val="00A807B6"/>
    <w:rsid w:val="00A80DA8"/>
    <w:rsid w:val="00A82648"/>
    <w:rsid w:val="00A83204"/>
    <w:rsid w:val="00A834A9"/>
    <w:rsid w:val="00A87541"/>
    <w:rsid w:val="00A90184"/>
    <w:rsid w:val="00A90465"/>
    <w:rsid w:val="00A93124"/>
    <w:rsid w:val="00A9405E"/>
    <w:rsid w:val="00A97007"/>
    <w:rsid w:val="00AA06EF"/>
    <w:rsid w:val="00AA3B20"/>
    <w:rsid w:val="00AB1395"/>
    <w:rsid w:val="00AB39AD"/>
    <w:rsid w:val="00AB6792"/>
    <w:rsid w:val="00AC37E5"/>
    <w:rsid w:val="00AC47D1"/>
    <w:rsid w:val="00AC6251"/>
    <w:rsid w:val="00AC6C04"/>
    <w:rsid w:val="00AD4374"/>
    <w:rsid w:val="00AD4963"/>
    <w:rsid w:val="00AD55C1"/>
    <w:rsid w:val="00AD76BA"/>
    <w:rsid w:val="00AE1159"/>
    <w:rsid w:val="00AE60F6"/>
    <w:rsid w:val="00AE635B"/>
    <w:rsid w:val="00AE7B8B"/>
    <w:rsid w:val="00AF201B"/>
    <w:rsid w:val="00AF4280"/>
    <w:rsid w:val="00AF736C"/>
    <w:rsid w:val="00B01257"/>
    <w:rsid w:val="00B020FB"/>
    <w:rsid w:val="00B036A2"/>
    <w:rsid w:val="00B03F04"/>
    <w:rsid w:val="00B041AF"/>
    <w:rsid w:val="00B07C7A"/>
    <w:rsid w:val="00B1229D"/>
    <w:rsid w:val="00B128EF"/>
    <w:rsid w:val="00B144CD"/>
    <w:rsid w:val="00B146B6"/>
    <w:rsid w:val="00B149B0"/>
    <w:rsid w:val="00B20754"/>
    <w:rsid w:val="00B23129"/>
    <w:rsid w:val="00B261ED"/>
    <w:rsid w:val="00B27DC1"/>
    <w:rsid w:val="00B31136"/>
    <w:rsid w:val="00B31407"/>
    <w:rsid w:val="00B317FD"/>
    <w:rsid w:val="00B32E3D"/>
    <w:rsid w:val="00B45A1D"/>
    <w:rsid w:val="00B50EA9"/>
    <w:rsid w:val="00B5250B"/>
    <w:rsid w:val="00B633A3"/>
    <w:rsid w:val="00B67610"/>
    <w:rsid w:val="00B71081"/>
    <w:rsid w:val="00B7330F"/>
    <w:rsid w:val="00B74C62"/>
    <w:rsid w:val="00B829A6"/>
    <w:rsid w:val="00B82C52"/>
    <w:rsid w:val="00B84EB9"/>
    <w:rsid w:val="00B85076"/>
    <w:rsid w:val="00B850EA"/>
    <w:rsid w:val="00B8753A"/>
    <w:rsid w:val="00B87CA9"/>
    <w:rsid w:val="00B90529"/>
    <w:rsid w:val="00B91E69"/>
    <w:rsid w:val="00B9271E"/>
    <w:rsid w:val="00B950FB"/>
    <w:rsid w:val="00B95DCA"/>
    <w:rsid w:val="00BA780E"/>
    <w:rsid w:val="00BA7AF3"/>
    <w:rsid w:val="00BB0784"/>
    <w:rsid w:val="00BB0FD6"/>
    <w:rsid w:val="00BB11A0"/>
    <w:rsid w:val="00BB146D"/>
    <w:rsid w:val="00BB1F3F"/>
    <w:rsid w:val="00BB3BD8"/>
    <w:rsid w:val="00BB3DC2"/>
    <w:rsid w:val="00BB536E"/>
    <w:rsid w:val="00BC0CB9"/>
    <w:rsid w:val="00BC139B"/>
    <w:rsid w:val="00BC4049"/>
    <w:rsid w:val="00BC4902"/>
    <w:rsid w:val="00BC77B7"/>
    <w:rsid w:val="00BC7B27"/>
    <w:rsid w:val="00BD2004"/>
    <w:rsid w:val="00BD374A"/>
    <w:rsid w:val="00BD50E2"/>
    <w:rsid w:val="00BD577A"/>
    <w:rsid w:val="00BD5861"/>
    <w:rsid w:val="00BD5C6C"/>
    <w:rsid w:val="00BD5FD8"/>
    <w:rsid w:val="00BE0BDB"/>
    <w:rsid w:val="00BE248B"/>
    <w:rsid w:val="00BE58E0"/>
    <w:rsid w:val="00BE72AC"/>
    <w:rsid w:val="00BF16EE"/>
    <w:rsid w:val="00BF1A1F"/>
    <w:rsid w:val="00BF2B8F"/>
    <w:rsid w:val="00BF4B36"/>
    <w:rsid w:val="00BF63D5"/>
    <w:rsid w:val="00BF7990"/>
    <w:rsid w:val="00C0162C"/>
    <w:rsid w:val="00C04ADD"/>
    <w:rsid w:val="00C10CB9"/>
    <w:rsid w:val="00C14022"/>
    <w:rsid w:val="00C15207"/>
    <w:rsid w:val="00C20AD2"/>
    <w:rsid w:val="00C24F7D"/>
    <w:rsid w:val="00C25058"/>
    <w:rsid w:val="00C256DB"/>
    <w:rsid w:val="00C312B4"/>
    <w:rsid w:val="00C3773F"/>
    <w:rsid w:val="00C4158C"/>
    <w:rsid w:val="00C42665"/>
    <w:rsid w:val="00C44893"/>
    <w:rsid w:val="00C466BA"/>
    <w:rsid w:val="00C50880"/>
    <w:rsid w:val="00C528CF"/>
    <w:rsid w:val="00C52B60"/>
    <w:rsid w:val="00C52F79"/>
    <w:rsid w:val="00C53574"/>
    <w:rsid w:val="00C56917"/>
    <w:rsid w:val="00C61059"/>
    <w:rsid w:val="00C61448"/>
    <w:rsid w:val="00C63E7B"/>
    <w:rsid w:val="00C64C38"/>
    <w:rsid w:val="00C65E24"/>
    <w:rsid w:val="00C71918"/>
    <w:rsid w:val="00C71931"/>
    <w:rsid w:val="00C75513"/>
    <w:rsid w:val="00C800A0"/>
    <w:rsid w:val="00C8014C"/>
    <w:rsid w:val="00C807A1"/>
    <w:rsid w:val="00C84DF9"/>
    <w:rsid w:val="00C927DC"/>
    <w:rsid w:val="00C94F77"/>
    <w:rsid w:val="00C96B6A"/>
    <w:rsid w:val="00C96E9E"/>
    <w:rsid w:val="00C97BFA"/>
    <w:rsid w:val="00CA2435"/>
    <w:rsid w:val="00CA36A4"/>
    <w:rsid w:val="00CA5536"/>
    <w:rsid w:val="00CB010A"/>
    <w:rsid w:val="00CB0CF0"/>
    <w:rsid w:val="00CB1DAA"/>
    <w:rsid w:val="00CB4330"/>
    <w:rsid w:val="00CB4683"/>
    <w:rsid w:val="00CB7544"/>
    <w:rsid w:val="00CC2344"/>
    <w:rsid w:val="00CC3503"/>
    <w:rsid w:val="00CC488B"/>
    <w:rsid w:val="00CC7E89"/>
    <w:rsid w:val="00CD18B8"/>
    <w:rsid w:val="00CD1C9E"/>
    <w:rsid w:val="00CD31D2"/>
    <w:rsid w:val="00CD620A"/>
    <w:rsid w:val="00CD70E3"/>
    <w:rsid w:val="00CD753D"/>
    <w:rsid w:val="00CE1018"/>
    <w:rsid w:val="00CE4A90"/>
    <w:rsid w:val="00CE5487"/>
    <w:rsid w:val="00CF2BC0"/>
    <w:rsid w:val="00D005D6"/>
    <w:rsid w:val="00D00A14"/>
    <w:rsid w:val="00D05826"/>
    <w:rsid w:val="00D06548"/>
    <w:rsid w:val="00D108EE"/>
    <w:rsid w:val="00D11C4C"/>
    <w:rsid w:val="00D12EAE"/>
    <w:rsid w:val="00D1367A"/>
    <w:rsid w:val="00D14E79"/>
    <w:rsid w:val="00D153EE"/>
    <w:rsid w:val="00D16262"/>
    <w:rsid w:val="00D16D74"/>
    <w:rsid w:val="00D170AC"/>
    <w:rsid w:val="00D20967"/>
    <w:rsid w:val="00D22EFF"/>
    <w:rsid w:val="00D230E8"/>
    <w:rsid w:val="00D25949"/>
    <w:rsid w:val="00D269A1"/>
    <w:rsid w:val="00D2741D"/>
    <w:rsid w:val="00D33287"/>
    <w:rsid w:val="00D33EAB"/>
    <w:rsid w:val="00D342F6"/>
    <w:rsid w:val="00D34E1C"/>
    <w:rsid w:val="00D3682F"/>
    <w:rsid w:val="00D423C5"/>
    <w:rsid w:val="00D42BC8"/>
    <w:rsid w:val="00D45A3C"/>
    <w:rsid w:val="00D505B5"/>
    <w:rsid w:val="00D509BC"/>
    <w:rsid w:val="00D50C41"/>
    <w:rsid w:val="00D54A94"/>
    <w:rsid w:val="00D55C9A"/>
    <w:rsid w:val="00D56002"/>
    <w:rsid w:val="00D6090B"/>
    <w:rsid w:val="00D62D71"/>
    <w:rsid w:val="00D633FD"/>
    <w:rsid w:val="00D63577"/>
    <w:rsid w:val="00D64835"/>
    <w:rsid w:val="00D76C8E"/>
    <w:rsid w:val="00D80B52"/>
    <w:rsid w:val="00D85C25"/>
    <w:rsid w:val="00D85E1E"/>
    <w:rsid w:val="00D915AD"/>
    <w:rsid w:val="00D922ED"/>
    <w:rsid w:val="00D96419"/>
    <w:rsid w:val="00D96B59"/>
    <w:rsid w:val="00DA0061"/>
    <w:rsid w:val="00DA0BD0"/>
    <w:rsid w:val="00DA419D"/>
    <w:rsid w:val="00DA617F"/>
    <w:rsid w:val="00DA7CB6"/>
    <w:rsid w:val="00DB03C1"/>
    <w:rsid w:val="00DB04F8"/>
    <w:rsid w:val="00DC0028"/>
    <w:rsid w:val="00DC10D5"/>
    <w:rsid w:val="00DC1ADD"/>
    <w:rsid w:val="00DC204E"/>
    <w:rsid w:val="00DC205A"/>
    <w:rsid w:val="00DC21EA"/>
    <w:rsid w:val="00DC3D51"/>
    <w:rsid w:val="00DD0C0F"/>
    <w:rsid w:val="00DD0FA6"/>
    <w:rsid w:val="00DD20DD"/>
    <w:rsid w:val="00DD4114"/>
    <w:rsid w:val="00DD5019"/>
    <w:rsid w:val="00DD61F1"/>
    <w:rsid w:val="00DD6A19"/>
    <w:rsid w:val="00DD7228"/>
    <w:rsid w:val="00DE3850"/>
    <w:rsid w:val="00DE3FD8"/>
    <w:rsid w:val="00DE580F"/>
    <w:rsid w:val="00DE5A7D"/>
    <w:rsid w:val="00DE6631"/>
    <w:rsid w:val="00DF3B7E"/>
    <w:rsid w:val="00E0005F"/>
    <w:rsid w:val="00E045BA"/>
    <w:rsid w:val="00E11A77"/>
    <w:rsid w:val="00E14C65"/>
    <w:rsid w:val="00E14FAC"/>
    <w:rsid w:val="00E16DC8"/>
    <w:rsid w:val="00E17739"/>
    <w:rsid w:val="00E305F4"/>
    <w:rsid w:val="00E331C9"/>
    <w:rsid w:val="00E340A9"/>
    <w:rsid w:val="00E362A3"/>
    <w:rsid w:val="00E363E3"/>
    <w:rsid w:val="00E3711A"/>
    <w:rsid w:val="00E409E7"/>
    <w:rsid w:val="00E4176D"/>
    <w:rsid w:val="00E430BB"/>
    <w:rsid w:val="00E457D2"/>
    <w:rsid w:val="00E4583C"/>
    <w:rsid w:val="00E5044C"/>
    <w:rsid w:val="00E51B58"/>
    <w:rsid w:val="00E5530B"/>
    <w:rsid w:val="00E614A5"/>
    <w:rsid w:val="00E63B8A"/>
    <w:rsid w:val="00E72EC1"/>
    <w:rsid w:val="00E74A6A"/>
    <w:rsid w:val="00E767F5"/>
    <w:rsid w:val="00E775F7"/>
    <w:rsid w:val="00E80A13"/>
    <w:rsid w:val="00E81C73"/>
    <w:rsid w:val="00E82A7C"/>
    <w:rsid w:val="00E82B69"/>
    <w:rsid w:val="00E87D97"/>
    <w:rsid w:val="00E90F6A"/>
    <w:rsid w:val="00E942C5"/>
    <w:rsid w:val="00E952ED"/>
    <w:rsid w:val="00E96590"/>
    <w:rsid w:val="00EA070B"/>
    <w:rsid w:val="00EA1317"/>
    <w:rsid w:val="00EA3BBF"/>
    <w:rsid w:val="00EA7984"/>
    <w:rsid w:val="00EB1CD9"/>
    <w:rsid w:val="00EB3877"/>
    <w:rsid w:val="00EB41E1"/>
    <w:rsid w:val="00EB67C0"/>
    <w:rsid w:val="00EB745C"/>
    <w:rsid w:val="00EC01C0"/>
    <w:rsid w:val="00EC5E81"/>
    <w:rsid w:val="00EC62FA"/>
    <w:rsid w:val="00EC67BB"/>
    <w:rsid w:val="00ED0301"/>
    <w:rsid w:val="00ED0308"/>
    <w:rsid w:val="00ED0C01"/>
    <w:rsid w:val="00ED249B"/>
    <w:rsid w:val="00ED4200"/>
    <w:rsid w:val="00ED544E"/>
    <w:rsid w:val="00ED7C70"/>
    <w:rsid w:val="00EE222D"/>
    <w:rsid w:val="00EE2472"/>
    <w:rsid w:val="00EE2E33"/>
    <w:rsid w:val="00EE58F0"/>
    <w:rsid w:val="00EE5EBF"/>
    <w:rsid w:val="00EF3EBC"/>
    <w:rsid w:val="00EF64B6"/>
    <w:rsid w:val="00EF7A03"/>
    <w:rsid w:val="00F05BE9"/>
    <w:rsid w:val="00F12433"/>
    <w:rsid w:val="00F127BF"/>
    <w:rsid w:val="00F16C20"/>
    <w:rsid w:val="00F17D3C"/>
    <w:rsid w:val="00F20C06"/>
    <w:rsid w:val="00F25A30"/>
    <w:rsid w:val="00F26951"/>
    <w:rsid w:val="00F26F74"/>
    <w:rsid w:val="00F271DA"/>
    <w:rsid w:val="00F2745B"/>
    <w:rsid w:val="00F276EF"/>
    <w:rsid w:val="00F30D0B"/>
    <w:rsid w:val="00F3194F"/>
    <w:rsid w:val="00F32C44"/>
    <w:rsid w:val="00F336AC"/>
    <w:rsid w:val="00F33A9F"/>
    <w:rsid w:val="00F35691"/>
    <w:rsid w:val="00F3634A"/>
    <w:rsid w:val="00F369C5"/>
    <w:rsid w:val="00F378DB"/>
    <w:rsid w:val="00F37FE9"/>
    <w:rsid w:val="00F40DA5"/>
    <w:rsid w:val="00F41A5E"/>
    <w:rsid w:val="00F41B0B"/>
    <w:rsid w:val="00F434B0"/>
    <w:rsid w:val="00F43AC4"/>
    <w:rsid w:val="00F44091"/>
    <w:rsid w:val="00F45704"/>
    <w:rsid w:val="00F4757D"/>
    <w:rsid w:val="00F514F5"/>
    <w:rsid w:val="00F5204D"/>
    <w:rsid w:val="00F54578"/>
    <w:rsid w:val="00F60665"/>
    <w:rsid w:val="00F60B95"/>
    <w:rsid w:val="00F63C4A"/>
    <w:rsid w:val="00F674B0"/>
    <w:rsid w:val="00F677DB"/>
    <w:rsid w:val="00F70489"/>
    <w:rsid w:val="00F70534"/>
    <w:rsid w:val="00F74623"/>
    <w:rsid w:val="00F760DE"/>
    <w:rsid w:val="00F76268"/>
    <w:rsid w:val="00F7734F"/>
    <w:rsid w:val="00F842D6"/>
    <w:rsid w:val="00F876B1"/>
    <w:rsid w:val="00F91080"/>
    <w:rsid w:val="00F91CDF"/>
    <w:rsid w:val="00F922AF"/>
    <w:rsid w:val="00F93849"/>
    <w:rsid w:val="00F946AD"/>
    <w:rsid w:val="00F96971"/>
    <w:rsid w:val="00FA1362"/>
    <w:rsid w:val="00FA1B16"/>
    <w:rsid w:val="00FA45AC"/>
    <w:rsid w:val="00FA4790"/>
    <w:rsid w:val="00FB0800"/>
    <w:rsid w:val="00FB52CE"/>
    <w:rsid w:val="00FB5EB8"/>
    <w:rsid w:val="00FB68DA"/>
    <w:rsid w:val="00FB6D0A"/>
    <w:rsid w:val="00FB7E64"/>
    <w:rsid w:val="00FC0F8C"/>
    <w:rsid w:val="00FC35D5"/>
    <w:rsid w:val="00FC39A1"/>
    <w:rsid w:val="00FC45CD"/>
    <w:rsid w:val="00FC4C56"/>
    <w:rsid w:val="00FC5AE8"/>
    <w:rsid w:val="00FD2997"/>
    <w:rsid w:val="00FD39FE"/>
    <w:rsid w:val="00FD44C1"/>
    <w:rsid w:val="00FD6A21"/>
    <w:rsid w:val="00FE2404"/>
    <w:rsid w:val="00FE6D0C"/>
    <w:rsid w:val="00FE7384"/>
    <w:rsid w:val="00FF2735"/>
    <w:rsid w:val="00FF55C9"/>
    <w:rsid w:val="00FF795E"/>
    <w:rsid w:val="192E9FD3"/>
    <w:rsid w:val="734F4CE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92F52"/>
  <w15:chartTrackingRefBased/>
  <w15:docId w15:val="{BBB1DCCA-0D77-4A05-A4A9-4C964DA0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4B0"/>
    <w:pPr>
      <w:spacing w:after="160" w:line="360" w:lineRule="atLeast"/>
      <w:ind w:firstLine="547"/>
    </w:pPr>
    <w:rPr>
      <w:sz w:val="26"/>
    </w:rPr>
  </w:style>
  <w:style w:type="paragraph" w:styleId="Heading1">
    <w:name w:val="heading 1"/>
    <w:basedOn w:val="Normal"/>
    <w:next w:val="Normal"/>
    <w:qFormat/>
    <w:pPr>
      <w:keepNext/>
      <w:keepLines/>
      <w:spacing w:before="320" w:line="380" w:lineRule="atLeast"/>
      <w:ind w:left="720" w:hanging="720"/>
      <w:outlineLvl w:val="0"/>
    </w:pPr>
    <w:rPr>
      <w:rFonts w:ascii="Arial" w:hAnsi="Arial"/>
      <w:b/>
      <w:sz w:val="36"/>
    </w:rPr>
  </w:style>
  <w:style w:type="paragraph" w:styleId="Heading2">
    <w:name w:val="heading 2"/>
    <w:basedOn w:val="Heading1"/>
    <w:next w:val="Normal"/>
    <w:qFormat/>
    <w:pPr>
      <w:spacing w:before="200" w:line="330" w:lineRule="atLeast"/>
      <w:outlineLvl w:val="1"/>
    </w:pPr>
    <w:rPr>
      <w:sz w:val="30"/>
    </w:rPr>
  </w:style>
  <w:style w:type="paragraph" w:styleId="Heading3">
    <w:name w:val="heading 3"/>
    <w:basedOn w:val="Normal"/>
    <w:next w:val="Normal"/>
    <w:qFormat/>
    <w:pPr>
      <w:spacing w:before="120" w:line="290" w:lineRule="atLeast"/>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next w:val="Normal"/>
    <w:pPr>
      <w:spacing w:line="340" w:lineRule="exact"/>
      <w:ind w:hanging="540"/>
    </w:pPr>
  </w:style>
  <w:style w:type="paragraph" w:customStyle="1" w:styleId="BlockQuote">
    <w:name w:val="Block Quote"/>
    <w:basedOn w:val="Normal"/>
    <w:next w:val="Normal"/>
    <w:pPr>
      <w:keepLines/>
      <w:spacing w:after="140" w:line="320" w:lineRule="atLeast"/>
      <w:ind w:left="547" w:right="547"/>
    </w:pPr>
    <w:rPr>
      <w:sz w:val="24"/>
    </w:rPr>
  </w:style>
  <w:style w:type="paragraph" w:customStyle="1" w:styleId="Folios">
    <w:name w:val="Folios"/>
    <w:basedOn w:val="Normal"/>
    <w:rPr>
      <w:rFonts w:ascii="Arial" w:hAnsi="Arial"/>
      <w:i/>
    </w:rPr>
  </w:style>
  <w:style w:type="paragraph" w:styleId="Footer">
    <w:name w:val="footer"/>
    <w:basedOn w:val="Folios"/>
    <w:pPr>
      <w:tabs>
        <w:tab w:val="right" w:pos="8640"/>
      </w:tabs>
      <w:spacing w:after="0" w:line="240" w:lineRule="auto"/>
      <w:ind w:right="-187" w:firstLine="0"/>
    </w:pPr>
    <w:rPr>
      <w:i w:val="0"/>
      <w:sz w:val="16"/>
    </w:rPr>
  </w:style>
  <w:style w:type="character" w:styleId="FootnoteReference">
    <w:name w:val="footnote reference"/>
    <w:basedOn w:val="DefaultParagraphFont"/>
    <w:rPr>
      <w:rFonts w:ascii="Times New Roman" w:hAnsi="Times New Roman"/>
      <w:color w:val="auto"/>
      <w:position w:val="6"/>
      <w:sz w:val="18"/>
    </w:rPr>
  </w:style>
  <w:style w:type="paragraph" w:styleId="FootnoteText">
    <w:name w:val="footnote text"/>
    <w:basedOn w:val="Normal"/>
    <w:pPr>
      <w:spacing w:after="120" w:line="320" w:lineRule="atLeast"/>
      <w:jc w:val="both"/>
    </w:pPr>
    <w:rPr>
      <w:sz w:val="24"/>
    </w:rPr>
  </w:style>
  <w:style w:type="paragraph" w:styleId="Header">
    <w:name w:val="header"/>
    <w:basedOn w:val="Folios"/>
    <w:link w:val="HeaderChar"/>
    <w:uiPriority w:val="99"/>
    <w:pPr>
      <w:tabs>
        <w:tab w:val="center" w:pos="4320"/>
      </w:tabs>
      <w:spacing w:after="80"/>
      <w:ind w:firstLine="0"/>
    </w:pPr>
  </w:style>
  <w:style w:type="paragraph" w:styleId="List">
    <w:name w:val="List"/>
    <w:basedOn w:val="Normal"/>
    <w:pPr>
      <w:ind w:left="547" w:hanging="547"/>
    </w:pPr>
  </w:style>
  <w:style w:type="paragraph" w:customStyle="1" w:styleId="Q">
    <w:name w:val="Q:"/>
    <w:basedOn w:val="Normal"/>
    <w:next w:val="A"/>
    <w:pPr>
      <w:spacing w:before="200" w:after="120" w:line="320" w:lineRule="exact"/>
      <w:ind w:hanging="540"/>
    </w:pPr>
    <w:rPr>
      <w:b/>
    </w:rPr>
  </w:style>
  <w:style w:type="paragraph" w:customStyle="1" w:styleId="Subhead">
    <w:name w:val="Subhead"/>
    <w:basedOn w:val="Normal"/>
    <w:next w:val="Normal"/>
    <w:pPr>
      <w:keepNext/>
      <w:keepLines/>
      <w:spacing w:before="100" w:after="40"/>
      <w:ind w:firstLine="0"/>
    </w:pPr>
    <w:rPr>
      <w:b/>
    </w:rPr>
  </w:style>
  <w:style w:type="paragraph" w:styleId="Subtitle">
    <w:name w:val="Subtitle"/>
    <w:basedOn w:val="Normal"/>
    <w:qFormat/>
    <w:pPr>
      <w:spacing w:after="320"/>
      <w:ind w:firstLine="0"/>
      <w:jc w:val="center"/>
    </w:pPr>
    <w:rPr>
      <w:rFonts w:ascii="Arial" w:hAnsi="Arial"/>
      <w:i/>
      <w:sz w:val="32"/>
    </w:rPr>
  </w:style>
  <w:style w:type="paragraph" w:customStyle="1" w:styleId="Table">
    <w:name w:val="Table"/>
    <w:basedOn w:val="Normal"/>
    <w:pPr>
      <w:spacing w:before="80" w:after="0" w:line="240" w:lineRule="auto"/>
      <w:ind w:firstLine="0"/>
    </w:pPr>
    <w:rPr>
      <w:rFonts w:ascii="Arial" w:hAnsi="Arial"/>
      <w:sz w:val="20"/>
    </w:rPr>
  </w:style>
  <w:style w:type="paragraph" w:customStyle="1" w:styleId="Testimony">
    <w:name w:val="Testimony"/>
    <w:basedOn w:val="Normal"/>
    <w:pPr>
      <w:tabs>
        <w:tab w:val="left" w:pos="1440"/>
      </w:tabs>
      <w:ind w:left="720" w:firstLine="540"/>
    </w:pPr>
  </w:style>
  <w:style w:type="paragraph" w:styleId="Title">
    <w:name w:val="Title"/>
    <w:basedOn w:val="Normal"/>
    <w:next w:val="Normal"/>
    <w:qFormat/>
    <w:pPr>
      <w:spacing w:line="480" w:lineRule="atLeast"/>
      <w:ind w:firstLine="0"/>
      <w:jc w:val="center"/>
    </w:pPr>
    <w:rPr>
      <w:rFonts w:ascii="Arial" w:hAnsi="Arial"/>
      <w:b/>
      <w:sz w:val="4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A05C0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5C0A"/>
    <w:rPr>
      <w:rFonts w:ascii="Lucida Grande" w:hAnsi="Lucida Grande" w:cs="Lucida Grande"/>
      <w:sz w:val="18"/>
      <w:szCs w:val="18"/>
    </w:rPr>
  </w:style>
  <w:style w:type="character" w:customStyle="1" w:styleId="HeaderChar">
    <w:name w:val="Header Char"/>
    <w:basedOn w:val="DefaultParagraphFont"/>
    <w:link w:val="Header"/>
    <w:uiPriority w:val="99"/>
    <w:rsid w:val="005F2184"/>
    <w:rPr>
      <w:rFonts w:ascii="Arial" w:hAnsi="Arial"/>
      <w:i/>
      <w:sz w:val="26"/>
    </w:rPr>
  </w:style>
  <w:style w:type="paragraph" w:customStyle="1" w:styleId="Default">
    <w:name w:val="Default"/>
    <w:rsid w:val="005F2184"/>
    <w:pPr>
      <w:widowControl w:val="0"/>
      <w:autoSpaceDE w:val="0"/>
      <w:autoSpaceDN w:val="0"/>
      <w:adjustRightInd w:val="0"/>
    </w:pPr>
    <w:rPr>
      <w:rFonts w:ascii="TYCZGQ+TimesNewRomanPS-BoldMT" w:eastAsiaTheme="minorEastAsia" w:hAnsi="TYCZGQ+TimesNewRomanPS-BoldMT" w:cs="TYCZGQ+TimesNewRomanPS-BoldMT"/>
      <w:color w:val="000000"/>
    </w:rPr>
  </w:style>
  <w:style w:type="character" w:styleId="CommentReference">
    <w:name w:val="annotation reference"/>
    <w:basedOn w:val="DefaultParagraphFont"/>
    <w:uiPriority w:val="99"/>
    <w:semiHidden/>
    <w:unhideWhenUsed/>
    <w:rsid w:val="00897593"/>
    <w:rPr>
      <w:sz w:val="16"/>
      <w:szCs w:val="16"/>
    </w:rPr>
  </w:style>
  <w:style w:type="paragraph" w:styleId="CommentText">
    <w:name w:val="annotation text"/>
    <w:basedOn w:val="Normal"/>
    <w:link w:val="CommentTextChar"/>
    <w:uiPriority w:val="99"/>
    <w:semiHidden/>
    <w:unhideWhenUsed/>
    <w:rsid w:val="00897593"/>
    <w:pPr>
      <w:spacing w:line="240" w:lineRule="auto"/>
    </w:pPr>
    <w:rPr>
      <w:sz w:val="20"/>
      <w:szCs w:val="20"/>
    </w:rPr>
  </w:style>
  <w:style w:type="character" w:customStyle="1" w:styleId="CommentTextChar">
    <w:name w:val="Comment Text Char"/>
    <w:basedOn w:val="DefaultParagraphFont"/>
    <w:link w:val="CommentText"/>
    <w:uiPriority w:val="99"/>
    <w:semiHidden/>
    <w:rsid w:val="00897593"/>
    <w:rPr>
      <w:sz w:val="20"/>
      <w:szCs w:val="20"/>
    </w:rPr>
  </w:style>
  <w:style w:type="paragraph" w:styleId="CommentSubject">
    <w:name w:val="annotation subject"/>
    <w:basedOn w:val="CommentText"/>
    <w:next w:val="CommentText"/>
    <w:link w:val="CommentSubjectChar"/>
    <w:uiPriority w:val="99"/>
    <w:semiHidden/>
    <w:unhideWhenUsed/>
    <w:rsid w:val="00897593"/>
    <w:rPr>
      <w:b/>
      <w:bCs/>
    </w:rPr>
  </w:style>
  <w:style w:type="character" w:customStyle="1" w:styleId="CommentSubjectChar">
    <w:name w:val="Comment Subject Char"/>
    <w:basedOn w:val="CommentTextChar"/>
    <w:link w:val="CommentSubject"/>
    <w:uiPriority w:val="99"/>
    <w:semiHidden/>
    <w:rsid w:val="008975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88087D44EFC4DBA49FC93C76641D8" ma:contentTypeVersion="35" ma:contentTypeDescription="Create a new document." ma:contentTypeScope="" ma:versionID="21982433da38e3836fd4afa4fee2fcff">
  <xsd:schema xmlns:xsd="http://www.w3.org/2001/XMLSchema" xmlns:xs="http://www.w3.org/2001/XMLSchema" xmlns:p="http://schemas.microsoft.com/office/2006/metadata/properties" xmlns:ns2="e4a291b2-2d89-402c-8e64-a2fe3eab2247" xmlns:ns3="http://schemas.microsoft.com/sharepoint/v4" xmlns:ns4="3a0c425c-8a18-4bcd-b07b-a947f609ef0c" targetNamespace="http://schemas.microsoft.com/office/2006/metadata/properties" ma:root="true" ma:fieldsID="28e4a3c50caa40e74decb20f57a1d38f" ns2:_="" ns3:_="" ns4:_="">
    <xsd:import namespace="e4a291b2-2d89-402c-8e64-a2fe3eab2247"/>
    <xsd:import namespace="http://schemas.microsoft.com/sharepoint/v4"/>
    <xsd:import namespace="3a0c425c-8a18-4bcd-b07b-a947f609ef0c"/>
    <xsd:element name="properties">
      <xsd:complexType>
        <xsd:sequence>
          <xsd:element name="documentManagement">
            <xsd:complexType>
              <xsd:all>
                <xsd:element ref="ns2:MediaServiceMetadata" minOccurs="0"/>
                <xsd:element ref="ns2:MediaServiceFastMetadata" minOccurs="0"/>
                <xsd:element ref="ns3:IconOverlay" minOccurs="0"/>
                <xsd:element ref="ns4:TaxCatchAll" minOccurs="0"/>
                <xsd:element ref="ns2:MediaServiceDateTaken" minOccurs="0"/>
                <xsd:element ref="ns2:MediaServiceAutoTags" minOccurs="0"/>
                <xsd:element ref="ns2:MediaServiceLocation" minOccurs="0"/>
                <xsd:element ref="ns4:SharedWithUsers" minOccurs="0"/>
                <xsd:element ref="ns4:SharedWithDetails" minOccurs="0"/>
                <xsd:element ref="ns4:Program_x0020_Statu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91b2-2d89-402c-8e64-a2fe3eab2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c425c-8a18-4bcd-b07b-a947f609ef0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b239220-5a85-457b-a783-6fb5b40e5e3f}" ma:internalName="TaxCatchAll" ma:showField="CatchAllData" ma:web="3a0c425c-8a18-4bcd-b07b-a947f609ef0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Program_x0020_Status" ma:index="18" nillable="true" ma:displayName="Program Status" ma:format="Dropdown" ma:indexed="true" ma:internalName="Program_x0020_Status">
      <xsd:simpleType>
        <xsd:restriction base="dms:Choice">
          <xsd:enumeration value="Approved"/>
          <xsd:enumeration value="Potential/Pending"/>
          <xsd:enumeration value="Not Approved"/>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3a0c425c-8a18-4bcd-b07b-a947f609ef0c"/>
    <Program_x0020_Status xmlns="3a0c425c-8a18-4bcd-b07b-a947f609ef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7476-257A-44E2-A977-FD0C3D7A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91b2-2d89-402c-8e64-a2fe3eab2247"/>
    <ds:schemaRef ds:uri="http://schemas.microsoft.com/sharepoint/v4"/>
    <ds:schemaRef ds:uri="3a0c425c-8a18-4bcd-b07b-a947f609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96D4D-8079-4E15-9698-E9FDD8229454}">
  <ds:schemaRefs>
    <ds:schemaRef ds:uri="http://purl.org/dc/elements/1.1/"/>
    <ds:schemaRef ds:uri="http://schemas.microsoft.com/office/2006/metadata/properties"/>
    <ds:schemaRef ds:uri="e4a291b2-2d89-402c-8e64-a2fe3eab2247"/>
    <ds:schemaRef ds:uri="http://purl.org/dc/terms/"/>
    <ds:schemaRef ds:uri="http://schemas.microsoft.com/office/2006/documentManagement/types"/>
    <ds:schemaRef ds:uri="http://schemas.microsoft.com/office/infopath/2007/PartnerControls"/>
    <ds:schemaRef ds:uri="http://purl.org/dc/dcmitype/"/>
    <ds:schemaRef ds:uri="3a0c425c-8a18-4bcd-b07b-a947f609ef0c"/>
    <ds:schemaRef ds:uri="http://schemas.openxmlformats.org/package/2006/metadata/core-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111E3659-A054-4B8D-809A-6F8B586F1D55}">
  <ds:schemaRefs>
    <ds:schemaRef ds:uri="http://schemas.microsoft.com/sharepoint/v3/contenttype/forms"/>
  </ds:schemaRefs>
</ds:datastoreItem>
</file>

<file path=customXml/itemProps4.xml><?xml version="1.0" encoding="utf-8"?>
<ds:datastoreItem xmlns:ds="http://schemas.openxmlformats.org/officeDocument/2006/customXml" ds:itemID="{4B65E446-7143-4AF9-BC47-A3A2D51C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Pages>
  <Words>1967</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Chernick</dc:creator>
  <cp:keywords/>
  <dc:description/>
  <cp:lastModifiedBy>Woldegiorgis, Shewit T</cp:lastModifiedBy>
  <cp:revision>295</cp:revision>
  <dcterms:created xsi:type="dcterms:W3CDTF">2019-11-22T18:59:00Z</dcterms:created>
  <dcterms:modified xsi:type="dcterms:W3CDTF">2020-01-02T20:15:00Z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0x01010016D88087D44EFC4DBA49FC93C76641D8</vt:lpwstr>
  </property>
</Properties>
</file>