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AD3D9" w14:textId="0FB0FC7C" w:rsidR="00C55B0E" w:rsidRPr="00D22FA6" w:rsidRDefault="0037542E" w:rsidP="00574681">
      <w:pPr>
        <w:autoSpaceDE w:val="0"/>
        <w:autoSpaceDN w:val="0"/>
        <w:adjustRightInd w:val="0"/>
        <w:rPr>
          <w:rFonts w:asciiTheme="minorHAnsi" w:hAnsiTheme="minorHAnsi" w:cstheme="minorHAnsi"/>
          <w:b/>
          <w:sz w:val="24"/>
          <w:szCs w:val="24"/>
        </w:rPr>
      </w:pPr>
      <w:bookmarkStart w:id="0" w:name="_GoBack"/>
      <w:bookmarkEnd w:id="0"/>
      <w:r w:rsidRPr="00D22FA6">
        <w:rPr>
          <w:rFonts w:asciiTheme="minorHAnsi" w:hAnsiTheme="minorHAnsi" w:cstheme="minorHAnsi"/>
          <w:b/>
          <w:sz w:val="24"/>
          <w:szCs w:val="24"/>
        </w:rPr>
        <w:t>SUBJECT:  “</w:t>
      </w:r>
      <w:r w:rsidR="001B4572" w:rsidRPr="00D22FA6">
        <w:rPr>
          <w:rFonts w:asciiTheme="minorHAnsi" w:hAnsiTheme="minorHAnsi" w:cstheme="minorHAnsi"/>
          <w:b/>
          <w:sz w:val="24"/>
          <w:szCs w:val="24"/>
        </w:rPr>
        <w:t>PROPOSED EV-HP RATE DESIGN</w:t>
      </w:r>
      <w:r w:rsidRPr="00D22FA6">
        <w:rPr>
          <w:rFonts w:asciiTheme="minorHAnsi" w:hAnsiTheme="minorHAnsi" w:cstheme="minorHAnsi"/>
          <w:b/>
          <w:sz w:val="24"/>
          <w:szCs w:val="24"/>
        </w:rPr>
        <w:t>”</w:t>
      </w:r>
    </w:p>
    <w:p w14:paraId="55FE024C" w14:textId="77777777" w:rsidR="0037542E" w:rsidRPr="00D22FA6" w:rsidRDefault="0037542E" w:rsidP="00574681">
      <w:pPr>
        <w:autoSpaceDE w:val="0"/>
        <w:autoSpaceDN w:val="0"/>
        <w:adjustRightInd w:val="0"/>
        <w:rPr>
          <w:rFonts w:asciiTheme="minorHAnsi" w:hAnsiTheme="minorHAnsi" w:cstheme="minorHAnsi"/>
          <w:sz w:val="24"/>
          <w:szCs w:val="24"/>
        </w:rPr>
      </w:pPr>
    </w:p>
    <w:p w14:paraId="196A5FD8" w14:textId="5D57E170" w:rsidR="00C55B0E" w:rsidRPr="00D22FA6" w:rsidRDefault="00574681" w:rsidP="00574681">
      <w:pPr>
        <w:autoSpaceDE w:val="0"/>
        <w:autoSpaceDN w:val="0"/>
        <w:adjustRightInd w:val="0"/>
        <w:rPr>
          <w:rFonts w:asciiTheme="minorHAnsi" w:hAnsiTheme="minorHAnsi" w:cstheme="minorHAnsi"/>
          <w:sz w:val="24"/>
          <w:szCs w:val="24"/>
        </w:rPr>
      </w:pPr>
      <w:r w:rsidRPr="00D22FA6">
        <w:rPr>
          <w:rFonts w:asciiTheme="minorHAnsi" w:hAnsiTheme="minorHAnsi" w:cstheme="minorHAnsi"/>
          <w:b/>
          <w:sz w:val="24"/>
          <w:szCs w:val="24"/>
        </w:rPr>
        <w:t xml:space="preserve">1. </w:t>
      </w:r>
      <w:r w:rsidR="003E0D6B" w:rsidRPr="00D22FA6">
        <w:rPr>
          <w:rFonts w:asciiTheme="minorHAnsi" w:hAnsiTheme="minorHAnsi" w:cstheme="minorHAnsi"/>
          <w:b/>
          <w:sz w:val="24"/>
          <w:szCs w:val="24"/>
        </w:rPr>
        <w:t>Please recalculate the proposed EV HP commodity rates using the following time-of-use (TOU) periods and using San Diego Gas and Electric Company’s (SDG&amp;E) 2019 marginal generation costs:</w:t>
      </w:r>
    </w:p>
    <w:p w14:paraId="676654AF" w14:textId="6E4D383E" w:rsidR="003E0D6B" w:rsidRPr="00D22FA6" w:rsidRDefault="003E0D6B" w:rsidP="00574681">
      <w:pPr>
        <w:autoSpaceDE w:val="0"/>
        <w:autoSpaceDN w:val="0"/>
        <w:adjustRightInd w:val="0"/>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D22FA6" w:rsidRPr="00D22FA6" w14:paraId="52F97D0B" w14:textId="77777777" w:rsidTr="001A736E">
        <w:trPr>
          <w:trHeight w:val="719"/>
        </w:trPr>
        <w:tc>
          <w:tcPr>
            <w:tcW w:w="1870" w:type="dxa"/>
          </w:tcPr>
          <w:p w14:paraId="638D8F59" w14:textId="77777777" w:rsidR="001A736E" w:rsidRPr="00D22FA6" w:rsidRDefault="001A736E" w:rsidP="00574681">
            <w:pPr>
              <w:autoSpaceDE w:val="0"/>
              <w:autoSpaceDN w:val="0"/>
              <w:adjustRightInd w:val="0"/>
              <w:rPr>
                <w:rFonts w:asciiTheme="minorHAnsi" w:hAnsiTheme="minorHAnsi" w:cstheme="minorHAnsi"/>
                <w:b/>
                <w:sz w:val="24"/>
                <w:szCs w:val="24"/>
              </w:rPr>
            </w:pPr>
          </w:p>
        </w:tc>
        <w:tc>
          <w:tcPr>
            <w:tcW w:w="1870" w:type="dxa"/>
          </w:tcPr>
          <w:p w14:paraId="48C12A5D" w14:textId="22C6F125"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Summer Weekdays</w:t>
            </w:r>
          </w:p>
        </w:tc>
        <w:tc>
          <w:tcPr>
            <w:tcW w:w="1870" w:type="dxa"/>
          </w:tcPr>
          <w:p w14:paraId="3583143E" w14:textId="1D982B52"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Summer Weekends</w:t>
            </w:r>
          </w:p>
        </w:tc>
        <w:tc>
          <w:tcPr>
            <w:tcW w:w="1870" w:type="dxa"/>
          </w:tcPr>
          <w:p w14:paraId="00AC5BEE" w14:textId="2A63E5E9"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Winter Weekdays</w:t>
            </w:r>
          </w:p>
        </w:tc>
        <w:tc>
          <w:tcPr>
            <w:tcW w:w="1870" w:type="dxa"/>
          </w:tcPr>
          <w:p w14:paraId="6F4F5EEC" w14:textId="6DB5F46B"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Winter Weekends</w:t>
            </w:r>
          </w:p>
        </w:tc>
      </w:tr>
      <w:tr w:rsidR="00D22FA6" w:rsidRPr="00D22FA6" w14:paraId="678F1EB6" w14:textId="77777777" w:rsidTr="001A736E">
        <w:trPr>
          <w:trHeight w:val="440"/>
        </w:trPr>
        <w:tc>
          <w:tcPr>
            <w:tcW w:w="1870" w:type="dxa"/>
          </w:tcPr>
          <w:p w14:paraId="483EF75F" w14:textId="458E36D0"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Peak</w:t>
            </w:r>
          </w:p>
        </w:tc>
        <w:tc>
          <w:tcPr>
            <w:tcW w:w="1870" w:type="dxa"/>
          </w:tcPr>
          <w:p w14:paraId="32A4D253" w14:textId="46041D1B"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6 PM – 10 PM</w:t>
            </w:r>
          </w:p>
        </w:tc>
        <w:tc>
          <w:tcPr>
            <w:tcW w:w="1870" w:type="dxa"/>
          </w:tcPr>
          <w:p w14:paraId="782599AF" w14:textId="2DAA54C4"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6 PM – 10 PM</w:t>
            </w:r>
          </w:p>
        </w:tc>
        <w:tc>
          <w:tcPr>
            <w:tcW w:w="1870" w:type="dxa"/>
          </w:tcPr>
          <w:p w14:paraId="5585BF1E" w14:textId="7A82AAC2"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6 PM – 10 PM</w:t>
            </w:r>
          </w:p>
        </w:tc>
        <w:tc>
          <w:tcPr>
            <w:tcW w:w="1870" w:type="dxa"/>
          </w:tcPr>
          <w:p w14:paraId="0701B526" w14:textId="01DDC03A"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6 PM – 10 PM</w:t>
            </w:r>
          </w:p>
        </w:tc>
      </w:tr>
      <w:tr w:rsidR="00D22FA6" w:rsidRPr="00D22FA6" w14:paraId="4C2075AD" w14:textId="77777777" w:rsidTr="001A736E">
        <w:trPr>
          <w:trHeight w:val="710"/>
        </w:trPr>
        <w:tc>
          <w:tcPr>
            <w:tcW w:w="1870" w:type="dxa"/>
          </w:tcPr>
          <w:p w14:paraId="789A16E3" w14:textId="6FCD9622"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Off-Peak</w:t>
            </w:r>
          </w:p>
        </w:tc>
        <w:tc>
          <w:tcPr>
            <w:tcW w:w="1870" w:type="dxa"/>
          </w:tcPr>
          <w:p w14:paraId="600EC49E" w14:textId="579A9681"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10 PM – 9 AM,</w:t>
            </w:r>
          </w:p>
          <w:p w14:paraId="4A6CFC73" w14:textId="2E9DE373"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4 PM – 6 PM</w:t>
            </w:r>
          </w:p>
        </w:tc>
        <w:tc>
          <w:tcPr>
            <w:tcW w:w="1870" w:type="dxa"/>
          </w:tcPr>
          <w:p w14:paraId="7C267433" w14:textId="77777777" w:rsidR="001A736E" w:rsidRPr="00D22FA6" w:rsidRDefault="001A736E" w:rsidP="001A736E">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10 PM – 9 AM,</w:t>
            </w:r>
          </w:p>
          <w:p w14:paraId="521D9687" w14:textId="6A44BDB7" w:rsidR="001A736E" w:rsidRPr="00D22FA6" w:rsidRDefault="001A736E" w:rsidP="001A736E">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4 PM – 6 PM</w:t>
            </w:r>
          </w:p>
        </w:tc>
        <w:tc>
          <w:tcPr>
            <w:tcW w:w="1870" w:type="dxa"/>
          </w:tcPr>
          <w:p w14:paraId="6A2EF29D" w14:textId="77777777" w:rsidR="001A736E" w:rsidRPr="00D22FA6" w:rsidRDefault="001A736E" w:rsidP="001A736E">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10 PM – 9 AM,</w:t>
            </w:r>
          </w:p>
          <w:p w14:paraId="54248F36" w14:textId="261E68C6" w:rsidR="001A736E" w:rsidRPr="00D22FA6" w:rsidRDefault="001A736E" w:rsidP="001A736E">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4 PM – 6 PM</w:t>
            </w:r>
          </w:p>
        </w:tc>
        <w:tc>
          <w:tcPr>
            <w:tcW w:w="1870" w:type="dxa"/>
          </w:tcPr>
          <w:p w14:paraId="77A63171" w14:textId="77777777" w:rsidR="001A736E" w:rsidRPr="00D22FA6" w:rsidRDefault="001A736E" w:rsidP="001A736E">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10 PM – 9 AM,</w:t>
            </w:r>
          </w:p>
          <w:p w14:paraId="1996E01D" w14:textId="3DC3C120" w:rsidR="001A736E" w:rsidRPr="00D22FA6" w:rsidRDefault="001A736E" w:rsidP="001A736E">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4 PM – 6 PM</w:t>
            </w:r>
          </w:p>
        </w:tc>
      </w:tr>
      <w:tr w:rsidR="001A736E" w:rsidRPr="00D22FA6" w14:paraId="79C3D889" w14:textId="77777777" w:rsidTr="001A736E">
        <w:trPr>
          <w:trHeight w:val="440"/>
        </w:trPr>
        <w:tc>
          <w:tcPr>
            <w:tcW w:w="1870" w:type="dxa"/>
          </w:tcPr>
          <w:p w14:paraId="144F5015" w14:textId="3E0B30F9"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Super Off-Peak</w:t>
            </w:r>
          </w:p>
        </w:tc>
        <w:tc>
          <w:tcPr>
            <w:tcW w:w="1870" w:type="dxa"/>
          </w:tcPr>
          <w:p w14:paraId="41BFEE20" w14:textId="7A834CC8"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9 AM – 4 PM</w:t>
            </w:r>
          </w:p>
        </w:tc>
        <w:tc>
          <w:tcPr>
            <w:tcW w:w="1870" w:type="dxa"/>
          </w:tcPr>
          <w:p w14:paraId="7B1F19D0" w14:textId="02060E0E"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9 AM – 4 PM</w:t>
            </w:r>
          </w:p>
        </w:tc>
        <w:tc>
          <w:tcPr>
            <w:tcW w:w="1870" w:type="dxa"/>
          </w:tcPr>
          <w:p w14:paraId="732E38BF" w14:textId="3D55D5C0"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9 AM – 4 PM</w:t>
            </w:r>
          </w:p>
        </w:tc>
        <w:tc>
          <w:tcPr>
            <w:tcW w:w="1870" w:type="dxa"/>
          </w:tcPr>
          <w:p w14:paraId="4F43DEB6" w14:textId="20F5F61B" w:rsidR="001A736E" w:rsidRPr="00D22FA6" w:rsidRDefault="001A736E"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9 AM – 4 PM</w:t>
            </w:r>
          </w:p>
        </w:tc>
      </w:tr>
    </w:tbl>
    <w:p w14:paraId="23739B29" w14:textId="0C06FA3E" w:rsidR="001A736E" w:rsidRPr="00D22FA6" w:rsidRDefault="001A736E" w:rsidP="00574681">
      <w:pPr>
        <w:autoSpaceDE w:val="0"/>
        <w:autoSpaceDN w:val="0"/>
        <w:adjustRightInd w:val="0"/>
        <w:rPr>
          <w:rFonts w:asciiTheme="minorHAnsi" w:hAnsiTheme="minorHAnsi" w:cstheme="minorHAnsi"/>
          <w:b/>
          <w:sz w:val="24"/>
          <w:szCs w:val="24"/>
        </w:rPr>
      </w:pPr>
    </w:p>
    <w:p w14:paraId="08D1A901" w14:textId="77777777" w:rsidR="001A736E" w:rsidRPr="00D22FA6" w:rsidRDefault="001A736E" w:rsidP="00574681">
      <w:pPr>
        <w:autoSpaceDE w:val="0"/>
        <w:autoSpaceDN w:val="0"/>
        <w:adjustRightInd w:val="0"/>
        <w:rPr>
          <w:rFonts w:asciiTheme="minorHAnsi" w:hAnsiTheme="minorHAnsi" w:cstheme="minorHAnsi"/>
          <w:b/>
          <w:sz w:val="24"/>
          <w:szCs w:val="24"/>
        </w:rPr>
      </w:pPr>
    </w:p>
    <w:p w14:paraId="20EB9ED6" w14:textId="161CCE96" w:rsidR="003F72BF" w:rsidRPr="00D22FA6" w:rsidRDefault="003F72BF" w:rsidP="00574681">
      <w:pPr>
        <w:autoSpaceDE w:val="0"/>
        <w:autoSpaceDN w:val="0"/>
        <w:adjustRightInd w:val="0"/>
        <w:rPr>
          <w:rFonts w:asciiTheme="minorHAnsi" w:hAnsiTheme="minorHAnsi" w:cstheme="minorHAnsi"/>
          <w:sz w:val="24"/>
          <w:szCs w:val="24"/>
        </w:rPr>
      </w:pPr>
      <w:r w:rsidRPr="00D22FA6">
        <w:rPr>
          <w:rFonts w:asciiTheme="minorHAnsi" w:hAnsiTheme="minorHAnsi" w:cstheme="minorHAnsi"/>
          <w:b/>
          <w:sz w:val="24"/>
          <w:szCs w:val="24"/>
        </w:rPr>
        <w:t xml:space="preserve">SDG&amp;E Response: </w:t>
      </w:r>
      <w:r w:rsidR="00051804" w:rsidRPr="00D22FA6">
        <w:rPr>
          <w:rFonts w:asciiTheme="minorHAnsi" w:hAnsiTheme="minorHAnsi" w:cstheme="minorHAnsi"/>
          <w:sz w:val="24"/>
          <w:szCs w:val="24"/>
        </w:rPr>
        <w:t xml:space="preserve">Per discussions with Benjamin Gutierrez, SDG&amp;E will not be providing a response to this question at this time. </w:t>
      </w:r>
    </w:p>
    <w:p w14:paraId="68A33CD3" w14:textId="2DEF75E7" w:rsidR="00B20EEB" w:rsidRPr="00D22FA6" w:rsidRDefault="00B20EEB" w:rsidP="00574681">
      <w:pPr>
        <w:autoSpaceDE w:val="0"/>
        <w:autoSpaceDN w:val="0"/>
        <w:adjustRightInd w:val="0"/>
        <w:rPr>
          <w:rFonts w:asciiTheme="minorHAnsi" w:hAnsiTheme="minorHAnsi" w:cstheme="minorHAnsi"/>
          <w:sz w:val="24"/>
          <w:szCs w:val="24"/>
        </w:rPr>
      </w:pPr>
    </w:p>
    <w:p w14:paraId="568AE6EC" w14:textId="77777777" w:rsidR="00D22FA6" w:rsidRPr="00D22FA6" w:rsidRDefault="00D22FA6" w:rsidP="00574681">
      <w:pPr>
        <w:autoSpaceDE w:val="0"/>
        <w:autoSpaceDN w:val="0"/>
        <w:adjustRightInd w:val="0"/>
        <w:rPr>
          <w:rFonts w:asciiTheme="minorHAnsi" w:hAnsiTheme="minorHAnsi" w:cstheme="minorHAnsi"/>
          <w:sz w:val="24"/>
          <w:szCs w:val="24"/>
        </w:rPr>
      </w:pPr>
    </w:p>
    <w:p w14:paraId="55F38F17" w14:textId="57B713F6" w:rsidR="00C55B0E" w:rsidRPr="00D22FA6" w:rsidRDefault="00574681"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 xml:space="preserve">2. </w:t>
      </w:r>
      <w:r w:rsidR="003E0D6B" w:rsidRPr="00D22FA6">
        <w:rPr>
          <w:rFonts w:asciiTheme="minorHAnsi" w:hAnsiTheme="minorHAnsi" w:cstheme="minorHAnsi"/>
          <w:b/>
          <w:sz w:val="24"/>
          <w:szCs w:val="24"/>
        </w:rPr>
        <w:t>Please re-calculate the proposed EV-HP commodity rates using the same TOU periods as in question 1 without including a critical peak pricing (CPP) adder. That is, there should be no reduction in volumetric rates due to inclusion of a CPP adder.</w:t>
      </w:r>
    </w:p>
    <w:p w14:paraId="2585B416" w14:textId="77777777" w:rsidR="003E0D6B" w:rsidRPr="00D22FA6" w:rsidRDefault="003E0D6B" w:rsidP="00574681">
      <w:pPr>
        <w:autoSpaceDE w:val="0"/>
        <w:autoSpaceDN w:val="0"/>
        <w:adjustRightInd w:val="0"/>
        <w:rPr>
          <w:rFonts w:asciiTheme="minorHAnsi" w:hAnsiTheme="minorHAnsi" w:cstheme="minorHAnsi"/>
          <w:sz w:val="24"/>
          <w:szCs w:val="24"/>
        </w:rPr>
      </w:pPr>
    </w:p>
    <w:p w14:paraId="023A5476" w14:textId="62B36F2C" w:rsidR="00187681" w:rsidRPr="00D22FA6" w:rsidRDefault="003F72BF" w:rsidP="00574681">
      <w:pPr>
        <w:autoSpaceDE w:val="0"/>
        <w:autoSpaceDN w:val="0"/>
        <w:adjustRightInd w:val="0"/>
        <w:rPr>
          <w:rFonts w:asciiTheme="minorHAnsi" w:hAnsiTheme="minorHAnsi" w:cstheme="minorHAnsi"/>
          <w:sz w:val="24"/>
          <w:szCs w:val="24"/>
        </w:rPr>
      </w:pPr>
      <w:r w:rsidRPr="00D22FA6">
        <w:rPr>
          <w:rFonts w:asciiTheme="minorHAnsi" w:hAnsiTheme="minorHAnsi" w:cstheme="minorHAnsi"/>
          <w:b/>
          <w:sz w:val="24"/>
          <w:szCs w:val="24"/>
        </w:rPr>
        <w:t xml:space="preserve">SDG&amp;E Response: </w:t>
      </w:r>
      <w:r w:rsidR="00A92702" w:rsidRPr="00D22FA6">
        <w:rPr>
          <w:rFonts w:asciiTheme="minorHAnsi" w:hAnsiTheme="minorHAnsi" w:cstheme="minorHAnsi"/>
          <w:sz w:val="24"/>
          <w:szCs w:val="24"/>
        </w:rPr>
        <w:t>See</w:t>
      </w:r>
      <w:r w:rsidR="00051804" w:rsidRPr="00D22FA6">
        <w:rPr>
          <w:rFonts w:asciiTheme="minorHAnsi" w:hAnsiTheme="minorHAnsi" w:cstheme="minorHAnsi"/>
          <w:sz w:val="24"/>
          <w:szCs w:val="24"/>
        </w:rPr>
        <w:t xml:space="preserve"> response to question 1</w:t>
      </w:r>
      <w:r w:rsidR="00A92702" w:rsidRPr="00D22FA6">
        <w:rPr>
          <w:rFonts w:asciiTheme="minorHAnsi" w:hAnsiTheme="minorHAnsi" w:cstheme="minorHAnsi"/>
          <w:sz w:val="24"/>
          <w:szCs w:val="24"/>
        </w:rPr>
        <w:t xml:space="preserve"> above.</w:t>
      </w:r>
    </w:p>
    <w:p w14:paraId="2C8EA80E" w14:textId="29C9DAEE" w:rsidR="003E0D6B" w:rsidRPr="00D22FA6" w:rsidRDefault="003E0D6B" w:rsidP="00574681">
      <w:pPr>
        <w:autoSpaceDE w:val="0"/>
        <w:autoSpaceDN w:val="0"/>
        <w:adjustRightInd w:val="0"/>
        <w:rPr>
          <w:rFonts w:asciiTheme="minorHAnsi" w:hAnsiTheme="minorHAnsi" w:cstheme="minorHAnsi"/>
          <w:sz w:val="24"/>
          <w:szCs w:val="24"/>
        </w:rPr>
      </w:pPr>
    </w:p>
    <w:p w14:paraId="3FE0A537" w14:textId="77777777" w:rsidR="00D22FA6" w:rsidRPr="00D22FA6" w:rsidRDefault="00D22FA6" w:rsidP="00574681">
      <w:pPr>
        <w:autoSpaceDE w:val="0"/>
        <w:autoSpaceDN w:val="0"/>
        <w:adjustRightInd w:val="0"/>
        <w:rPr>
          <w:rFonts w:asciiTheme="minorHAnsi" w:hAnsiTheme="minorHAnsi" w:cstheme="minorHAnsi"/>
          <w:sz w:val="24"/>
          <w:szCs w:val="24"/>
        </w:rPr>
      </w:pPr>
    </w:p>
    <w:p w14:paraId="7C46486A" w14:textId="364E87E6" w:rsidR="00574681" w:rsidRPr="00D22FA6" w:rsidRDefault="00574681"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 xml:space="preserve">3. </w:t>
      </w:r>
      <w:r w:rsidR="003E0D6B" w:rsidRPr="00D22FA6">
        <w:rPr>
          <w:rFonts w:asciiTheme="minorHAnsi" w:hAnsiTheme="minorHAnsi" w:cstheme="minorHAnsi"/>
          <w:b/>
          <w:sz w:val="24"/>
          <w:szCs w:val="24"/>
        </w:rPr>
        <w:t>Does San Diego Gas and Electric Company (SDG&amp;E) foresee any problems implementing new TOU periods for the proposed EV-HP rate in its billing system following completion of its customer service re-platforming (CSRP)?</w:t>
      </w:r>
    </w:p>
    <w:p w14:paraId="2F54FCDA" w14:textId="77777777" w:rsidR="003F72BF" w:rsidRPr="00D22FA6" w:rsidRDefault="003F72BF" w:rsidP="00574681">
      <w:pPr>
        <w:autoSpaceDE w:val="0"/>
        <w:autoSpaceDN w:val="0"/>
        <w:adjustRightInd w:val="0"/>
        <w:rPr>
          <w:rFonts w:asciiTheme="minorHAnsi" w:hAnsiTheme="minorHAnsi" w:cstheme="minorHAnsi"/>
          <w:sz w:val="24"/>
          <w:szCs w:val="24"/>
        </w:rPr>
      </w:pPr>
    </w:p>
    <w:p w14:paraId="19895996" w14:textId="05489904" w:rsidR="003E0D6B" w:rsidRPr="00D22FA6" w:rsidRDefault="003F72BF" w:rsidP="003E0D6B">
      <w:pPr>
        <w:autoSpaceDE w:val="0"/>
        <w:autoSpaceDN w:val="0"/>
        <w:adjustRightInd w:val="0"/>
        <w:rPr>
          <w:rFonts w:asciiTheme="minorHAnsi" w:hAnsiTheme="minorHAnsi" w:cstheme="minorBidi"/>
          <w:sz w:val="24"/>
          <w:szCs w:val="24"/>
        </w:rPr>
      </w:pPr>
      <w:r w:rsidRPr="00D22FA6">
        <w:rPr>
          <w:rFonts w:asciiTheme="minorHAnsi" w:hAnsiTheme="minorHAnsi" w:cstheme="minorBidi"/>
          <w:b/>
          <w:bCs/>
          <w:sz w:val="24"/>
          <w:szCs w:val="24"/>
        </w:rPr>
        <w:t xml:space="preserve">SDG&amp;E Response: </w:t>
      </w:r>
      <w:r w:rsidR="001F51C3" w:rsidRPr="00D22FA6">
        <w:rPr>
          <w:rFonts w:asciiTheme="minorHAnsi" w:hAnsiTheme="minorHAnsi" w:cstheme="minorBidi"/>
          <w:bCs/>
          <w:sz w:val="24"/>
          <w:szCs w:val="24"/>
        </w:rPr>
        <w:t xml:space="preserve">SDG&amp;E has not investigated the technical feasibility of implementing new TOU periods for the proposed EV-HP rates, as </w:t>
      </w:r>
      <w:r w:rsidR="007F70C6" w:rsidRPr="00D22FA6">
        <w:rPr>
          <w:rFonts w:asciiTheme="minorHAnsi" w:hAnsiTheme="minorHAnsi" w:cstheme="minorBidi"/>
          <w:bCs/>
          <w:sz w:val="24"/>
          <w:szCs w:val="24"/>
        </w:rPr>
        <w:t>it did not propose alternative TOU periods for the EV-HP rate.</w:t>
      </w:r>
    </w:p>
    <w:p w14:paraId="55C0DF52" w14:textId="282F1722" w:rsidR="005B41C6" w:rsidRPr="00D22FA6" w:rsidRDefault="005B41C6" w:rsidP="00574681">
      <w:pPr>
        <w:autoSpaceDE w:val="0"/>
        <w:autoSpaceDN w:val="0"/>
        <w:adjustRightInd w:val="0"/>
        <w:rPr>
          <w:rFonts w:asciiTheme="minorHAnsi" w:hAnsiTheme="minorHAnsi" w:cstheme="minorHAnsi"/>
          <w:sz w:val="24"/>
          <w:szCs w:val="24"/>
        </w:rPr>
      </w:pPr>
    </w:p>
    <w:p w14:paraId="31973943" w14:textId="77777777" w:rsidR="00D22FA6" w:rsidRPr="00D22FA6" w:rsidRDefault="00D22FA6" w:rsidP="00574681">
      <w:pPr>
        <w:autoSpaceDE w:val="0"/>
        <w:autoSpaceDN w:val="0"/>
        <w:adjustRightInd w:val="0"/>
        <w:rPr>
          <w:rFonts w:asciiTheme="minorHAnsi" w:hAnsiTheme="minorHAnsi" w:cstheme="minorHAnsi"/>
          <w:sz w:val="24"/>
          <w:szCs w:val="24"/>
        </w:rPr>
      </w:pPr>
    </w:p>
    <w:p w14:paraId="099D7F6E" w14:textId="4AB10E59" w:rsidR="00574681" w:rsidRPr="00D22FA6" w:rsidRDefault="00574681" w:rsidP="00574681">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 xml:space="preserve">4. </w:t>
      </w:r>
      <w:r w:rsidR="003E0D6B" w:rsidRPr="00D22FA6">
        <w:rPr>
          <w:rFonts w:asciiTheme="minorHAnsi" w:hAnsiTheme="minorHAnsi" w:cstheme="minorHAnsi"/>
          <w:b/>
          <w:sz w:val="24"/>
          <w:szCs w:val="24"/>
        </w:rPr>
        <w:t>Has SDG&amp;E considered implementing a distribution critical peak price (D-CPP) adder?</w:t>
      </w:r>
      <w:r w:rsidR="00FA3519" w:rsidRPr="00D22FA6">
        <w:rPr>
          <w:rFonts w:asciiTheme="minorHAnsi" w:hAnsiTheme="minorHAnsi" w:cstheme="minorHAnsi"/>
          <w:b/>
          <w:sz w:val="24"/>
          <w:szCs w:val="24"/>
        </w:rPr>
        <w:t xml:space="preserve"> </w:t>
      </w:r>
    </w:p>
    <w:p w14:paraId="7A2E446C" w14:textId="77777777" w:rsidR="003F72BF" w:rsidRPr="00D22FA6" w:rsidRDefault="003F72BF" w:rsidP="00574681">
      <w:pPr>
        <w:autoSpaceDE w:val="0"/>
        <w:autoSpaceDN w:val="0"/>
        <w:adjustRightInd w:val="0"/>
        <w:rPr>
          <w:rFonts w:asciiTheme="minorHAnsi" w:hAnsiTheme="minorHAnsi" w:cstheme="minorHAnsi"/>
          <w:sz w:val="24"/>
          <w:szCs w:val="24"/>
        </w:rPr>
      </w:pPr>
    </w:p>
    <w:p w14:paraId="325C9BD2" w14:textId="04412619" w:rsidR="00591DD2" w:rsidRPr="00D22FA6" w:rsidRDefault="003F72BF" w:rsidP="003E0D6B">
      <w:pPr>
        <w:autoSpaceDE w:val="0"/>
        <w:autoSpaceDN w:val="0"/>
        <w:adjustRightInd w:val="0"/>
        <w:rPr>
          <w:rFonts w:asciiTheme="minorHAnsi" w:hAnsiTheme="minorHAnsi" w:cstheme="minorBidi"/>
          <w:sz w:val="24"/>
          <w:szCs w:val="24"/>
        </w:rPr>
      </w:pPr>
      <w:r w:rsidRPr="00D22FA6">
        <w:rPr>
          <w:rFonts w:asciiTheme="minorHAnsi" w:hAnsiTheme="minorHAnsi" w:cstheme="minorBidi"/>
          <w:b/>
          <w:sz w:val="24"/>
          <w:szCs w:val="24"/>
        </w:rPr>
        <w:t xml:space="preserve">SDG&amp;E Response: </w:t>
      </w:r>
      <w:r w:rsidR="00FA3519" w:rsidRPr="00D22FA6">
        <w:rPr>
          <w:rFonts w:asciiTheme="minorHAnsi" w:hAnsiTheme="minorHAnsi" w:cstheme="minorBidi"/>
          <w:sz w:val="24"/>
          <w:szCs w:val="24"/>
        </w:rPr>
        <w:t xml:space="preserve">SDG&amp;E is currently assessing a commercial EV rate </w:t>
      </w:r>
      <w:r w:rsidR="00E23217" w:rsidRPr="00D22FA6">
        <w:rPr>
          <w:rFonts w:asciiTheme="minorHAnsi" w:hAnsiTheme="minorHAnsi" w:cstheme="minorBidi"/>
          <w:sz w:val="24"/>
          <w:szCs w:val="24"/>
        </w:rPr>
        <w:t>that includes a distribution critical peak price adder in the Green Shuttles Priority Review Project.</w:t>
      </w:r>
    </w:p>
    <w:p w14:paraId="6DA2E29A" w14:textId="77777777" w:rsidR="003E0D6B" w:rsidRPr="00D22FA6" w:rsidRDefault="003E0D6B" w:rsidP="00574681">
      <w:pPr>
        <w:autoSpaceDE w:val="0"/>
        <w:autoSpaceDN w:val="0"/>
        <w:adjustRightInd w:val="0"/>
        <w:rPr>
          <w:rFonts w:asciiTheme="minorHAnsi" w:hAnsiTheme="minorHAnsi" w:cstheme="minorHAnsi"/>
          <w:sz w:val="24"/>
          <w:szCs w:val="24"/>
        </w:rPr>
      </w:pPr>
    </w:p>
    <w:p w14:paraId="4977B7C4" w14:textId="77777777" w:rsidR="003E0D6B" w:rsidRPr="00D22FA6" w:rsidRDefault="00574681"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 xml:space="preserve">5. </w:t>
      </w:r>
      <w:r w:rsidR="003E0D6B" w:rsidRPr="00D22FA6">
        <w:rPr>
          <w:rFonts w:asciiTheme="minorHAnsi" w:hAnsiTheme="minorHAnsi" w:cstheme="minorHAnsi"/>
          <w:b/>
          <w:sz w:val="24"/>
          <w:szCs w:val="24"/>
        </w:rPr>
        <w:t>Does SDG&amp;E plan to update the EV-HP subscription charge if the Commission approves</w:t>
      </w:r>
    </w:p>
    <w:p w14:paraId="10D1B1F3" w14:textId="77777777" w:rsidR="003E0D6B"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changes to the split in SDG&amp;E’s distribution non-coincident and coincident demand charges</w:t>
      </w:r>
    </w:p>
    <w:p w14:paraId="3310A1BE" w14:textId="57A45F4A" w:rsidR="00822D6D"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in the 2019 General Rate Case (GRC) Phase 2?</w:t>
      </w:r>
    </w:p>
    <w:p w14:paraId="2019C407" w14:textId="77777777" w:rsidR="003F72BF" w:rsidRPr="00D22FA6" w:rsidRDefault="003F72BF" w:rsidP="00574681">
      <w:pPr>
        <w:autoSpaceDE w:val="0"/>
        <w:autoSpaceDN w:val="0"/>
        <w:adjustRightInd w:val="0"/>
        <w:rPr>
          <w:rFonts w:asciiTheme="minorHAnsi" w:hAnsiTheme="minorHAnsi" w:cstheme="minorHAnsi"/>
          <w:sz w:val="24"/>
          <w:szCs w:val="24"/>
        </w:rPr>
      </w:pPr>
    </w:p>
    <w:p w14:paraId="7CF50F47" w14:textId="1B88060C" w:rsidR="007A360B" w:rsidRPr="00D22FA6" w:rsidRDefault="003F72BF" w:rsidP="00574681">
      <w:pPr>
        <w:autoSpaceDE w:val="0"/>
        <w:autoSpaceDN w:val="0"/>
        <w:adjustRightInd w:val="0"/>
        <w:rPr>
          <w:rFonts w:asciiTheme="minorHAnsi" w:hAnsiTheme="minorHAnsi" w:cstheme="minorHAnsi"/>
          <w:sz w:val="24"/>
          <w:szCs w:val="24"/>
        </w:rPr>
      </w:pPr>
      <w:r w:rsidRPr="00D22FA6">
        <w:rPr>
          <w:rFonts w:asciiTheme="minorHAnsi" w:hAnsiTheme="minorHAnsi" w:cstheme="minorHAnsi"/>
          <w:b/>
          <w:sz w:val="24"/>
          <w:szCs w:val="24"/>
        </w:rPr>
        <w:t xml:space="preserve">SDG&amp;E Response: </w:t>
      </w:r>
      <w:r w:rsidR="00AB5D41" w:rsidRPr="00D22FA6">
        <w:rPr>
          <w:rFonts w:asciiTheme="minorHAnsi" w:hAnsiTheme="minorHAnsi" w:cstheme="minorHAnsi"/>
          <w:sz w:val="24"/>
          <w:szCs w:val="24"/>
        </w:rPr>
        <w:t>T</w:t>
      </w:r>
      <w:r w:rsidR="00927F77" w:rsidRPr="00D22FA6">
        <w:rPr>
          <w:rFonts w:asciiTheme="minorHAnsi" w:hAnsiTheme="minorHAnsi" w:cstheme="minorHAnsi"/>
          <w:sz w:val="24"/>
          <w:szCs w:val="24"/>
        </w:rPr>
        <w:t xml:space="preserve">he </w:t>
      </w:r>
      <w:r w:rsidR="00F07243" w:rsidRPr="00D22FA6">
        <w:rPr>
          <w:rFonts w:asciiTheme="minorHAnsi" w:hAnsiTheme="minorHAnsi" w:cstheme="minorHAnsi"/>
          <w:sz w:val="24"/>
          <w:szCs w:val="24"/>
        </w:rPr>
        <w:t xml:space="preserve">EV-HP </w:t>
      </w:r>
      <w:r w:rsidR="00927F77" w:rsidRPr="00D22FA6">
        <w:rPr>
          <w:rFonts w:asciiTheme="minorHAnsi" w:hAnsiTheme="minorHAnsi" w:cstheme="minorHAnsi"/>
          <w:sz w:val="24"/>
          <w:szCs w:val="24"/>
        </w:rPr>
        <w:t xml:space="preserve">subscription charge </w:t>
      </w:r>
      <w:r w:rsidR="00F07243" w:rsidRPr="00D22FA6">
        <w:rPr>
          <w:rFonts w:asciiTheme="minorHAnsi" w:hAnsiTheme="minorHAnsi" w:cstheme="minorHAnsi"/>
          <w:sz w:val="24"/>
          <w:szCs w:val="24"/>
        </w:rPr>
        <w:t xml:space="preserve">presented in SDG&amp;E’s </w:t>
      </w:r>
      <w:r w:rsidR="00701B42" w:rsidRPr="00D22FA6">
        <w:rPr>
          <w:rFonts w:asciiTheme="minorHAnsi" w:hAnsiTheme="minorHAnsi" w:cstheme="minorHAnsi"/>
          <w:sz w:val="24"/>
          <w:szCs w:val="24"/>
        </w:rPr>
        <w:t xml:space="preserve">Application </w:t>
      </w:r>
      <w:r w:rsidR="00927F77" w:rsidRPr="00D22FA6">
        <w:rPr>
          <w:rFonts w:asciiTheme="minorHAnsi" w:hAnsiTheme="minorHAnsi" w:cstheme="minorHAnsi"/>
          <w:sz w:val="24"/>
          <w:szCs w:val="24"/>
        </w:rPr>
        <w:t xml:space="preserve">will be updated anytime there </w:t>
      </w:r>
      <w:r w:rsidR="00B100A2" w:rsidRPr="00D22FA6">
        <w:rPr>
          <w:rFonts w:asciiTheme="minorHAnsi" w:hAnsiTheme="minorHAnsi" w:cstheme="minorHAnsi"/>
          <w:sz w:val="24"/>
          <w:szCs w:val="24"/>
        </w:rPr>
        <w:t>are</w:t>
      </w:r>
      <w:r w:rsidR="00927F77" w:rsidRPr="00D22FA6">
        <w:rPr>
          <w:rFonts w:asciiTheme="minorHAnsi" w:hAnsiTheme="minorHAnsi" w:cstheme="minorHAnsi"/>
          <w:sz w:val="24"/>
          <w:szCs w:val="24"/>
        </w:rPr>
        <w:t xml:space="preserve"> change</w:t>
      </w:r>
      <w:r w:rsidR="00B100A2" w:rsidRPr="00D22FA6">
        <w:rPr>
          <w:rFonts w:asciiTheme="minorHAnsi" w:hAnsiTheme="minorHAnsi" w:cstheme="minorHAnsi"/>
          <w:sz w:val="24"/>
          <w:szCs w:val="24"/>
        </w:rPr>
        <w:t>s</w:t>
      </w:r>
      <w:r w:rsidR="00927F77" w:rsidRPr="00D22FA6">
        <w:rPr>
          <w:rFonts w:asciiTheme="minorHAnsi" w:hAnsiTheme="minorHAnsi" w:cstheme="minorHAnsi"/>
          <w:sz w:val="24"/>
          <w:szCs w:val="24"/>
        </w:rPr>
        <w:t xml:space="preserve"> in </w:t>
      </w:r>
      <w:r w:rsidR="004441B2" w:rsidRPr="00D22FA6">
        <w:rPr>
          <w:rFonts w:asciiTheme="minorHAnsi" w:hAnsiTheme="minorHAnsi" w:cstheme="minorHAnsi"/>
          <w:sz w:val="24"/>
          <w:szCs w:val="24"/>
        </w:rPr>
        <w:t xml:space="preserve">distribution revenue requirements and/or changes in </w:t>
      </w:r>
      <w:r w:rsidR="00701B42" w:rsidRPr="00D22FA6">
        <w:rPr>
          <w:rFonts w:asciiTheme="minorHAnsi" w:hAnsiTheme="minorHAnsi" w:cstheme="minorHAnsi"/>
          <w:sz w:val="24"/>
          <w:szCs w:val="24"/>
        </w:rPr>
        <w:t xml:space="preserve">the </w:t>
      </w:r>
      <w:r w:rsidR="005D6848" w:rsidRPr="00D22FA6">
        <w:rPr>
          <w:rFonts w:asciiTheme="minorHAnsi" w:hAnsiTheme="minorHAnsi" w:cstheme="minorHAnsi"/>
          <w:sz w:val="24"/>
          <w:szCs w:val="24"/>
        </w:rPr>
        <w:t xml:space="preserve">distribution demand charge structure to recover </w:t>
      </w:r>
      <w:r w:rsidR="00834570" w:rsidRPr="00D22FA6">
        <w:rPr>
          <w:rFonts w:asciiTheme="minorHAnsi" w:hAnsiTheme="minorHAnsi" w:cstheme="minorHAnsi"/>
          <w:sz w:val="24"/>
          <w:szCs w:val="24"/>
        </w:rPr>
        <w:t xml:space="preserve">the allocated </w:t>
      </w:r>
      <w:r w:rsidR="00B10634" w:rsidRPr="00D22FA6">
        <w:rPr>
          <w:rFonts w:asciiTheme="minorHAnsi" w:hAnsiTheme="minorHAnsi" w:cstheme="minorHAnsi"/>
          <w:sz w:val="24"/>
          <w:szCs w:val="24"/>
        </w:rPr>
        <w:t xml:space="preserve">distribution </w:t>
      </w:r>
      <w:r w:rsidR="005D6848" w:rsidRPr="00D22FA6">
        <w:rPr>
          <w:rFonts w:asciiTheme="minorHAnsi" w:hAnsiTheme="minorHAnsi" w:cstheme="minorHAnsi"/>
          <w:sz w:val="24"/>
          <w:szCs w:val="24"/>
        </w:rPr>
        <w:t>revenues from the Medium/Large Commercial &amp; Industrial</w:t>
      </w:r>
      <w:r w:rsidR="004C3EBB" w:rsidRPr="00D22FA6">
        <w:rPr>
          <w:rFonts w:asciiTheme="minorHAnsi" w:hAnsiTheme="minorHAnsi" w:cstheme="minorHAnsi"/>
          <w:sz w:val="24"/>
          <w:szCs w:val="24"/>
        </w:rPr>
        <w:t xml:space="preserve"> </w:t>
      </w:r>
      <w:r w:rsidR="00154E3F" w:rsidRPr="00D22FA6">
        <w:rPr>
          <w:rFonts w:asciiTheme="minorHAnsi" w:hAnsiTheme="minorHAnsi" w:cstheme="minorHAnsi"/>
          <w:sz w:val="24"/>
          <w:szCs w:val="24"/>
        </w:rPr>
        <w:t>(“M/L C&amp;I</w:t>
      </w:r>
      <w:r w:rsidR="004E4872" w:rsidRPr="00D22FA6">
        <w:rPr>
          <w:rFonts w:asciiTheme="minorHAnsi" w:hAnsiTheme="minorHAnsi" w:cstheme="minorHAnsi"/>
          <w:sz w:val="24"/>
          <w:szCs w:val="24"/>
        </w:rPr>
        <w:t>”</w:t>
      </w:r>
      <w:r w:rsidR="00154E3F" w:rsidRPr="00D22FA6">
        <w:rPr>
          <w:rFonts w:asciiTheme="minorHAnsi" w:hAnsiTheme="minorHAnsi" w:cstheme="minorHAnsi"/>
          <w:sz w:val="24"/>
          <w:szCs w:val="24"/>
        </w:rPr>
        <w:t xml:space="preserve">) </w:t>
      </w:r>
      <w:r w:rsidR="004C3EBB" w:rsidRPr="00D22FA6">
        <w:rPr>
          <w:rFonts w:asciiTheme="minorHAnsi" w:hAnsiTheme="minorHAnsi" w:cstheme="minorHAnsi"/>
          <w:sz w:val="24"/>
          <w:szCs w:val="24"/>
        </w:rPr>
        <w:t xml:space="preserve">customer class.  </w:t>
      </w:r>
      <w:r w:rsidR="00FF6495" w:rsidRPr="00D22FA6">
        <w:rPr>
          <w:rFonts w:asciiTheme="minorHAnsi" w:hAnsiTheme="minorHAnsi" w:cstheme="minorHAnsi"/>
          <w:sz w:val="24"/>
          <w:szCs w:val="24"/>
        </w:rPr>
        <w:t xml:space="preserve">Therefore, </w:t>
      </w:r>
      <w:r w:rsidR="00DF4F8B" w:rsidRPr="00D22FA6">
        <w:rPr>
          <w:rFonts w:asciiTheme="minorHAnsi" w:hAnsiTheme="minorHAnsi" w:cstheme="minorHAnsi"/>
          <w:sz w:val="24"/>
          <w:szCs w:val="24"/>
        </w:rPr>
        <w:t xml:space="preserve">the EV-HP subscription charge will be updated to reflect </w:t>
      </w:r>
      <w:r w:rsidR="00FF6495" w:rsidRPr="00D22FA6">
        <w:rPr>
          <w:rFonts w:asciiTheme="minorHAnsi" w:hAnsiTheme="minorHAnsi" w:cstheme="minorHAnsi"/>
          <w:sz w:val="24"/>
          <w:szCs w:val="24"/>
        </w:rPr>
        <w:t>any change</w:t>
      </w:r>
      <w:r w:rsidR="00227155" w:rsidRPr="00D22FA6">
        <w:rPr>
          <w:rFonts w:asciiTheme="minorHAnsi" w:hAnsiTheme="minorHAnsi" w:cstheme="minorHAnsi"/>
          <w:sz w:val="24"/>
          <w:szCs w:val="24"/>
        </w:rPr>
        <w:t>s</w:t>
      </w:r>
      <w:r w:rsidR="00FF6495" w:rsidRPr="00D22FA6">
        <w:rPr>
          <w:rFonts w:asciiTheme="minorHAnsi" w:hAnsiTheme="minorHAnsi" w:cstheme="minorHAnsi"/>
          <w:sz w:val="24"/>
          <w:szCs w:val="24"/>
        </w:rPr>
        <w:t xml:space="preserve"> to non-coincident and coincide</w:t>
      </w:r>
      <w:r w:rsidR="00B76F65" w:rsidRPr="00D22FA6">
        <w:rPr>
          <w:rFonts w:asciiTheme="minorHAnsi" w:hAnsiTheme="minorHAnsi" w:cstheme="minorHAnsi"/>
          <w:sz w:val="24"/>
          <w:szCs w:val="24"/>
        </w:rPr>
        <w:t>nt demand charges adopted in SDG&amp;E 2019 GRC Phase 2 (A.19-03-002)</w:t>
      </w:r>
      <w:r w:rsidR="00DF4F8B" w:rsidRPr="00D22FA6">
        <w:rPr>
          <w:rFonts w:asciiTheme="minorHAnsi" w:hAnsiTheme="minorHAnsi" w:cstheme="minorHAnsi"/>
          <w:sz w:val="24"/>
          <w:szCs w:val="24"/>
        </w:rPr>
        <w:t>.</w:t>
      </w:r>
      <w:r w:rsidR="00B76F65" w:rsidRPr="00D22FA6">
        <w:rPr>
          <w:rFonts w:asciiTheme="minorHAnsi" w:hAnsiTheme="minorHAnsi" w:cstheme="minorHAnsi"/>
          <w:sz w:val="24"/>
          <w:szCs w:val="24"/>
        </w:rPr>
        <w:t xml:space="preserve"> </w:t>
      </w:r>
    </w:p>
    <w:p w14:paraId="706471E8" w14:textId="117C84E0" w:rsidR="007A360B" w:rsidRPr="00D22FA6" w:rsidRDefault="007A360B" w:rsidP="00574681">
      <w:pPr>
        <w:autoSpaceDE w:val="0"/>
        <w:autoSpaceDN w:val="0"/>
        <w:adjustRightInd w:val="0"/>
        <w:rPr>
          <w:rFonts w:asciiTheme="minorHAnsi" w:hAnsiTheme="minorHAnsi" w:cstheme="minorHAnsi"/>
          <w:sz w:val="24"/>
          <w:szCs w:val="24"/>
        </w:rPr>
      </w:pPr>
    </w:p>
    <w:p w14:paraId="71024E6D" w14:textId="77777777" w:rsidR="00D22FA6" w:rsidRPr="00D22FA6" w:rsidRDefault="00D22FA6" w:rsidP="00574681">
      <w:pPr>
        <w:autoSpaceDE w:val="0"/>
        <w:autoSpaceDN w:val="0"/>
        <w:adjustRightInd w:val="0"/>
        <w:rPr>
          <w:rFonts w:asciiTheme="minorHAnsi" w:hAnsiTheme="minorHAnsi" w:cstheme="minorHAnsi"/>
          <w:sz w:val="24"/>
          <w:szCs w:val="24"/>
        </w:rPr>
      </w:pPr>
    </w:p>
    <w:p w14:paraId="287E1938" w14:textId="77777777" w:rsidR="003E0D6B" w:rsidRPr="00D22FA6" w:rsidRDefault="003F72BF"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 xml:space="preserve">6. </w:t>
      </w:r>
      <w:r w:rsidR="003E0D6B" w:rsidRPr="00D22FA6">
        <w:rPr>
          <w:rFonts w:asciiTheme="minorHAnsi" w:hAnsiTheme="minorHAnsi" w:cstheme="minorHAnsi"/>
          <w:b/>
          <w:sz w:val="24"/>
          <w:szCs w:val="24"/>
        </w:rPr>
        <w:t>In its response to the Public Advocates Office’s DR 4 question 4, SDG&amp;E states the</w:t>
      </w:r>
    </w:p>
    <w:p w14:paraId="089A355D" w14:textId="77777777" w:rsidR="003E0D6B"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following:</w:t>
      </w:r>
    </w:p>
    <w:p w14:paraId="3069F56A" w14:textId="77777777" w:rsidR="003E0D6B" w:rsidRPr="00D22FA6" w:rsidRDefault="003E0D6B" w:rsidP="003E0D6B">
      <w:pPr>
        <w:autoSpaceDE w:val="0"/>
        <w:autoSpaceDN w:val="0"/>
        <w:adjustRightInd w:val="0"/>
        <w:rPr>
          <w:rFonts w:asciiTheme="minorHAnsi" w:hAnsiTheme="minorHAnsi" w:cstheme="minorHAnsi"/>
          <w:b/>
          <w:sz w:val="24"/>
          <w:szCs w:val="24"/>
        </w:rPr>
      </w:pPr>
    </w:p>
    <w:p w14:paraId="472072E1" w14:textId="5F7D1628" w:rsidR="003F72BF" w:rsidRPr="00D22FA6" w:rsidRDefault="003E0D6B" w:rsidP="003E0D6B">
      <w:pPr>
        <w:autoSpaceDE w:val="0"/>
        <w:autoSpaceDN w:val="0"/>
        <w:adjustRightInd w:val="0"/>
        <w:ind w:left="720"/>
        <w:rPr>
          <w:rFonts w:asciiTheme="minorHAnsi" w:hAnsiTheme="minorHAnsi" w:cstheme="minorHAnsi"/>
          <w:b/>
          <w:sz w:val="24"/>
          <w:szCs w:val="24"/>
        </w:rPr>
      </w:pPr>
      <w:r w:rsidRPr="00D22FA6">
        <w:rPr>
          <w:rFonts w:asciiTheme="minorHAnsi" w:hAnsiTheme="minorHAnsi" w:cstheme="minorHAnsi"/>
          <w:b/>
          <w:sz w:val="24"/>
          <w:szCs w:val="24"/>
        </w:rPr>
        <w:t>“Once SDG&amp;E has the information on customers being served on EV-HP, SDG&amp;E will incorporate this information into its next GRC Phase 2 proceeding to reflect the load and resulting cost information to serve EV-HP customers. Until such EV-HP information is included in SDG&amp;E’s GRC Phase 2 proceedings, distribution on-peak revenue undercollections or over-collections that result under the EV-HP distribution rates will be handled in SDG&amp;E’s two-way distribution balancing account based on the authorized allocation for distribution revenues.”</w:t>
      </w:r>
    </w:p>
    <w:p w14:paraId="2406F9BE" w14:textId="3AA7ADF0" w:rsidR="003E0D6B" w:rsidRPr="00D22FA6" w:rsidRDefault="003E0D6B" w:rsidP="003E0D6B">
      <w:pPr>
        <w:autoSpaceDE w:val="0"/>
        <w:autoSpaceDN w:val="0"/>
        <w:adjustRightInd w:val="0"/>
        <w:rPr>
          <w:rFonts w:asciiTheme="minorHAnsi" w:hAnsiTheme="minorHAnsi" w:cstheme="minorHAnsi"/>
          <w:b/>
          <w:sz w:val="24"/>
          <w:szCs w:val="24"/>
        </w:rPr>
      </w:pPr>
    </w:p>
    <w:p w14:paraId="4DC8A7B4" w14:textId="766F7275" w:rsidR="003E0D6B"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What does SDG&amp;E mean when it says it will reflect “load and resulting cost information to serve EV-HP customers” in the next GRC Phase 2? Does this mean SDG&amp;E will incorporate EV HP customers’ usage characteristics into the cost of service of the medium/large commercial class as a whole? Will any annual distribution revenue under-collections/overcollections be compensated for (brought to zero) by adjusting the rate design of the medium/large commercial class as a whole, or of only the EV-HP rate?</w:t>
      </w:r>
    </w:p>
    <w:p w14:paraId="3FE45766" w14:textId="77777777" w:rsidR="003E0D6B" w:rsidRPr="00D22FA6" w:rsidRDefault="003E0D6B" w:rsidP="003F72BF">
      <w:pPr>
        <w:autoSpaceDE w:val="0"/>
        <w:autoSpaceDN w:val="0"/>
        <w:adjustRightInd w:val="0"/>
        <w:rPr>
          <w:rFonts w:asciiTheme="minorHAnsi" w:hAnsiTheme="minorHAnsi" w:cstheme="minorHAnsi"/>
          <w:sz w:val="24"/>
          <w:szCs w:val="24"/>
        </w:rPr>
      </w:pPr>
    </w:p>
    <w:p w14:paraId="618B2023" w14:textId="7E953CC0" w:rsidR="00F427CC" w:rsidRPr="00D22FA6" w:rsidRDefault="003F72BF" w:rsidP="003F72BF">
      <w:pPr>
        <w:autoSpaceDE w:val="0"/>
        <w:autoSpaceDN w:val="0"/>
        <w:adjustRightInd w:val="0"/>
        <w:rPr>
          <w:rFonts w:asciiTheme="minorHAnsi" w:hAnsiTheme="minorHAnsi" w:cstheme="minorHAnsi"/>
          <w:sz w:val="24"/>
          <w:szCs w:val="24"/>
        </w:rPr>
      </w:pPr>
      <w:r w:rsidRPr="00D22FA6">
        <w:rPr>
          <w:rFonts w:asciiTheme="minorHAnsi" w:hAnsiTheme="minorHAnsi" w:cstheme="minorHAnsi"/>
          <w:b/>
          <w:sz w:val="24"/>
          <w:szCs w:val="24"/>
        </w:rPr>
        <w:t xml:space="preserve">SDG&amp;E Response: </w:t>
      </w:r>
      <w:r w:rsidR="0064108F" w:rsidRPr="00D22FA6">
        <w:rPr>
          <w:rFonts w:asciiTheme="minorHAnsi" w:hAnsiTheme="minorHAnsi" w:cstheme="minorHAnsi"/>
          <w:sz w:val="24"/>
          <w:szCs w:val="24"/>
        </w:rPr>
        <w:t>GRC Phase 2 proceedings</w:t>
      </w:r>
      <w:r w:rsidR="003F37D9" w:rsidRPr="00D22FA6">
        <w:rPr>
          <w:rFonts w:asciiTheme="minorHAnsi" w:hAnsiTheme="minorHAnsi" w:cstheme="minorHAnsi"/>
          <w:sz w:val="24"/>
          <w:szCs w:val="24"/>
        </w:rPr>
        <w:t xml:space="preserve"> develop </w:t>
      </w:r>
      <w:r w:rsidR="00D86203" w:rsidRPr="00D22FA6">
        <w:rPr>
          <w:rFonts w:asciiTheme="minorHAnsi" w:hAnsiTheme="minorHAnsi" w:cstheme="minorHAnsi"/>
          <w:sz w:val="24"/>
          <w:szCs w:val="24"/>
        </w:rPr>
        <w:t xml:space="preserve">marginal </w:t>
      </w:r>
      <w:r w:rsidR="00D02075" w:rsidRPr="00D22FA6">
        <w:rPr>
          <w:rFonts w:asciiTheme="minorHAnsi" w:hAnsiTheme="minorHAnsi" w:cstheme="minorHAnsi"/>
          <w:sz w:val="24"/>
          <w:szCs w:val="24"/>
        </w:rPr>
        <w:t xml:space="preserve">distribution </w:t>
      </w:r>
      <w:r w:rsidR="00D86203" w:rsidRPr="00D22FA6">
        <w:rPr>
          <w:rFonts w:asciiTheme="minorHAnsi" w:hAnsiTheme="minorHAnsi" w:cstheme="minorHAnsi"/>
          <w:sz w:val="24"/>
          <w:szCs w:val="24"/>
        </w:rPr>
        <w:t>costs based on the usage and demand cha</w:t>
      </w:r>
      <w:r w:rsidR="00657CD5" w:rsidRPr="00D22FA6">
        <w:rPr>
          <w:rFonts w:asciiTheme="minorHAnsi" w:hAnsiTheme="minorHAnsi" w:cstheme="minorHAnsi"/>
          <w:sz w:val="24"/>
          <w:szCs w:val="24"/>
        </w:rPr>
        <w:t>ract</w:t>
      </w:r>
      <w:r w:rsidR="00086AA2" w:rsidRPr="00D22FA6">
        <w:rPr>
          <w:rFonts w:asciiTheme="minorHAnsi" w:hAnsiTheme="minorHAnsi" w:cstheme="minorHAnsi"/>
          <w:sz w:val="24"/>
          <w:szCs w:val="24"/>
        </w:rPr>
        <w:t>eristics of the customers SDG&amp;E</w:t>
      </w:r>
      <w:r w:rsidR="00CC61E7" w:rsidRPr="00D22FA6">
        <w:rPr>
          <w:rFonts w:asciiTheme="minorHAnsi" w:hAnsiTheme="minorHAnsi" w:cstheme="minorHAnsi"/>
          <w:sz w:val="24"/>
          <w:szCs w:val="24"/>
        </w:rPr>
        <w:t xml:space="preserve"> serves.  </w:t>
      </w:r>
      <w:r w:rsidR="009310C6" w:rsidRPr="00D22FA6">
        <w:rPr>
          <w:rFonts w:asciiTheme="minorHAnsi" w:hAnsiTheme="minorHAnsi" w:cstheme="minorHAnsi"/>
          <w:sz w:val="24"/>
          <w:szCs w:val="24"/>
        </w:rPr>
        <w:t xml:space="preserve">For this reason, as stated by </w:t>
      </w:r>
      <w:r w:rsidR="004B05E4" w:rsidRPr="00D22FA6">
        <w:rPr>
          <w:rFonts w:asciiTheme="minorHAnsi" w:hAnsiTheme="minorHAnsi" w:cstheme="minorHAnsi"/>
          <w:sz w:val="24"/>
          <w:szCs w:val="24"/>
        </w:rPr>
        <w:t>“load and resulting cost information to serve EV-HP customers”</w:t>
      </w:r>
      <w:r w:rsidR="00572330" w:rsidRPr="00D22FA6">
        <w:rPr>
          <w:rFonts w:asciiTheme="minorHAnsi" w:hAnsiTheme="minorHAnsi" w:cstheme="minorHAnsi"/>
          <w:sz w:val="24"/>
          <w:szCs w:val="24"/>
        </w:rPr>
        <w:t xml:space="preserve"> in the above quotation</w:t>
      </w:r>
      <w:r w:rsidR="004B05E4" w:rsidRPr="00D22FA6">
        <w:rPr>
          <w:rFonts w:asciiTheme="minorHAnsi" w:hAnsiTheme="minorHAnsi" w:cstheme="minorHAnsi"/>
          <w:sz w:val="24"/>
          <w:szCs w:val="24"/>
        </w:rPr>
        <w:t xml:space="preserve"> </w:t>
      </w:r>
      <w:r w:rsidR="000B1EC3" w:rsidRPr="00D22FA6">
        <w:rPr>
          <w:rFonts w:asciiTheme="minorHAnsi" w:hAnsiTheme="minorHAnsi" w:cstheme="minorHAnsi"/>
          <w:sz w:val="24"/>
          <w:szCs w:val="24"/>
        </w:rPr>
        <w:t xml:space="preserve">SDG&amp;E will incorporate the </w:t>
      </w:r>
      <w:r w:rsidR="006145DC" w:rsidRPr="00D22FA6">
        <w:rPr>
          <w:rFonts w:asciiTheme="minorHAnsi" w:hAnsiTheme="minorHAnsi" w:cstheme="minorHAnsi"/>
          <w:sz w:val="24"/>
          <w:szCs w:val="24"/>
        </w:rPr>
        <w:t xml:space="preserve">load characteristics (energy and demand </w:t>
      </w:r>
      <w:r w:rsidR="003F6FF9" w:rsidRPr="00D22FA6">
        <w:rPr>
          <w:rFonts w:asciiTheme="minorHAnsi" w:hAnsiTheme="minorHAnsi" w:cstheme="minorHAnsi"/>
          <w:sz w:val="24"/>
          <w:szCs w:val="24"/>
        </w:rPr>
        <w:t xml:space="preserve">data) of EV-HP customers SDG&amp;E is serving at the time of the GRC Phase 2 </w:t>
      </w:r>
      <w:r w:rsidR="00D23CDB" w:rsidRPr="00D22FA6">
        <w:rPr>
          <w:rFonts w:asciiTheme="minorHAnsi" w:hAnsiTheme="minorHAnsi" w:cstheme="minorHAnsi"/>
          <w:sz w:val="24"/>
          <w:szCs w:val="24"/>
        </w:rPr>
        <w:t xml:space="preserve">filing.  </w:t>
      </w:r>
      <w:r w:rsidR="00C31098" w:rsidRPr="00D22FA6">
        <w:rPr>
          <w:rFonts w:asciiTheme="minorHAnsi" w:hAnsiTheme="minorHAnsi" w:cstheme="minorHAnsi"/>
          <w:sz w:val="24"/>
          <w:szCs w:val="24"/>
        </w:rPr>
        <w:t>The treatment of the distribution on-peak under</w:t>
      </w:r>
      <w:r w:rsidR="004B06F6" w:rsidRPr="00D22FA6">
        <w:rPr>
          <w:rFonts w:asciiTheme="minorHAnsi" w:hAnsiTheme="minorHAnsi" w:cstheme="minorHAnsi"/>
          <w:sz w:val="24"/>
          <w:szCs w:val="24"/>
        </w:rPr>
        <w:t>-</w:t>
      </w:r>
      <w:r w:rsidR="00C31098" w:rsidRPr="00D22FA6">
        <w:rPr>
          <w:rFonts w:asciiTheme="minorHAnsi" w:hAnsiTheme="minorHAnsi" w:cstheme="minorHAnsi"/>
          <w:sz w:val="24"/>
          <w:szCs w:val="24"/>
        </w:rPr>
        <w:t xml:space="preserve">collections/overcollections </w:t>
      </w:r>
      <w:r w:rsidR="00FB21B7" w:rsidRPr="00D22FA6">
        <w:rPr>
          <w:rFonts w:asciiTheme="minorHAnsi" w:hAnsiTheme="minorHAnsi" w:cstheme="minorHAnsi"/>
          <w:sz w:val="24"/>
          <w:szCs w:val="24"/>
        </w:rPr>
        <w:t xml:space="preserve">due to the EV-HP rates will be decided in the </w:t>
      </w:r>
      <w:r w:rsidR="001A2259" w:rsidRPr="00D22FA6">
        <w:rPr>
          <w:rFonts w:asciiTheme="minorHAnsi" w:hAnsiTheme="minorHAnsi" w:cstheme="minorHAnsi"/>
          <w:sz w:val="24"/>
          <w:szCs w:val="24"/>
        </w:rPr>
        <w:t xml:space="preserve">GRC Phase 2 filing </w:t>
      </w:r>
      <w:r w:rsidR="00F53830" w:rsidRPr="00D22FA6">
        <w:rPr>
          <w:rFonts w:asciiTheme="minorHAnsi" w:hAnsiTheme="minorHAnsi" w:cstheme="minorHAnsi"/>
          <w:sz w:val="24"/>
          <w:szCs w:val="24"/>
        </w:rPr>
        <w:t xml:space="preserve">that incorporates the EV-HP load and resulting cost information.  </w:t>
      </w:r>
    </w:p>
    <w:p w14:paraId="4E126665" w14:textId="77777777" w:rsidR="00F427CC" w:rsidRPr="00D22FA6" w:rsidRDefault="00F427CC" w:rsidP="003F72BF">
      <w:pPr>
        <w:autoSpaceDE w:val="0"/>
        <w:autoSpaceDN w:val="0"/>
        <w:adjustRightInd w:val="0"/>
        <w:rPr>
          <w:rFonts w:asciiTheme="minorHAnsi" w:hAnsiTheme="minorHAnsi" w:cstheme="minorHAnsi"/>
          <w:sz w:val="24"/>
          <w:szCs w:val="24"/>
        </w:rPr>
      </w:pPr>
    </w:p>
    <w:p w14:paraId="0E1A3B3F" w14:textId="00A11491" w:rsidR="003E0D6B" w:rsidRPr="00D22FA6" w:rsidRDefault="00C43AB7" w:rsidP="003F72BF">
      <w:pPr>
        <w:autoSpaceDE w:val="0"/>
        <w:autoSpaceDN w:val="0"/>
        <w:adjustRightInd w:val="0"/>
        <w:rPr>
          <w:rFonts w:asciiTheme="minorHAnsi" w:hAnsiTheme="minorHAnsi" w:cstheme="minorHAnsi"/>
          <w:sz w:val="24"/>
          <w:szCs w:val="24"/>
        </w:rPr>
      </w:pPr>
      <w:r w:rsidRPr="00D22FA6">
        <w:rPr>
          <w:rFonts w:asciiTheme="minorHAnsi" w:hAnsiTheme="minorHAnsi" w:cstheme="minorHAnsi"/>
          <w:sz w:val="24"/>
          <w:szCs w:val="24"/>
        </w:rPr>
        <w:lastRenderedPageBreak/>
        <w:t xml:space="preserve">Unless SDG&amp;E </w:t>
      </w:r>
      <w:r w:rsidR="003F5759" w:rsidRPr="00D22FA6">
        <w:rPr>
          <w:rFonts w:asciiTheme="minorHAnsi" w:hAnsiTheme="minorHAnsi" w:cstheme="minorHAnsi"/>
          <w:sz w:val="24"/>
          <w:szCs w:val="24"/>
        </w:rPr>
        <w:t xml:space="preserve">proposes separate treatment in the GRC </w:t>
      </w:r>
      <w:r w:rsidR="004A0B2A" w:rsidRPr="00D22FA6">
        <w:rPr>
          <w:rFonts w:asciiTheme="minorHAnsi" w:hAnsiTheme="minorHAnsi" w:cstheme="minorHAnsi"/>
          <w:sz w:val="24"/>
          <w:szCs w:val="24"/>
        </w:rPr>
        <w:t xml:space="preserve">Phase 2 filing or any other rate design filing to </w:t>
      </w:r>
      <w:r w:rsidR="00693BA6" w:rsidRPr="00D22FA6">
        <w:rPr>
          <w:rFonts w:asciiTheme="minorHAnsi" w:hAnsiTheme="minorHAnsi" w:cstheme="minorHAnsi"/>
          <w:sz w:val="24"/>
          <w:szCs w:val="24"/>
        </w:rPr>
        <w:t>allocate</w:t>
      </w:r>
      <w:r w:rsidR="004A0B2A" w:rsidRPr="00D22FA6">
        <w:rPr>
          <w:rFonts w:asciiTheme="minorHAnsi" w:hAnsiTheme="minorHAnsi" w:cstheme="minorHAnsi"/>
          <w:sz w:val="24"/>
          <w:szCs w:val="24"/>
        </w:rPr>
        <w:t xml:space="preserve"> the </w:t>
      </w:r>
      <w:r w:rsidR="00F43EC1" w:rsidRPr="00D22FA6">
        <w:rPr>
          <w:rFonts w:asciiTheme="minorHAnsi" w:hAnsiTheme="minorHAnsi" w:cstheme="minorHAnsi"/>
          <w:sz w:val="24"/>
          <w:szCs w:val="24"/>
        </w:rPr>
        <w:t xml:space="preserve">resulting </w:t>
      </w:r>
      <w:r w:rsidR="00693BA6" w:rsidRPr="00D22FA6">
        <w:rPr>
          <w:rFonts w:asciiTheme="minorHAnsi" w:hAnsiTheme="minorHAnsi" w:cstheme="minorHAnsi"/>
          <w:sz w:val="24"/>
          <w:szCs w:val="24"/>
        </w:rPr>
        <w:t>distribution on-peak under</w:t>
      </w:r>
      <w:r w:rsidR="004B06F6" w:rsidRPr="00D22FA6">
        <w:rPr>
          <w:rFonts w:asciiTheme="minorHAnsi" w:hAnsiTheme="minorHAnsi" w:cstheme="minorHAnsi"/>
          <w:sz w:val="24"/>
          <w:szCs w:val="24"/>
        </w:rPr>
        <w:t>-</w:t>
      </w:r>
      <w:r w:rsidR="00693BA6" w:rsidRPr="00D22FA6">
        <w:rPr>
          <w:rFonts w:asciiTheme="minorHAnsi" w:hAnsiTheme="minorHAnsi" w:cstheme="minorHAnsi"/>
          <w:sz w:val="24"/>
          <w:szCs w:val="24"/>
        </w:rPr>
        <w:t xml:space="preserve">collections/overcollections </w:t>
      </w:r>
      <w:r w:rsidR="00F43EC1" w:rsidRPr="00D22FA6">
        <w:rPr>
          <w:rFonts w:asciiTheme="minorHAnsi" w:hAnsiTheme="minorHAnsi" w:cstheme="minorHAnsi"/>
          <w:sz w:val="24"/>
          <w:szCs w:val="24"/>
        </w:rPr>
        <w:t xml:space="preserve">to </w:t>
      </w:r>
      <w:r w:rsidR="000E3D5C" w:rsidRPr="00D22FA6">
        <w:rPr>
          <w:rFonts w:asciiTheme="minorHAnsi" w:hAnsiTheme="minorHAnsi" w:cstheme="minorHAnsi"/>
          <w:sz w:val="24"/>
          <w:szCs w:val="24"/>
        </w:rPr>
        <w:t>only the EV-HP customers</w:t>
      </w:r>
      <w:r w:rsidR="00F427CC" w:rsidRPr="00D22FA6">
        <w:rPr>
          <w:rFonts w:asciiTheme="minorHAnsi" w:hAnsiTheme="minorHAnsi" w:cstheme="minorHAnsi"/>
          <w:sz w:val="24"/>
          <w:szCs w:val="24"/>
        </w:rPr>
        <w:t>,</w:t>
      </w:r>
      <w:r w:rsidR="000E3D5C" w:rsidRPr="00D22FA6">
        <w:rPr>
          <w:rFonts w:asciiTheme="minorHAnsi" w:hAnsiTheme="minorHAnsi" w:cstheme="minorHAnsi"/>
          <w:sz w:val="24"/>
          <w:szCs w:val="24"/>
        </w:rPr>
        <w:t xml:space="preserve"> the distribution on-peak under</w:t>
      </w:r>
      <w:r w:rsidR="004B06F6" w:rsidRPr="00D22FA6">
        <w:rPr>
          <w:rFonts w:asciiTheme="minorHAnsi" w:hAnsiTheme="minorHAnsi" w:cstheme="minorHAnsi"/>
          <w:sz w:val="24"/>
          <w:szCs w:val="24"/>
        </w:rPr>
        <w:t>-</w:t>
      </w:r>
      <w:r w:rsidR="000E3D5C" w:rsidRPr="00D22FA6">
        <w:rPr>
          <w:rFonts w:asciiTheme="minorHAnsi" w:hAnsiTheme="minorHAnsi" w:cstheme="minorHAnsi"/>
          <w:sz w:val="24"/>
          <w:szCs w:val="24"/>
        </w:rPr>
        <w:t xml:space="preserve">collections/overcollections will </w:t>
      </w:r>
      <w:r w:rsidR="00871862" w:rsidRPr="00D22FA6">
        <w:rPr>
          <w:rFonts w:asciiTheme="minorHAnsi" w:hAnsiTheme="minorHAnsi" w:cstheme="minorHAnsi"/>
          <w:sz w:val="24"/>
          <w:szCs w:val="24"/>
        </w:rPr>
        <w:t xml:space="preserve">be </w:t>
      </w:r>
      <w:r w:rsidR="00E3597F" w:rsidRPr="00D22FA6">
        <w:rPr>
          <w:rFonts w:asciiTheme="minorHAnsi" w:hAnsiTheme="minorHAnsi" w:cstheme="minorHAnsi"/>
          <w:sz w:val="24"/>
          <w:szCs w:val="24"/>
        </w:rPr>
        <w:t xml:space="preserve">recovered </w:t>
      </w:r>
      <w:r w:rsidR="00DA5A65" w:rsidRPr="00D22FA6">
        <w:rPr>
          <w:rFonts w:asciiTheme="minorHAnsi" w:hAnsiTheme="minorHAnsi" w:cstheme="minorHAnsi"/>
          <w:sz w:val="24"/>
          <w:szCs w:val="24"/>
        </w:rPr>
        <w:t>from the M/L C&amp;I customer class</w:t>
      </w:r>
      <w:r w:rsidR="00693BA6" w:rsidRPr="00D22FA6">
        <w:rPr>
          <w:rFonts w:asciiTheme="minorHAnsi" w:hAnsiTheme="minorHAnsi" w:cstheme="minorHAnsi"/>
          <w:sz w:val="24"/>
          <w:szCs w:val="24"/>
        </w:rPr>
        <w:t xml:space="preserve"> </w:t>
      </w:r>
      <w:r w:rsidR="00154E3F" w:rsidRPr="00D22FA6">
        <w:rPr>
          <w:rFonts w:asciiTheme="minorHAnsi" w:hAnsiTheme="minorHAnsi" w:cstheme="minorHAnsi"/>
          <w:sz w:val="24"/>
          <w:szCs w:val="24"/>
        </w:rPr>
        <w:t xml:space="preserve">through the development of the </w:t>
      </w:r>
      <w:r w:rsidR="009374A7" w:rsidRPr="00D22FA6">
        <w:rPr>
          <w:rFonts w:asciiTheme="minorHAnsi" w:hAnsiTheme="minorHAnsi" w:cstheme="minorHAnsi"/>
          <w:sz w:val="24"/>
          <w:szCs w:val="24"/>
        </w:rPr>
        <w:t xml:space="preserve">M/L C&amp;I </w:t>
      </w:r>
      <w:r w:rsidR="00154E3F" w:rsidRPr="00D22FA6">
        <w:rPr>
          <w:rFonts w:asciiTheme="minorHAnsi" w:hAnsiTheme="minorHAnsi" w:cstheme="minorHAnsi"/>
          <w:sz w:val="24"/>
          <w:szCs w:val="24"/>
        </w:rPr>
        <w:t>distribution</w:t>
      </w:r>
      <w:r w:rsidR="009374A7" w:rsidRPr="00D22FA6">
        <w:rPr>
          <w:rFonts w:asciiTheme="minorHAnsi" w:hAnsiTheme="minorHAnsi" w:cstheme="minorHAnsi"/>
          <w:sz w:val="24"/>
          <w:szCs w:val="24"/>
        </w:rPr>
        <w:t xml:space="preserve"> rates to recover the allocated distribution on-peak revenues.</w:t>
      </w:r>
    </w:p>
    <w:p w14:paraId="48768CCF" w14:textId="1130A200" w:rsidR="007A360B" w:rsidRPr="00D22FA6" w:rsidRDefault="007A360B" w:rsidP="003F72BF">
      <w:pPr>
        <w:autoSpaceDE w:val="0"/>
        <w:autoSpaceDN w:val="0"/>
        <w:adjustRightInd w:val="0"/>
        <w:rPr>
          <w:rFonts w:asciiTheme="minorHAnsi" w:hAnsiTheme="minorHAnsi" w:cstheme="minorHAnsi"/>
          <w:sz w:val="24"/>
          <w:szCs w:val="24"/>
        </w:rPr>
      </w:pPr>
    </w:p>
    <w:p w14:paraId="11C39845" w14:textId="77777777" w:rsidR="00D22FA6" w:rsidRPr="00D22FA6" w:rsidRDefault="00D22FA6" w:rsidP="003F72BF">
      <w:pPr>
        <w:autoSpaceDE w:val="0"/>
        <w:autoSpaceDN w:val="0"/>
        <w:adjustRightInd w:val="0"/>
        <w:rPr>
          <w:rFonts w:asciiTheme="minorHAnsi" w:hAnsiTheme="minorHAnsi" w:cstheme="minorHAnsi"/>
          <w:sz w:val="24"/>
          <w:szCs w:val="24"/>
        </w:rPr>
      </w:pPr>
    </w:p>
    <w:p w14:paraId="41E1F21D" w14:textId="3E9E9DB2" w:rsidR="003E0D6B" w:rsidRPr="00D22FA6" w:rsidRDefault="003F72BF"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 xml:space="preserve">7. </w:t>
      </w:r>
      <w:r w:rsidR="003E0D6B" w:rsidRPr="00D22FA6">
        <w:rPr>
          <w:rFonts w:asciiTheme="minorHAnsi" w:hAnsiTheme="minorHAnsi" w:cstheme="minorHAnsi"/>
          <w:b/>
          <w:sz w:val="24"/>
          <w:szCs w:val="24"/>
        </w:rPr>
        <w:t>In the next GRC Phase 2, will SDG&amp;E update the EV-HP rates using billing determinants</w:t>
      </w:r>
    </w:p>
    <w:p w14:paraId="26875E5C" w14:textId="145631E1" w:rsidR="003F72BF"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unique to the EV-HP rate schedule?</w:t>
      </w:r>
    </w:p>
    <w:p w14:paraId="49C446E6" w14:textId="77777777" w:rsidR="003E0D6B" w:rsidRPr="00D22FA6" w:rsidRDefault="003E0D6B" w:rsidP="003E0D6B">
      <w:pPr>
        <w:autoSpaceDE w:val="0"/>
        <w:autoSpaceDN w:val="0"/>
        <w:adjustRightInd w:val="0"/>
        <w:rPr>
          <w:rFonts w:asciiTheme="minorHAnsi" w:hAnsiTheme="minorHAnsi" w:cstheme="minorHAnsi"/>
          <w:sz w:val="24"/>
          <w:szCs w:val="24"/>
        </w:rPr>
      </w:pPr>
    </w:p>
    <w:p w14:paraId="0C376F7A" w14:textId="01DB2807" w:rsidR="0037570E" w:rsidRPr="00D22FA6" w:rsidRDefault="003F72BF" w:rsidP="003F72BF">
      <w:pPr>
        <w:autoSpaceDE w:val="0"/>
        <w:autoSpaceDN w:val="0"/>
        <w:adjustRightInd w:val="0"/>
        <w:rPr>
          <w:rFonts w:asciiTheme="minorHAnsi" w:hAnsiTheme="minorHAnsi" w:cstheme="minorHAnsi"/>
          <w:sz w:val="24"/>
          <w:szCs w:val="24"/>
        </w:rPr>
      </w:pPr>
      <w:r w:rsidRPr="00D22FA6">
        <w:rPr>
          <w:rFonts w:asciiTheme="minorHAnsi" w:hAnsiTheme="minorHAnsi" w:cstheme="minorHAnsi"/>
          <w:b/>
          <w:sz w:val="24"/>
          <w:szCs w:val="24"/>
        </w:rPr>
        <w:t>SDG&amp;E Response:</w:t>
      </w:r>
      <w:r w:rsidR="002C5907" w:rsidRPr="00D22FA6">
        <w:rPr>
          <w:rFonts w:asciiTheme="minorHAnsi" w:hAnsiTheme="minorHAnsi" w:cstheme="minorHAnsi"/>
          <w:b/>
          <w:sz w:val="24"/>
          <w:szCs w:val="24"/>
        </w:rPr>
        <w:t xml:space="preserve"> </w:t>
      </w:r>
      <w:r w:rsidR="003116A8" w:rsidRPr="00D22FA6">
        <w:rPr>
          <w:rFonts w:asciiTheme="minorHAnsi" w:hAnsiTheme="minorHAnsi" w:cstheme="minorHAnsi"/>
          <w:sz w:val="24"/>
          <w:szCs w:val="24"/>
        </w:rPr>
        <w:t>As explained in the Prepared Direct Testimony of William G. Saxe</w:t>
      </w:r>
      <w:r w:rsidR="000A550E" w:rsidRPr="00D22FA6">
        <w:rPr>
          <w:rFonts w:asciiTheme="minorHAnsi" w:hAnsiTheme="minorHAnsi" w:cstheme="minorHAnsi"/>
          <w:sz w:val="24"/>
          <w:szCs w:val="24"/>
        </w:rPr>
        <w:t>, b</w:t>
      </w:r>
      <w:r w:rsidR="00030772" w:rsidRPr="00D22FA6">
        <w:rPr>
          <w:rFonts w:asciiTheme="minorHAnsi" w:hAnsiTheme="minorHAnsi" w:cstheme="minorHAnsi"/>
          <w:sz w:val="24"/>
          <w:szCs w:val="24"/>
        </w:rPr>
        <w:t xml:space="preserve">ecause EV-HP customers </w:t>
      </w:r>
      <w:r w:rsidR="00AC3B3A" w:rsidRPr="00D22FA6">
        <w:rPr>
          <w:rFonts w:asciiTheme="minorHAnsi" w:hAnsiTheme="minorHAnsi" w:cstheme="minorHAnsi"/>
          <w:sz w:val="24"/>
          <w:szCs w:val="24"/>
        </w:rPr>
        <w:t xml:space="preserve">represent customers </w:t>
      </w:r>
      <w:r w:rsidR="00DE0597" w:rsidRPr="00D22FA6">
        <w:rPr>
          <w:rFonts w:asciiTheme="minorHAnsi" w:hAnsiTheme="minorHAnsi" w:cstheme="minorHAnsi"/>
          <w:sz w:val="24"/>
          <w:szCs w:val="24"/>
        </w:rPr>
        <w:t xml:space="preserve">in the M/L C&amp;I customers class the </w:t>
      </w:r>
      <w:r w:rsidR="00811292" w:rsidRPr="00D22FA6">
        <w:rPr>
          <w:rFonts w:asciiTheme="minorHAnsi" w:hAnsiTheme="minorHAnsi" w:cstheme="minorHAnsi"/>
          <w:sz w:val="24"/>
          <w:szCs w:val="24"/>
        </w:rPr>
        <w:t xml:space="preserve">proposed </w:t>
      </w:r>
      <w:r w:rsidR="00DE0597" w:rsidRPr="00D22FA6">
        <w:rPr>
          <w:rFonts w:asciiTheme="minorHAnsi" w:hAnsiTheme="minorHAnsi" w:cstheme="minorHAnsi"/>
          <w:sz w:val="24"/>
          <w:szCs w:val="24"/>
        </w:rPr>
        <w:t xml:space="preserve">EV-HP rates are based on </w:t>
      </w:r>
      <w:r w:rsidR="004F7DBB" w:rsidRPr="00D22FA6">
        <w:rPr>
          <w:rFonts w:asciiTheme="minorHAnsi" w:hAnsiTheme="minorHAnsi" w:cstheme="minorHAnsi"/>
          <w:sz w:val="24"/>
          <w:szCs w:val="24"/>
        </w:rPr>
        <w:t xml:space="preserve">modifications to </w:t>
      </w:r>
      <w:r w:rsidR="00607182" w:rsidRPr="00D22FA6">
        <w:rPr>
          <w:rFonts w:asciiTheme="minorHAnsi" w:hAnsiTheme="minorHAnsi" w:cstheme="minorHAnsi"/>
          <w:sz w:val="24"/>
          <w:szCs w:val="24"/>
        </w:rPr>
        <w:t>standard M/L C&amp;I rate (</w:t>
      </w:r>
      <w:r w:rsidR="00CA02D6" w:rsidRPr="00D22FA6">
        <w:rPr>
          <w:rFonts w:asciiTheme="minorHAnsi" w:hAnsiTheme="minorHAnsi" w:cstheme="minorHAnsi"/>
          <w:sz w:val="24"/>
          <w:szCs w:val="24"/>
        </w:rPr>
        <w:t>Schedule AL-TOU</w:t>
      </w:r>
      <w:r w:rsidR="00607182" w:rsidRPr="00D22FA6">
        <w:rPr>
          <w:rFonts w:asciiTheme="minorHAnsi" w:hAnsiTheme="minorHAnsi" w:cstheme="minorHAnsi"/>
          <w:sz w:val="24"/>
          <w:szCs w:val="24"/>
        </w:rPr>
        <w:t>).</w:t>
      </w:r>
      <w:r w:rsidR="003E355E" w:rsidRPr="00D22FA6">
        <w:rPr>
          <w:rFonts w:asciiTheme="minorHAnsi" w:hAnsiTheme="minorHAnsi" w:cstheme="minorHAnsi"/>
          <w:sz w:val="24"/>
          <w:szCs w:val="24"/>
        </w:rPr>
        <w:t xml:space="preserve">  </w:t>
      </w:r>
      <w:r w:rsidR="005126CC" w:rsidRPr="00D22FA6">
        <w:rPr>
          <w:rFonts w:asciiTheme="minorHAnsi" w:hAnsiTheme="minorHAnsi" w:cstheme="minorHAnsi"/>
          <w:sz w:val="24"/>
          <w:szCs w:val="24"/>
        </w:rPr>
        <w:t xml:space="preserve">Since </w:t>
      </w:r>
      <w:r w:rsidR="00D348DE" w:rsidRPr="00D22FA6">
        <w:rPr>
          <w:rFonts w:asciiTheme="minorHAnsi" w:hAnsiTheme="minorHAnsi" w:cstheme="minorHAnsi"/>
          <w:sz w:val="24"/>
          <w:szCs w:val="24"/>
        </w:rPr>
        <w:t>rate</w:t>
      </w:r>
      <w:r w:rsidR="00AA031F" w:rsidRPr="00D22FA6">
        <w:rPr>
          <w:rFonts w:asciiTheme="minorHAnsi" w:hAnsiTheme="minorHAnsi" w:cstheme="minorHAnsi"/>
          <w:sz w:val="24"/>
          <w:szCs w:val="24"/>
        </w:rPr>
        <w:t xml:space="preserve"> design</w:t>
      </w:r>
      <w:r w:rsidR="00D348DE" w:rsidRPr="00D22FA6">
        <w:rPr>
          <w:rFonts w:asciiTheme="minorHAnsi" w:hAnsiTheme="minorHAnsi" w:cstheme="minorHAnsi"/>
          <w:sz w:val="24"/>
          <w:szCs w:val="24"/>
        </w:rPr>
        <w:t xml:space="preserve"> </w:t>
      </w:r>
      <w:r w:rsidR="00187DF3" w:rsidRPr="00D22FA6">
        <w:rPr>
          <w:rFonts w:asciiTheme="minorHAnsi" w:hAnsiTheme="minorHAnsi" w:cstheme="minorHAnsi"/>
          <w:sz w:val="24"/>
          <w:szCs w:val="24"/>
        </w:rPr>
        <w:t>is</w:t>
      </w:r>
      <w:r w:rsidR="00001C12" w:rsidRPr="00D22FA6">
        <w:rPr>
          <w:rFonts w:asciiTheme="minorHAnsi" w:hAnsiTheme="minorHAnsi" w:cstheme="minorHAnsi"/>
          <w:sz w:val="24"/>
          <w:szCs w:val="24"/>
        </w:rPr>
        <w:t xml:space="preserve"> based on </w:t>
      </w:r>
      <w:r w:rsidR="005126CC" w:rsidRPr="00D22FA6">
        <w:rPr>
          <w:rFonts w:asciiTheme="minorHAnsi" w:hAnsiTheme="minorHAnsi" w:cstheme="minorHAnsi"/>
          <w:sz w:val="24"/>
          <w:szCs w:val="24"/>
        </w:rPr>
        <w:t xml:space="preserve">billing determinants </w:t>
      </w:r>
      <w:r w:rsidR="00532FB1" w:rsidRPr="00D22FA6">
        <w:rPr>
          <w:rFonts w:asciiTheme="minorHAnsi" w:hAnsiTheme="minorHAnsi" w:cstheme="minorHAnsi"/>
          <w:sz w:val="24"/>
          <w:szCs w:val="24"/>
        </w:rPr>
        <w:t>of customer classes</w:t>
      </w:r>
      <w:r w:rsidR="005126CC" w:rsidRPr="00D22FA6">
        <w:rPr>
          <w:rFonts w:asciiTheme="minorHAnsi" w:hAnsiTheme="minorHAnsi" w:cstheme="minorHAnsi"/>
          <w:sz w:val="24"/>
          <w:szCs w:val="24"/>
        </w:rPr>
        <w:t xml:space="preserve"> and not specific rate</w:t>
      </w:r>
      <w:r w:rsidR="00476DEA" w:rsidRPr="00D22FA6">
        <w:rPr>
          <w:rFonts w:asciiTheme="minorHAnsi" w:hAnsiTheme="minorHAnsi" w:cstheme="minorHAnsi"/>
          <w:sz w:val="24"/>
          <w:szCs w:val="24"/>
        </w:rPr>
        <w:t xml:space="preserve"> schedule</w:t>
      </w:r>
      <w:r w:rsidR="005126CC" w:rsidRPr="00D22FA6">
        <w:rPr>
          <w:rFonts w:asciiTheme="minorHAnsi" w:hAnsiTheme="minorHAnsi" w:cstheme="minorHAnsi"/>
          <w:sz w:val="24"/>
          <w:szCs w:val="24"/>
        </w:rPr>
        <w:t xml:space="preserve">s, </w:t>
      </w:r>
      <w:r w:rsidR="00D119F6" w:rsidRPr="00D22FA6">
        <w:rPr>
          <w:rFonts w:asciiTheme="minorHAnsi" w:hAnsiTheme="minorHAnsi" w:cstheme="minorHAnsi"/>
          <w:sz w:val="24"/>
          <w:szCs w:val="24"/>
        </w:rPr>
        <w:t xml:space="preserve">the EV-HP rates in SDG&amp;E’s next GRC </w:t>
      </w:r>
      <w:r w:rsidR="00476DEA" w:rsidRPr="00D22FA6">
        <w:rPr>
          <w:rFonts w:asciiTheme="minorHAnsi" w:hAnsiTheme="minorHAnsi" w:cstheme="minorHAnsi"/>
          <w:sz w:val="24"/>
          <w:szCs w:val="24"/>
        </w:rPr>
        <w:t xml:space="preserve">Phase 2 will be updated </w:t>
      </w:r>
      <w:r w:rsidR="00574B72" w:rsidRPr="00D22FA6">
        <w:rPr>
          <w:rFonts w:asciiTheme="minorHAnsi" w:hAnsiTheme="minorHAnsi" w:cstheme="minorHAnsi"/>
          <w:sz w:val="24"/>
          <w:szCs w:val="24"/>
        </w:rPr>
        <w:t xml:space="preserve">to reflect billing determinants </w:t>
      </w:r>
      <w:r w:rsidR="00476DEA" w:rsidRPr="00D22FA6">
        <w:rPr>
          <w:rFonts w:asciiTheme="minorHAnsi" w:hAnsiTheme="minorHAnsi" w:cstheme="minorHAnsi"/>
          <w:sz w:val="24"/>
          <w:szCs w:val="24"/>
        </w:rPr>
        <w:t xml:space="preserve">of the M/L C&amp;I class as a whole. </w:t>
      </w:r>
    </w:p>
    <w:p w14:paraId="6389A0E4" w14:textId="77777777" w:rsidR="0037570E" w:rsidRPr="00D22FA6" w:rsidRDefault="0037570E" w:rsidP="003F72BF">
      <w:pPr>
        <w:autoSpaceDE w:val="0"/>
        <w:autoSpaceDN w:val="0"/>
        <w:adjustRightInd w:val="0"/>
        <w:rPr>
          <w:rFonts w:asciiTheme="minorHAnsi" w:hAnsiTheme="minorHAnsi" w:cstheme="minorHAnsi"/>
          <w:sz w:val="24"/>
          <w:szCs w:val="24"/>
        </w:rPr>
      </w:pPr>
    </w:p>
    <w:p w14:paraId="0B9ADCA1" w14:textId="2930301E" w:rsidR="003E0D6B" w:rsidRPr="00D22FA6" w:rsidRDefault="002C00DA" w:rsidP="003F72BF">
      <w:pPr>
        <w:autoSpaceDE w:val="0"/>
        <w:autoSpaceDN w:val="0"/>
        <w:adjustRightInd w:val="0"/>
        <w:rPr>
          <w:rFonts w:asciiTheme="minorHAnsi" w:hAnsiTheme="minorHAnsi" w:cstheme="minorHAnsi"/>
          <w:b/>
          <w:sz w:val="24"/>
          <w:szCs w:val="24"/>
        </w:rPr>
      </w:pPr>
      <w:r w:rsidRPr="00D22FA6">
        <w:rPr>
          <w:rFonts w:asciiTheme="minorHAnsi" w:hAnsiTheme="minorHAnsi" w:cstheme="minorHAnsi"/>
          <w:sz w:val="24"/>
          <w:szCs w:val="24"/>
        </w:rPr>
        <w:t>The EV-HP rate will not be updated using billing determinants unique to the EV-HP rate schedule</w:t>
      </w:r>
      <w:r w:rsidR="00574B72" w:rsidRPr="00D22FA6">
        <w:rPr>
          <w:rFonts w:asciiTheme="minorHAnsi" w:hAnsiTheme="minorHAnsi" w:cstheme="minorHAnsi"/>
          <w:sz w:val="24"/>
          <w:szCs w:val="24"/>
        </w:rPr>
        <w:t xml:space="preserve"> unless </w:t>
      </w:r>
      <w:r w:rsidR="003F3CB0" w:rsidRPr="00D22FA6">
        <w:rPr>
          <w:rFonts w:asciiTheme="minorHAnsi" w:hAnsiTheme="minorHAnsi" w:cstheme="minorHAnsi"/>
          <w:sz w:val="24"/>
          <w:szCs w:val="24"/>
        </w:rPr>
        <w:t xml:space="preserve">the decision is made to propose a separate </w:t>
      </w:r>
      <w:r w:rsidRPr="00D22FA6">
        <w:rPr>
          <w:rFonts w:asciiTheme="minorHAnsi" w:hAnsiTheme="minorHAnsi" w:cstheme="minorHAnsi"/>
          <w:sz w:val="24"/>
          <w:szCs w:val="24"/>
        </w:rPr>
        <w:t>commercial EV charging customer class</w:t>
      </w:r>
      <w:r w:rsidR="003F3CB0" w:rsidRPr="00D22FA6">
        <w:rPr>
          <w:rFonts w:asciiTheme="minorHAnsi" w:hAnsiTheme="minorHAnsi" w:cstheme="minorHAnsi"/>
          <w:sz w:val="24"/>
          <w:szCs w:val="24"/>
        </w:rPr>
        <w:t>.</w:t>
      </w:r>
      <w:r w:rsidR="00607182" w:rsidRPr="00D22FA6">
        <w:rPr>
          <w:rFonts w:asciiTheme="minorHAnsi" w:hAnsiTheme="minorHAnsi" w:cstheme="minorHAnsi"/>
          <w:sz w:val="24"/>
          <w:szCs w:val="24"/>
        </w:rPr>
        <w:t xml:space="preserve">  </w:t>
      </w:r>
    </w:p>
    <w:p w14:paraId="01A29288" w14:textId="0087AFA0" w:rsidR="003E0D6B" w:rsidRPr="00D22FA6" w:rsidRDefault="003E0D6B" w:rsidP="003F72BF">
      <w:pPr>
        <w:autoSpaceDE w:val="0"/>
        <w:autoSpaceDN w:val="0"/>
        <w:adjustRightInd w:val="0"/>
        <w:rPr>
          <w:rFonts w:asciiTheme="minorHAnsi" w:hAnsiTheme="minorHAnsi" w:cstheme="minorHAnsi"/>
          <w:b/>
          <w:sz w:val="24"/>
          <w:szCs w:val="24"/>
        </w:rPr>
      </w:pPr>
    </w:p>
    <w:p w14:paraId="706942B2" w14:textId="77777777" w:rsidR="00D22FA6" w:rsidRPr="00D22FA6" w:rsidRDefault="00D22FA6" w:rsidP="003F72BF">
      <w:pPr>
        <w:autoSpaceDE w:val="0"/>
        <w:autoSpaceDN w:val="0"/>
        <w:adjustRightInd w:val="0"/>
        <w:rPr>
          <w:rFonts w:asciiTheme="minorHAnsi" w:hAnsiTheme="minorHAnsi" w:cstheme="minorHAnsi"/>
          <w:b/>
          <w:sz w:val="24"/>
          <w:szCs w:val="24"/>
        </w:rPr>
      </w:pPr>
    </w:p>
    <w:p w14:paraId="2B4CBEB5" w14:textId="77777777" w:rsidR="003E0D6B"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8. Is it accurate to say that any revenue overcollections or under-collections will be handled</w:t>
      </w:r>
    </w:p>
    <w:p w14:paraId="3A3CED76" w14:textId="77777777" w:rsidR="003E0D6B"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using balancing accounts and the appropriate allocators (e.g. generation or distribution)</w:t>
      </w:r>
    </w:p>
    <w:p w14:paraId="4E6E9B30" w14:textId="77777777" w:rsidR="003E0D6B"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between GRC Phase 2s, but that during the GRC Phase 2 SDG&amp;E will adjust the EV-HP</w:t>
      </w:r>
    </w:p>
    <w:p w14:paraId="044459AE" w14:textId="77777777" w:rsidR="003E0D6B"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rate design (based on new billing determinants) to eliminate any such revenue</w:t>
      </w:r>
    </w:p>
    <w:p w14:paraId="15C6897C" w14:textId="71EB8A7E" w:rsidR="003E0D6B"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overcollections or under-collections?</w:t>
      </w:r>
    </w:p>
    <w:p w14:paraId="7C9514DD" w14:textId="77777777" w:rsidR="003E0D6B" w:rsidRPr="00D22FA6" w:rsidRDefault="003E0D6B" w:rsidP="003E0D6B">
      <w:pPr>
        <w:autoSpaceDE w:val="0"/>
        <w:autoSpaceDN w:val="0"/>
        <w:adjustRightInd w:val="0"/>
        <w:rPr>
          <w:rFonts w:asciiTheme="minorHAnsi" w:hAnsiTheme="minorHAnsi" w:cstheme="minorHAnsi"/>
          <w:sz w:val="24"/>
          <w:szCs w:val="24"/>
        </w:rPr>
      </w:pPr>
    </w:p>
    <w:p w14:paraId="7E4E52AD" w14:textId="3C2DDEF5" w:rsidR="003E0D6B" w:rsidRPr="00D22FA6" w:rsidRDefault="003E0D6B" w:rsidP="003E0D6B">
      <w:pPr>
        <w:autoSpaceDE w:val="0"/>
        <w:autoSpaceDN w:val="0"/>
        <w:adjustRightInd w:val="0"/>
        <w:rPr>
          <w:rFonts w:asciiTheme="minorHAnsi" w:hAnsiTheme="minorHAnsi" w:cstheme="minorHAnsi"/>
          <w:sz w:val="24"/>
          <w:szCs w:val="24"/>
        </w:rPr>
      </w:pPr>
      <w:r w:rsidRPr="00D22FA6">
        <w:rPr>
          <w:rFonts w:asciiTheme="minorHAnsi" w:hAnsiTheme="minorHAnsi" w:cstheme="minorHAnsi"/>
          <w:b/>
          <w:sz w:val="24"/>
          <w:szCs w:val="24"/>
        </w:rPr>
        <w:t>SDG&amp;E Response:</w:t>
      </w:r>
      <w:r w:rsidR="002C5907" w:rsidRPr="00D22FA6">
        <w:rPr>
          <w:rFonts w:asciiTheme="minorHAnsi" w:hAnsiTheme="minorHAnsi" w:cstheme="minorHAnsi"/>
          <w:b/>
          <w:sz w:val="24"/>
          <w:szCs w:val="24"/>
        </w:rPr>
        <w:t xml:space="preserve"> </w:t>
      </w:r>
      <w:r w:rsidR="004D016F" w:rsidRPr="00D22FA6">
        <w:rPr>
          <w:rFonts w:asciiTheme="minorHAnsi" w:hAnsiTheme="minorHAnsi" w:cstheme="minorHAnsi"/>
          <w:sz w:val="24"/>
          <w:szCs w:val="24"/>
        </w:rPr>
        <w:t xml:space="preserve">As mentioned in response to </w:t>
      </w:r>
      <w:r w:rsidR="00FF457B" w:rsidRPr="00D22FA6">
        <w:rPr>
          <w:rFonts w:asciiTheme="minorHAnsi" w:hAnsiTheme="minorHAnsi" w:cstheme="minorHAnsi"/>
          <w:sz w:val="24"/>
          <w:szCs w:val="24"/>
        </w:rPr>
        <w:t xml:space="preserve">Question 7 above, the EV-HP rate design is based on recovery of Schedule AL-TOU </w:t>
      </w:r>
      <w:r w:rsidR="00631559" w:rsidRPr="00D22FA6">
        <w:rPr>
          <w:rFonts w:asciiTheme="minorHAnsi" w:hAnsiTheme="minorHAnsi" w:cstheme="minorHAnsi"/>
          <w:sz w:val="24"/>
          <w:szCs w:val="24"/>
        </w:rPr>
        <w:t>allocated revenues and thus, the EV-HP rates will always</w:t>
      </w:r>
      <w:r w:rsidR="00BA71A8" w:rsidRPr="00D22FA6">
        <w:rPr>
          <w:rFonts w:asciiTheme="minorHAnsi" w:hAnsiTheme="minorHAnsi" w:cstheme="minorHAnsi"/>
          <w:sz w:val="24"/>
          <w:szCs w:val="24"/>
        </w:rPr>
        <w:t xml:space="preserve"> reflect under</w:t>
      </w:r>
      <w:r w:rsidR="0042386A" w:rsidRPr="00D22FA6">
        <w:rPr>
          <w:rFonts w:asciiTheme="minorHAnsi" w:hAnsiTheme="minorHAnsi" w:cstheme="minorHAnsi"/>
          <w:sz w:val="24"/>
          <w:szCs w:val="24"/>
        </w:rPr>
        <w:t>-</w:t>
      </w:r>
      <w:r w:rsidR="00BA71A8" w:rsidRPr="00D22FA6">
        <w:rPr>
          <w:rFonts w:asciiTheme="minorHAnsi" w:hAnsiTheme="minorHAnsi" w:cstheme="minorHAnsi"/>
          <w:sz w:val="24"/>
          <w:szCs w:val="24"/>
        </w:rPr>
        <w:t xml:space="preserve">collections/overcollections based on differences </w:t>
      </w:r>
      <w:r w:rsidR="000C7410" w:rsidRPr="00D22FA6">
        <w:rPr>
          <w:rFonts w:asciiTheme="minorHAnsi" w:hAnsiTheme="minorHAnsi" w:cstheme="minorHAnsi"/>
          <w:sz w:val="24"/>
          <w:szCs w:val="24"/>
        </w:rPr>
        <w:t xml:space="preserve">between the revenues </w:t>
      </w:r>
      <w:r w:rsidR="00715B3A" w:rsidRPr="00D22FA6">
        <w:rPr>
          <w:rFonts w:asciiTheme="minorHAnsi" w:hAnsiTheme="minorHAnsi" w:cstheme="minorHAnsi"/>
          <w:sz w:val="24"/>
          <w:szCs w:val="24"/>
        </w:rPr>
        <w:t>collected from the customer</w:t>
      </w:r>
      <w:r w:rsidR="008C6BDC" w:rsidRPr="00D22FA6">
        <w:rPr>
          <w:rFonts w:asciiTheme="minorHAnsi" w:hAnsiTheme="minorHAnsi" w:cstheme="minorHAnsi"/>
          <w:sz w:val="24"/>
          <w:szCs w:val="24"/>
        </w:rPr>
        <w:t>s</w:t>
      </w:r>
      <w:r w:rsidR="00715B3A" w:rsidRPr="00D22FA6">
        <w:rPr>
          <w:rFonts w:asciiTheme="minorHAnsi" w:hAnsiTheme="minorHAnsi" w:cstheme="minorHAnsi"/>
          <w:sz w:val="24"/>
          <w:szCs w:val="24"/>
        </w:rPr>
        <w:t xml:space="preserve"> under EV-HP rates versus the revenues </w:t>
      </w:r>
      <w:r w:rsidR="000C7410" w:rsidRPr="00D22FA6">
        <w:rPr>
          <w:rFonts w:asciiTheme="minorHAnsi" w:hAnsiTheme="minorHAnsi" w:cstheme="minorHAnsi"/>
          <w:sz w:val="24"/>
          <w:szCs w:val="24"/>
        </w:rPr>
        <w:t xml:space="preserve">that would have been collected </w:t>
      </w:r>
      <w:r w:rsidR="008C6BDC" w:rsidRPr="00D22FA6">
        <w:rPr>
          <w:rFonts w:asciiTheme="minorHAnsi" w:hAnsiTheme="minorHAnsi" w:cstheme="minorHAnsi"/>
          <w:sz w:val="24"/>
          <w:szCs w:val="24"/>
        </w:rPr>
        <w:t xml:space="preserve">from the customers if billed </w:t>
      </w:r>
      <w:r w:rsidR="000C7410" w:rsidRPr="00D22FA6">
        <w:rPr>
          <w:rFonts w:asciiTheme="minorHAnsi" w:hAnsiTheme="minorHAnsi" w:cstheme="minorHAnsi"/>
          <w:sz w:val="24"/>
          <w:szCs w:val="24"/>
        </w:rPr>
        <w:t xml:space="preserve">under Schedule AL-TOU rates.  The way the </w:t>
      </w:r>
      <w:r w:rsidR="00115B11" w:rsidRPr="00D22FA6">
        <w:rPr>
          <w:rFonts w:asciiTheme="minorHAnsi" w:hAnsiTheme="minorHAnsi" w:cstheme="minorHAnsi"/>
          <w:sz w:val="24"/>
          <w:szCs w:val="24"/>
        </w:rPr>
        <w:t>under</w:t>
      </w:r>
      <w:r w:rsidR="0042386A" w:rsidRPr="00D22FA6">
        <w:rPr>
          <w:rFonts w:asciiTheme="minorHAnsi" w:hAnsiTheme="minorHAnsi" w:cstheme="minorHAnsi"/>
          <w:sz w:val="24"/>
          <w:szCs w:val="24"/>
        </w:rPr>
        <w:t>-</w:t>
      </w:r>
      <w:r w:rsidR="00115B11" w:rsidRPr="00D22FA6">
        <w:rPr>
          <w:rFonts w:asciiTheme="minorHAnsi" w:hAnsiTheme="minorHAnsi" w:cstheme="minorHAnsi"/>
          <w:sz w:val="24"/>
          <w:szCs w:val="24"/>
        </w:rPr>
        <w:t>collections/overcollections will be eliminated is if EV-HP</w:t>
      </w:r>
      <w:r w:rsidR="00154EB4" w:rsidRPr="00D22FA6">
        <w:rPr>
          <w:rFonts w:asciiTheme="minorHAnsi" w:hAnsiTheme="minorHAnsi" w:cstheme="minorHAnsi"/>
          <w:sz w:val="24"/>
          <w:szCs w:val="24"/>
        </w:rPr>
        <w:t xml:space="preserve"> was a separate customer class and the EV-HP rates were designed </w:t>
      </w:r>
      <w:r w:rsidR="005D42AD" w:rsidRPr="00D22FA6">
        <w:rPr>
          <w:rFonts w:asciiTheme="minorHAnsi" w:hAnsiTheme="minorHAnsi" w:cstheme="minorHAnsi"/>
          <w:sz w:val="24"/>
          <w:szCs w:val="24"/>
        </w:rPr>
        <w:t xml:space="preserve">to fully recover </w:t>
      </w:r>
      <w:r w:rsidR="00154EB4" w:rsidRPr="00D22FA6">
        <w:rPr>
          <w:rFonts w:asciiTheme="minorHAnsi" w:hAnsiTheme="minorHAnsi" w:cstheme="minorHAnsi"/>
          <w:sz w:val="24"/>
          <w:szCs w:val="24"/>
        </w:rPr>
        <w:t>the revenues allocated to the EV-HP customer class.</w:t>
      </w:r>
      <w:r w:rsidR="00631559" w:rsidRPr="00D22FA6">
        <w:rPr>
          <w:rFonts w:asciiTheme="minorHAnsi" w:hAnsiTheme="minorHAnsi" w:cstheme="minorHAnsi"/>
          <w:sz w:val="24"/>
          <w:szCs w:val="24"/>
        </w:rPr>
        <w:t xml:space="preserve"> </w:t>
      </w:r>
    </w:p>
    <w:p w14:paraId="19CDAA78" w14:textId="02118348" w:rsidR="003E0D6B" w:rsidRPr="00D22FA6" w:rsidRDefault="003E0D6B" w:rsidP="003F72BF">
      <w:pPr>
        <w:autoSpaceDE w:val="0"/>
        <w:autoSpaceDN w:val="0"/>
        <w:adjustRightInd w:val="0"/>
        <w:rPr>
          <w:rFonts w:asciiTheme="minorHAnsi" w:hAnsiTheme="minorHAnsi" w:cstheme="minorHAnsi"/>
          <w:b/>
          <w:sz w:val="24"/>
          <w:szCs w:val="24"/>
        </w:rPr>
      </w:pPr>
    </w:p>
    <w:p w14:paraId="74E611C8" w14:textId="77777777" w:rsidR="003E0D6B" w:rsidRPr="00D22FA6" w:rsidRDefault="003E0D6B" w:rsidP="003F72BF">
      <w:pPr>
        <w:autoSpaceDE w:val="0"/>
        <w:autoSpaceDN w:val="0"/>
        <w:adjustRightInd w:val="0"/>
        <w:rPr>
          <w:rFonts w:asciiTheme="minorHAnsi" w:hAnsiTheme="minorHAnsi" w:cstheme="minorHAnsi"/>
          <w:b/>
          <w:sz w:val="24"/>
          <w:szCs w:val="24"/>
        </w:rPr>
      </w:pPr>
    </w:p>
    <w:p w14:paraId="13614D9A" w14:textId="77777777" w:rsidR="003E0D6B"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9. In SDG&amp;E’s response to the Public Advocates Office’s DR 4 question 2, SDG&amp;E provided</w:t>
      </w:r>
    </w:p>
    <w:p w14:paraId="16EAD51B" w14:textId="77777777" w:rsidR="003E0D6B"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the system net energy billing determinants of AL-TOU. The Public Advocates Office used</w:t>
      </w:r>
    </w:p>
    <w:p w14:paraId="49FE1D36" w14:textId="77777777" w:rsidR="003E0D6B"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these billing determinants and the non-coincident demand billing determinants found in cells</w:t>
      </w:r>
    </w:p>
    <w:p w14:paraId="34B3877F" w14:textId="77777777" w:rsidR="003E0D6B"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lastRenderedPageBreak/>
        <w:t>B8:B9 of SDG&amp;E’s chapter 2 workpaper, tab “EV-HP Rate Design Modifications,” to</w:t>
      </w:r>
    </w:p>
    <w:p w14:paraId="6661D5AC" w14:textId="77777777" w:rsidR="003E0D6B"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calculate theoretical AL-TOU load factors. The Public Advocates Office used the following</w:t>
      </w:r>
    </w:p>
    <w:p w14:paraId="524F0CB6" w14:textId="77777777" w:rsidR="003E0D6B"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equation: total annual usage / (total non-coincident demand x 24 x 365) to find the following</w:t>
      </w:r>
    </w:p>
    <w:p w14:paraId="613A19AB" w14:textId="5F92BD6C" w:rsidR="003E0D6B"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load factors:</w:t>
      </w:r>
    </w:p>
    <w:p w14:paraId="1B79B90B" w14:textId="1FA9EA93" w:rsidR="003E0D6B" w:rsidRPr="00D22FA6" w:rsidRDefault="003E0D6B" w:rsidP="003E0D6B">
      <w:pPr>
        <w:autoSpaceDE w:val="0"/>
        <w:autoSpaceDN w:val="0"/>
        <w:adjustRightInd w:val="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235"/>
        <w:gridCol w:w="1980"/>
      </w:tblGrid>
      <w:tr w:rsidR="00D22FA6" w:rsidRPr="00D22FA6" w14:paraId="71064182" w14:textId="77777777" w:rsidTr="001A736E">
        <w:tc>
          <w:tcPr>
            <w:tcW w:w="3235" w:type="dxa"/>
          </w:tcPr>
          <w:p w14:paraId="74681D8E" w14:textId="77777777" w:rsidR="001A736E" w:rsidRPr="00D22FA6" w:rsidRDefault="001A736E" w:rsidP="003E0D6B">
            <w:pPr>
              <w:autoSpaceDE w:val="0"/>
              <w:autoSpaceDN w:val="0"/>
              <w:adjustRightInd w:val="0"/>
              <w:rPr>
                <w:rFonts w:asciiTheme="minorHAnsi" w:hAnsiTheme="minorHAnsi" w:cstheme="minorHAnsi"/>
                <w:b/>
                <w:sz w:val="24"/>
                <w:szCs w:val="24"/>
              </w:rPr>
            </w:pPr>
          </w:p>
        </w:tc>
        <w:tc>
          <w:tcPr>
            <w:tcW w:w="1980" w:type="dxa"/>
          </w:tcPr>
          <w:p w14:paraId="5942C180" w14:textId="75A3F8D8" w:rsidR="001A736E" w:rsidRPr="00D22FA6" w:rsidRDefault="001A736E" w:rsidP="001A736E">
            <w:pPr>
              <w:autoSpaceDE w:val="0"/>
              <w:autoSpaceDN w:val="0"/>
              <w:adjustRightInd w:val="0"/>
              <w:jc w:val="center"/>
              <w:rPr>
                <w:rFonts w:asciiTheme="minorHAnsi" w:hAnsiTheme="minorHAnsi" w:cstheme="minorHAnsi"/>
                <w:b/>
                <w:sz w:val="24"/>
                <w:szCs w:val="24"/>
              </w:rPr>
            </w:pPr>
            <w:r w:rsidRPr="00D22FA6">
              <w:rPr>
                <w:rFonts w:asciiTheme="minorHAnsi" w:hAnsiTheme="minorHAnsi" w:cstheme="minorHAnsi"/>
                <w:b/>
                <w:sz w:val="24"/>
                <w:szCs w:val="24"/>
              </w:rPr>
              <w:t>AL-TOU</w:t>
            </w:r>
          </w:p>
        </w:tc>
      </w:tr>
      <w:tr w:rsidR="00D22FA6" w:rsidRPr="00D22FA6" w14:paraId="0B487A49" w14:textId="77777777" w:rsidTr="001A736E">
        <w:tc>
          <w:tcPr>
            <w:tcW w:w="3235" w:type="dxa"/>
          </w:tcPr>
          <w:p w14:paraId="180C1BA7" w14:textId="0AE18D3E" w:rsidR="001A736E" w:rsidRPr="00D22FA6" w:rsidRDefault="001A736E" w:rsidP="001A736E">
            <w:pPr>
              <w:autoSpaceDE w:val="0"/>
              <w:autoSpaceDN w:val="0"/>
              <w:adjustRightInd w:val="0"/>
              <w:jc w:val="right"/>
              <w:rPr>
                <w:rFonts w:asciiTheme="minorHAnsi" w:hAnsiTheme="minorHAnsi" w:cstheme="minorHAnsi"/>
                <w:b/>
                <w:sz w:val="24"/>
                <w:szCs w:val="24"/>
              </w:rPr>
            </w:pPr>
            <w:r w:rsidRPr="00D22FA6">
              <w:rPr>
                <w:rFonts w:asciiTheme="minorHAnsi" w:hAnsiTheme="minorHAnsi" w:cstheme="minorHAnsi"/>
                <w:b/>
                <w:sz w:val="24"/>
                <w:szCs w:val="24"/>
              </w:rPr>
              <w:t>Secondary Load Factor</w:t>
            </w:r>
          </w:p>
        </w:tc>
        <w:tc>
          <w:tcPr>
            <w:tcW w:w="1980" w:type="dxa"/>
          </w:tcPr>
          <w:p w14:paraId="238DA039" w14:textId="32DC2A38" w:rsidR="001A736E" w:rsidRPr="00D22FA6" w:rsidRDefault="001A736E" w:rsidP="001A736E">
            <w:pPr>
              <w:autoSpaceDE w:val="0"/>
              <w:autoSpaceDN w:val="0"/>
              <w:adjustRightInd w:val="0"/>
              <w:jc w:val="center"/>
              <w:rPr>
                <w:rFonts w:asciiTheme="minorHAnsi" w:hAnsiTheme="minorHAnsi" w:cstheme="minorHAnsi"/>
                <w:b/>
                <w:sz w:val="24"/>
                <w:szCs w:val="24"/>
              </w:rPr>
            </w:pPr>
            <w:r w:rsidRPr="00D22FA6">
              <w:rPr>
                <w:rFonts w:asciiTheme="minorHAnsi" w:hAnsiTheme="minorHAnsi" w:cstheme="minorHAnsi"/>
                <w:b/>
                <w:sz w:val="24"/>
                <w:szCs w:val="24"/>
              </w:rPr>
              <w:t>0.0410</w:t>
            </w:r>
          </w:p>
        </w:tc>
      </w:tr>
      <w:tr w:rsidR="001A736E" w:rsidRPr="00D22FA6" w14:paraId="41B2468E" w14:textId="77777777" w:rsidTr="001A736E">
        <w:tc>
          <w:tcPr>
            <w:tcW w:w="3235" w:type="dxa"/>
          </w:tcPr>
          <w:p w14:paraId="7687F23F" w14:textId="39CED15E" w:rsidR="001A736E" w:rsidRPr="00D22FA6" w:rsidRDefault="001A736E" w:rsidP="001A736E">
            <w:pPr>
              <w:autoSpaceDE w:val="0"/>
              <w:autoSpaceDN w:val="0"/>
              <w:adjustRightInd w:val="0"/>
              <w:jc w:val="right"/>
              <w:rPr>
                <w:rFonts w:asciiTheme="minorHAnsi" w:hAnsiTheme="minorHAnsi" w:cstheme="minorHAnsi"/>
                <w:b/>
                <w:sz w:val="24"/>
                <w:szCs w:val="24"/>
              </w:rPr>
            </w:pPr>
            <w:r w:rsidRPr="00D22FA6">
              <w:rPr>
                <w:rFonts w:asciiTheme="minorHAnsi" w:hAnsiTheme="minorHAnsi" w:cstheme="minorHAnsi"/>
                <w:b/>
                <w:sz w:val="24"/>
                <w:szCs w:val="24"/>
              </w:rPr>
              <w:t>Primary Load Factor</w:t>
            </w:r>
          </w:p>
        </w:tc>
        <w:tc>
          <w:tcPr>
            <w:tcW w:w="1980" w:type="dxa"/>
          </w:tcPr>
          <w:p w14:paraId="58654FC6" w14:textId="5CDA082B" w:rsidR="001A736E" w:rsidRPr="00D22FA6" w:rsidRDefault="001A736E" w:rsidP="001A736E">
            <w:pPr>
              <w:autoSpaceDE w:val="0"/>
              <w:autoSpaceDN w:val="0"/>
              <w:adjustRightInd w:val="0"/>
              <w:jc w:val="center"/>
              <w:rPr>
                <w:rFonts w:asciiTheme="minorHAnsi" w:hAnsiTheme="minorHAnsi" w:cstheme="minorHAnsi"/>
                <w:b/>
                <w:sz w:val="24"/>
                <w:szCs w:val="24"/>
              </w:rPr>
            </w:pPr>
            <w:r w:rsidRPr="00D22FA6">
              <w:rPr>
                <w:rFonts w:asciiTheme="minorHAnsi" w:hAnsiTheme="minorHAnsi" w:cstheme="minorHAnsi"/>
                <w:b/>
                <w:sz w:val="24"/>
                <w:szCs w:val="24"/>
              </w:rPr>
              <w:t>0.0459</w:t>
            </w:r>
          </w:p>
        </w:tc>
      </w:tr>
    </w:tbl>
    <w:p w14:paraId="5498C7F7" w14:textId="58633051" w:rsidR="003E0D6B" w:rsidRPr="00D22FA6" w:rsidRDefault="003E0D6B" w:rsidP="003E0D6B">
      <w:pPr>
        <w:autoSpaceDE w:val="0"/>
        <w:autoSpaceDN w:val="0"/>
        <w:adjustRightInd w:val="0"/>
        <w:rPr>
          <w:rFonts w:asciiTheme="minorHAnsi" w:hAnsiTheme="minorHAnsi" w:cstheme="minorHAnsi"/>
          <w:sz w:val="24"/>
          <w:szCs w:val="24"/>
        </w:rPr>
      </w:pPr>
    </w:p>
    <w:p w14:paraId="534859FD" w14:textId="77777777" w:rsidR="001A736E" w:rsidRPr="00D22FA6" w:rsidRDefault="001A736E" w:rsidP="003E0D6B">
      <w:pPr>
        <w:autoSpaceDE w:val="0"/>
        <w:autoSpaceDN w:val="0"/>
        <w:adjustRightInd w:val="0"/>
        <w:rPr>
          <w:rFonts w:asciiTheme="minorHAnsi" w:hAnsiTheme="minorHAnsi" w:cstheme="minorHAnsi"/>
          <w:sz w:val="24"/>
          <w:szCs w:val="24"/>
        </w:rPr>
      </w:pPr>
    </w:p>
    <w:p w14:paraId="1EA18C01" w14:textId="4E3746E4" w:rsidR="003E0D6B" w:rsidRPr="00D22FA6" w:rsidRDefault="003E0D6B" w:rsidP="003E0D6B">
      <w:pPr>
        <w:autoSpaceDE w:val="0"/>
        <w:autoSpaceDN w:val="0"/>
        <w:adjustRightInd w:val="0"/>
        <w:rPr>
          <w:rFonts w:asciiTheme="minorHAnsi" w:hAnsiTheme="minorHAnsi" w:cstheme="minorHAnsi"/>
          <w:b/>
          <w:sz w:val="24"/>
          <w:szCs w:val="24"/>
        </w:rPr>
      </w:pPr>
      <w:r w:rsidRPr="00D22FA6">
        <w:rPr>
          <w:rFonts w:asciiTheme="minorHAnsi" w:hAnsiTheme="minorHAnsi" w:cstheme="minorHAnsi"/>
          <w:b/>
          <w:sz w:val="24"/>
          <w:szCs w:val="24"/>
        </w:rPr>
        <w:t>Please confirm that these are the AL-TOU load factors based on SDG&amp;E’s distribution billing determinants. If not, please provide the correct load factors.</w:t>
      </w:r>
    </w:p>
    <w:p w14:paraId="16C72E5B" w14:textId="77777777" w:rsidR="003E0D6B" w:rsidRPr="00D22FA6" w:rsidRDefault="003E0D6B" w:rsidP="003E0D6B">
      <w:pPr>
        <w:autoSpaceDE w:val="0"/>
        <w:autoSpaceDN w:val="0"/>
        <w:adjustRightInd w:val="0"/>
        <w:rPr>
          <w:rFonts w:asciiTheme="minorHAnsi" w:hAnsiTheme="minorHAnsi" w:cstheme="minorHAnsi"/>
          <w:sz w:val="24"/>
          <w:szCs w:val="24"/>
        </w:rPr>
      </w:pPr>
    </w:p>
    <w:p w14:paraId="0CF7AD3C" w14:textId="01B9B7D9" w:rsidR="003E0D6B" w:rsidRPr="00D22FA6" w:rsidRDefault="003E0D6B" w:rsidP="003E0D6B">
      <w:pPr>
        <w:autoSpaceDE w:val="0"/>
        <w:autoSpaceDN w:val="0"/>
        <w:adjustRightInd w:val="0"/>
        <w:rPr>
          <w:rFonts w:asciiTheme="minorHAnsi" w:hAnsiTheme="minorHAnsi" w:cstheme="minorHAnsi"/>
          <w:sz w:val="24"/>
          <w:szCs w:val="24"/>
        </w:rPr>
      </w:pPr>
      <w:r w:rsidRPr="00D22FA6">
        <w:rPr>
          <w:rFonts w:asciiTheme="minorHAnsi" w:hAnsiTheme="minorHAnsi" w:cstheme="minorHAnsi"/>
          <w:b/>
          <w:sz w:val="24"/>
          <w:szCs w:val="24"/>
        </w:rPr>
        <w:t>SDG&amp;E Response:</w:t>
      </w:r>
      <w:r w:rsidR="001A736E" w:rsidRPr="00D22FA6">
        <w:rPr>
          <w:rFonts w:asciiTheme="minorHAnsi" w:hAnsiTheme="minorHAnsi" w:cstheme="minorHAnsi"/>
          <w:b/>
          <w:sz w:val="24"/>
          <w:szCs w:val="24"/>
        </w:rPr>
        <w:t xml:space="preserve"> </w:t>
      </w:r>
    </w:p>
    <w:p w14:paraId="684FE329" w14:textId="46E2D8CD" w:rsidR="003E0D6B" w:rsidRPr="00D22FA6" w:rsidRDefault="003D0CC7" w:rsidP="003F72BF">
      <w:pPr>
        <w:autoSpaceDE w:val="0"/>
        <w:autoSpaceDN w:val="0"/>
        <w:adjustRightInd w:val="0"/>
        <w:rPr>
          <w:rFonts w:asciiTheme="minorHAnsi" w:hAnsiTheme="minorHAnsi" w:cstheme="minorHAnsi"/>
          <w:sz w:val="24"/>
          <w:szCs w:val="24"/>
        </w:rPr>
      </w:pPr>
      <w:r w:rsidRPr="00D22FA6">
        <w:rPr>
          <w:rFonts w:asciiTheme="minorHAnsi" w:hAnsiTheme="minorHAnsi" w:cstheme="minorHAnsi"/>
          <w:sz w:val="24"/>
          <w:szCs w:val="24"/>
        </w:rPr>
        <w:t xml:space="preserve">The non-coincident demand </w:t>
      </w:r>
      <w:r w:rsidR="00D71301" w:rsidRPr="00D22FA6">
        <w:rPr>
          <w:rFonts w:asciiTheme="minorHAnsi" w:hAnsiTheme="minorHAnsi" w:cstheme="minorHAnsi"/>
          <w:sz w:val="24"/>
          <w:szCs w:val="24"/>
        </w:rPr>
        <w:t xml:space="preserve">determinants </w:t>
      </w:r>
      <w:r w:rsidRPr="00D22FA6">
        <w:rPr>
          <w:rFonts w:asciiTheme="minorHAnsi" w:hAnsiTheme="minorHAnsi" w:cstheme="minorHAnsi"/>
          <w:sz w:val="24"/>
          <w:szCs w:val="24"/>
        </w:rPr>
        <w:t xml:space="preserve">you </w:t>
      </w:r>
      <w:r w:rsidR="007960DC" w:rsidRPr="00D22FA6">
        <w:rPr>
          <w:rFonts w:asciiTheme="minorHAnsi" w:hAnsiTheme="minorHAnsi" w:cstheme="minorHAnsi"/>
          <w:sz w:val="24"/>
          <w:szCs w:val="24"/>
        </w:rPr>
        <w:t xml:space="preserve">used </w:t>
      </w:r>
      <w:r w:rsidR="00822999" w:rsidRPr="00D22FA6">
        <w:rPr>
          <w:rFonts w:asciiTheme="minorHAnsi" w:hAnsiTheme="minorHAnsi" w:cstheme="minorHAnsi"/>
          <w:sz w:val="24"/>
          <w:szCs w:val="24"/>
        </w:rPr>
        <w:t xml:space="preserve">to calculate </w:t>
      </w:r>
      <w:r w:rsidR="00182619" w:rsidRPr="00D22FA6">
        <w:rPr>
          <w:rFonts w:asciiTheme="minorHAnsi" w:hAnsiTheme="minorHAnsi" w:cstheme="minorHAnsi"/>
          <w:sz w:val="24"/>
          <w:szCs w:val="24"/>
        </w:rPr>
        <w:t>load factor</w:t>
      </w:r>
      <w:r w:rsidR="00822999" w:rsidRPr="00D22FA6">
        <w:rPr>
          <w:rFonts w:asciiTheme="minorHAnsi" w:hAnsiTheme="minorHAnsi" w:cstheme="minorHAnsi"/>
          <w:sz w:val="24"/>
          <w:szCs w:val="24"/>
        </w:rPr>
        <w:t>s</w:t>
      </w:r>
      <w:r w:rsidR="007960DC" w:rsidRPr="00D22FA6">
        <w:rPr>
          <w:rFonts w:asciiTheme="minorHAnsi" w:hAnsiTheme="minorHAnsi" w:cstheme="minorHAnsi"/>
          <w:sz w:val="24"/>
          <w:szCs w:val="24"/>
        </w:rPr>
        <w:t xml:space="preserve"> </w:t>
      </w:r>
      <w:r w:rsidR="009E76DD" w:rsidRPr="00D22FA6">
        <w:rPr>
          <w:rFonts w:asciiTheme="minorHAnsi" w:hAnsiTheme="minorHAnsi" w:cstheme="minorHAnsi"/>
          <w:sz w:val="24"/>
          <w:szCs w:val="24"/>
        </w:rPr>
        <w:t xml:space="preserve">in the table above </w:t>
      </w:r>
      <w:r w:rsidR="007960DC" w:rsidRPr="00D22FA6">
        <w:rPr>
          <w:rFonts w:asciiTheme="minorHAnsi" w:hAnsiTheme="minorHAnsi" w:cstheme="minorHAnsi"/>
          <w:sz w:val="24"/>
          <w:szCs w:val="24"/>
        </w:rPr>
        <w:t xml:space="preserve">reflect </w:t>
      </w:r>
      <w:r w:rsidR="00D53367" w:rsidRPr="00D22FA6">
        <w:rPr>
          <w:rFonts w:asciiTheme="minorHAnsi" w:hAnsiTheme="minorHAnsi" w:cstheme="minorHAnsi"/>
          <w:sz w:val="24"/>
          <w:szCs w:val="24"/>
        </w:rPr>
        <w:t xml:space="preserve">annual </w:t>
      </w:r>
      <w:r w:rsidR="007960DC" w:rsidRPr="00D22FA6">
        <w:rPr>
          <w:rFonts w:asciiTheme="minorHAnsi" w:hAnsiTheme="minorHAnsi" w:cstheme="minorHAnsi"/>
          <w:sz w:val="24"/>
          <w:szCs w:val="24"/>
        </w:rPr>
        <w:t xml:space="preserve">non-coincident demand </w:t>
      </w:r>
      <w:r w:rsidR="00A536CF" w:rsidRPr="00D22FA6">
        <w:rPr>
          <w:rFonts w:asciiTheme="minorHAnsi" w:hAnsiTheme="minorHAnsi" w:cstheme="minorHAnsi"/>
          <w:sz w:val="24"/>
          <w:szCs w:val="24"/>
        </w:rPr>
        <w:t xml:space="preserve">billing </w:t>
      </w:r>
      <w:r w:rsidR="007960DC" w:rsidRPr="00D22FA6">
        <w:rPr>
          <w:rFonts w:asciiTheme="minorHAnsi" w:hAnsiTheme="minorHAnsi" w:cstheme="minorHAnsi"/>
          <w:sz w:val="24"/>
          <w:szCs w:val="24"/>
        </w:rPr>
        <w:t>determinants</w:t>
      </w:r>
      <w:r w:rsidR="00700103" w:rsidRPr="00D22FA6">
        <w:rPr>
          <w:rFonts w:asciiTheme="minorHAnsi" w:hAnsiTheme="minorHAnsi" w:cstheme="minorHAnsi"/>
          <w:sz w:val="24"/>
          <w:szCs w:val="24"/>
        </w:rPr>
        <w:t xml:space="preserve">, which is the non-coincident demand determinants </w:t>
      </w:r>
      <w:r w:rsidR="00FF7F4E" w:rsidRPr="00D22FA6">
        <w:rPr>
          <w:rFonts w:asciiTheme="minorHAnsi" w:hAnsiTheme="minorHAnsi" w:cstheme="minorHAnsi"/>
          <w:sz w:val="24"/>
          <w:szCs w:val="24"/>
        </w:rPr>
        <w:t>billed over a 12-month period</w:t>
      </w:r>
      <w:r w:rsidR="007960DC" w:rsidRPr="00D22FA6">
        <w:rPr>
          <w:rFonts w:asciiTheme="minorHAnsi" w:hAnsiTheme="minorHAnsi" w:cstheme="minorHAnsi"/>
          <w:sz w:val="24"/>
          <w:szCs w:val="24"/>
        </w:rPr>
        <w:t>.</w:t>
      </w:r>
      <w:r w:rsidR="00D71301" w:rsidRPr="00D22FA6">
        <w:rPr>
          <w:rFonts w:asciiTheme="minorHAnsi" w:hAnsiTheme="minorHAnsi" w:cstheme="minorHAnsi"/>
          <w:sz w:val="24"/>
          <w:szCs w:val="24"/>
        </w:rPr>
        <w:t xml:space="preserve">  </w:t>
      </w:r>
      <w:r w:rsidR="00182619" w:rsidRPr="00D22FA6">
        <w:rPr>
          <w:rFonts w:asciiTheme="minorHAnsi" w:hAnsiTheme="minorHAnsi" w:cstheme="minorHAnsi"/>
          <w:sz w:val="24"/>
          <w:szCs w:val="24"/>
        </w:rPr>
        <w:t xml:space="preserve">To get the </w:t>
      </w:r>
      <w:r w:rsidR="008961A5" w:rsidRPr="00D22FA6">
        <w:rPr>
          <w:rFonts w:asciiTheme="minorHAnsi" w:hAnsiTheme="minorHAnsi" w:cstheme="minorHAnsi"/>
          <w:sz w:val="24"/>
          <w:szCs w:val="24"/>
        </w:rPr>
        <w:t xml:space="preserve">maximum demand to use in the load factor calculation divide the </w:t>
      </w:r>
      <w:r w:rsidR="00E37F09" w:rsidRPr="00D22FA6">
        <w:rPr>
          <w:rFonts w:asciiTheme="minorHAnsi" w:hAnsiTheme="minorHAnsi" w:cstheme="minorHAnsi"/>
          <w:sz w:val="24"/>
          <w:szCs w:val="24"/>
        </w:rPr>
        <w:t xml:space="preserve">annual </w:t>
      </w:r>
      <w:r w:rsidR="00D71301" w:rsidRPr="00D22FA6">
        <w:rPr>
          <w:rFonts w:asciiTheme="minorHAnsi" w:hAnsiTheme="minorHAnsi" w:cstheme="minorHAnsi"/>
          <w:sz w:val="24"/>
          <w:szCs w:val="24"/>
        </w:rPr>
        <w:t>non-coincident demand determinants by 12</w:t>
      </w:r>
      <w:r w:rsidR="00D17675" w:rsidRPr="00D22FA6">
        <w:rPr>
          <w:rFonts w:asciiTheme="minorHAnsi" w:hAnsiTheme="minorHAnsi" w:cstheme="minorHAnsi"/>
          <w:sz w:val="24"/>
          <w:szCs w:val="24"/>
        </w:rPr>
        <w:t>.  The table below shows the calculation</w:t>
      </w:r>
      <w:r w:rsidR="00C14B60" w:rsidRPr="00D22FA6">
        <w:rPr>
          <w:rFonts w:asciiTheme="minorHAnsi" w:hAnsiTheme="minorHAnsi" w:cstheme="minorHAnsi"/>
          <w:sz w:val="24"/>
          <w:szCs w:val="24"/>
        </w:rPr>
        <w:t>s</w:t>
      </w:r>
      <w:r w:rsidR="00D17675" w:rsidRPr="00D22FA6">
        <w:rPr>
          <w:rFonts w:asciiTheme="minorHAnsi" w:hAnsiTheme="minorHAnsi" w:cstheme="minorHAnsi"/>
          <w:sz w:val="24"/>
          <w:szCs w:val="24"/>
        </w:rPr>
        <w:t xml:space="preserve"> of the </w:t>
      </w:r>
      <w:r w:rsidR="00F619A9" w:rsidRPr="00D22FA6">
        <w:rPr>
          <w:rFonts w:asciiTheme="minorHAnsi" w:hAnsiTheme="minorHAnsi" w:cstheme="minorHAnsi"/>
          <w:sz w:val="24"/>
          <w:szCs w:val="24"/>
        </w:rPr>
        <w:t xml:space="preserve">forecasted </w:t>
      </w:r>
      <w:r w:rsidR="005977B7" w:rsidRPr="00D22FA6">
        <w:rPr>
          <w:rFonts w:asciiTheme="minorHAnsi" w:hAnsiTheme="minorHAnsi" w:cstheme="minorHAnsi"/>
          <w:sz w:val="24"/>
          <w:szCs w:val="24"/>
        </w:rPr>
        <w:t>load factors for AL-TOU Secondar</w:t>
      </w:r>
      <w:r w:rsidR="00F619A9" w:rsidRPr="00D22FA6">
        <w:rPr>
          <w:rFonts w:asciiTheme="minorHAnsi" w:hAnsiTheme="minorHAnsi" w:cstheme="minorHAnsi"/>
          <w:sz w:val="24"/>
          <w:szCs w:val="24"/>
        </w:rPr>
        <w:t xml:space="preserve">y and Primary of </w:t>
      </w:r>
      <w:r w:rsidR="007D5766" w:rsidRPr="00D22FA6">
        <w:rPr>
          <w:rFonts w:asciiTheme="minorHAnsi" w:hAnsiTheme="minorHAnsi" w:cstheme="minorHAnsi"/>
          <w:sz w:val="24"/>
          <w:szCs w:val="24"/>
        </w:rPr>
        <w:t>49.25% and 55.11%</w:t>
      </w:r>
      <w:r w:rsidR="00987E40" w:rsidRPr="00D22FA6">
        <w:rPr>
          <w:rFonts w:asciiTheme="minorHAnsi" w:hAnsiTheme="minorHAnsi" w:cstheme="minorHAnsi"/>
          <w:sz w:val="24"/>
          <w:szCs w:val="24"/>
        </w:rPr>
        <w:t>, respectively,</w:t>
      </w:r>
      <w:r w:rsidR="00E27756" w:rsidRPr="00D22FA6">
        <w:rPr>
          <w:rFonts w:asciiTheme="minorHAnsi" w:hAnsiTheme="minorHAnsi" w:cstheme="minorHAnsi"/>
          <w:sz w:val="24"/>
          <w:szCs w:val="24"/>
        </w:rPr>
        <w:t xml:space="preserve"> based on the maximum demand</w:t>
      </w:r>
      <w:r w:rsidR="00322C47" w:rsidRPr="00D22FA6">
        <w:rPr>
          <w:rFonts w:asciiTheme="minorHAnsi" w:hAnsiTheme="minorHAnsi" w:cstheme="minorHAnsi"/>
          <w:sz w:val="24"/>
          <w:szCs w:val="24"/>
        </w:rPr>
        <w:t>.</w:t>
      </w:r>
      <w:r w:rsidR="007D5766" w:rsidRPr="00D22FA6">
        <w:rPr>
          <w:rFonts w:asciiTheme="minorHAnsi" w:hAnsiTheme="minorHAnsi" w:cstheme="minorHAnsi"/>
          <w:sz w:val="24"/>
          <w:szCs w:val="24"/>
        </w:rPr>
        <w:t xml:space="preserve"> </w:t>
      </w:r>
      <w:r w:rsidR="007960DC" w:rsidRPr="00D22FA6">
        <w:rPr>
          <w:rFonts w:asciiTheme="minorHAnsi" w:hAnsiTheme="minorHAnsi" w:cstheme="minorHAnsi"/>
          <w:sz w:val="24"/>
          <w:szCs w:val="24"/>
        </w:rPr>
        <w:t xml:space="preserve">   </w:t>
      </w:r>
    </w:p>
    <w:p w14:paraId="2C20B94E" w14:textId="7292E804" w:rsidR="003E0D6B" w:rsidRPr="00D22FA6" w:rsidRDefault="003E0D6B" w:rsidP="003F72BF">
      <w:pPr>
        <w:autoSpaceDE w:val="0"/>
        <w:autoSpaceDN w:val="0"/>
        <w:adjustRightInd w:val="0"/>
        <w:rPr>
          <w:rFonts w:asciiTheme="minorHAnsi" w:hAnsiTheme="minorHAnsi" w:cstheme="minorHAnsi"/>
          <w:b/>
          <w:sz w:val="24"/>
          <w:szCs w:val="24"/>
        </w:rPr>
      </w:pPr>
    </w:p>
    <w:p w14:paraId="08DBC796" w14:textId="75363AF9" w:rsidR="00C333B3" w:rsidRPr="00D22FA6" w:rsidRDefault="00C333B3" w:rsidP="003F72BF">
      <w:pPr>
        <w:autoSpaceDE w:val="0"/>
        <w:autoSpaceDN w:val="0"/>
        <w:adjustRightInd w:val="0"/>
        <w:rPr>
          <w:rFonts w:asciiTheme="minorHAnsi" w:hAnsiTheme="minorHAnsi" w:cstheme="minorHAnsi"/>
          <w:b/>
          <w:sz w:val="24"/>
          <w:szCs w:val="24"/>
        </w:rPr>
      </w:pPr>
      <w:r w:rsidRPr="00D22FA6">
        <w:rPr>
          <w:noProof/>
        </w:rPr>
        <w:drawing>
          <wp:inline distT="0" distB="0" distL="0" distR="0" wp14:anchorId="376BB45F" wp14:editId="5E81B982">
            <wp:extent cx="5943600" cy="958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958330"/>
                    </a:xfrm>
                    <a:prstGeom prst="rect">
                      <a:avLst/>
                    </a:prstGeom>
                    <a:noFill/>
                    <a:ln>
                      <a:noFill/>
                    </a:ln>
                  </pic:spPr>
                </pic:pic>
              </a:graphicData>
            </a:graphic>
          </wp:inline>
        </w:drawing>
      </w:r>
    </w:p>
    <w:p w14:paraId="688FC342" w14:textId="24016C2F" w:rsidR="003E0D6B" w:rsidRPr="00D22FA6" w:rsidRDefault="003E0D6B" w:rsidP="003F72BF">
      <w:pPr>
        <w:autoSpaceDE w:val="0"/>
        <w:autoSpaceDN w:val="0"/>
        <w:adjustRightInd w:val="0"/>
        <w:rPr>
          <w:rFonts w:asciiTheme="minorHAnsi" w:hAnsiTheme="minorHAnsi" w:cstheme="minorHAnsi"/>
          <w:b/>
          <w:sz w:val="24"/>
          <w:szCs w:val="24"/>
        </w:rPr>
      </w:pPr>
    </w:p>
    <w:p w14:paraId="65A00A6F" w14:textId="77777777" w:rsidR="00D22FA6" w:rsidRPr="00D22FA6" w:rsidRDefault="00D22FA6" w:rsidP="003F72BF">
      <w:pPr>
        <w:autoSpaceDE w:val="0"/>
        <w:autoSpaceDN w:val="0"/>
        <w:adjustRightInd w:val="0"/>
        <w:rPr>
          <w:rFonts w:asciiTheme="minorHAnsi" w:hAnsiTheme="minorHAnsi" w:cstheme="minorHAnsi"/>
          <w:b/>
          <w:sz w:val="24"/>
          <w:szCs w:val="24"/>
        </w:rPr>
      </w:pPr>
    </w:p>
    <w:p w14:paraId="0E1D8CF4" w14:textId="7363B903" w:rsidR="003E0D6B" w:rsidRPr="00D22FA6" w:rsidRDefault="003E0D6B" w:rsidP="001A736E">
      <w:pPr>
        <w:autoSpaceDE w:val="0"/>
        <w:autoSpaceDN w:val="0"/>
        <w:adjustRightInd w:val="0"/>
        <w:rPr>
          <w:rFonts w:asciiTheme="minorHAnsi" w:hAnsiTheme="minorHAnsi" w:cstheme="minorHAnsi"/>
          <w:sz w:val="24"/>
          <w:szCs w:val="24"/>
        </w:rPr>
      </w:pPr>
      <w:r w:rsidRPr="00D22FA6">
        <w:rPr>
          <w:rFonts w:asciiTheme="minorHAnsi" w:hAnsiTheme="minorHAnsi" w:cstheme="minorHAnsi"/>
          <w:b/>
          <w:sz w:val="24"/>
          <w:szCs w:val="24"/>
        </w:rPr>
        <w:t xml:space="preserve">10. </w:t>
      </w:r>
      <w:r w:rsidR="001A736E" w:rsidRPr="00D22FA6">
        <w:rPr>
          <w:rFonts w:asciiTheme="minorHAnsi" w:hAnsiTheme="minorHAnsi" w:cstheme="minorHAnsi"/>
          <w:b/>
          <w:sz w:val="24"/>
          <w:szCs w:val="24"/>
        </w:rPr>
        <w:t>Do the VGI transmission rates implemented per SDG&amp;E Advice Letter 3377-E account for commercial EV customers’ lower load factor than for non-EV commercial customers? For instance, when converting from non-coincident demand charges to volumetric rates, if the HP-EV load factors are five times lower than the commercial class’ average load factor, then the volumetric rates would need to be five times higher to collect the same revenues. How does SDG&amp;E plan to deal with any revenue shortfalls of HP-EV transmission revenues in the short term and in the long term?</w:t>
      </w:r>
    </w:p>
    <w:p w14:paraId="2E24B49D" w14:textId="77777777" w:rsidR="001A736E" w:rsidRPr="00D22FA6" w:rsidRDefault="001A736E" w:rsidP="003E0D6B">
      <w:pPr>
        <w:autoSpaceDE w:val="0"/>
        <w:autoSpaceDN w:val="0"/>
        <w:adjustRightInd w:val="0"/>
        <w:rPr>
          <w:rFonts w:asciiTheme="minorHAnsi" w:hAnsiTheme="minorHAnsi" w:cstheme="minorHAnsi"/>
          <w:b/>
          <w:sz w:val="24"/>
          <w:szCs w:val="24"/>
        </w:rPr>
      </w:pPr>
    </w:p>
    <w:p w14:paraId="1EB51CAC" w14:textId="048691AF" w:rsidR="003E0D6B" w:rsidRPr="00D22FA6" w:rsidRDefault="003E0D6B" w:rsidP="003E0D6B">
      <w:pPr>
        <w:autoSpaceDE w:val="0"/>
        <w:autoSpaceDN w:val="0"/>
        <w:adjustRightInd w:val="0"/>
        <w:rPr>
          <w:rFonts w:asciiTheme="minorHAnsi" w:hAnsiTheme="minorHAnsi" w:cstheme="minorHAnsi"/>
          <w:sz w:val="24"/>
          <w:szCs w:val="24"/>
        </w:rPr>
      </w:pPr>
      <w:r w:rsidRPr="00D22FA6">
        <w:rPr>
          <w:rFonts w:asciiTheme="minorHAnsi" w:hAnsiTheme="minorHAnsi" w:cstheme="minorHAnsi"/>
          <w:b/>
          <w:sz w:val="24"/>
          <w:szCs w:val="24"/>
        </w:rPr>
        <w:t>SDG&amp;E Response:</w:t>
      </w:r>
      <w:r w:rsidR="002C5907" w:rsidRPr="00D22FA6">
        <w:rPr>
          <w:rFonts w:asciiTheme="minorHAnsi" w:hAnsiTheme="minorHAnsi" w:cstheme="minorHAnsi"/>
          <w:b/>
          <w:sz w:val="24"/>
          <w:szCs w:val="24"/>
        </w:rPr>
        <w:t xml:space="preserve"> </w:t>
      </w:r>
    </w:p>
    <w:p w14:paraId="476885DA" w14:textId="4EB7D1A7" w:rsidR="003E0D6B" w:rsidRPr="00D22FA6" w:rsidRDefault="00A344CF" w:rsidP="00E348AE">
      <w:pPr>
        <w:autoSpaceDE w:val="0"/>
        <w:autoSpaceDN w:val="0"/>
        <w:adjustRightInd w:val="0"/>
        <w:rPr>
          <w:rFonts w:asciiTheme="minorHAnsi" w:hAnsiTheme="minorHAnsi" w:cstheme="minorHAnsi"/>
          <w:sz w:val="24"/>
          <w:szCs w:val="24"/>
        </w:rPr>
      </w:pPr>
      <w:r w:rsidRPr="00D22FA6">
        <w:rPr>
          <w:rFonts w:asciiTheme="minorHAnsi" w:hAnsiTheme="minorHAnsi" w:cstheme="minorHAnsi"/>
          <w:sz w:val="24"/>
          <w:szCs w:val="24"/>
        </w:rPr>
        <w:t>The VGI transmission rates</w:t>
      </w:r>
      <w:r w:rsidR="004B7221" w:rsidRPr="00D22FA6">
        <w:rPr>
          <w:rFonts w:asciiTheme="minorHAnsi" w:hAnsiTheme="minorHAnsi" w:cstheme="minorHAnsi"/>
          <w:sz w:val="24"/>
          <w:szCs w:val="24"/>
        </w:rPr>
        <w:t xml:space="preserve"> implemented per SDG&amp;E Advice Letter 3377-E do not account for </w:t>
      </w:r>
      <w:r w:rsidR="00E348AE" w:rsidRPr="00D22FA6">
        <w:rPr>
          <w:rFonts w:asciiTheme="minorHAnsi" w:hAnsiTheme="minorHAnsi" w:cstheme="minorHAnsi"/>
          <w:sz w:val="24"/>
          <w:szCs w:val="24"/>
        </w:rPr>
        <w:t>differences in load factors for commercial EV</w:t>
      </w:r>
      <w:r w:rsidR="009C09A3" w:rsidRPr="00D22FA6">
        <w:rPr>
          <w:rFonts w:asciiTheme="minorHAnsi" w:hAnsiTheme="minorHAnsi" w:cstheme="minorHAnsi"/>
          <w:sz w:val="24"/>
          <w:szCs w:val="24"/>
        </w:rPr>
        <w:t xml:space="preserve"> customers</w:t>
      </w:r>
      <w:r w:rsidR="00E348AE" w:rsidRPr="00D22FA6">
        <w:rPr>
          <w:rFonts w:asciiTheme="minorHAnsi" w:hAnsiTheme="minorHAnsi" w:cstheme="minorHAnsi"/>
          <w:sz w:val="24"/>
          <w:szCs w:val="24"/>
        </w:rPr>
        <w:t>.</w:t>
      </w:r>
      <w:r w:rsidR="009C09A3" w:rsidRPr="00D22FA6">
        <w:rPr>
          <w:rFonts w:asciiTheme="minorHAnsi" w:hAnsiTheme="minorHAnsi" w:cstheme="minorHAnsi"/>
          <w:sz w:val="24"/>
          <w:szCs w:val="24"/>
        </w:rPr>
        <w:t xml:space="preserve">  </w:t>
      </w:r>
      <w:r w:rsidR="001478A8" w:rsidRPr="00D22FA6">
        <w:rPr>
          <w:rFonts w:asciiTheme="minorHAnsi" w:hAnsiTheme="minorHAnsi" w:cstheme="minorHAnsi"/>
          <w:sz w:val="24"/>
          <w:szCs w:val="24"/>
        </w:rPr>
        <w:t xml:space="preserve">The VGI volumetric </w:t>
      </w:r>
      <w:r w:rsidR="00BC49A1" w:rsidRPr="00D22FA6">
        <w:rPr>
          <w:rFonts w:asciiTheme="minorHAnsi" w:hAnsiTheme="minorHAnsi" w:cstheme="minorHAnsi"/>
          <w:sz w:val="24"/>
          <w:szCs w:val="24"/>
        </w:rPr>
        <w:t xml:space="preserve">transmission </w:t>
      </w:r>
      <w:r w:rsidR="001478A8" w:rsidRPr="00D22FA6">
        <w:rPr>
          <w:rFonts w:asciiTheme="minorHAnsi" w:hAnsiTheme="minorHAnsi" w:cstheme="minorHAnsi"/>
          <w:sz w:val="24"/>
          <w:szCs w:val="24"/>
        </w:rPr>
        <w:t xml:space="preserve">rate </w:t>
      </w:r>
      <w:r w:rsidR="00647A7E" w:rsidRPr="00D22FA6">
        <w:rPr>
          <w:rFonts w:asciiTheme="minorHAnsi" w:hAnsiTheme="minorHAnsi" w:cstheme="minorHAnsi"/>
          <w:sz w:val="24"/>
          <w:szCs w:val="24"/>
        </w:rPr>
        <w:lastRenderedPageBreak/>
        <w:t>assum</w:t>
      </w:r>
      <w:r w:rsidR="00FD20BA" w:rsidRPr="00D22FA6">
        <w:rPr>
          <w:rFonts w:asciiTheme="minorHAnsi" w:hAnsiTheme="minorHAnsi" w:cstheme="minorHAnsi"/>
          <w:sz w:val="24"/>
          <w:szCs w:val="24"/>
        </w:rPr>
        <w:t>es</w:t>
      </w:r>
      <w:r w:rsidR="00647A7E" w:rsidRPr="00D22FA6">
        <w:rPr>
          <w:rFonts w:asciiTheme="minorHAnsi" w:hAnsiTheme="minorHAnsi" w:cstheme="minorHAnsi"/>
          <w:sz w:val="24"/>
          <w:szCs w:val="24"/>
        </w:rPr>
        <w:t xml:space="preserve"> that all M/L C&amp;I customers</w:t>
      </w:r>
      <w:r w:rsidR="007C407E" w:rsidRPr="00D22FA6">
        <w:rPr>
          <w:rFonts w:asciiTheme="minorHAnsi" w:hAnsiTheme="minorHAnsi" w:cstheme="minorHAnsi"/>
          <w:sz w:val="24"/>
          <w:szCs w:val="24"/>
        </w:rPr>
        <w:t xml:space="preserve"> pa</w:t>
      </w:r>
      <w:r w:rsidR="00FD20BA" w:rsidRPr="00D22FA6">
        <w:rPr>
          <w:rFonts w:asciiTheme="minorHAnsi" w:hAnsiTheme="minorHAnsi" w:cstheme="minorHAnsi"/>
          <w:sz w:val="24"/>
          <w:szCs w:val="24"/>
        </w:rPr>
        <w:t>y</w:t>
      </w:r>
      <w:r w:rsidR="007C407E" w:rsidRPr="00D22FA6">
        <w:rPr>
          <w:rFonts w:asciiTheme="minorHAnsi" w:hAnsiTheme="minorHAnsi" w:cstheme="minorHAnsi"/>
          <w:sz w:val="24"/>
          <w:szCs w:val="24"/>
        </w:rPr>
        <w:t xml:space="preserve"> volumetric rates instead of demand charges to recover transmission </w:t>
      </w:r>
      <w:r w:rsidR="00FD20BA" w:rsidRPr="00D22FA6">
        <w:rPr>
          <w:rFonts w:asciiTheme="minorHAnsi" w:hAnsiTheme="minorHAnsi" w:cstheme="minorHAnsi"/>
          <w:sz w:val="24"/>
          <w:szCs w:val="24"/>
        </w:rPr>
        <w:t>costs</w:t>
      </w:r>
      <w:r w:rsidR="007C407E" w:rsidRPr="00D22FA6">
        <w:rPr>
          <w:rFonts w:asciiTheme="minorHAnsi" w:hAnsiTheme="minorHAnsi" w:cstheme="minorHAnsi"/>
          <w:sz w:val="24"/>
          <w:szCs w:val="24"/>
        </w:rPr>
        <w:t xml:space="preserve"> and thus, the VGI</w:t>
      </w:r>
      <w:r w:rsidR="00FD20BA" w:rsidRPr="00D22FA6">
        <w:rPr>
          <w:rFonts w:asciiTheme="minorHAnsi" w:hAnsiTheme="minorHAnsi" w:cstheme="minorHAnsi"/>
          <w:sz w:val="24"/>
          <w:szCs w:val="24"/>
        </w:rPr>
        <w:t xml:space="preserve"> </w:t>
      </w:r>
      <w:r w:rsidR="005325E9" w:rsidRPr="00D22FA6">
        <w:rPr>
          <w:rFonts w:asciiTheme="minorHAnsi" w:hAnsiTheme="minorHAnsi" w:cstheme="minorHAnsi"/>
          <w:sz w:val="24"/>
          <w:szCs w:val="24"/>
        </w:rPr>
        <w:t xml:space="preserve">volumetric transmission rate </w:t>
      </w:r>
      <w:r w:rsidR="008302EB" w:rsidRPr="00D22FA6">
        <w:rPr>
          <w:rFonts w:asciiTheme="minorHAnsi" w:hAnsiTheme="minorHAnsi" w:cstheme="minorHAnsi"/>
          <w:sz w:val="24"/>
          <w:szCs w:val="24"/>
        </w:rPr>
        <w:t xml:space="preserve">is calculated by </w:t>
      </w:r>
      <w:r w:rsidR="005325E9" w:rsidRPr="00D22FA6">
        <w:rPr>
          <w:rFonts w:asciiTheme="minorHAnsi" w:hAnsiTheme="minorHAnsi" w:cstheme="minorHAnsi"/>
          <w:sz w:val="24"/>
          <w:szCs w:val="24"/>
        </w:rPr>
        <w:t>simply divid</w:t>
      </w:r>
      <w:r w:rsidR="008302EB" w:rsidRPr="00D22FA6">
        <w:rPr>
          <w:rFonts w:asciiTheme="minorHAnsi" w:hAnsiTheme="minorHAnsi" w:cstheme="minorHAnsi"/>
          <w:sz w:val="24"/>
          <w:szCs w:val="24"/>
        </w:rPr>
        <w:t>ing</w:t>
      </w:r>
      <w:r w:rsidR="005325E9" w:rsidRPr="00D22FA6">
        <w:rPr>
          <w:rFonts w:asciiTheme="minorHAnsi" w:hAnsiTheme="minorHAnsi" w:cstheme="minorHAnsi"/>
          <w:sz w:val="24"/>
          <w:szCs w:val="24"/>
        </w:rPr>
        <w:t xml:space="preserve"> the M/L C&amp;I allocated transmission</w:t>
      </w:r>
      <w:r w:rsidR="008302EB" w:rsidRPr="00D22FA6">
        <w:rPr>
          <w:rFonts w:asciiTheme="minorHAnsi" w:hAnsiTheme="minorHAnsi" w:cstheme="minorHAnsi"/>
          <w:sz w:val="24"/>
          <w:szCs w:val="24"/>
        </w:rPr>
        <w:t xml:space="preserve"> revenues by the M/L C&amp;I forecasted annual kWh sales.</w:t>
      </w:r>
      <w:r w:rsidR="008C22D7" w:rsidRPr="00D22FA6">
        <w:rPr>
          <w:rFonts w:asciiTheme="minorHAnsi" w:hAnsiTheme="minorHAnsi" w:cstheme="minorHAnsi"/>
          <w:sz w:val="24"/>
          <w:szCs w:val="24"/>
        </w:rPr>
        <w:t xml:space="preserve">  </w:t>
      </w:r>
      <w:r w:rsidR="001744EF" w:rsidRPr="00D22FA6">
        <w:rPr>
          <w:rFonts w:asciiTheme="minorHAnsi" w:hAnsiTheme="minorHAnsi" w:cstheme="minorHAnsi"/>
          <w:sz w:val="24"/>
          <w:szCs w:val="24"/>
        </w:rPr>
        <w:t>A</w:t>
      </w:r>
      <w:r w:rsidR="002C0C79" w:rsidRPr="00D22FA6">
        <w:rPr>
          <w:rFonts w:asciiTheme="minorHAnsi" w:hAnsiTheme="minorHAnsi" w:cstheme="minorHAnsi"/>
          <w:sz w:val="24"/>
          <w:szCs w:val="24"/>
        </w:rPr>
        <w:t xml:space="preserve">ny </w:t>
      </w:r>
      <w:r w:rsidR="006C2FA9" w:rsidRPr="00D22FA6">
        <w:rPr>
          <w:rFonts w:asciiTheme="minorHAnsi" w:hAnsiTheme="minorHAnsi" w:cstheme="minorHAnsi"/>
          <w:sz w:val="24"/>
          <w:szCs w:val="24"/>
        </w:rPr>
        <w:t xml:space="preserve">difference in </w:t>
      </w:r>
      <w:r w:rsidR="002C0C79" w:rsidRPr="00D22FA6">
        <w:rPr>
          <w:rFonts w:asciiTheme="minorHAnsi" w:hAnsiTheme="minorHAnsi" w:cstheme="minorHAnsi"/>
          <w:sz w:val="24"/>
          <w:szCs w:val="24"/>
        </w:rPr>
        <w:t>transmission revenue</w:t>
      </w:r>
      <w:r w:rsidR="001744EF" w:rsidRPr="00D22FA6">
        <w:rPr>
          <w:rFonts w:asciiTheme="minorHAnsi" w:hAnsiTheme="minorHAnsi" w:cstheme="minorHAnsi"/>
          <w:sz w:val="24"/>
          <w:szCs w:val="24"/>
        </w:rPr>
        <w:t>s</w:t>
      </w:r>
      <w:r w:rsidR="00DC12B3" w:rsidRPr="00D22FA6">
        <w:rPr>
          <w:rFonts w:asciiTheme="minorHAnsi" w:hAnsiTheme="minorHAnsi" w:cstheme="minorHAnsi"/>
          <w:sz w:val="24"/>
          <w:szCs w:val="24"/>
        </w:rPr>
        <w:t xml:space="preserve"> </w:t>
      </w:r>
      <w:r w:rsidR="006C2FA9" w:rsidRPr="00D22FA6">
        <w:rPr>
          <w:rFonts w:asciiTheme="minorHAnsi" w:hAnsiTheme="minorHAnsi" w:cstheme="minorHAnsi"/>
          <w:sz w:val="24"/>
          <w:szCs w:val="24"/>
        </w:rPr>
        <w:t xml:space="preserve">collected </w:t>
      </w:r>
      <w:r w:rsidR="00DC12B3" w:rsidRPr="00D22FA6">
        <w:rPr>
          <w:rFonts w:asciiTheme="minorHAnsi" w:hAnsiTheme="minorHAnsi" w:cstheme="minorHAnsi"/>
          <w:sz w:val="24"/>
          <w:szCs w:val="24"/>
        </w:rPr>
        <w:t xml:space="preserve">from VGI customers </w:t>
      </w:r>
      <w:r w:rsidR="008E7E26" w:rsidRPr="00D22FA6">
        <w:rPr>
          <w:rFonts w:asciiTheme="minorHAnsi" w:hAnsiTheme="minorHAnsi" w:cstheme="minorHAnsi"/>
          <w:sz w:val="24"/>
          <w:szCs w:val="24"/>
        </w:rPr>
        <w:t xml:space="preserve">from </w:t>
      </w:r>
      <w:r w:rsidR="00DC12B3" w:rsidRPr="00D22FA6">
        <w:rPr>
          <w:rFonts w:asciiTheme="minorHAnsi" w:hAnsiTheme="minorHAnsi" w:cstheme="minorHAnsi"/>
          <w:sz w:val="24"/>
          <w:szCs w:val="24"/>
        </w:rPr>
        <w:t>paying</w:t>
      </w:r>
      <w:r w:rsidR="001B4749" w:rsidRPr="00D22FA6">
        <w:rPr>
          <w:rFonts w:asciiTheme="minorHAnsi" w:hAnsiTheme="minorHAnsi" w:cstheme="minorHAnsi"/>
          <w:sz w:val="24"/>
          <w:szCs w:val="24"/>
        </w:rPr>
        <w:t xml:space="preserve"> for transmission costs </w:t>
      </w:r>
      <w:r w:rsidR="007D181A" w:rsidRPr="00D22FA6">
        <w:rPr>
          <w:rFonts w:asciiTheme="minorHAnsi" w:hAnsiTheme="minorHAnsi" w:cstheme="minorHAnsi"/>
          <w:sz w:val="24"/>
          <w:szCs w:val="24"/>
        </w:rPr>
        <w:t>through volumetric rates versus demand charges will be</w:t>
      </w:r>
      <w:r w:rsidR="00D46864" w:rsidRPr="00D22FA6">
        <w:rPr>
          <w:rFonts w:asciiTheme="minorHAnsi" w:hAnsiTheme="minorHAnsi" w:cstheme="minorHAnsi"/>
          <w:sz w:val="24"/>
          <w:szCs w:val="24"/>
        </w:rPr>
        <w:t xml:space="preserve"> handled in the transmission revenue true-up that occurs </w:t>
      </w:r>
      <w:r w:rsidR="00CF18F8" w:rsidRPr="00D22FA6">
        <w:rPr>
          <w:rFonts w:asciiTheme="minorHAnsi" w:hAnsiTheme="minorHAnsi" w:cstheme="minorHAnsi"/>
          <w:sz w:val="24"/>
          <w:szCs w:val="24"/>
        </w:rPr>
        <w:t>each January 1</w:t>
      </w:r>
      <w:r w:rsidR="00CF18F8" w:rsidRPr="00D22FA6">
        <w:rPr>
          <w:rFonts w:asciiTheme="minorHAnsi" w:hAnsiTheme="minorHAnsi" w:cstheme="minorHAnsi"/>
          <w:sz w:val="24"/>
          <w:szCs w:val="24"/>
          <w:vertAlign w:val="superscript"/>
        </w:rPr>
        <w:t>st</w:t>
      </w:r>
      <w:r w:rsidR="00CF18F8" w:rsidRPr="00D22FA6">
        <w:rPr>
          <w:rFonts w:asciiTheme="minorHAnsi" w:hAnsiTheme="minorHAnsi" w:cstheme="minorHAnsi"/>
          <w:sz w:val="24"/>
          <w:szCs w:val="24"/>
        </w:rPr>
        <w:t xml:space="preserve"> when SDG&amp;E’s transmission rates are updated to recover the</w:t>
      </w:r>
      <w:r w:rsidR="00C25B73" w:rsidRPr="00D22FA6">
        <w:rPr>
          <w:rFonts w:asciiTheme="minorHAnsi" w:hAnsiTheme="minorHAnsi" w:cstheme="minorHAnsi"/>
          <w:sz w:val="24"/>
          <w:szCs w:val="24"/>
        </w:rPr>
        <w:t xml:space="preserve"> currently adopted transmission revenues.  </w:t>
      </w:r>
      <w:r w:rsidR="007D181A" w:rsidRPr="00D22FA6">
        <w:rPr>
          <w:rFonts w:asciiTheme="minorHAnsi" w:hAnsiTheme="minorHAnsi" w:cstheme="minorHAnsi"/>
          <w:sz w:val="24"/>
          <w:szCs w:val="24"/>
        </w:rPr>
        <w:t xml:space="preserve"> </w:t>
      </w:r>
      <w:r w:rsidR="002C0C79" w:rsidRPr="00D22FA6">
        <w:rPr>
          <w:rFonts w:asciiTheme="minorHAnsi" w:hAnsiTheme="minorHAnsi" w:cstheme="minorHAnsi"/>
          <w:sz w:val="24"/>
          <w:szCs w:val="24"/>
        </w:rPr>
        <w:t xml:space="preserve"> </w:t>
      </w:r>
      <w:r w:rsidR="005325E9" w:rsidRPr="00D22FA6">
        <w:rPr>
          <w:rFonts w:asciiTheme="minorHAnsi" w:hAnsiTheme="minorHAnsi" w:cstheme="minorHAnsi"/>
          <w:sz w:val="24"/>
          <w:szCs w:val="24"/>
        </w:rPr>
        <w:t xml:space="preserve">  </w:t>
      </w:r>
      <w:r w:rsidR="007C407E" w:rsidRPr="00D22FA6">
        <w:rPr>
          <w:rFonts w:asciiTheme="minorHAnsi" w:hAnsiTheme="minorHAnsi" w:cstheme="minorHAnsi"/>
          <w:sz w:val="24"/>
          <w:szCs w:val="24"/>
        </w:rPr>
        <w:t xml:space="preserve"> </w:t>
      </w:r>
    </w:p>
    <w:sectPr w:rsidR="003E0D6B" w:rsidRPr="00D22FA6" w:rsidSect="009324A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68841" w14:textId="77777777" w:rsidR="00BE75DE" w:rsidRDefault="00BE75DE" w:rsidP="00D53FF2">
      <w:r>
        <w:separator/>
      </w:r>
    </w:p>
  </w:endnote>
  <w:endnote w:type="continuationSeparator" w:id="0">
    <w:p w14:paraId="712A5D7A" w14:textId="77777777" w:rsidR="00BE75DE" w:rsidRDefault="00BE75DE" w:rsidP="00D53FF2">
      <w:r>
        <w:continuationSeparator/>
      </w:r>
    </w:p>
  </w:endnote>
  <w:endnote w:type="continuationNotice" w:id="1">
    <w:p w14:paraId="1EB82C64" w14:textId="77777777" w:rsidR="00BE75DE" w:rsidRDefault="00BE7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YCZGQ+TimesNewRomanPS-BoldMT">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C6267" w14:textId="77777777" w:rsidR="00BE75DE" w:rsidRDefault="00BE75DE" w:rsidP="00D53FF2">
      <w:r>
        <w:separator/>
      </w:r>
    </w:p>
  </w:footnote>
  <w:footnote w:type="continuationSeparator" w:id="0">
    <w:p w14:paraId="15B74684" w14:textId="77777777" w:rsidR="00BE75DE" w:rsidRDefault="00BE75DE" w:rsidP="00D53FF2">
      <w:r>
        <w:continuationSeparator/>
      </w:r>
    </w:p>
  </w:footnote>
  <w:footnote w:type="continuationNotice" w:id="1">
    <w:p w14:paraId="6077AA56" w14:textId="77777777" w:rsidR="00BE75DE" w:rsidRDefault="00BE7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ED128" w14:textId="77777777" w:rsidR="00D53FF2" w:rsidRPr="00D53FF2" w:rsidRDefault="00426ECC" w:rsidP="00D53FF2">
    <w:pPr>
      <w:pStyle w:val="Default"/>
      <w:jc w:val="center"/>
      <w:rPr>
        <w:rFonts w:asciiTheme="minorHAnsi" w:hAnsiTheme="minorHAnsi" w:cstheme="minorHAnsi"/>
        <w:b/>
        <w:bCs/>
        <w:sz w:val="23"/>
        <w:szCs w:val="23"/>
      </w:rPr>
    </w:pPr>
    <w:r>
      <w:rPr>
        <w:rFonts w:asciiTheme="minorHAnsi" w:hAnsiTheme="minorHAnsi" w:cstheme="minorHAnsi"/>
        <w:b/>
        <w:bCs/>
        <w:sz w:val="23"/>
        <w:szCs w:val="23"/>
      </w:rPr>
      <w:t>Cal PA</w:t>
    </w:r>
    <w:r w:rsidR="00D53FF2" w:rsidRPr="00D53FF2">
      <w:rPr>
        <w:rFonts w:asciiTheme="minorHAnsi" w:hAnsiTheme="minorHAnsi" w:cstheme="minorHAnsi"/>
        <w:b/>
        <w:bCs/>
        <w:sz w:val="23"/>
        <w:szCs w:val="23"/>
      </w:rPr>
      <w:t xml:space="preserve"> DATA REQUEST </w:t>
    </w:r>
  </w:p>
  <w:p w14:paraId="470AEC8F" w14:textId="34338587" w:rsidR="00D53FF2" w:rsidRPr="00D53FF2" w:rsidRDefault="00426ECC" w:rsidP="00D53FF2">
    <w:pPr>
      <w:pStyle w:val="Default"/>
      <w:jc w:val="center"/>
      <w:rPr>
        <w:rFonts w:asciiTheme="minorHAnsi" w:hAnsiTheme="minorHAnsi" w:cstheme="minorHAnsi"/>
        <w:b/>
        <w:bCs/>
        <w:sz w:val="23"/>
        <w:szCs w:val="23"/>
      </w:rPr>
    </w:pPr>
    <w:r>
      <w:rPr>
        <w:rFonts w:asciiTheme="minorHAnsi" w:hAnsiTheme="minorHAnsi" w:cstheme="minorHAnsi"/>
        <w:b/>
        <w:bCs/>
        <w:sz w:val="23"/>
        <w:szCs w:val="23"/>
      </w:rPr>
      <w:t>Cal PA</w:t>
    </w:r>
    <w:r w:rsidR="00D53FF2" w:rsidRPr="00D53FF2">
      <w:rPr>
        <w:rFonts w:asciiTheme="minorHAnsi" w:hAnsiTheme="minorHAnsi" w:cstheme="minorHAnsi"/>
        <w:b/>
        <w:bCs/>
        <w:sz w:val="23"/>
        <w:szCs w:val="23"/>
      </w:rPr>
      <w:t>-SDG&amp;E-DR-0</w:t>
    </w:r>
    <w:r w:rsidR="009D2CE2">
      <w:rPr>
        <w:rFonts w:asciiTheme="minorHAnsi" w:hAnsiTheme="minorHAnsi" w:cstheme="minorHAnsi"/>
        <w:b/>
        <w:bCs/>
        <w:sz w:val="23"/>
        <w:szCs w:val="23"/>
      </w:rPr>
      <w:t>5</w:t>
    </w:r>
    <w:r w:rsidR="00B43592">
      <w:rPr>
        <w:rFonts w:asciiTheme="minorHAnsi" w:hAnsiTheme="minorHAnsi" w:cstheme="minorHAnsi"/>
        <w:b/>
        <w:bCs/>
        <w:sz w:val="23"/>
        <w:szCs w:val="23"/>
      </w:rPr>
      <w:t>, REQUEST 1</w:t>
    </w:r>
  </w:p>
  <w:p w14:paraId="0921FB8D" w14:textId="3E31BCD5" w:rsidR="00D53FF2" w:rsidRPr="00D53FF2" w:rsidRDefault="00D53FF2" w:rsidP="00D53FF2">
    <w:pPr>
      <w:pStyle w:val="Default"/>
      <w:jc w:val="center"/>
      <w:rPr>
        <w:rFonts w:asciiTheme="minorHAnsi" w:hAnsiTheme="minorHAnsi" w:cstheme="minorHAnsi"/>
        <w:b/>
        <w:bCs/>
        <w:sz w:val="23"/>
        <w:szCs w:val="23"/>
      </w:rPr>
    </w:pPr>
    <w:r w:rsidRPr="00D53FF2">
      <w:rPr>
        <w:rFonts w:asciiTheme="minorHAnsi" w:hAnsiTheme="minorHAnsi" w:cstheme="minorHAnsi"/>
        <w:b/>
        <w:bCs/>
        <w:sz w:val="23"/>
        <w:szCs w:val="23"/>
      </w:rPr>
      <w:t>Application for Approval of Electric Vehicle High Power Charging Rate</w:t>
    </w:r>
    <w:r w:rsidR="00B43592">
      <w:rPr>
        <w:rFonts w:asciiTheme="minorHAnsi" w:hAnsiTheme="minorHAnsi" w:cstheme="minorHAnsi"/>
        <w:b/>
        <w:bCs/>
        <w:sz w:val="23"/>
        <w:szCs w:val="23"/>
      </w:rPr>
      <w:t xml:space="preserve"> (A.19-07-006)</w:t>
    </w:r>
  </w:p>
  <w:p w14:paraId="77BBFC47" w14:textId="77777777" w:rsidR="00D53FF2" w:rsidRPr="00D53FF2" w:rsidRDefault="00D53FF2" w:rsidP="00D53FF2">
    <w:pPr>
      <w:pStyle w:val="Default"/>
      <w:jc w:val="center"/>
      <w:rPr>
        <w:rFonts w:asciiTheme="minorHAnsi" w:hAnsiTheme="minorHAnsi" w:cstheme="minorHAnsi"/>
        <w:b/>
        <w:bCs/>
        <w:sz w:val="23"/>
        <w:szCs w:val="23"/>
      </w:rPr>
    </w:pPr>
    <w:r w:rsidRPr="00D53FF2">
      <w:rPr>
        <w:rFonts w:asciiTheme="minorHAnsi" w:hAnsiTheme="minorHAnsi" w:cstheme="minorHAnsi"/>
        <w:b/>
        <w:bCs/>
        <w:sz w:val="23"/>
        <w:szCs w:val="23"/>
      </w:rPr>
      <w:t xml:space="preserve">SDG&amp;E RESPONSE </w:t>
    </w:r>
  </w:p>
  <w:p w14:paraId="01CA2882" w14:textId="3F624701" w:rsidR="00D53FF2" w:rsidRPr="00D53FF2" w:rsidRDefault="00D53FF2" w:rsidP="00D53FF2">
    <w:pPr>
      <w:pStyle w:val="Default"/>
      <w:jc w:val="center"/>
      <w:rPr>
        <w:rFonts w:asciiTheme="minorHAnsi" w:hAnsiTheme="minorHAnsi" w:cstheme="minorHAnsi"/>
        <w:b/>
        <w:bCs/>
        <w:sz w:val="23"/>
        <w:szCs w:val="23"/>
      </w:rPr>
    </w:pPr>
    <w:r w:rsidRPr="00D53FF2">
      <w:rPr>
        <w:rFonts w:asciiTheme="minorHAnsi" w:hAnsiTheme="minorHAnsi" w:cstheme="minorHAnsi"/>
        <w:b/>
        <w:bCs/>
        <w:sz w:val="23"/>
        <w:szCs w:val="23"/>
      </w:rPr>
      <w:t xml:space="preserve">DATE RECEIVED: </w:t>
    </w:r>
    <w:r w:rsidR="009D2CE2">
      <w:rPr>
        <w:rFonts w:asciiTheme="minorHAnsi" w:hAnsiTheme="minorHAnsi" w:cstheme="minorHAnsi"/>
        <w:b/>
        <w:bCs/>
        <w:sz w:val="23"/>
        <w:szCs w:val="23"/>
      </w:rPr>
      <w:t>October</w:t>
    </w:r>
    <w:r w:rsidR="00F761A7">
      <w:rPr>
        <w:rFonts w:asciiTheme="minorHAnsi" w:hAnsiTheme="minorHAnsi" w:cstheme="minorHAnsi"/>
        <w:b/>
        <w:bCs/>
        <w:sz w:val="23"/>
        <w:szCs w:val="23"/>
      </w:rPr>
      <w:t xml:space="preserve"> </w:t>
    </w:r>
    <w:r w:rsidR="009D2CE2">
      <w:rPr>
        <w:rFonts w:asciiTheme="minorHAnsi" w:hAnsiTheme="minorHAnsi" w:cstheme="minorHAnsi"/>
        <w:b/>
        <w:bCs/>
        <w:sz w:val="23"/>
        <w:szCs w:val="23"/>
      </w:rPr>
      <w:t>10</w:t>
    </w:r>
    <w:r w:rsidRPr="00D53FF2">
      <w:rPr>
        <w:rFonts w:asciiTheme="minorHAnsi" w:hAnsiTheme="minorHAnsi" w:cstheme="minorHAnsi"/>
        <w:b/>
        <w:bCs/>
        <w:sz w:val="23"/>
        <w:szCs w:val="23"/>
      </w:rPr>
      <w:t xml:space="preserve">, 2019 </w:t>
    </w:r>
  </w:p>
  <w:p w14:paraId="4380A851" w14:textId="05F481D8" w:rsidR="00D53FF2" w:rsidRPr="005A5543" w:rsidRDefault="00D53FF2" w:rsidP="00D53FF2">
    <w:pPr>
      <w:pStyle w:val="Default"/>
      <w:jc w:val="center"/>
      <w:rPr>
        <w:rFonts w:asciiTheme="minorHAnsi" w:hAnsiTheme="minorHAnsi" w:cstheme="minorHAnsi"/>
        <w:b/>
        <w:bCs/>
        <w:color w:val="auto"/>
        <w:sz w:val="23"/>
        <w:szCs w:val="23"/>
      </w:rPr>
    </w:pPr>
    <w:r w:rsidRPr="00D53FF2">
      <w:rPr>
        <w:rFonts w:asciiTheme="minorHAnsi" w:hAnsiTheme="minorHAnsi" w:cstheme="minorHAnsi"/>
        <w:b/>
        <w:bCs/>
        <w:sz w:val="23"/>
        <w:szCs w:val="23"/>
      </w:rPr>
      <w:t xml:space="preserve">DATE RESPONDED: </w:t>
    </w:r>
    <w:r w:rsidR="009D2CE2" w:rsidRPr="00D22FA6">
      <w:rPr>
        <w:rFonts w:asciiTheme="minorHAnsi" w:hAnsiTheme="minorHAnsi" w:cstheme="minorHAnsi"/>
        <w:b/>
        <w:bCs/>
        <w:color w:val="auto"/>
        <w:sz w:val="23"/>
        <w:szCs w:val="23"/>
      </w:rPr>
      <w:t>October 24</w:t>
    </w:r>
    <w:r w:rsidRPr="00D22FA6">
      <w:rPr>
        <w:rFonts w:asciiTheme="minorHAnsi" w:hAnsiTheme="minorHAnsi" w:cstheme="minorHAnsi"/>
        <w:b/>
        <w:bCs/>
        <w:color w:val="auto"/>
        <w:sz w:val="23"/>
        <w:szCs w:val="23"/>
      </w:rPr>
      <w:t>, 2019</w:t>
    </w:r>
  </w:p>
  <w:p w14:paraId="0278AC9A" w14:textId="77777777" w:rsidR="009D2CE2" w:rsidRDefault="009D2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3078"/>
    <w:multiLevelType w:val="hybridMultilevel"/>
    <w:tmpl w:val="325EA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950EF"/>
    <w:multiLevelType w:val="hybridMultilevel"/>
    <w:tmpl w:val="6B0E7DE4"/>
    <w:lvl w:ilvl="0" w:tplc="368AA08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A24796A"/>
    <w:multiLevelType w:val="hybridMultilevel"/>
    <w:tmpl w:val="F49EE6A2"/>
    <w:lvl w:ilvl="0" w:tplc="2EE8C6BC">
      <w:start w:val="1"/>
      <w:numFmt w:val="decimal"/>
      <w:lvlText w:val="%1."/>
      <w:lvlJc w:val="left"/>
      <w:pPr>
        <w:tabs>
          <w:tab w:val="num" w:pos="720"/>
        </w:tabs>
        <w:ind w:left="720" w:hanging="360"/>
      </w:pPr>
      <w:rPr>
        <w:rFonts w:ascii="Times New Roman" w:hAnsi="Times New Roman" w:cs="Times New Roman"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FF2"/>
    <w:rsid w:val="00001351"/>
    <w:rsid w:val="00001C12"/>
    <w:rsid w:val="0000574C"/>
    <w:rsid w:val="000172C5"/>
    <w:rsid w:val="00022F53"/>
    <w:rsid w:val="000233D9"/>
    <w:rsid w:val="00024C2C"/>
    <w:rsid w:val="00030772"/>
    <w:rsid w:val="00030F37"/>
    <w:rsid w:val="00034392"/>
    <w:rsid w:val="00036FCB"/>
    <w:rsid w:val="000412FC"/>
    <w:rsid w:val="00043A47"/>
    <w:rsid w:val="00045992"/>
    <w:rsid w:val="00051804"/>
    <w:rsid w:val="00060359"/>
    <w:rsid w:val="00065395"/>
    <w:rsid w:val="00070DDF"/>
    <w:rsid w:val="00075088"/>
    <w:rsid w:val="00080D12"/>
    <w:rsid w:val="00085953"/>
    <w:rsid w:val="00085E2F"/>
    <w:rsid w:val="00086AA2"/>
    <w:rsid w:val="000906CC"/>
    <w:rsid w:val="000945D9"/>
    <w:rsid w:val="000A3650"/>
    <w:rsid w:val="000A4989"/>
    <w:rsid w:val="000A550E"/>
    <w:rsid w:val="000A57BE"/>
    <w:rsid w:val="000B1AF6"/>
    <w:rsid w:val="000B1EC3"/>
    <w:rsid w:val="000C2C0D"/>
    <w:rsid w:val="000C40FC"/>
    <w:rsid w:val="000C4CBE"/>
    <w:rsid w:val="000C7410"/>
    <w:rsid w:val="000C7F38"/>
    <w:rsid w:val="000E3D5C"/>
    <w:rsid w:val="000E406B"/>
    <w:rsid w:val="000F0F1A"/>
    <w:rsid w:val="00115B11"/>
    <w:rsid w:val="00120DE0"/>
    <w:rsid w:val="00140BB6"/>
    <w:rsid w:val="00140D50"/>
    <w:rsid w:val="0014156C"/>
    <w:rsid w:val="001418F5"/>
    <w:rsid w:val="00141EEA"/>
    <w:rsid w:val="001478A8"/>
    <w:rsid w:val="0015225E"/>
    <w:rsid w:val="00154E3F"/>
    <w:rsid w:val="00154EB4"/>
    <w:rsid w:val="00154F72"/>
    <w:rsid w:val="00161A57"/>
    <w:rsid w:val="001621AE"/>
    <w:rsid w:val="0016533F"/>
    <w:rsid w:val="00167430"/>
    <w:rsid w:val="001744EF"/>
    <w:rsid w:val="00182619"/>
    <w:rsid w:val="00187681"/>
    <w:rsid w:val="00187DF3"/>
    <w:rsid w:val="001A2259"/>
    <w:rsid w:val="001A3065"/>
    <w:rsid w:val="001A736E"/>
    <w:rsid w:val="001B0911"/>
    <w:rsid w:val="001B32C7"/>
    <w:rsid w:val="001B3E30"/>
    <w:rsid w:val="001B4572"/>
    <w:rsid w:val="001B4749"/>
    <w:rsid w:val="001B7583"/>
    <w:rsid w:val="001C3927"/>
    <w:rsid w:val="001C4C9E"/>
    <w:rsid w:val="001C507D"/>
    <w:rsid w:val="001D290E"/>
    <w:rsid w:val="001F51C3"/>
    <w:rsid w:val="001F7685"/>
    <w:rsid w:val="00202895"/>
    <w:rsid w:val="002039CD"/>
    <w:rsid w:val="002100DF"/>
    <w:rsid w:val="00223540"/>
    <w:rsid w:val="0022632A"/>
    <w:rsid w:val="00227155"/>
    <w:rsid w:val="00230EF6"/>
    <w:rsid w:val="00237D25"/>
    <w:rsid w:val="00237DE8"/>
    <w:rsid w:val="0024268E"/>
    <w:rsid w:val="00247138"/>
    <w:rsid w:val="00252809"/>
    <w:rsid w:val="002545FB"/>
    <w:rsid w:val="00297039"/>
    <w:rsid w:val="002A010F"/>
    <w:rsid w:val="002A0548"/>
    <w:rsid w:val="002A433B"/>
    <w:rsid w:val="002B670A"/>
    <w:rsid w:val="002C00DA"/>
    <w:rsid w:val="002C0C79"/>
    <w:rsid w:val="002C1E3E"/>
    <w:rsid w:val="002C2444"/>
    <w:rsid w:val="002C2B03"/>
    <w:rsid w:val="002C3DC3"/>
    <w:rsid w:val="002C5907"/>
    <w:rsid w:val="002D6F18"/>
    <w:rsid w:val="002E2C65"/>
    <w:rsid w:val="002E4A1F"/>
    <w:rsid w:val="002F61AC"/>
    <w:rsid w:val="00300025"/>
    <w:rsid w:val="00307AC6"/>
    <w:rsid w:val="003116A8"/>
    <w:rsid w:val="003154FF"/>
    <w:rsid w:val="003169ED"/>
    <w:rsid w:val="003219F7"/>
    <w:rsid w:val="00322C47"/>
    <w:rsid w:val="003346F1"/>
    <w:rsid w:val="00335E7F"/>
    <w:rsid w:val="00336921"/>
    <w:rsid w:val="00345237"/>
    <w:rsid w:val="003475D1"/>
    <w:rsid w:val="00347B5E"/>
    <w:rsid w:val="00351ABC"/>
    <w:rsid w:val="00355CBD"/>
    <w:rsid w:val="00356C26"/>
    <w:rsid w:val="00371E1A"/>
    <w:rsid w:val="0037542E"/>
    <w:rsid w:val="0037570E"/>
    <w:rsid w:val="00387CA2"/>
    <w:rsid w:val="003A0FDC"/>
    <w:rsid w:val="003A1113"/>
    <w:rsid w:val="003B0015"/>
    <w:rsid w:val="003B1ECC"/>
    <w:rsid w:val="003C4135"/>
    <w:rsid w:val="003D0CC7"/>
    <w:rsid w:val="003D2171"/>
    <w:rsid w:val="003D4479"/>
    <w:rsid w:val="003D6D11"/>
    <w:rsid w:val="003E0D6B"/>
    <w:rsid w:val="003E355E"/>
    <w:rsid w:val="003F32C4"/>
    <w:rsid w:val="003F37D9"/>
    <w:rsid w:val="003F3CB0"/>
    <w:rsid w:val="003F5759"/>
    <w:rsid w:val="003F6FF9"/>
    <w:rsid w:val="003F72BF"/>
    <w:rsid w:val="003F7C58"/>
    <w:rsid w:val="004033A7"/>
    <w:rsid w:val="00412CF2"/>
    <w:rsid w:val="00416D88"/>
    <w:rsid w:val="004210B2"/>
    <w:rsid w:val="004216C2"/>
    <w:rsid w:val="0042205C"/>
    <w:rsid w:val="0042386A"/>
    <w:rsid w:val="00424A41"/>
    <w:rsid w:val="00426ECC"/>
    <w:rsid w:val="00437A40"/>
    <w:rsid w:val="004441B2"/>
    <w:rsid w:val="00445219"/>
    <w:rsid w:val="00452C5B"/>
    <w:rsid w:val="0045300B"/>
    <w:rsid w:val="00460209"/>
    <w:rsid w:val="00461ACA"/>
    <w:rsid w:val="0046242F"/>
    <w:rsid w:val="00467889"/>
    <w:rsid w:val="00472F30"/>
    <w:rsid w:val="00472FBF"/>
    <w:rsid w:val="00476DEA"/>
    <w:rsid w:val="00481CD8"/>
    <w:rsid w:val="00482106"/>
    <w:rsid w:val="004878FC"/>
    <w:rsid w:val="004A0B2A"/>
    <w:rsid w:val="004B05E4"/>
    <w:rsid w:val="004B06F6"/>
    <w:rsid w:val="004B7221"/>
    <w:rsid w:val="004C2533"/>
    <w:rsid w:val="004C3EBB"/>
    <w:rsid w:val="004C4A04"/>
    <w:rsid w:val="004C7F7F"/>
    <w:rsid w:val="004D016F"/>
    <w:rsid w:val="004D19B8"/>
    <w:rsid w:val="004D38A6"/>
    <w:rsid w:val="004D5C54"/>
    <w:rsid w:val="004D5F03"/>
    <w:rsid w:val="004D601F"/>
    <w:rsid w:val="004E2339"/>
    <w:rsid w:val="004E4872"/>
    <w:rsid w:val="004F7DBB"/>
    <w:rsid w:val="0050132A"/>
    <w:rsid w:val="00502B5A"/>
    <w:rsid w:val="005126CC"/>
    <w:rsid w:val="005264F1"/>
    <w:rsid w:val="005278ED"/>
    <w:rsid w:val="005325E9"/>
    <w:rsid w:val="00532FB1"/>
    <w:rsid w:val="005360E3"/>
    <w:rsid w:val="00540FED"/>
    <w:rsid w:val="005540BD"/>
    <w:rsid w:val="00556BB8"/>
    <w:rsid w:val="00560BD5"/>
    <w:rsid w:val="00564FA5"/>
    <w:rsid w:val="00572330"/>
    <w:rsid w:val="0057323D"/>
    <w:rsid w:val="005732D3"/>
    <w:rsid w:val="00574681"/>
    <w:rsid w:val="00574B72"/>
    <w:rsid w:val="00577A7A"/>
    <w:rsid w:val="00584CB6"/>
    <w:rsid w:val="00591BCE"/>
    <w:rsid w:val="00591D2E"/>
    <w:rsid w:val="00591DD2"/>
    <w:rsid w:val="005977B7"/>
    <w:rsid w:val="005A082C"/>
    <w:rsid w:val="005A155B"/>
    <w:rsid w:val="005A5543"/>
    <w:rsid w:val="005B083E"/>
    <w:rsid w:val="005B1DED"/>
    <w:rsid w:val="005B41C6"/>
    <w:rsid w:val="005B5BB1"/>
    <w:rsid w:val="005C380E"/>
    <w:rsid w:val="005D09FA"/>
    <w:rsid w:val="005D42AD"/>
    <w:rsid w:val="005D6848"/>
    <w:rsid w:val="005E30B2"/>
    <w:rsid w:val="005E63B8"/>
    <w:rsid w:val="005F154E"/>
    <w:rsid w:val="00605B60"/>
    <w:rsid w:val="00607182"/>
    <w:rsid w:val="006145DC"/>
    <w:rsid w:val="00614954"/>
    <w:rsid w:val="00623C3D"/>
    <w:rsid w:val="00631559"/>
    <w:rsid w:val="0064108F"/>
    <w:rsid w:val="006425DD"/>
    <w:rsid w:val="00644E81"/>
    <w:rsid w:val="00647A7E"/>
    <w:rsid w:val="0065566B"/>
    <w:rsid w:val="00656C63"/>
    <w:rsid w:val="00656E44"/>
    <w:rsid w:val="00656F53"/>
    <w:rsid w:val="00657CD5"/>
    <w:rsid w:val="006602EA"/>
    <w:rsid w:val="006745FB"/>
    <w:rsid w:val="00674B7B"/>
    <w:rsid w:val="006778CB"/>
    <w:rsid w:val="0068410E"/>
    <w:rsid w:val="00687EB1"/>
    <w:rsid w:val="006911E1"/>
    <w:rsid w:val="006938FD"/>
    <w:rsid w:val="00693BA6"/>
    <w:rsid w:val="00697102"/>
    <w:rsid w:val="006A5057"/>
    <w:rsid w:val="006A75D4"/>
    <w:rsid w:val="006B7EAC"/>
    <w:rsid w:val="006C2FA9"/>
    <w:rsid w:val="006C4DB1"/>
    <w:rsid w:val="006C58F5"/>
    <w:rsid w:val="006D0FCA"/>
    <w:rsid w:val="006E147E"/>
    <w:rsid w:val="006E6F56"/>
    <w:rsid w:val="006F2392"/>
    <w:rsid w:val="006F575C"/>
    <w:rsid w:val="006F5ABB"/>
    <w:rsid w:val="00700103"/>
    <w:rsid w:val="00701B42"/>
    <w:rsid w:val="00706788"/>
    <w:rsid w:val="00710D58"/>
    <w:rsid w:val="00711748"/>
    <w:rsid w:val="007120BE"/>
    <w:rsid w:val="007154B6"/>
    <w:rsid w:val="00715B3A"/>
    <w:rsid w:val="00716978"/>
    <w:rsid w:val="007257A6"/>
    <w:rsid w:val="00727B62"/>
    <w:rsid w:val="00741BC7"/>
    <w:rsid w:val="0075211E"/>
    <w:rsid w:val="00757988"/>
    <w:rsid w:val="00757C11"/>
    <w:rsid w:val="00763822"/>
    <w:rsid w:val="00774F41"/>
    <w:rsid w:val="00780841"/>
    <w:rsid w:val="007857A2"/>
    <w:rsid w:val="00790708"/>
    <w:rsid w:val="00795AB6"/>
    <w:rsid w:val="007960DC"/>
    <w:rsid w:val="007961A8"/>
    <w:rsid w:val="007A1C07"/>
    <w:rsid w:val="007A360B"/>
    <w:rsid w:val="007A6EC1"/>
    <w:rsid w:val="007A6F4B"/>
    <w:rsid w:val="007B60DD"/>
    <w:rsid w:val="007C407E"/>
    <w:rsid w:val="007D181A"/>
    <w:rsid w:val="007D5766"/>
    <w:rsid w:val="007E2CDC"/>
    <w:rsid w:val="007E3BCF"/>
    <w:rsid w:val="007E636F"/>
    <w:rsid w:val="007E6EAA"/>
    <w:rsid w:val="007E7653"/>
    <w:rsid w:val="007F70C6"/>
    <w:rsid w:val="00802EEF"/>
    <w:rsid w:val="0080308D"/>
    <w:rsid w:val="00805DBF"/>
    <w:rsid w:val="00811292"/>
    <w:rsid w:val="008124D4"/>
    <w:rsid w:val="00822999"/>
    <w:rsid w:val="00822D6D"/>
    <w:rsid w:val="00823E6E"/>
    <w:rsid w:val="00824EE9"/>
    <w:rsid w:val="00825FD5"/>
    <w:rsid w:val="00830095"/>
    <w:rsid w:val="008302EB"/>
    <w:rsid w:val="00833050"/>
    <w:rsid w:val="00834570"/>
    <w:rsid w:val="00834E00"/>
    <w:rsid w:val="008352B0"/>
    <w:rsid w:val="00835D56"/>
    <w:rsid w:val="00840558"/>
    <w:rsid w:val="00840EA7"/>
    <w:rsid w:val="00847963"/>
    <w:rsid w:val="008518CC"/>
    <w:rsid w:val="0086272F"/>
    <w:rsid w:val="00864444"/>
    <w:rsid w:val="00871862"/>
    <w:rsid w:val="00872974"/>
    <w:rsid w:val="00877364"/>
    <w:rsid w:val="0088202E"/>
    <w:rsid w:val="008854EF"/>
    <w:rsid w:val="00887E9C"/>
    <w:rsid w:val="00887EF9"/>
    <w:rsid w:val="00895E24"/>
    <w:rsid w:val="008961A5"/>
    <w:rsid w:val="008A07DD"/>
    <w:rsid w:val="008A132F"/>
    <w:rsid w:val="008A603C"/>
    <w:rsid w:val="008B40DD"/>
    <w:rsid w:val="008B5E4E"/>
    <w:rsid w:val="008B7D18"/>
    <w:rsid w:val="008C22D7"/>
    <w:rsid w:val="008C4B8F"/>
    <w:rsid w:val="008C6BDC"/>
    <w:rsid w:val="008C6D7F"/>
    <w:rsid w:val="008D06C8"/>
    <w:rsid w:val="008D0B45"/>
    <w:rsid w:val="008D3F4E"/>
    <w:rsid w:val="008E0ED1"/>
    <w:rsid w:val="008E7E26"/>
    <w:rsid w:val="008F4159"/>
    <w:rsid w:val="00912BE3"/>
    <w:rsid w:val="009142B4"/>
    <w:rsid w:val="00927F77"/>
    <w:rsid w:val="009310C6"/>
    <w:rsid w:val="009324A1"/>
    <w:rsid w:val="009374A7"/>
    <w:rsid w:val="00937DC3"/>
    <w:rsid w:val="0095598B"/>
    <w:rsid w:val="00960552"/>
    <w:rsid w:val="009631C9"/>
    <w:rsid w:val="00963D8F"/>
    <w:rsid w:val="00964E69"/>
    <w:rsid w:val="0096510A"/>
    <w:rsid w:val="00987E40"/>
    <w:rsid w:val="00990206"/>
    <w:rsid w:val="00993A4D"/>
    <w:rsid w:val="00995457"/>
    <w:rsid w:val="009A4911"/>
    <w:rsid w:val="009A591E"/>
    <w:rsid w:val="009C0128"/>
    <w:rsid w:val="009C09A3"/>
    <w:rsid w:val="009C759A"/>
    <w:rsid w:val="009C76D7"/>
    <w:rsid w:val="009C7AA3"/>
    <w:rsid w:val="009D0A19"/>
    <w:rsid w:val="009D1D43"/>
    <w:rsid w:val="009D2CE2"/>
    <w:rsid w:val="009E2E2C"/>
    <w:rsid w:val="009E3358"/>
    <w:rsid w:val="009E76DD"/>
    <w:rsid w:val="009F1AD4"/>
    <w:rsid w:val="009F3708"/>
    <w:rsid w:val="009F43E1"/>
    <w:rsid w:val="009F44B1"/>
    <w:rsid w:val="009F5C2C"/>
    <w:rsid w:val="009F5C63"/>
    <w:rsid w:val="00A059EB"/>
    <w:rsid w:val="00A1155B"/>
    <w:rsid w:val="00A13133"/>
    <w:rsid w:val="00A2217E"/>
    <w:rsid w:val="00A22807"/>
    <w:rsid w:val="00A249D3"/>
    <w:rsid w:val="00A31E2C"/>
    <w:rsid w:val="00A32D35"/>
    <w:rsid w:val="00A344CF"/>
    <w:rsid w:val="00A50173"/>
    <w:rsid w:val="00A536CF"/>
    <w:rsid w:val="00A53D2A"/>
    <w:rsid w:val="00A53DBD"/>
    <w:rsid w:val="00A562CD"/>
    <w:rsid w:val="00A7096F"/>
    <w:rsid w:val="00A75689"/>
    <w:rsid w:val="00A75740"/>
    <w:rsid w:val="00A85FEA"/>
    <w:rsid w:val="00A91668"/>
    <w:rsid w:val="00A91861"/>
    <w:rsid w:val="00A92702"/>
    <w:rsid w:val="00A9274E"/>
    <w:rsid w:val="00A957F6"/>
    <w:rsid w:val="00AA031F"/>
    <w:rsid w:val="00AA4957"/>
    <w:rsid w:val="00AA54EE"/>
    <w:rsid w:val="00AB3770"/>
    <w:rsid w:val="00AB4A12"/>
    <w:rsid w:val="00AB5D41"/>
    <w:rsid w:val="00AB7B32"/>
    <w:rsid w:val="00AC3B3A"/>
    <w:rsid w:val="00AD12EE"/>
    <w:rsid w:val="00AD4A73"/>
    <w:rsid w:val="00AF194F"/>
    <w:rsid w:val="00AF7A5F"/>
    <w:rsid w:val="00B0111C"/>
    <w:rsid w:val="00B04D2A"/>
    <w:rsid w:val="00B100A2"/>
    <w:rsid w:val="00B10634"/>
    <w:rsid w:val="00B14651"/>
    <w:rsid w:val="00B15A2A"/>
    <w:rsid w:val="00B20EEB"/>
    <w:rsid w:val="00B22C7D"/>
    <w:rsid w:val="00B2417C"/>
    <w:rsid w:val="00B32120"/>
    <w:rsid w:val="00B43592"/>
    <w:rsid w:val="00B43A6F"/>
    <w:rsid w:val="00B5380C"/>
    <w:rsid w:val="00B53DC6"/>
    <w:rsid w:val="00B71353"/>
    <w:rsid w:val="00B76F65"/>
    <w:rsid w:val="00B87C24"/>
    <w:rsid w:val="00B93316"/>
    <w:rsid w:val="00B976DB"/>
    <w:rsid w:val="00BA5302"/>
    <w:rsid w:val="00BA71A8"/>
    <w:rsid w:val="00BB1D4A"/>
    <w:rsid w:val="00BC18AB"/>
    <w:rsid w:val="00BC2ADB"/>
    <w:rsid w:val="00BC49A1"/>
    <w:rsid w:val="00BC586A"/>
    <w:rsid w:val="00BD489F"/>
    <w:rsid w:val="00BD64B7"/>
    <w:rsid w:val="00BE0643"/>
    <w:rsid w:val="00BE5DD4"/>
    <w:rsid w:val="00BE75DE"/>
    <w:rsid w:val="00C04A92"/>
    <w:rsid w:val="00C05F71"/>
    <w:rsid w:val="00C07660"/>
    <w:rsid w:val="00C07EC0"/>
    <w:rsid w:val="00C1330A"/>
    <w:rsid w:val="00C14B60"/>
    <w:rsid w:val="00C15D1A"/>
    <w:rsid w:val="00C16A5F"/>
    <w:rsid w:val="00C17011"/>
    <w:rsid w:val="00C23185"/>
    <w:rsid w:val="00C25B73"/>
    <w:rsid w:val="00C30DEA"/>
    <w:rsid w:val="00C31098"/>
    <w:rsid w:val="00C3113C"/>
    <w:rsid w:val="00C32D9B"/>
    <w:rsid w:val="00C333B3"/>
    <w:rsid w:val="00C43AB7"/>
    <w:rsid w:val="00C4438B"/>
    <w:rsid w:val="00C51801"/>
    <w:rsid w:val="00C55B0E"/>
    <w:rsid w:val="00C62ED3"/>
    <w:rsid w:val="00C64C81"/>
    <w:rsid w:val="00C73B03"/>
    <w:rsid w:val="00C76DAF"/>
    <w:rsid w:val="00C778FF"/>
    <w:rsid w:val="00C81825"/>
    <w:rsid w:val="00C84BA5"/>
    <w:rsid w:val="00C85176"/>
    <w:rsid w:val="00C85CF8"/>
    <w:rsid w:val="00C87031"/>
    <w:rsid w:val="00C976BD"/>
    <w:rsid w:val="00CA02D6"/>
    <w:rsid w:val="00CA212F"/>
    <w:rsid w:val="00CB56A3"/>
    <w:rsid w:val="00CB72CA"/>
    <w:rsid w:val="00CC61E7"/>
    <w:rsid w:val="00CE11B1"/>
    <w:rsid w:val="00CE290D"/>
    <w:rsid w:val="00CE3C6D"/>
    <w:rsid w:val="00CF18F8"/>
    <w:rsid w:val="00D02075"/>
    <w:rsid w:val="00D07734"/>
    <w:rsid w:val="00D119F6"/>
    <w:rsid w:val="00D14F0B"/>
    <w:rsid w:val="00D14F76"/>
    <w:rsid w:val="00D17675"/>
    <w:rsid w:val="00D17B54"/>
    <w:rsid w:val="00D22FA6"/>
    <w:rsid w:val="00D23CDB"/>
    <w:rsid w:val="00D26ADA"/>
    <w:rsid w:val="00D26F73"/>
    <w:rsid w:val="00D27F6D"/>
    <w:rsid w:val="00D348DE"/>
    <w:rsid w:val="00D35628"/>
    <w:rsid w:val="00D418E3"/>
    <w:rsid w:val="00D42EAC"/>
    <w:rsid w:val="00D43650"/>
    <w:rsid w:val="00D46864"/>
    <w:rsid w:val="00D53367"/>
    <w:rsid w:val="00D53FF2"/>
    <w:rsid w:val="00D548FD"/>
    <w:rsid w:val="00D5527D"/>
    <w:rsid w:val="00D56192"/>
    <w:rsid w:val="00D57954"/>
    <w:rsid w:val="00D62184"/>
    <w:rsid w:val="00D64180"/>
    <w:rsid w:val="00D646B4"/>
    <w:rsid w:val="00D657CB"/>
    <w:rsid w:val="00D71301"/>
    <w:rsid w:val="00D730FC"/>
    <w:rsid w:val="00D75F5F"/>
    <w:rsid w:val="00D86203"/>
    <w:rsid w:val="00D9005B"/>
    <w:rsid w:val="00D92F85"/>
    <w:rsid w:val="00D946C1"/>
    <w:rsid w:val="00D953B7"/>
    <w:rsid w:val="00DA254D"/>
    <w:rsid w:val="00DA5A65"/>
    <w:rsid w:val="00DA688C"/>
    <w:rsid w:val="00DB0BF5"/>
    <w:rsid w:val="00DB5CA5"/>
    <w:rsid w:val="00DB6134"/>
    <w:rsid w:val="00DC12B3"/>
    <w:rsid w:val="00DC5F50"/>
    <w:rsid w:val="00DD1433"/>
    <w:rsid w:val="00DD62EA"/>
    <w:rsid w:val="00DE0597"/>
    <w:rsid w:val="00DF4F8B"/>
    <w:rsid w:val="00E040FD"/>
    <w:rsid w:val="00E04B01"/>
    <w:rsid w:val="00E14199"/>
    <w:rsid w:val="00E2154B"/>
    <w:rsid w:val="00E23217"/>
    <w:rsid w:val="00E2670F"/>
    <w:rsid w:val="00E27756"/>
    <w:rsid w:val="00E302BA"/>
    <w:rsid w:val="00E30545"/>
    <w:rsid w:val="00E32F5A"/>
    <w:rsid w:val="00E348AE"/>
    <w:rsid w:val="00E3597F"/>
    <w:rsid w:val="00E37F09"/>
    <w:rsid w:val="00E41DBA"/>
    <w:rsid w:val="00E45168"/>
    <w:rsid w:val="00E45AFF"/>
    <w:rsid w:val="00E53767"/>
    <w:rsid w:val="00E539CA"/>
    <w:rsid w:val="00E61889"/>
    <w:rsid w:val="00E644EE"/>
    <w:rsid w:val="00E65F6A"/>
    <w:rsid w:val="00E666F0"/>
    <w:rsid w:val="00E71A4F"/>
    <w:rsid w:val="00E73991"/>
    <w:rsid w:val="00E75118"/>
    <w:rsid w:val="00E83E42"/>
    <w:rsid w:val="00E93B6D"/>
    <w:rsid w:val="00EA35E2"/>
    <w:rsid w:val="00EB7CF0"/>
    <w:rsid w:val="00EB7E06"/>
    <w:rsid w:val="00EC6A0B"/>
    <w:rsid w:val="00EC7A5A"/>
    <w:rsid w:val="00ED5E84"/>
    <w:rsid w:val="00EE6877"/>
    <w:rsid w:val="00EF158B"/>
    <w:rsid w:val="00F07243"/>
    <w:rsid w:val="00F11504"/>
    <w:rsid w:val="00F15149"/>
    <w:rsid w:val="00F220F5"/>
    <w:rsid w:val="00F24444"/>
    <w:rsid w:val="00F24645"/>
    <w:rsid w:val="00F24D59"/>
    <w:rsid w:val="00F27E0E"/>
    <w:rsid w:val="00F30688"/>
    <w:rsid w:val="00F30E37"/>
    <w:rsid w:val="00F330F9"/>
    <w:rsid w:val="00F34A1C"/>
    <w:rsid w:val="00F34A94"/>
    <w:rsid w:val="00F427CC"/>
    <w:rsid w:val="00F43EC1"/>
    <w:rsid w:val="00F4483C"/>
    <w:rsid w:val="00F53830"/>
    <w:rsid w:val="00F57396"/>
    <w:rsid w:val="00F619A9"/>
    <w:rsid w:val="00F637D6"/>
    <w:rsid w:val="00F658AD"/>
    <w:rsid w:val="00F71ECE"/>
    <w:rsid w:val="00F72140"/>
    <w:rsid w:val="00F72367"/>
    <w:rsid w:val="00F747C9"/>
    <w:rsid w:val="00F75C03"/>
    <w:rsid w:val="00F761A7"/>
    <w:rsid w:val="00F82025"/>
    <w:rsid w:val="00F862B2"/>
    <w:rsid w:val="00F87663"/>
    <w:rsid w:val="00F93F41"/>
    <w:rsid w:val="00FA3519"/>
    <w:rsid w:val="00FB0C94"/>
    <w:rsid w:val="00FB21B7"/>
    <w:rsid w:val="00FC626E"/>
    <w:rsid w:val="00FC6FE5"/>
    <w:rsid w:val="00FD0E87"/>
    <w:rsid w:val="00FD20BA"/>
    <w:rsid w:val="00FE4920"/>
    <w:rsid w:val="00FE5A87"/>
    <w:rsid w:val="00FF0092"/>
    <w:rsid w:val="00FF457B"/>
    <w:rsid w:val="00FF6495"/>
    <w:rsid w:val="00FF689F"/>
    <w:rsid w:val="00FF7F4E"/>
    <w:rsid w:val="0D7F0E42"/>
    <w:rsid w:val="19C9BDA8"/>
    <w:rsid w:val="48EB0D06"/>
    <w:rsid w:val="4ECBF28E"/>
    <w:rsid w:val="5A61928A"/>
    <w:rsid w:val="5EB0BCAC"/>
    <w:rsid w:val="63C06C58"/>
    <w:rsid w:val="6C9F28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FED3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F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FF2"/>
    <w:pPr>
      <w:tabs>
        <w:tab w:val="center" w:pos="4680"/>
        <w:tab w:val="right" w:pos="9360"/>
      </w:tabs>
    </w:pPr>
  </w:style>
  <w:style w:type="character" w:customStyle="1" w:styleId="HeaderChar">
    <w:name w:val="Header Char"/>
    <w:basedOn w:val="DefaultParagraphFont"/>
    <w:link w:val="Header"/>
    <w:uiPriority w:val="99"/>
    <w:rsid w:val="00D53FF2"/>
  </w:style>
  <w:style w:type="paragraph" w:styleId="Footer">
    <w:name w:val="footer"/>
    <w:basedOn w:val="Normal"/>
    <w:link w:val="FooterChar"/>
    <w:uiPriority w:val="99"/>
    <w:unhideWhenUsed/>
    <w:rsid w:val="00D53FF2"/>
    <w:pPr>
      <w:tabs>
        <w:tab w:val="center" w:pos="4680"/>
        <w:tab w:val="right" w:pos="9360"/>
      </w:tabs>
    </w:pPr>
  </w:style>
  <w:style w:type="character" w:customStyle="1" w:styleId="FooterChar">
    <w:name w:val="Footer Char"/>
    <w:basedOn w:val="DefaultParagraphFont"/>
    <w:link w:val="Footer"/>
    <w:uiPriority w:val="99"/>
    <w:rsid w:val="00D53FF2"/>
  </w:style>
  <w:style w:type="paragraph" w:customStyle="1" w:styleId="Default">
    <w:name w:val="Default"/>
    <w:rsid w:val="00D53FF2"/>
    <w:pPr>
      <w:widowControl w:val="0"/>
      <w:autoSpaceDE w:val="0"/>
      <w:autoSpaceDN w:val="0"/>
      <w:adjustRightInd w:val="0"/>
      <w:spacing w:after="0" w:line="240" w:lineRule="auto"/>
    </w:pPr>
    <w:rPr>
      <w:rFonts w:ascii="TYCZGQ+TimesNewRomanPS-BoldMT" w:eastAsiaTheme="minorEastAsia" w:hAnsi="TYCZGQ+TimesNewRomanPS-BoldMT" w:cs="TYCZGQ+TimesNewRomanPS-BoldMT"/>
      <w:color w:val="000000"/>
      <w:sz w:val="24"/>
      <w:szCs w:val="24"/>
    </w:rPr>
  </w:style>
  <w:style w:type="paragraph" w:styleId="ListParagraph">
    <w:name w:val="List Paragraph"/>
    <w:basedOn w:val="Normal"/>
    <w:uiPriority w:val="34"/>
    <w:qFormat/>
    <w:rsid w:val="00D53FF2"/>
    <w:pPr>
      <w:ind w:left="720"/>
      <w:contextualSpacing/>
    </w:pPr>
  </w:style>
  <w:style w:type="character" w:styleId="Hyperlink">
    <w:name w:val="Hyperlink"/>
    <w:basedOn w:val="DefaultParagraphFont"/>
    <w:uiPriority w:val="99"/>
    <w:unhideWhenUsed/>
    <w:rsid w:val="00D53FF2"/>
    <w:rPr>
      <w:color w:val="0000FF"/>
      <w:u w:val="single"/>
    </w:rPr>
  </w:style>
  <w:style w:type="character" w:styleId="UnresolvedMention">
    <w:name w:val="Unresolved Mention"/>
    <w:basedOn w:val="DefaultParagraphFont"/>
    <w:uiPriority w:val="99"/>
    <w:semiHidden/>
    <w:unhideWhenUsed/>
    <w:rsid w:val="00335E7F"/>
    <w:rPr>
      <w:color w:val="605E5C"/>
      <w:shd w:val="clear" w:color="auto" w:fill="E1DFDD"/>
    </w:rPr>
  </w:style>
  <w:style w:type="paragraph" w:styleId="FootnoteText">
    <w:name w:val="footnote text"/>
    <w:basedOn w:val="Normal"/>
    <w:link w:val="FootnoteTextChar"/>
    <w:semiHidden/>
    <w:unhideWhenUsed/>
    <w:rsid w:val="00426ECC"/>
  </w:style>
  <w:style w:type="character" w:customStyle="1" w:styleId="FootnoteTextChar">
    <w:name w:val="Footnote Text Char"/>
    <w:basedOn w:val="DefaultParagraphFont"/>
    <w:link w:val="FootnoteText"/>
    <w:semiHidden/>
    <w:rsid w:val="00426ECC"/>
    <w:rPr>
      <w:rFonts w:ascii="Times New Roman" w:eastAsia="Times New Roman" w:hAnsi="Times New Roman" w:cs="Times New Roman"/>
      <w:sz w:val="20"/>
      <w:szCs w:val="20"/>
    </w:rPr>
  </w:style>
  <w:style w:type="character" w:styleId="FootnoteReference">
    <w:name w:val="footnote reference"/>
    <w:semiHidden/>
    <w:unhideWhenUsed/>
    <w:rsid w:val="00426ECC"/>
    <w:rPr>
      <w:vertAlign w:val="superscript"/>
    </w:rPr>
  </w:style>
  <w:style w:type="paragraph" w:styleId="BalloonText">
    <w:name w:val="Balloon Text"/>
    <w:basedOn w:val="Normal"/>
    <w:link w:val="BalloonTextChar"/>
    <w:uiPriority w:val="99"/>
    <w:semiHidden/>
    <w:unhideWhenUsed/>
    <w:rsid w:val="00BD64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B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15D1A"/>
    <w:rPr>
      <w:sz w:val="16"/>
      <w:szCs w:val="16"/>
    </w:rPr>
  </w:style>
  <w:style w:type="paragraph" w:styleId="CommentText">
    <w:name w:val="annotation text"/>
    <w:basedOn w:val="Normal"/>
    <w:link w:val="CommentTextChar"/>
    <w:uiPriority w:val="99"/>
    <w:semiHidden/>
    <w:unhideWhenUsed/>
    <w:rsid w:val="00C15D1A"/>
  </w:style>
  <w:style w:type="character" w:customStyle="1" w:styleId="CommentTextChar">
    <w:name w:val="Comment Text Char"/>
    <w:basedOn w:val="DefaultParagraphFont"/>
    <w:link w:val="CommentText"/>
    <w:uiPriority w:val="99"/>
    <w:semiHidden/>
    <w:rsid w:val="00C15D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5D1A"/>
    <w:rPr>
      <w:b/>
      <w:bCs/>
    </w:rPr>
  </w:style>
  <w:style w:type="character" w:customStyle="1" w:styleId="CommentSubjectChar">
    <w:name w:val="Comment Subject Char"/>
    <w:basedOn w:val="CommentTextChar"/>
    <w:link w:val="CommentSubject"/>
    <w:uiPriority w:val="99"/>
    <w:semiHidden/>
    <w:rsid w:val="00C15D1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45AFF"/>
    <w:rPr>
      <w:color w:val="954F72" w:themeColor="followedHyperlink"/>
      <w:u w:val="single"/>
    </w:rPr>
  </w:style>
  <w:style w:type="paragraph" w:styleId="Revision">
    <w:name w:val="Revision"/>
    <w:hidden/>
    <w:uiPriority w:val="99"/>
    <w:semiHidden/>
    <w:rsid w:val="00141EEA"/>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1A7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96350">
      <w:bodyDiv w:val="1"/>
      <w:marLeft w:val="0"/>
      <w:marRight w:val="0"/>
      <w:marTop w:val="0"/>
      <w:marBottom w:val="0"/>
      <w:divBdr>
        <w:top w:val="none" w:sz="0" w:space="0" w:color="auto"/>
        <w:left w:val="none" w:sz="0" w:space="0" w:color="auto"/>
        <w:bottom w:val="none" w:sz="0" w:space="0" w:color="auto"/>
        <w:right w:val="none" w:sz="0" w:space="0" w:color="auto"/>
      </w:divBdr>
    </w:div>
    <w:div w:id="341246890">
      <w:bodyDiv w:val="1"/>
      <w:marLeft w:val="0"/>
      <w:marRight w:val="0"/>
      <w:marTop w:val="0"/>
      <w:marBottom w:val="0"/>
      <w:divBdr>
        <w:top w:val="none" w:sz="0" w:space="0" w:color="auto"/>
        <w:left w:val="none" w:sz="0" w:space="0" w:color="auto"/>
        <w:bottom w:val="none" w:sz="0" w:space="0" w:color="auto"/>
        <w:right w:val="none" w:sz="0" w:space="0" w:color="auto"/>
      </w:divBdr>
    </w:div>
    <w:div w:id="670179827">
      <w:bodyDiv w:val="1"/>
      <w:marLeft w:val="0"/>
      <w:marRight w:val="0"/>
      <w:marTop w:val="0"/>
      <w:marBottom w:val="0"/>
      <w:divBdr>
        <w:top w:val="none" w:sz="0" w:space="0" w:color="auto"/>
        <w:left w:val="none" w:sz="0" w:space="0" w:color="auto"/>
        <w:bottom w:val="none" w:sz="0" w:space="0" w:color="auto"/>
        <w:right w:val="none" w:sz="0" w:space="0" w:color="auto"/>
      </w:divBdr>
    </w:div>
    <w:div w:id="1319530222">
      <w:bodyDiv w:val="1"/>
      <w:marLeft w:val="0"/>
      <w:marRight w:val="0"/>
      <w:marTop w:val="0"/>
      <w:marBottom w:val="0"/>
      <w:divBdr>
        <w:top w:val="none" w:sz="0" w:space="0" w:color="auto"/>
        <w:left w:val="none" w:sz="0" w:space="0" w:color="auto"/>
        <w:bottom w:val="none" w:sz="0" w:space="0" w:color="auto"/>
        <w:right w:val="none" w:sz="0" w:space="0" w:color="auto"/>
      </w:divBdr>
    </w:div>
    <w:div w:id="16781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D88087D44EFC4DBA49FC93C76641D8" ma:contentTypeVersion="35" ma:contentTypeDescription="Create a new document." ma:contentTypeScope="" ma:versionID="21982433da38e3836fd4afa4fee2fcff">
  <xsd:schema xmlns:xsd="http://www.w3.org/2001/XMLSchema" xmlns:xs="http://www.w3.org/2001/XMLSchema" xmlns:p="http://schemas.microsoft.com/office/2006/metadata/properties" xmlns:ns2="e4a291b2-2d89-402c-8e64-a2fe3eab2247" xmlns:ns3="http://schemas.microsoft.com/sharepoint/v4" xmlns:ns4="3a0c425c-8a18-4bcd-b07b-a947f609ef0c" targetNamespace="http://schemas.microsoft.com/office/2006/metadata/properties" ma:root="true" ma:fieldsID="28e4a3c50caa40e74decb20f57a1d38f" ns2:_="" ns3:_="" ns4:_="">
    <xsd:import namespace="e4a291b2-2d89-402c-8e64-a2fe3eab2247"/>
    <xsd:import namespace="http://schemas.microsoft.com/sharepoint/v4"/>
    <xsd:import namespace="3a0c425c-8a18-4bcd-b07b-a947f609ef0c"/>
    <xsd:element name="properties">
      <xsd:complexType>
        <xsd:sequence>
          <xsd:element name="documentManagement">
            <xsd:complexType>
              <xsd:all>
                <xsd:element ref="ns2:MediaServiceMetadata" minOccurs="0"/>
                <xsd:element ref="ns2:MediaServiceFastMetadata" minOccurs="0"/>
                <xsd:element ref="ns3:IconOverlay" minOccurs="0"/>
                <xsd:element ref="ns4:TaxCatchAll" minOccurs="0"/>
                <xsd:element ref="ns2:MediaServiceDateTaken" minOccurs="0"/>
                <xsd:element ref="ns2:MediaServiceAutoTags" minOccurs="0"/>
                <xsd:element ref="ns2:MediaServiceLocation" minOccurs="0"/>
                <xsd:element ref="ns4:SharedWithUsers" minOccurs="0"/>
                <xsd:element ref="ns4:SharedWithDetails" minOccurs="0"/>
                <xsd:element ref="ns4:Program_x0020_Statu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91b2-2d89-402c-8e64-a2fe3eab2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c425c-8a18-4bcd-b07b-a947f609ef0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b239220-5a85-457b-a783-6fb5b40e5e3f}" ma:internalName="TaxCatchAll" ma:showField="CatchAllData" ma:web="3a0c425c-8a18-4bcd-b07b-a947f609ef0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Program_x0020_Status" ma:index="18" nillable="true" ma:displayName="Program Status" ma:format="Dropdown" ma:indexed="true" ma:internalName="Program_x0020_Status">
      <xsd:simpleType>
        <xsd:restriction base="dms:Choice">
          <xsd:enumeration value="Approved"/>
          <xsd:enumeration value="Potential/Pending"/>
          <xsd:enumeration value="Not Approved"/>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3a0c425c-8a18-4bcd-b07b-a947f609ef0c"/>
    <Program_x0020_Status xmlns="3a0c425c-8a18-4bcd-b07b-a947f609ef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4FADA-B435-4B3B-97B7-D6C5311CE07D}">
  <ds:schemaRefs>
    <ds:schemaRef ds:uri="http://schemas.microsoft.com/sharepoint/v3/contenttype/forms"/>
  </ds:schemaRefs>
</ds:datastoreItem>
</file>

<file path=customXml/itemProps2.xml><?xml version="1.0" encoding="utf-8"?>
<ds:datastoreItem xmlns:ds="http://schemas.openxmlformats.org/officeDocument/2006/customXml" ds:itemID="{61253F73-5199-404B-BD88-82761B82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91b2-2d89-402c-8e64-a2fe3eab2247"/>
    <ds:schemaRef ds:uri="http://schemas.microsoft.com/sharepoint/v4"/>
    <ds:schemaRef ds:uri="3a0c425c-8a18-4bcd-b07b-a947f609e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9DBFD-D4AD-40B8-8633-BCEA0353FEB8}">
  <ds:schemaRefs>
    <ds:schemaRef ds:uri="http://schemas.microsoft.com/sharepoint/v4"/>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3a0c425c-8a18-4bcd-b07b-a947f609ef0c"/>
    <ds:schemaRef ds:uri="e4a291b2-2d89-402c-8e64-a2fe3eab2247"/>
    <ds:schemaRef ds:uri="http://www.w3.org/XML/1998/namespace"/>
  </ds:schemaRefs>
</ds:datastoreItem>
</file>

<file path=customXml/itemProps4.xml><?xml version="1.0" encoding="utf-8"?>
<ds:datastoreItem xmlns:ds="http://schemas.openxmlformats.org/officeDocument/2006/customXml" ds:itemID="{1A23434A-7281-43DF-8ECD-105CCC2BA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7760</Characters>
  <Application>Microsoft Office Word</Application>
  <DocSecurity>0</DocSecurity>
  <Lines>64</Lines>
  <Paragraphs>18</Paragraphs>
  <ScaleCrop>false</ScaleCrop>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2019-09-18T17:43:00Z</dcterms:created>
  <dcterms:modified xsi:type="dcterms:W3CDTF">2019-10-24T23:40:00Z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0x01010016D88087D44EFC4DBA49FC93C76641D8</vt:lpwstr>
  </property>
</Properties>
</file>