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A59E3" w14:textId="77777777" w:rsidR="007C383F" w:rsidRPr="00A02374" w:rsidRDefault="007C383F" w:rsidP="007C383F">
      <w:pPr>
        <w:ind w:left="990" w:hanging="990"/>
        <w:rPr>
          <w:b/>
          <w:sz w:val="24"/>
          <w:szCs w:val="24"/>
        </w:rPr>
      </w:pPr>
      <w:r w:rsidRPr="00A02374">
        <w:rPr>
          <w:b/>
          <w:sz w:val="24"/>
          <w:szCs w:val="24"/>
        </w:rPr>
        <w:t xml:space="preserve">Subject: </w:t>
      </w:r>
      <w:r>
        <w:rPr>
          <w:b/>
          <w:sz w:val="24"/>
          <w:szCs w:val="24"/>
        </w:rPr>
        <w:t>SDG&amp;E Transportation Electrification Application</w:t>
      </w:r>
    </w:p>
    <w:p w14:paraId="0CA7145D" w14:textId="77777777" w:rsidR="007C383F" w:rsidRPr="00A02374" w:rsidRDefault="007C383F" w:rsidP="007C383F">
      <w:pPr>
        <w:ind w:left="990" w:hanging="990"/>
        <w:rPr>
          <w:b/>
          <w:sz w:val="24"/>
          <w:szCs w:val="24"/>
        </w:rPr>
      </w:pPr>
    </w:p>
    <w:p w14:paraId="00C4DE6C" w14:textId="77777777" w:rsidR="007C383F" w:rsidRDefault="007C383F" w:rsidP="007C383F">
      <w:pPr>
        <w:pStyle w:val="ListParagraph"/>
        <w:numPr>
          <w:ilvl w:val="0"/>
          <w:numId w:val="1"/>
        </w:numPr>
        <w:spacing w:after="160" w:line="259" w:lineRule="auto"/>
        <w:contextualSpacing/>
        <w:rPr>
          <w:sz w:val="24"/>
          <w:szCs w:val="24"/>
        </w:rPr>
      </w:pPr>
      <w:r w:rsidRPr="00F7002A">
        <w:rPr>
          <w:sz w:val="24"/>
          <w:szCs w:val="24"/>
        </w:rPr>
        <w:t xml:space="preserve">Please explain how SDG&amp;E determined that its program should electrify 3% of all MD/HD vehicles within its service territory. </w:t>
      </w:r>
    </w:p>
    <w:p w14:paraId="1B959646" w14:textId="77777777" w:rsidR="007C383F" w:rsidRDefault="007C383F" w:rsidP="007C383F">
      <w:pPr>
        <w:pStyle w:val="ListParagraph"/>
        <w:numPr>
          <w:ilvl w:val="1"/>
          <w:numId w:val="1"/>
        </w:numPr>
        <w:spacing w:after="160" w:line="259" w:lineRule="auto"/>
        <w:contextualSpacing/>
        <w:rPr>
          <w:sz w:val="24"/>
          <w:szCs w:val="24"/>
        </w:rPr>
      </w:pPr>
      <w:r>
        <w:rPr>
          <w:sz w:val="24"/>
          <w:szCs w:val="24"/>
        </w:rPr>
        <w:t xml:space="preserve">Provide </w:t>
      </w:r>
      <w:r w:rsidRPr="00F7002A">
        <w:rPr>
          <w:sz w:val="24"/>
          <w:szCs w:val="24"/>
        </w:rPr>
        <w:t xml:space="preserve">all workpapers used to calculate this 3% value. </w:t>
      </w:r>
    </w:p>
    <w:p w14:paraId="54B2C862" w14:textId="77777777" w:rsidR="007C383F" w:rsidRDefault="007C383F" w:rsidP="007C383F">
      <w:pPr>
        <w:pStyle w:val="ListParagraph"/>
        <w:numPr>
          <w:ilvl w:val="1"/>
          <w:numId w:val="1"/>
        </w:numPr>
        <w:spacing w:after="160" w:line="259" w:lineRule="auto"/>
        <w:contextualSpacing/>
        <w:rPr>
          <w:sz w:val="24"/>
          <w:szCs w:val="24"/>
        </w:rPr>
      </w:pPr>
      <w:r w:rsidRPr="00F7002A">
        <w:rPr>
          <w:sz w:val="24"/>
          <w:szCs w:val="24"/>
        </w:rPr>
        <w:t xml:space="preserve">Provide all spreadsheets unaltered in Excel spreadsheet format. </w:t>
      </w:r>
    </w:p>
    <w:p w14:paraId="69BE2B7B" w14:textId="77777777" w:rsidR="007C383F" w:rsidRDefault="007C383F" w:rsidP="007C383F">
      <w:pPr>
        <w:pStyle w:val="ListParagraph"/>
        <w:numPr>
          <w:ilvl w:val="1"/>
          <w:numId w:val="1"/>
        </w:numPr>
        <w:spacing w:after="160" w:line="259" w:lineRule="auto"/>
        <w:contextualSpacing/>
        <w:rPr>
          <w:sz w:val="24"/>
          <w:szCs w:val="24"/>
        </w:rPr>
      </w:pPr>
      <w:r w:rsidRPr="00F7002A">
        <w:rPr>
          <w:sz w:val="24"/>
          <w:szCs w:val="24"/>
        </w:rPr>
        <w:t xml:space="preserve">For any data utilized in these workpapers, please cite the source of the data. </w:t>
      </w:r>
    </w:p>
    <w:p w14:paraId="3F9707F8" w14:textId="532DD5FC" w:rsidR="007C383F" w:rsidRDefault="007C383F" w:rsidP="007C383F">
      <w:pPr>
        <w:pStyle w:val="ListParagraph"/>
        <w:numPr>
          <w:ilvl w:val="1"/>
          <w:numId w:val="1"/>
        </w:numPr>
        <w:spacing w:after="160" w:line="259" w:lineRule="auto"/>
        <w:contextualSpacing/>
        <w:rPr>
          <w:sz w:val="24"/>
          <w:szCs w:val="24"/>
        </w:rPr>
      </w:pPr>
      <w:r w:rsidRPr="00F7002A">
        <w:rPr>
          <w:sz w:val="24"/>
          <w:szCs w:val="24"/>
        </w:rPr>
        <w:t>For any assumptions, please provide a description of the reasoning behind the assumption.</w:t>
      </w:r>
    </w:p>
    <w:p w14:paraId="207705BB" w14:textId="3182F60E" w:rsidR="00D33BAB" w:rsidRDefault="00D33BAB" w:rsidP="00D33BAB">
      <w:pPr>
        <w:spacing w:after="160" w:line="259" w:lineRule="auto"/>
        <w:contextualSpacing/>
        <w:rPr>
          <w:sz w:val="24"/>
          <w:szCs w:val="24"/>
        </w:rPr>
      </w:pPr>
    </w:p>
    <w:p w14:paraId="0826434B" w14:textId="024AE77A" w:rsidR="00D33BAB" w:rsidRDefault="00D33BAB" w:rsidP="00D33BAB">
      <w:pPr>
        <w:spacing w:after="160" w:line="259" w:lineRule="auto"/>
        <w:contextualSpacing/>
        <w:rPr>
          <w:b/>
          <w:sz w:val="24"/>
          <w:szCs w:val="24"/>
        </w:rPr>
      </w:pPr>
      <w:r>
        <w:rPr>
          <w:b/>
          <w:sz w:val="24"/>
          <w:szCs w:val="24"/>
        </w:rPr>
        <w:t>Response:</w:t>
      </w:r>
    </w:p>
    <w:p w14:paraId="0E9EE440" w14:textId="324A2770" w:rsidR="001B4B58" w:rsidRDefault="001B4B58" w:rsidP="00D33BAB">
      <w:pPr>
        <w:spacing w:after="160" w:line="259" w:lineRule="auto"/>
        <w:contextualSpacing/>
        <w:rPr>
          <w:sz w:val="24"/>
          <w:szCs w:val="24"/>
        </w:rPr>
      </w:pPr>
      <w:r w:rsidRPr="001B4B58">
        <w:rPr>
          <w:sz w:val="24"/>
          <w:szCs w:val="24"/>
        </w:rPr>
        <w:t>Adoption curves show that the first 2.5% of technology adopters are “innovators.”  They are followed by the next 13.5%, known as “early adopters.”  SDG&amp;E’s program size of 3% helps move the San Diego region market out of the innovators group into the early adopters group.</w:t>
      </w:r>
    </w:p>
    <w:p w14:paraId="61D7B672" w14:textId="2B7F2D8C" w:rsidR="001B4B58" w:rsidRDefault="001B4B58" w:rsidP="00D33BAB">
      <w:pPr>
        <w:spacing w:after="160" w:line="259" w:lineRule="auto"/>
        <w:contextualSpacing/>
        <w:rPr>
          <w:sz w:val="24"/>
          <w:szCs w:val="24"/>
        </w:rPr>
      </w:pPr>
    </w:p>
    <w:p w14:paraId="4903308C" w14:textId="77777777" w:rsidR="001B4B58" w:rsidRPr="001B4B58" w:rsidRDefault="001B4B58" w:rsidP="00D33BAB">
      <w:pPr>
        <w:spacing w:after="160" w:line="259" w:lineRule="auto"/>
        <w:contextualSpacing/>
        <w:rPr>
          <w:sz w:val="24"/>
          <w:szCs w:val="24"/>
        </w:rPr>
      </w:pPr>
    </w:p>
    <w:p w14:paraId="2019795B" w14:textId="77777777" w:rsidR="007C383F" w:rsidRPr="00F7002A" w:rsidRDefault="007C383F" w:rsidP="007C383F">
      <w:pPr>
        <w:pStyle w:val="ListParagraph"/>
        <w:spacing w:after="160" w:line="259" w:lineRule="auto"/>
        <w:contextualSpacing/>
        <w:rPr>
          <w:sz w:val="24"/>
          <w:szCs w:val="24"/>
        </w:rPr>
      </w:pPr>
    </w:p>
    <w:p w14:paraId="0C515DBF" w14:textId="77777777" w:rsidR="007C383F" w:rsidRDefault="007C383F" w:rsidP="007C383F">
      <w:pPr>
        <w:pStyle w:val="ListParagraph"/>
        <w:numPr>
          <w:ilvl w:val="0"/>
          <w:numId w:val="1"/>
        </w:numPr>
        <w:spacing w:after="160" w:line="259" w:lineRule="auto"/>
        <w:contextualSpacing/>
        <w:rPr>
          <w:sz w:val="24"/>
          <w:szCs w:val="24"/>
        </w:rPr>
      </w:pPr>
      <w:r w:rsidRPr="0048562C">
        <w:rPr>
          <w:sz w:val="24"/>
          <w:szCs w:val="24"/>
        </w:rPr>
        <w:t xml:space="preserve">In SDG&amp;E’s Chapter 5 testimony, SDG&amp;E calculates its base case scenario utilizing costs assumed for a 100% utility ownership scenario. </w:t>
      </w:r>
    </w:p>
    <w:p w14:paraId="28861904" w14:textId="77777777" w:rsidR="007C383F" w:rsidRPr="00085900" w:rsidRDefault="007C383F" w:rsidP="007C383F">
      <w:pPr>
        <w:pStyle w:val="ListParagraph"/>
        <w:numPr>
          <w:ilvl w:val="1"/>
          <w:numId w:val="1"/>
        </w:numPr>
        <w:spacing w:after="160" w:line="259" w:lineRule="auto"/>
        <w:contextualSpacing/>
        <w:rPr>
          <w:sz w:val="24"/>
          <w:szCs w:val="24"/>
        </w:rPr>
      </w:pPr>
      <w:r w:rsidRPr="0048562C">
        <w:rPr>
          <w:sz w:val="24"/>
          <w:szCs w:val="24"/>
        </w:rPr>
        <w:t>Please explain why 100% utility ownership was the base case scenario, when “customer choice is a vital component of the program”.</w:t>
      </w:r>
      <w:r w:rsidRPr="00F7002A">
        <w:rPr>
          <w:rStyle w:val="FootnoteReference"/>
          <w:sz w:val="24"/>
          <w:szCs w:val="24"/>
        </w:rPr>
        <w:footnoteReference w:id="1"/>
      </w:r>
      <w:r w:rsidRPr="0048562C">
        <w:rPr>
          <w:sz w:val="24"/>
          <w:szCs w:val="24"/>
        </w:rPr>
        <w:t xml:space="preserve"> </w:t>
      </w:r>
      <w:r w:rsidRPr="00DA6043">
        <w:t xml:space="preserve"> </w:t>
      </w:r>
    </w:p>
    <w:p w14:paraId="3B7A83DF" w14:textId="77777777" w:rsidR="007C383F" w:rsidRPr="0072581A" w:rsidRDefault="007C383F" w:rsidP="007C383F">
      <w:pPr>
        <w:pStyle w:val="ListParagraph"/>
        <w:numPr>
          <w:ilvl w:val="1"/>
          <w:numId w:val="1"/>
        </w:numPr>
        <w:spacing w:after="160" w:line="259" w:lineRule="auto"/>
        <w:contextualSpacing/>
        <w:rPr>
          <w:sz w:val="24"/>
          <w:szCs w:val="24"/>
        </w:rPr>
      </w:pPr>
      <w:r w:rsidRPr="0048562C">
        <w:rPr>
          <w:sz w:val="24"/>
          <w:szCs w:val="24"/>
        </w:rPr>
        <w:t xml:space="preserve">Does SDG&amp;E have a comparison of the difference in revenue requirement for </w:t>
      </w:r>
      <w:r>
        <w:rPr>
          <w:sz w:val="24"/>
          <w:szCs w:val="24"/>
        </w:rPr>
        <w:t>different percentage of utility ownership scenarios, for instance 0%, 50%, or 100%</w:t>
      </w:r>
      <w:r w:rsidRPr="00215BDE">
        <w:rPr>
          <w:sz w:val="24"/>
          <w:szCs w:val="24"/>
        </w:rPr>
        <w:t xml:space="preserve">? If so, please provide these differences and the work papers showing how these differences were calculated.   </w:t>
      </w:r>
    </w:p>
    <w:p w14:paraId="6621DE8C" w14:textId="3891B75C" w:rsidR="007C383F" w:rsidRDefault="007C383F" w:rsidP="007C383F">
      <w:pPr>
        <w:pStyle w:val="ListParagraph"/>
        <w:spacing w:after="160" w:line="259" w:lineRule="auto"/>
        <w:contextualSpacing/>
        <w:rPr>
          <w:sz w:val="24"/>
          <w:szCs w:val="24"/>
        </w:rPr>
      </w:pPr>
    </w:p>
    <w:p w14:paraId="70263A40" w14:textId="1A6A38CA" w:rsidR="00D33BAB" w:rsidRDefault="00D33BAB" w:rsidP="00D33BAB">
      <w:pPr>
        <w:spacing w:after="160" w:line="259" w:lineRule="auto"/>
        <w:contextualSpacing/>
        <w:rPr>
          <w:b/>
          <w:sz w:val="24"/>
          <w:szCs w:val="24"/>
        </w:rPr>
      </w:pPr>
      <w:r>
        <w:rPr>
          <w:b/>
          <w:sz w:val="24"/>
          <w:szCs w:val="24"/>
        </w:rPr>
        <w:t>Response:</w:t>
      </w:r>
    </w:p>
    <w:p w14:paraId="78114D42" w14:textId="649F3773" w:rsidR="001B4B58" w:rsidRDefault="004D638F" w:rsidP="00D33BAB">
      <w:pPr>
        <w:spacing w:after="160" w:line="259" w:lineRule="auto"/>
        <w:contextualSpacing/>
        <w:rPr>
          <w:sz w:val="24"/>
          <w:szCs w:val="24"/>
        </w:rPr>
      </w:pPr>
      <w:r w:rsidRPr="00504E8E">
        <w:rPr>
          <w:sz w:val="24"/>
          <w:szCs w:val="24"/>
        </w:rPr>
        <w:t>a.</w:t>
      </w:r>
      <w:r w:rsidR="00504E8E">
        <w:rPr>
          <w:sz w:val="24"/>
          <w:szCs w:val="24"/>
        </w:rPr>
        <w:t xml:space="preserve">  Chapter 5 describes the 100% case</w:t>
      </w:r>
      <w:r w:rsidR="003709A2">
        <w:rPr>
          <w:sz w:val="24"/>
          <w:szCs w:val="24"/>
        </w:rPr>
        <w:t xml:space="preserve"> as well as the 50% case.  The</w:t>
      </w:r>
      <w:r w:rsidR="00504E8E">
        <w:rPr>
          <w:sz w:val="24"/>
          <w:szCs w:val="24"/>
        </w:rPr>
        <w:t xml:space="preserve"> percentage of customers </w:t>
      </w:r>
      <w:r w:rsidR="003709A2">
        <w:rPr>
          <w:sz w:val="24"/>
          <w:szCs w:val="24"/>
        </w:rPr>
        <w:t xml:space="preserve">who </w:t>
      </w:r>
      <w:r w:rsidR="00504E8E">
        <w:rPr>
          <w:sz w:val="24"/>
          <w:szCs w:val="24"/>
        </w:rPr>
        <w:t>will elect to own the charging station</w:t>
      </w:r>
      <w:r w:rsidR="003709A2">
        <w:rPr>
          <w:sz w:val="24"/>
          <w:szCs w:val="24"/>
        </w:rPr>
        <w:t xml:space="preserve"> is unknown.  Therefore,</w:t>
      </w:r>
      <w:r w:rsidR="00504E8E">
        <w:rPr>
          <w:sz w:val="24"/>
          <w:szCs w:val="24"/>
        </w:rPr>
        <w:t xml:space="preserve"> </w:t>
      </w:r>
      <w:r w:rsidR="00203030">
        <w:rPr>
          <w:sz w:val="24"/>
          <w:szCs w:val="24"/>
        </w:rPr>
        <w:t xml:space="preserve">SDG&amp;E requested authority up to 100% </w:t>
      </w:r>
      <w:r w:rsidR="0074767B">
        <w:rPr>
          <w:sz w:val="24"/>
          <w:szCs w:val="24"/>
        </w:rPr>
        <w:t xml:space="preserve">utility ownership </w:t>
      </w:r>
      <w:r w:rsidR="00203030">
        <w:rPr>
          <w:sz w:val="24"/>
          <w:szCs w:val="24"/>
        </w:rPr>
        <w:t xml:space="preserve">in the event that more customers seek </w:t>
      </w:r>
      <w:r w:rsidR="007F5801">
        <w:rPr>
          <w:sz w:val="24"/>
          <w:szCs w:val="24"/>
        </w:rPr>
        <w:t>utility ownership and maintenance</w:t>
      </w:r>
      <w:r w:rsidR="00203030">
        <w:rPr>
          <w:sz w:val="24"/>
          <w:szCs w:val="24"/>
        </w:rPr>
        <w:t xml:space="preserve"> </w:t>
      </w:r>
      <w:r w:rsidR="007F5801">
        <w:rPr>
          <w:sz w:val="24"/>
          <w:szCs w:val="24"/>
        </w:rPr>
        <w:t xml:space="preserve">of </w:t>
      </w:r>
      <w:r w:rsidR="00203030">
        <w:rPr>
          <w:sz w:val="24"/>
          <w:szCs w:val="24"/>
        </w:rPr>
        <w:t>the charging infrastructure.</w:t>
      </w:r>
      <w:r w:rsidR="00504E8E">
        <w:rPr>
          <w:sz w:val="24"/>
          <w:szCs w:val="24"/>
        </w:rPr>
        <w:t xml:space="preserve">  </w:t>
      </w:r>
    </w:p>
    <w:p w14:paraId="40D5E223" w14:textId="391508AB" w:rsidR="00504E8E" w:rsidRDefault="00504E8E" w:rsidP="00D33BAB">
      <w:pPr>
        <w:spacing w:after="160" w:line="259" w:lineRule="auto"/>
        <w:contextualSpacing/>
        <w:rPr>
          <w:sz w:val="24"/>
          <w:szCs w:val="24"/>
        </w:rPr>
      </w:pPr>
      <w:r>
        <w:rPr>
          <w:sz w:val="24"/>
          <w:szCs w:val="24"/>
        </w:rPr>
        <w:t xml:space="preserve">b.  </w:t>
      </w:r>
      <w:r w:rsidR="003709A2">
        <w:rPr>
          <w:sz w:val="24"/>
          <w:szCs w:val="24"/>
        </w:rPr>
        <w:t>A comparison of the three scenarios can be found in the following attachment</w:t>
      </w:r>
      <w:r w:rsidR="007D2464">
        <w:rPr>
          <w:sz w:val="24"/>
          <w:szCs w:val="24"/>
        </w:rPr>
        <w:t>s</w:t>
      </w:r>
      <w:r w:rsidR="003709A2">
        <w:rPr>
          <w:sz w:val="24"/>
          <w:szCs w:val="24"/>
        </w:rPr>
        <w:t>:</w:t>
      </w:r>
    </w:p>
    <w:p w14:paraId="493422C2" w14:textId="17F0106E" w:rsidR="00D33BAB" w:rsidRDefault="00126670" w:rsidP="00126670">
      <w:pPr>
        <w:pStyle w:val="ListParagraph"/>
        <w:numPr>
          <w:ilvl w:val="0"/>
          <w:numId w:val="6"/>
        </w:numPr>
        <w:spacing w:after="160" w:line="259" w:lineRule="auto"/>
        <w:contextualSpacing/>
        <w:rPr>
          <w:sz w:val="24"/>
          <w:szCs w:val="24"/>
        </w:rPr>
      </w:pPr>
      <w:r w:rsidRPr="00126670">
        <w:rPr>
          <w:sz w:val="24"/>
          <w:szCs w:val="24"/>
        </w:rPr>
        <w:t>ORA DR-02 Q2b-MDHD Buses-0percent-REV REQ Input-12-30-17</w:t>
      </w:r>
    </w:p>
    <w:p w14:paraId="6FB314A4" w14:textId="3E516874" w:rsidR="00126670" w:rsidRDefault="00126670" w:rsidP="00126670">
      <w:pPr>
        <w:pStyle w:val="ListParagraph"/>
        <w:numPr>
          <w:ilvl w:val="0"/>
          <w:numId w:val="6"/>
        </w:numPr>
        <w:spacing w:after="160" w:line="259" w:lineRule="auto"/>
        <w:contextualSpacing/>
        <w:rPr>
          <w:sz w:val="24"/>
          <w:szCs w:val="24"/>
        </w:rPr>
      </w:pPr>
      <w:r w:rsidRPr="00126670">
        <w:rPr>
          <w:sz w:val="24"/>
          <w:szCs w:val="24"/>
        </w:rPr>
        <w:t>ORA DR-02 Q2b-MDHD Buses-50percent-REV REQ Input-12-30-17</w:t>
      </w:r>
    </w:p>
    <w:p w14:paraId="5420F66B" w14:textId="6D0A45D3" w:rsidR="00126670" w:rsidRDefault="00126670" w:rsidP="00126670">
      <w:pPr>
        <w:pStyle w:val="ListParagraph"/>
        <w:numPr>
          <w:ilvl w:val="0"/>
          <w:numId w:val="6"/>
        </w:numPr>
        <w:spacing w:after="160" w:line="259" w:lineRule="auto"/>
        <w:contextualSpacing/>
        <w:rPr>
          <w:sz w:val="24"/>
          <w:szCs w:val="24"/>
        </w:rPr>
      </w:pPr>
      <w:r w:rsidRPr="00126670">
        <w:rPr>
          <w:sz w:val="24"/>
          <w:szCs w:val="24"/>
        </w:rPr>
        <w:lastRenderedPageBreak/>
        <w:t>ORA DR-02 Q2b-MDHD Buses-100percent-REV REQ Input-12-30-17</w:t>
      </w:r>
    </w:p>
    <w:p w14:paraId="3E25AA76" w14:textId="1DC9BB34" w:rsidR="00126670" w:rsidRDefault="00126670" w:rsidP="00126670">
      <w:pPr>
        <w:pStyle w:val="ListParagraph"/>
        <w:numPr>
          <w:ilvl w:val="0"/>
          <w:numId w:val="6"/>
        </w:numPr>
        <w:spacing w:after="160" w:line="259" w:lineRule="auto"/>
        <w:contextualSpacing/>
        <w:rPr>
          <w:sz w:val="24"/>
          <w:szCs w:val="24"/>
        </w:rPr>
      </w:pPr>
      <w:r w:rsidRPr="00126670">
        <w:rPr>
          <w:sz w:val="24"/>
          <w:szCs w:val="24"/>
        </w:rPr>
        <w:t>ORA DR-02 Q2b-Rev Req Summary MDHD Elect. Summaries 06-18-18-PET</w:t>
      </w:r>
    </w:p>
    <w:p w14:paraId="5F1F7CBA" w14:textId="6FD20800" w:rsidR="00126670" w:rsidRDefault="00126670" w:rsidP="00126670">
      <w:pPr>
        <w:pStyle w:val="ListParagraph"/>
        <w:numPr>
          <w:ilvl w:val="0"/>
          <w:numId w:val="6"/>
        </w:numPr>
        <w:spacing w:after="160" w:line="259" w:lineRule="auto"/>
        <w:contextualSpacing/>
        <w:rPr>
          <w:sz w:val="24"/>
          <w:szCs w:val="24"/>
        </w:rPr>
      </w:pPr>
      <w:r w:rsidRPr="00126670">
        <w:rPr>
          <w:sz w:val="24"/>
          <w:szCs w:val="24"/>
        </w:rPr>
        <w:t>ORA DR-02 Q-2b-Rev Req-3 cases-06-18-18</w:t>
      </w:r>
    </w:p>
    <w:p w14:paraId="6125E148" w14:textId="77777777" w:rsidR="001B4B58" w:rsidRPr="0048562C" w:rsidRDefault="001B4B58" w:rsidP="007C383F">
      <w:pPr>
        <w:pStyle w:val="ListParagraph"/>
        <w:spacing w:after="160" w:line="259" w:lineRule="auto"/>
        <w:contextualSpacing/>
        <w:rPr>
          <w:sz w:val="24"/>
          <w:szCs w:val="24"/>
        </w:rPr>
      </w:pPr>
    </w:p>
    <w:p w14:paraId="3C638736" w14:textId="77777777" w:rsidR="007C383F" w:rsidRDefault="007C383F" w:rsidP="007C383F">
      <w:pPr>
        <w:pStyle w:val="ListParagraph"/>
        <w:numPr>
          <w:ilvl w:val="0"/>
          <w:numId w:val="1"/>
        </w:numPr>
        <w:spacing w:after="160" w:line="259" w:lineRule="auto"/>
        <w:contextualSpacing/>
        <w:rPr>
          <w:sz w:val="24"/>
          <w:szCs w:val="24"/>
        </w:rPr>
      </w:pPr>
      <w:r w:rsidRPr="00F7002A">
        <w:rPr>
          <w:sz w:val="24"/>
          <w:szCs w:val="24"/>
        </w:rPr>
        <w:t>Please provide detail of all performance metrics SDG&amp;E plans to incorporate into its MD/HD EV Charging Infrastructure and V2G pilot programs.</w:t>
      </w:r>
    </w:p>
    <w:p w14:paraId="5147011A" w14:textId="059597EC" w:rsidR="007C383F" w:rsidRDefault="007C383F" w:rsidP="007C383F">
      <w:pPr>
        <w:pStyle w:val="ListParagraph"/>
        <w:spacing w:after="160" w:line="259" w:lineRule="auto"/>
        <w:contextualSpacing/>
        <w:rPr>
          <w:sz w:val="24"/>
          <w:szCs w:val="24"/>
        </w:rPr>
      </w:pPr>
    </w:p>
    <w:p w14:paraId="1BA35269" w14:textId="05407CB9" w:rsidR="00D33BAB" w:rsidRDefault="00D33BAB" w:rsidP="00D33BAB">
      <w:pPr>
        <w:spacing w:after="160" w:line="259" w:lineRule="auto"/>
        <w:contextualSpacing/>
        <w:rPr>
          <w:b/>
          <w:sz w:val="24"/>
          <w:szCs w:val="24"/>
        </w:rPr>
      </w:pPr>
      <w:r>
        <w:rPr>
          <w:b/>
          <w:sz w:val="24"/>
          <w:szCs w:val="24"/>
        </w:rPr>
        <w:t>Response:</w:t>
      </w:r>
    </w:p>
    <w:p w14:paraId="38359854" w14:textId="7B218E47" w:rsidR="001B4B58" w:rsidRDefault="001B4B58" w:rsidP="00D33BAB">
      <w:pPr>
        <w:spacing w:after="160" w:line="259" w:lineRule="auto"/>
        <w:contextualSpacing/>
        <w:rPr>
          <w:sz w:val="24"/>
          <w:szCs w:val="24"/>
        </w:rPr>
      </w:pPr>
    </w:p>
    <w:p w14:paraId="515C29BC" w14:textId="30C97216" w:rsidR="001B4B58" w:rsidRDefault="001B4B58" w:rsidP="00D33BAB">
      <w:pPr>
        <w:spacing w:after="160" w:line="259" w:lineRule="auto"/>
        <w:contextualSpacing/>
        <w:rPr>
          <w:sz w:val="24"/>
          <w:szCs w:val="24"/>
        </w:rPr>
      </w:pPr>
      <w:r>
        <w:rPr>
          <w:sz w:val="24"/>
          <w:szCs w:val="24"/>
        </w:rPr>
        <w:t>As stated</w:t>
      </w:r>
      <w:r w:rsidR="004D638F">
        <w:rPr>
          <w:sz w:val="24"/>
          <w:szCs w:val="24"/>
        </w:rPr>
        <w:t xml:space="preserve"> in Chapter 2</w:t>
      </w:r>
      <w:r>
        <w:rPr>
          <w:sz w:val="24"/>
          <w:szCs w:val="24"/>
        </w:rPr>
        <w:t xml:space="preserve"> on</w:t>
      </w:r>
      <w:r w:rsidR="004D638F">
        <w:rPr>
          <w:sz w:val="24"/>
          <w:szCs w:val="24"/>
        </w:rPr>
        <w:t xml:space="preserve"> page</w:t>
      </w:r>
      <w:r>
        <w:rPr>
          <w:sz w:val="24"/>
          <w:szCs w:val="24"/>
        </w:rPr>
        <w:t xml:space="preserve"> HJR-19, SDG&amp;E will collect data to determine best practices and procedures to support medium-duty and heavy-duty EVs.  Additionally, a total cost of ownership calculation will be conducted to examine the costs of EVs as compared to the incumbent vehicles.  </w:t>
      </w:r>
    </w:p>
    <w:p w14:paraId="7B74085F" w14:textId="2D7230C7" w:rsidR="001B4B58" w:rsidRDefault="001B4B58" w:rsidP="00D33BAB">
      <w:pPr>
        <w:spacing w:after="160" w:line="259" w:lineRule="auto"/>
        <w:contextualSpacing/>
        <w:rPr>
          <w:sz w:val="24"/>
          <w:szCs w:val="24"/>
        </w:rPr>
      </w:pPr>
    </w:p>
    <w:p w14:paraId="10C61D56" w14:textId="63796614" w:rsidR="001B4B58" w:rsidRDefault="004D638F" w:rsidP="004D0FE0">
      <w:pPr>
        <w:spacing w:after="160" w:line="259" w:lineRule="auto"/>
        <w:contextualSpacing/>
        <w:rPr>
          <w:sz w:val="24"/>
          <w:szCs w:val="24"/>
        </w:rPr>
      </w:pPr>
      <w:r>
        <w:rPr>
          <w:sz w:val="24"/>
          <w:szCs w:val="24"/>
        </w:rPr>
        <w:t>As a pilot, the V2G proposal</w:t>
      </w:r>
      <w:r w:rsidR="001B4B58">
        <w:rPr>
          <w:sz w:val="24"/>
          <w:szCs w:val="24"/>
        </w:rPr>
        <w:t xml:space="preserve"> is </w:t>
      </w:r>
      <w:r w:rsidR="004D0FE0">
        <w:rPr>
          <w:sz w:val="24"/>
          <w:szCs w:val="24"/>
        </w:rPr>
        <w:t xml:space="preserve">a learning opportunity.  As stated </w:t>
      </w:r>
      <w:r>
        <w:rPr>
          <w:sz w:val="24"/>
          <w:szCs w:val="24"/>
        </w:rPr>
        <w:t xml:space="preserve">in Chapter 3 </w:t>
      </w:r>
      <w:r w:rsidR="004D0FE0">
        <w:rPr>
          <w:sz w:val="24"/>
          <w:szCs w:val="24"/>
        </w:rPr>
        <w:t xml:space="preserve">on </w:t>
      </w:r>
      <w:r>
        <w:rPr>
          <w:sz w:val="24"/>
          <w:szCs w:val="24"/>
        </w:rPr>
        <w:t xml:space="preserve">page </w:t>
      </w:r>
      <w:r w:rsidR="004D0FE0">
        <w:rPr>
          <w:sz w:val="24"/>
          <w:szCs w:val="24"/>
        </w:rPr>
        <w:t>DMG-12, SDG&amp;E will provide a</w:t>
      </w:r>
      <w:r w:rsidR="004D0FE0" w:rsidRPr="004D0FE0">
        <w:rPr>
          <w:sz w:val="24"/>
          <w:szCs w:val="24"/>
        </w:rPr>
        <w:t xml:space="preserve"> r</w:t>
      </w:r>
      <w:r w:rsidR="004D0FE0">
        <w:rPr>
          <w:sz w:val="24"/>
          <w:szCs w:val="24"/>
        </w:rPr>
        <w:t xml:space="preserve">eport to the CPUC that will include data such as </w:t>
      </w:r>
      <w:r w:rsidR="004D0FE0" w:rsidRPr="004D0FE0">
        <w:rPr>
          <w:sz w:val="24"/>
          <w:szCs w:val="24"/>
        </w:rPr>
        <w:t>energy co</w:t>
      </w:r>
      <w:r>
        <w:rPr>
          <w:sz w:val="24"/>
          <w:szCs w:val="24"/>
        </w:rPr>
        <w:t>nsumption and energy exports relative to time and</w:t>
      </w:r>
      <w:r w:rsidR="004D0FE0" w:rsidRPr="004D0FE0">
        <w:rPr>
          <w:sz w:val="24"/>
          <w:szCs w:val="24"/>
        </w:rPr>
        <w:t xml:space="preserve"> dema</w:t>
      </w:r>
      <w:r w:rsidR="004D0FE0">
        <w:rPr>
          <w:sz w:val="24"/>
          <w:szCs w:val="24"/>
        </w:rPr>
        <w:t>nd</w:t>
      </w:r>
      <w:r>
        <w:rPr>
          <w:sz w:val="24"/>
          <w:szCs w:val="24"/>
        </w:rPr>
        <w:t>.  It will</w:t>
      </w:r>
      <w:r w:rsidRPr="004D0FE0">
        <w:rPr>
          <w:sz w:val="24"/>
          <w:szCs w:val="24"/>
        </w:rPr>
        <w:t xml:space="preserve"> also examine the costs and benefits of V2G.</w:t>
      </w:r>
      <w:r>
        <w:rPr>
          <w:sz w:val="24"/>
          <w:szCs w:val="24"/>
        </w:rPr>
        <w:t xml:space="preserve">  The report will describe lessons learned.  </w:t>
      </w:r>
    </w:p>
    <w:p w14:paraId="039E75F1" w14:textId="77777777" w:rsidR="004D0FE0" w:rsidRPr="001B4B58" w:rsidRDefault="004D0FE0" w:rsidP="004D0FE0">
      <w:pPr>
        <w:spacing w:after="160" w:line="259" w:lineRule="auto"/>
        <w:contextualSpacing/>
        <w:rPr>
          <w:sz w:val="24"/>
          <w:szCs w:val="24"/>
        </w:rPr>
      </w:pPr>
    </w:p>
    <w:p w14:paraId="56F1F726" w14:textId="77777777" w:rsidR="00D33BAB" w:rsidRPr="00F7002A" w:rsidRDefault="00D33BAB" w:rsidP="007C383F">
      <w:pPr>
        <w:pStyle w:val="ListParagraph"/>
        <w:spacing w:after="160" w:line="259" w:lineRule="auto"/>
        <w:contextualSpacing/>
        <w:rPr>
          <w:sz w:val="24"/>
          <w:szCs w:val="24"/>
        </w:rPr>
      </w:pPr>
    </w:p>
    <w:p w14:paraId="2C021E29" w14:textId="77777777" w:rsidR="007C383F" w:rsidRPr="001C7E22" w:rsidRDefault="007C383F" w:rsidP="007C383F">
      <w:pPr>
        <w:pStyle w:val="ListParagraph"/>
        <w:numPr>
          <w:ilvl w:val="0"/>
          <w:numId w:val="1"/>
        </w:numPr>
        <w:spacing w:after="160" w:line="259" w:lineRule="auto"/>
        <w:contextualSpacing/>
        <w:rPr>
          <w:sz w:val="24"/>
          <w:szCs w:val="24"/>
        </w:rPr>
      </w:pPr>
      <w:r w:rsidRPr="00F7002A">
        <w:rPr>
          <w:sz w:val="24"/>
          <w:szCs w:val="24"/>
        </w:rPr>
        <w:t>In SDG&amp;E’s response to ORA Data Request 1</w:t>
      </w:r>
      <w:r>
        <w:rPr>
          <w:sz w:val="24"/>
          <w:szCs w:val="24"/>
        </w:rPr>
        <w:t xml:space="preserve"> (</w:t>
      </w:r>
      <w:r>
        <w:rPr>
          <w:rFonts w:ascii="TimesNewRomanPSMT" w:hAnsi="TimesNewRomanPSMT" w:cs="TimesNewRomanPSMT"/>
          <w:sz w:val="24"/>
          <w:szCs w:val="24"/>
        </w:rPr>
        <w:t>ORA</w:t>
      </w:r>
      <w:r w:rsidRPr="00115BCC">
        <w:rPr>
          <w:rFonts w:ascii="TimesNewRomanPSMT" w:hAnsi="TimesNewRomanPSMT" w:cs="TimesNewRomanPSMT"/>
          <w:sz w:val="24"/>
          <w:szCs w:val="24"/>
        </w:rPr>
        <w:t>-SDG&amp;E-DR-01</w:t>
      </w:r>
      <w:r>
        <w:rPr>
          <w:rFonts w:ascii="TimesNewRomanPSMT" w:hAnsi="TimesNewRomanPSMT" w:cs="TimesNewRomanPSMT"/>
          <w:sz w:val="24"/>
          <w:szCs w:val="24"/>
        </w:rPr>
        <w:t>)</w:t>
      </w:r>
      <w:r w:rsidRPr="00F7002A">
        <w:rPr>
          <w:sz w:val="24"/>
          <w:szCs w:val="24"/>
        </w:rPr>
        <w:t xml:space="preserve"> Question 3, SDG&amp;E provided the following assumed electric vehicle supply equipment (EVSE) counts. </w:t>
      </w:r>
    </w:p>
    <w:p w14:paraId="684BCAF5" w14:textId="77777777" w:rsidR="007C383F" w:rsidRDefault="007C383F" w:rsidP="007C383F">
      <w:pPr>
        <w:pStyle w:val="ListParagraph"/>
        <w:numPr>
          <w:ilvl w:val="1"/>
          <w:numId w:val="1"/>
        </w:numPr>
        <w:spacing w:after="160" w:line="259" w:lineRule="auto"/>
        <w:contextualSpacing/>
        <w:rPr>
          <w:sz w:val="24"/>
          <w:szCs w:val="24"/>
        </w:rPr>
      </w:pPr>
      <w:r>
        <w:rPr>
          <w:sz w:val="24"/>
          <w:szCs w:val="24"/>
        </w:rPr>
        <w:t>P</w:t>
      </w:r>
      <w:r w:rsidRPr="00F7002A">
        <w:rPr>
          <w:sz w:val="24"/>
          <w:szCs w:val="24"/>
        </w:rPr>
        <w:t xml:space="preserve">rovide all workpapers used to calculate these assumptions. </w:t>
      </w:r>
    </w:p>
    <w:p w14:paraId="3EB5FE75" w14:textId="77777777" w:rsidR="007C383F" w:rsidRDefault="007C383F" w:rsidP="007C383F">
      <w:pPr>
        <w:pStyle w:val="ListParagraph"/>
        <w:numPr>
          <w:ilvl w:val="1"/>
          <w:numId w:val="1"/>
        </w:numPr>
        <w:spacing w:after="160" w:line="259" w:lineRule="auto"/>
        <w:contextualSpacing/>
        <w:rPr>
          <w:sz w:val="24"/>
          <w:szCs w:val="24"/>
        </w:rPr>
      </w:pPr>
      <w:r w:rsidRPr="00F7002A">
        <w:rPr>
          <w:sz w:val="24"/>
          <w:szCs w:val="24"/>
        </w:rPr>
        <w:t xml:space="preserve">Provide all spreadsheets unaltered in Excel spreadsheet format. </w:t>
      </w:r>
    </w:p>
    <w:p w14:paraId="66EFA618" w14:textId="77777777" w:rsidR="007C383F" w:rsidRDefault="007C383F" w:rsidP="007C383F">
      <w:pPr>
        <w:pStyle w:val="ListParagraph"/>
        <w:numPr>
          <w:ilvl w:val="1"/>
          <w:numId w:val="1"/>
        </w:numPr>
        <w:spacing w:after="160" w:line="259" w:lineRule="auto"/>
        <w:contextualSpacing/>
        <w:rPr>
          <w:sz w:val="24"/>
          <w:szCs w:val="24"/>
        </w:rPr>
      </w:pPr>
      <w:r w:rsidRPr="00F7002A">
        <w:rPr>
          <w:sz w:val="24"/>
          <w:szCs w:val="24"/>
        </w:rPr>
        <w:t xml:space="preserve">For any data utilized in these workpapers, please cite the source of the data. </w:t>
      </w:r>
    </w:p>
    <w:p w14:paraId="12C3CD86" w14:textId="77777777" w:rsidR="007C383F" w:rsidRPr="00F7002A" w:rsidRDefault="007C383F" w:rsidP="007C383F">
      <w:pPr>
        <w:pStyle w:val="ListParagraph"/>
        <w:numPr>
          <w:ilvl w:val="1"/>
          <w:numId w:val="1"/>
        </w:numPr>
        <w:spacing w:after="160" w:line="259" w:lineRule="auto"/>
        <w:contextualSpacing/>
        <w:rPr>
          <w:sz w:val="24"/>
          <w:szCs w:val="24"/>
        </w:rPr>
      </w:pPr>
      <w:r w:rsidRPr="00F7002A">
        <w:rPr>
          <w:sz w:val="24"/>
          <w:szCs w:val="24"/>
        </w:rPr>
        <w:t>For any assumptions, please provide a description of the reasoning behind the assumption.</w:t>
      </w:r>
    </w:p>
    <w:p w14:paraId="7CB0493F" w14:textId="77777777" w:rsidR="007C383F" w:rsidRPr="00F7002A" w:rsidRDefault="007C383F" w:rsidP="007C383F">
      <w:pPr>
        <w:pStyle w:val="ListParagraph"/>
        <w:numPr>
          <w:ilvl w:val="0"/>
          <w:numId w:val="2"/>
        </w:numPr>
        <w:tabs>
          <w:tab w:val="left" w:pos="1134"/>
        </w:tabs>
        <w:spacing w:line="280" w:lineRule="atLeast"/>
        <w:rPr>
          <w:sz w:val="24"/>
          <w:szCs w:val="24"/>
        </w:rPr>
      </w:pPr>
      <w:r w:rsidRPr="00F7002A">
        <w:rPr>
          <w:sz w:val="24"/>
          <w:szCs w:val="24"/>
        </w:rPr>
        <w:t>Class 2 – 3:</w:t>
      </w:r>
      <w:r w:rsidRPr="00F7002A">
        <w:rPr>
          <w:sz w:val="24"/>
          <w:szCs w:val="24"/>
        </w:rPr>
        <w:tab/>
        <w:t xml:space="preserve">1200 </w:t>
      </w:r>
    </w:p>
    <w:p w14:paraId="11F6DF3D" w14:textId="77777777" w:rsidR="007C383F" w:rsidRPr="00F7002A" w:rsidRDefault="007C383F" w:rsidP="007C383F">
      <w:pPr>
        <w:pStyle w:val="ListParagraph"/>
        <w:numPr>
          <w:ilvl w:val="0"/>
          <w:numId w:val="2"/>
        </w:numPr>
        <w:tabs>
          <w:tab w:val="left" w:pos="1134"/>
        </w:tabs>
        <w:spacing w:line="280" w:lineRule="atLeast"/>
        <w:rPr>
          <w:sz w:val="24"/>
          <w:szCs w:val="24"/>
        </w:rPr>
      </w:pPr>
      <w:r w:rsidRPr="00F7002A">
        <w:rPr>
          <w:sz w:val="24"/>
          <w:szCs w:val="24"/>
        </w:rPr>
        <w:t>Class 4 – 5:</w:t>
      </w:r>
      <w:r w:rsidRPr="00F7002A">
        <w:rPr>
          <w:sz w:val="24"/>
          <w:szCs w:val="24"/>
        </w:rPr>
        <w:tab/>
        <w:t xml:space="preserve">900 </w:t>
      </w:r>
    </w:p>
    <w:p w14:paraId="46DEE99F" w14:textId="77777777" w:rsidR="007C383F" w:rsidRPr="00F7002A" w:rsidRDefault="007C383F" w:rsidP="007C383F">
      <w:pPr>
        <w:pStyle w:val="ListParagraph"/>
        <w:numPr>
          <w:ilvl w:val="0"/>
          <w:numId w:val="2"/>
        </w:numPr>
        <w:tabs>
          <w:tab w:val="left" w:pos="1134"/>
        </w:tabs>
        <w:spacing w:line="280" w:lineRule="atLeast"/>
        <w:rPr>
          <w:sz w:val="24"/>
          <w:szCs w:val="24"/>
        </w:rPr>
      </w:pPr>
      <w:r w:rsidRPr="00F7002A">
        <w:rPr>
          <w:sz w:val="24"/>
          <w:szCs w:val="24"/>
        </w:rPr>
        <w:t>Class 6:</w:t>
      </w:r>
      <w:r w:rsidRPr="00F7002A">
        <w:rPr>
          <w:sz w:val="24"/>
          <w:szCs w:val="24"/>
        </w:rPr>
        <w:tab/>
        <w:t xml:space="preserve">300 </w:t>
      </w:r>
    </w:p>
    <w:p w14:paraId="70B55705" w14:textId="77777777" w:rsidR="007C383F" w:rsidRPr="00F7002A" w:rsidRDefault="007C383F" w:rsidP="007C383F">
      <w:pPr>
        <w:pStyle w:val="ListParagraph"/>
        <w:numPr>
          <w:ilvl w:val="0"/>
          <w:numId w:val="2"/>
        </w:numPr>
        <w:tabs>
          <w:tab w:val="left" w:pos="1134"/>
        </w:tabs>
        <w:spacing w:line="280" w:lineRule="atLeast"/>
        <w:rPr>
          <w:sz w:val="24"/>
          <w:szCs w:val="24"/>
        </w:rPr>
      </w:pPr>
      <w:r w:rsidRPr="00F7002A">
        <w:rPr>
          <w:sz w:val="24"/>
          <w:szCs w:val="24"/>
        </w:rPr>
        <w:t>Class 7 – 8:</w:t>
      </w:r>
      <w:r w:rsidRPr="00F7002A">
        <w:rPr>
          <w:sz w:val="24"/>
          <w:szCs w:val="24"/>
        </w:rPr>
        <w:tab/>
        <w:t xml:space="preserve">450 </w:t>
      </w:r>
    </w:p>
    <w:p w14:paraId="77D847FC" w14:textId="77777777" w:rsidR="007C383F" w:rsidRPr="00F7002A" w:rsidRDefault="007C383F" w:rsidP="007C383F">
      <w:pPr>
        <w:pStyle w:val="ListParagraph"/>
        <w:numPr>
          <w:ilvl w:val="0"/>
          <w:numId w:val="2"/>
        </w:numPr>
        <w:tabs>
          <w:tab w:val="left" w:pos="1134"/>
        </w:tabs>
        <w:spacing w:line="280" w:lineRule="atLeast"/>
        <w:rPr>
          <w:sz w:val="24"/>
          <w:szCs w:val="24"/>
        </w:rPr>
      </w:pPr>
      <w:r w:rsidRPr="00F7002A">
        <w:rPr>
          <w:sz w:val="24"/>
          <w:szCs w:val="24"/>
        </w:rPr>
        <w:t>On-route transit chargers: 10</w:t>
      </w:r>
    </w:p>
    <w:p w14:paraId="3F4E816A" w14:textId="77777777" w:rsidR="007C383F" w:rsidRPr="00F7002A" w:rsidRDefault="007C383F" w:rsidP="007C383F">
      <w:pPr>
        <w:pStyle w:val="ListParagraph"/>
        <w:numPr>
          <w:ilvl w:val="0"/>
          <w:numId w:val="2"/>
        </w:numPr>
        <w:tabs>
          <w:tab w:val="left" w:pos="1134"/>
        </w:tabs>
        <w:spacing w:line="280" w:lineRule="atLeast"/>
        <w:rPr>
          <w:sz w:val="24"/>
          <w:szCs w:val="24"/>
        </w:rPr>
      </w:pPr>
      <w:r w:rsidRPr="00F7002A">
        <w:rPr>
          <w:sz w:val="24"/>
          <w:szCs w:val="24"/>
        </w:rPr>
        <w:t xml:space="preserve">Forklifts and TRUs:  </w:t>
      </w:r>
      <w:r w:rsidRPr="00F7002A">
        <w:rPr>
          <w:sz w:val="24"/>
          <w:szCs w:val="24"/>
        </w:rPr>
        <w:tab/>
        <w:t>225 (capped)</w:t>
      </w:r>
    </w:p>
    <w:p w14:paraId="41C78484" w14:textId="77777777" w:rsidR="007C383F" w:rsidRDefault="007C383F" w:rsidP="007C383F">
      <w:pPr>
        <w:pStyle w:val="ListParagraph"/>
        <w:numPr>
          <w:ilvl w:val="0"/>
          <w:numId w:val="2"/>
        </w:numPr>
        <w:tabs>
          <w:tab w:val="left" w:pos="1134"/>
        </w:tabs>
        <w:spacing w:line="280" w:lineRule="atLeast"/>
        <w:rPr>
          <w:sz w:val="24"/>
          <w:szCs w:val="24"/>
        </w:rPr>
      </w:pPr>
      <w:r w:rsidRPr="00F7002A">
        <w:rPr>
          <w:sz w:val="24"/>
          <w:szCs w:val="24"/>
        </w:rPr>
        <w:t>3,085 EVSEs total for Program</w:t>
      </w:r>
    </w:p>
    <w:p w14:paraId="1E33A0F5" w14:textId="639D454F" w:rsidR="007C383F" w:rsidRDefault="007C383F" w:rsidP="007C383F">
      <w:pPr>
        <w:pStyle w:val="ListParagraph"/>
        <w:tabs>
          <w:tab w:val="left" w:pos="1134"/>
        </w:tabs>
        <w:spacing w:line="280" w:lineRule="atLeast"/>
        <w:ind w:left="1080"/>
        <w:rPr>
          <w:sz w:val="24"/>
          <w:szCs w:val="24"/>
        </w:rPr>
      </w:pPr>
    </w:p>
    <w:p w14:paraId="6B5AB4A8" w14:textId="58307882" w:rsidR="00D33BAB" w:rsidRDefault="00D33BAB" w:rsidP="00D33BAB">
      <w:pPr>
        <w:spacing w:after="160" w:line="259" w:lineRule="auto"/>
        <w:contextualSpacing/>
        <w:rPr>
          <w:b/>
          <w:sz w:val="24"/>
          <w:szCs w:val="24"/>
        </w:rPr>
      </w:pPr>
      <w:r>
        <w:rPr>
          <w:b/>
          <w:sz w:val="24"/>
          <w:szCs w:val="24"/>
        </w:rPr>
        <w:t>Response:</w:t>
      </w:r>
    </w:p>
    <w:p w14:paraId="67263DB1" w14:textId="4FE51BB4" w:rsidR="00D454B0" w:rsidRDefault="00D454B0" w:rsidP="00D33BAB">
      <w:pPr>
        <w:spacing w:after="160" w:line="259" w:lineRule="auto"/>
        <w:contextualSpacing/>
        <w:rPr>
          <w:sz w:val="24"/>
          <w:szCs w:val="24"/>
        </w:rPr>
      </w:pPr>
      <w:r>
        <w:rPr>
          <w:sz w:val="24"/>
          <w:szCs w:val="24"/>
        </w:rPr>
        <w:lastRenderedPageBreak/>
        <w:t>Formal s</w:t>
      </w:r>
      <w:r w:rsidR="004D0FE0">
        <w:rPr>
          <w:sz w:val="24"/>
          <w:szCs w:val="24"/>
        </w:rPr>
        <w:t>preadsheet</w:t>
      </w:r>
      <w:r w:rsidR="00975C17">
        <w:rPr>
          <w:sz w:val="24"/>
          <w:szCs w:val="24"/>
        </w:rPr>
        <w:t>s and</w:t>
      </w:r>
      <w:r w:rsidR="004D0FE0">
        <w:rPr>
          <w:sz w:val="24"/>
          <w:szCs w:val="24"/>
        </w:rPr>
        <w:t xml:space="preserve"> workpapers</w:t>
      </w:r>
      <w:r w:rsidR="00975C17">
        <w:rPr>
          <w:sz w:val="24"/>
          <w:szCs w:val="24"/>
        </w:rPr>
        <w:t xml:space="preserve"> were not used</w:t>
      </w:r>
      <w:r w:rsidR="004D0FE0">
        <w:rPr>
          <w:sz w:val="24"/>
          <w:szCs w:val="24"/>
        </w:rPr>
        <w:t xml:space="preserve"> to calculate these assumptions.  Vehicle classes were weigh</w:t>
      </w:r>
      <w:r w:rsidR="00975C17">
        <w:rPr>
          <w:sz w:val="24"/>
          <w:szCs w:val="24"/>
        </w:rPr>
        <w:t xml:space="preserve">ted based on a number of factors.  More mature vehicle classes </w:t>
      </w:r>
      <w:r w:rsidR="004D0FE0">
        <w:rPr>
          <w:sz w:val="24"/>
          <w:szCs w:val="24"/>
        </w:rPr>
        <w:t>such as delivery trucks and transit buses</w:t>
      </w:r>
      <w:r>
        <w:rPr>
          <w:sz w:val="24"/>
          <w:szCs w:val="24"/>
        </w:rPr>
        <w:t xml:space="preserve"> were weighted more heavily because it was assumed that those vehicles would be adopted sooner</w:t>
      </w:r>
      <w:r w:rsidR="004D0FE0">
        <w:rPr>
          <w:sz w:val="24"/>
          <w:szCs w:val="24"/>
        </w:rPr>
        <w:t xml:space="preserve">.  </w:t>
      </w:r>
      <w:r w:rsidR="002841E3">
        <w:rPr>
          <w:sz w:val="24"/>
          <w:szCs w:val="24"/>
        </w:rPr>
        <w:t>Transit buses and school buses are also considered “beachheads” which have the ability to accelerate adoption of HD EVs.</w:t>
      </w:r>
    </w:p>
    <w:p w14:paraId="0F860F86" w14:textId="77777777" w:rsidR="00D454B0" w:rsidRDefault="00D454B0" w:rsidP="00D33BAB">
      <w:pPr>
        <w:spacing w:after="160" w:line="259" w:lineRule="auto"/>
        <w:contextualSpacing/>
        <w:rPr>
          <w:sz w:val="24"/>
          <w:szCs w:val="24"/>
        </w:rPr>
      </w:pPr>
    </w:p>
    <w:p w14:paraId="0B1433D3" w14:textId="0A710C81" w:rsidR="004D0FE0" w:rsidRDefault="002841E3" w:rsidP="00D33BAB">
      <w:pPr>
        <w:spacing w:after="160" w:line="259" w:lineRule="auto"/>
        <w:contextualSpacing/>
        <w:rPr>
          <w:sz w:val="24"/>
          <w:szCs w:val="24"/>
        </w:rPr>
      </w:pPr>
      <w:r>
        <w:rPr>
          <w:sz w:val="24"/>
          <w:szCs w:val="24"/>
        </w:rPr>
        <w:t xml:space="preserve">Weighting different segments </w:t>
      </w:r>
      <w:r w:rsidR="004D0FE0">
        <w:rPr>
          <w:sz w:val="24"/>
          <w:szCs w:val="24"/>
        </w:rPr>
        <w:t>is similar to the approach taken in the CPUC’s May 31, 2018 decision on SCE’s and PG&amp;E’s medium-duty / heavy-duty applications, where they chose to weigh the transit</w:t>
      </w:r>
      <w:r w:rsidR="00D454B0">
        <w:rPr>
          <w:sz w:val="24"/>
          <w:szCs w:val="24"/>
        </w:rPr>
        <w:t xml:space="preserve"> bus</w:t>
      </w:r>
      <w:r w:rsidR="004D0FE0">
        <w:rPr>
          <w:sz w:val="24"/>
          <w:szCs w:val="24"/>
        </w:rPr>
        <w:t>, school</w:t>
      </w:r>
      <w:r w:rsidR="00D454B0">
        <w:rPr>
          <w:sz w:val="24"/>
          <w:szCs w:val="24"/>
        </w:rPr>
        <w:t xml:space="preserve"> bus</w:t>
      </w:r>
      <w:r w:rsidR="004D0FE0">
        <w:rPr>
          <w:sz w:val="24"/>
          <w:szCs w:val="24"/>
        </w:rPr>
        <w:t xml:space="preserve"> and heavy-duty vehicle sectors higher.  </w:t>
      </w:r>
    </w:p>
    <w:p w14:paraId="26992741" w14:textId="77777777" w:rsidR="004D0FE0" w:rsidRPr="004D0FE0" w:rsidRDefault="004D0FE0" w:rsidP="00D33BAB">
      <w:pPr>
        <w:spacing w:after="160" w:line="259" w:lineRule="auto"/>
        <w:contextualSpacing/>
        <w:rPr>
          <w:sz w:val="24"/>
          <w:szCs w:val="24"/>
        </w:rPr>
      </w:pPr>
    </w:p>
    <w:p w14:paraId="2378C643" w14:textId="77777777" w:rsidR="00D33BAB" w:rsidRPr="00F7002A" w:rsidRDefault="00D33BAB" w:rsidP="007C383F">
      <w:pPr>
        <w:pStyle w:val="ListParagraph"/>
        <w:tabs>
          <w:tab w:val="left" w:pos="1134"/>
        </w:tabs>
        <w:spacing w:line="280" w:lineRule="atLeast"/>
        <w:ind w:left="1080"/>
        <w:rPr>
          <w:sz w:val="24"/>
          <w:szCs w:val="24"/>
        </w:rPr>
      </w:pPr>
    </w:p>
    <w:p w14:paraId="3DB2AB26" w14:textId="77777777" w:rsidR="007C383F" w:rsidRDefault="007C383F" w:rsidP="007C383F">
      <w:pPr>
        <w:pStyle w:val="ListParagraph"/>
        <w:numPr>
          <w:ilvl w:val="0"/>
          <w:numId w:val="1"/>
        </w:numPr>
        <w:tabs>
          <w:tab w:val="left" w:pos="1134"/>
        </w:tabs>
        <w:spacing w:line="280" w:lineRule="atLeast"/>
        <w:contextualSpacing/>
        <w:rPr>
          <w:sz w:val="24"/>
          <w:szCs w:val="24"/>
        </w:rPr>
      </w:pPr>
      <w:r w:rsidRPr="00F7002A">
        <w:rPr>
          <w:sz w:val="24"/>
          <w:szCs w:val="24"/>
        </w:rPr>
        <w:t>Please explain SDG&amp;E’s rationale and calculations in coming up with a cap of 225 EVSEs for forklifts and TRUs.</w:t>
      </w:r>
    </w:p>
    <w:p w14:paraId="0A5CA9F9" w14:textId="11D17357" w:rsidR="007C383F" w:rsidRDefault="007C383F" w:rsidP="007C383F">
      <w:pPr>
        <w:pStyle w:val="ListParagraph"/>
        <w:tabs>
          <w:tab w:val="left" w:pos="1134"/>
        </w:tabs>
        <w:spacing w:line="280" w:lineRule="atLeast"/>
        <w:contextualSpacing/>
        <w:rPr>
          <w:sz w:val="24"/>
          <w:szCs w:val="24"/>
        </w:rPr>
      </w:pPr>
    </w:p>
    <w:p w14:paraId="339DD69C" w14:textId="553FA5A4" w:rsidR="00D33BAB" w:rsidRDefault="00D33BAB" w:rsidP="00D33BAB">
      <w:pPr>
        <w:spacing w:after="160" w:line="259" w:lineRule="auto"/>
        <w:contextualSpacing/>
        <w:rPr>
          <w:b/>
          <w:sz w:val="24"/>
          <w:szCs w:val="24"/>
        </w:rPr>
      </w:pPr>
      <w:r>
        <w:rPr>
          <w:b/>
          <w:sz w:val="24"/>
          <w:szCs w:val="24"/>
        </w:rPr>
        <w:t>Response:</w:t>
      </w:r>
    </w:p>
    <w:p w14:paraId="05C266AA" w14:textId="2DF954E8" w:rsidR="004D0FE0" w:rsidRDefault="00D454B0" w:rsidP="00D33BAB">
      <w:pPr>
        <w:spacing w:after="160" w:line="259" w:lineRule="auto"/>
        <w:contextualSpacing/>
        <w:rPr>
          <w:sz w:val="24"/>
          <w:szCs w:val="24"/>
        </w:rPr>
      </w:pPr>
      <w:r>
        <w:rPr>
          <w:sz w:val="24"/>
          <w:szCs w:val="24"/>
        </w:rPr>
        <w:t xml:space="preserve">The intent of the program is to support electrification of a range of non-light-duty passenger EVs.  </w:t>
      </w:r>
      <w:r w:rsidR="00F270B0">
        <w:rPr>
          <w:sz w:val="24"/>
          <w:szCs w:val="24"/>
        </w:rPr>
        <w:t>SDG&amp;E</w:t>
      </w:r>
      <w:r>
        <w:rPr>
          <w:sz w:val="24"/>
          <w:szCs w:val="24"/>
        </w:rPr>
        <w:t xml:space="preserve"> decided to include </w:t>
      </w:r>
      <w:r w:rsidR="004D0FE0">
        <w:rPr>
          <w:sz w:val="24"/>
          <w:szCs w:val="24"/>
        </w:rPr>
        <w:t>forklifts and TRUs based on discussions</w:t>
      </w:r>
      <w:r>
        <w:rPr>
          <w:sz w:val="24"/>
          <w:szCs w:val="24"/>
        </w:rPr>
        <w:t xml:space="preserve"> with customers who have shown a</w:t>
      </w:r>
      <w:r w:rsidR="004D0FE0">
        <w:rPr>
          <w:sz w:val="24"/>
          <w:szCs w:val="24"/>
        </w:rPr>
        <w:t>n interest in electrifying these vehicles.  Howe</w:t>
      </w:r>
      <w:r>
        <w:rPr>
          <w:sz w:val="24"/>
          <w:szCs w:val="24"/>
        </w:rPr>
        <w:t>ver, the number</w:t>
      </w:r>
      <w:r w:rsidR="004D0FE0">
        <w:rPr>
          <w:sz w:val="24"/>
          <w:szCs w:val="24"/>
        </w:rPr>
        <w:t xml:space="preserve"> was capped</w:t>
      </w:r>
      <w:r>
        <w:rPr>
          <w:sz w:val="24"/>
          <w:szCs w:val="24"/>
        </w:rPr>
        <w:t xml:space="preserve"> because SDG&amp;E did not want the program</w:t>
      </w:r>
      <w:r w:rsidR="004D0FE0">
        <w:rPr>
          <w:sz w:val="24"/>
          <w:szCs w:val="24"/>
        </w:rPr>
        <w:t xml:space="preserve"> to primarily become a forklift and TRU program.  </w:t>
      </w:r>
      <w:r w:rsidR="002841E3">
        <w:rPr>
          <w:sz w:val="24"/>
          <w:szCs w:val="24"/>
        </w:rPr>
        <w:t xml:space="preserve">Chapter 2, HJR-7 discusses the requirements for forklift eligibility in the program. </w:t>
      </w:r>
    </w:p>
    <w:p w14:paraId="4DAB8923" w14:textId="48B8DE27" w:rsidR="004D0FE0" w:rsidRDefault="004D0FE0" w:rsidP="00D33BAB">
      <w:pPr>
        <w:spacing w:after="160" w:line="259" w:lineRule="auto"/>
        <w:contextualSpacing/>
        <w:rPr>
          <w:sz w:val="24"/>
          <w:szCs w:val="24"/>
        </w:rPr>
      </w:pPr>
    </w:p>
    <w:p w14:paraId="772F6138" w14:textId="77777777" w:rsidR="004D0FE0" w:rsidRPr="004D0FE0" w:rsidRDefault="004D0FE0" w:rsidP="00D33BAB">
      <w:pPr>
        <w:spacing w:after="160" w:line="259" w:lineRule="auto"/>
        <w:contextualSpacing/>
        <w:rPr>
          <w:sz w:val="24"/>
          <w:szCs w:val="24"/>
        </w:rPr>
      </w:pPr>
    </w:p>
    <w:p w14:paraId="2B429012" w14:textId="77777777" w:rsidR="00D33BAB" w:rsidRPr="00F7002A" w:rsidRDefault="00D33BAB" w:rsidP="007C383F">
      <w:pPr>
        <w:pStyle w:val="ListParagraph"/>
        <w:tabs>
          <w:tab w:val="left" w:pos="1134"/>
        </w:tabs>
        <w:spacing w:line="280" w:lineRule="atLeast"/>
        <w:contextualSpacing/>
        <w:rPr>
          <w:sz w:val="24"/>
          <w:szCs w:val="24"/>
        </w:rPr>
      </w:pPr>
    </w:p>
    <w:p w14:paraId="1FF16EC8" w14:textId="77777777" w:rsidR="007C383F" w:rsidRPr="00851BCF" w:rsidRDefault="007C383F" w:rsidP="007C383F">
      <w:pPr>
        <w:pStyle w:val="ListParagraph"/>
        <w:numPr>
          <w:ilvl w:val="0"/>
          <w:numId w:val="1"/>
        </w:numPr>
        <w:tabs>
          <w:tab w:val="left" w:pos="1134"/>
        </w:tabs>
        <w:spacing w:line="280" w:lineRule="atLeast"/>
        <w:contextualSpacing/>
        <w:rPr>
          <w:sz w:val="24"/>
          <w:szCs w:val="24"/>
        </w:rPr>
      </w:pPr>
      <w:r w:rsidRPr="00F7002A">
        <w:rPr>
          <w:sz w:val="24"/>
          <w:szCs w:val="24"/>
        </w:rPr>
        <w:t>Please provide a list of all non-ratepayer funds SDG&amp;E intends to pursue</w:t>
      </w:r>
      <w:r>
        <w:rPr>
          <w:sz w:val="24"/>
          <w:szCs w:val="24"/>
        </w:rPr>
        <w:t xml:space="preserve"> and leverage</w:t>
      </w:r>
      <w:r w:rsidRPr="00F7002A">
        <w:rPr>
          <w:sz w:val="24"/>
          <w:szCs w:val="24"/>
        </w:rPr>
        <w:t xml:space="preserve"> in regards to the programs contained in this proceeding. If available, please also provide the anticipated funding amount from each source, and, if different, the subsequent anticipated reduction in needed funding from </w:t>
      </w:r>
      <w:r>
        <w:rPr>
          <w:sz w:val="24"/>
          <w:szCs w:val="24"/>
        </w:rPr>
        <w:t>ratepayers for these programs</w:t>
      </w:r>
      <w:r w:rsidRPr="00F7002A">
        <w:rPr>
          <w:sz w:val="24"/>
          <w:szCs w:val="24"/>
        </w:rPr>
        <w:t>.</w:t>
      </w:r>
    </w:p>
    <w:p w14:paraId="4D70D05A" w14:textId="77777777" w:rsidR="00D33BAB" w:rsidRDefault="00D33BAB" w:rsidP="00D33BAB">
      <w:pPr>
        <w:spacing w:after="160" w:line="259" w:lineRule="auto"/>
        <w:ind w:left="360"/>
        <w:contextualSpacing/>
        <w:rPr>
          <w:b/>
          <w:sz w:val="24"/>
          <w:szCs w:val="24"/>
        </w:rPr>
      </w:pPr>
    </w:p>
    <w:p w14:paraId="493EF0DE" w14:textId="6FB1A67D" w:rsidR="00D33BAB" w:rsidRDefault="00D33BAB" w:rsidP="004D0FE0">
      <w:pPr>
        <w:spacing w:after="160" w:line="259" w:lineRule="auto"/>
        <w:contextualSpacing/>
        <w:rPr>
          <w:b/>
          <w:sz w:val="24"/>
          <w:szCs w:val="24"/>
        </w:rPr>
      </w:pPr>
      <w:r w:rsidRPr="00D33BAB">
        <w:rPr>
          <w:b/>
          <w:sz w:val="24"/>
          <w:szCs w:val="24"/>
        </w:rPr>
        <w:t>Response:</w:t>
      </w:r>
    </w:p>
    <w:p w14:paraId="0D4D0113" w14:textId="67C120FE" w:rsidR="004D0FE0" w:rsidRDefault="004D0FE0" w:rsidP="004D0FE0">
      <w:pPr>
        <w:spacing w:after="160" w:line="259" w:lineRule="auto"/>
        <w:contextualSpacing/>
        <w:rPr>
          <w:sz w:val="24"/>
          <w:szCs w:val="24"/>
        </w:rPr>
      </w:pPr>
      <w:r>
        <w:rPr>
          <w:sz w:val="24"/>
          <w:szCs w:val="24"/>
        </w:rPr>
        <w:t>Please see HJR-14 for SDG&amp;E’s discussion on leveraged funding.</w:t>
      </w:r>
      <w:r w:rsidR="00C54C0C">
        <w:rPr>
          <w:sz w:val="24"/>
          <w:szCs w:val="24"/>
        </w:rPr>
        <w:t xml:space="preserve">  In addition, SDG&amp;E will work with customers and state agencies to leverage additional funding as it becomes available.  </w:t>
      </w:r>
    </w:p>
    <w:p w14:paraId="04E830FE" w14:textId="44C8B6CE" w:rsidR="004D0FE0" w:rsidRDefault="004D0FE0" w:rsidP="004D0FE0">
      <w:pPr>
        <w:spacing w:after="160" w:line="259" w:lineRule="auto"/>
        <w:contextualSpacing/>
        <w:rPr>
          <w:sz w:val="24"/>
          <w:szCs w:val="24"/>
        </w:rPr>
      </w:pPr>
    </w:p>
    <w:p w14:paraId="6319E057" w14:textId="77777777" w:rsidR="004D0FE0" w:rsidRPr="004D0FE0" w:rsidRDefault="004D0FE0" w:rsidP="004D0FE0">
      <w:pPr>
        <w:spacing w:after="160" w:line="259" w:lineRule="auto"/>
        <w:contextualSpacing/>
        <w:rPr>
          <w:sz w:val="24"/>
          <w:szCs w:val="24"/>
        </w:rPr>
      </w:pPr>
    </w:p>
    <w:p w14:paraId="0C33A06A" w14:textId="77777777" w:rsidR="007C383F" w:rsidRPr="00F7002A" w:rsidRDefault="007C383F" w:rsidP="007C383F">
      <w:pPr>
        <w:pStyle w:val="ListParagraph"/>
        <w:tabs>
          <w:tab w:val="left" w:pos="1134"/>
        </w:tabs>
        <w:spacing w:line="280" w:lineRule="atLeast"/>
        <w:contextualSpacing/>
        <w:rPr>
          <w:sz w:val="24"/>
          <w:szCs w:val="24"/>
        </w:rPr>
      </w:pPr>
    </w:p>
    <w:p w14:paraId="339DA700" w14:textId="77777777" w:rsidR="007C383F" w:rsidRDefault="007C383F" w:rsidP="007C383F">
      <w:pPr>
        <w:pStyle w:val="ListParagraph"/>
        <w:numPr>
          <w:ilvl w:val="0"/>
          <w:numId w:val="1"/>
        </w:numPr>
        <w:tabs>
          <w:tab w:val="left" w:pos="1134"/>
        </w:tabs>
        <w:spacing w:line="280" w:lineRule="atLeast"/>
        <w:contextualSpacing/>
        <w:rPr>
          <w:sz w:val="24"/>
          <w:szCs w:val="24"/>
        </w:rPr>
      </w:pPr>
      <w:r w:rsidRPr="00F7002A">
        <w:rPr>
          <w:sz w:val="24"/>
          <w:szCs w:val="24"/>
        </w:rPr>
        <w:t xml:space="preserve">In Chapter 2 p. 14 of SDG&amp;E’s prepared testimony, SDG&amp;E lists the Hybrid and Zero-Emission Truck and Bus Voucher Incentive Program (HVIP) as a potential source of leveraged non-ratepayer funds for the MD/HD EV Charging Infrastructure Program. </w:t>
      </w:r>
      <w:r w:rsidRPr="00F7002A">
        <w:rPr>
          <w:sz w:val="24"/>
          <w:szCs w:val="24"/>
        </w:rPr>
        <w:lastRenderedPageBreak/>
        <w:t>However, HVIP vouchers discount the cost of the electric vehicle (EV), rather than the cost of the electric vehicle supply equipment (EVSE) and related grid infrastructure.</w:t>
      </w:r>
      <w:r w:rsidRPr="00F7002A">
        <w:rPr>
          <w:rStyle w:val="FootnoteReference"/>
          <w:sz w:val="24"/>
          <w:szCs w:val="24"/>
        </w:rPr>
        <w:footnoteReference w:id="2"/>
      </w:r>
      <w:r w:rsidRPr="00F7002A">
        <w:rPr>
          <w:sz w:val="24"/>
          <w:szCs w:val="24"/>
        </w:rPr>
        <w:t xml:space="preserve"> </w:t>
      </w:r>
    </w:p>
    <w:p w14:paraId="421C7016" w14:textId="7BF5E88E" w:rsidR="007C383F" w:rsidRDefault="007C383F" w:rsidP="007C383F">
      <w:pPr>
        <w:pStyle w:val="ListParagraph"/>
        <w:tabs>
          <w:tab w:val="left" w:pos="1134"/>
        </w:tabs>
        <w:spacing w:line="280" w:lineRule="atLeast"/>
        <w:contextualSpacing/>
      </w:pPr>
    </w:p>
    <w:p w14:paraId="03BDDE91" w14:textId="72C04BD5" w:rsidR="00D33BAB" w:rsidRDefault="00D33BAB" w:rsidP="00D33BAB">
      <w:pPr>
        <w:spacing w:after="160" w:line="259" w:lineRule="auto"/>
        <w:contextualSpacing/>
        <w:rPr>
          <w:b/>
          <w:sz w:val="24"/>
          <w:szCs w:val="24"/>
        </w:rPr>
      </w:pPr>
      <w:r>
        <w:rPr>
          <w:b/>
          <w:sz w:val="24"/>
          <w:szCs w:val="24"/>
        </w:rPr>
        <w:t>Response:</w:t>
      </w:r>
    </w:p>
    <w:p w14:paraId="562A2F9A" w14:textId="3E545A43" w:rsidR="004D0FE0" w:rsidRPr="004D0FE0" w:rsidRDefault="0074767B" w:rsidP="00D33BAB">
      <w:pPr>
        <w:spacing w:after="160" w:line="259" w:lineRule="auto"/>
        <w:contextualSpacing/>
        <w:rPr>
          <w:sz w:val="24"/>
          <w:szCs w:val="24"/>
        </w:rPr>
      </w:pPr>
      <w:r>
        <w:rPr>
          <w:sz w:val="24"/>
          <w:szCs w:val="24"/>
        </w:rPr>
        <w:t xml:space="preserve">HVIP reduces the upfront cost of the EV.  </w:t>
      </w:r>
      <w:r w:rsidR="00C54C0C">
        <w:rPr>
          <w:sz w:val="24"/>
          <w:szCs w:val="24"/>
        </w:rPr>
        <w:t>F</w:t>
      </w:r>
      <w:r w:rsidR="004D0FE0">
        <w:rPr>
          <w:sz w:val="24"/>
          <w:szCs w:val="24"/>
        </w:rPr>
        <w:t xml:space="preserve">or widespread transportation electrification </w:t>
      </w:r>
      <w:r w:rsidR="00C54C0C">
        <w:rPr>
          <w:sz w:val="24"/>
          <w:szCs w:val="24"/>
        </w:rPr>
        <w:t xml:space="preserve">to occur </w:t>
      </w:r>
      <w:r w:rsidR="004D0FE0">
        <w:rPr>
          <w:sz w:val="24"/>
          <w:szCs w:val="24"/>
        </w:rPr>
        <w:t>and to accelerate the adoption of EVs, electric vehicles and electric vehicle charging infrastructure m</w:t>
      </w:r>
      <w:r w:rsidR="00C54C0C">
        <w:rPr>
          <w:sz w:val="24"/>
          <w:szCs w:val="24"/>
        </w:rPr>
        <w:t>ust grow simultaneously.  If they do not</w:t>
      </w:r>
      <w:r w:rsidR="004D0FE0">
        <w:rPr>
          <w:sz w:val="24"/>
          <w:szCs w:val="24"/>
        </w:rPr>
        <w:t xml:space="preserve">, you </w:t>
      </w:r>
      <w:r w:rsidR="00C54C0C">
        <w:rPr>
          <w:sz w:val="24"/>
          <w:szCs w:val="24"/>
        </w:rPr>
        <w:t xml:space="preserve">will </w:t>
      </w:r>
      <w:r w:rsidR="004D0FE0">
        <w:rPr>
          <w:sz w:val="24"/>
          <w:szCs w:val="24"/>
        </w:rPr>
        <w:t>continue to have “the chicken and the egg” problem which is often opined upon with rega</w:t>
      </w:r>
      <w:r w:rsidR="00C54C0C">
        <w:rPr>
          <w:sz w:val="24"/>
          <w:szCs w:val="24"/>
        </w:rPr>
        <w:t xml:space="preserve">rds to EV adoption.  Electric </w:t>
      </w:r>
      <w:r w:rsidR="004D0FE0">
        <w:rPr>
          <w:sz w:val="24"/>
          <w:szCs w:val="24"/>
        </w:rPr>
        <w:t xml:space="preserve">vehicles and </w:t>
      </w:r>
      <w:r w:rsidR="00C54C0C">
        <w:rPr>
          <w:sz w:val="24"/>
          <w:szCs w:val="24"/>
        </w:rPr>
        <w:t xml:space="preserve">the </w:t>
      </w:r>
      <w:r w:rsidR="004D0FE0">
        <w:rPr>
          <w:sz w:val="24"/>
          <w:szCs w:val="24"/>
        </w:rPr>
        <w:t xml:space="preserve">infrastructure </w:t>
      </w:r>
      <w:r w:rsidR="00C54C0C">
        <w:rPr>
          <w:sz w:val="24"/>
          <w:szCs w:val="24"/>
        </w:rPr>
        <w:t xml:space="preserve">to support those vehicles are </w:t>
      </w:r>
      <w:r w:rsidR="004D0FE0">
        <w:rPr>
          <w:sz w:val="24"/>
          <w:szCs w:val="24"/>
        </w:rPr>
        <w:t xml:space="preserve">part and parcel of the same end goal of greenhouse gas reduction.  </w:t>
      </w:r>
    </w:p>
    <w:p w14:paraId="23E783F4" w14:textId="77777777" w:rsidR="00D33BAB" w:rsidRPr="000E7CC4" w:rsidRDefault="00D33BAB" w:rsidP="007C383F">
      <w:pPr>
        <w:pStyle w:val="ListParagraph"/>
        <w:tabs>
          <w:tab w:val="left" w:pos="1134"/>
        </w:tabs>
        <w:spacing w:line="280" w:lineRule="atLeast"/>
        <w:contextualSpacing/>
      </w:pPr>
    </w:p>
    <w:p w14:paraId="5804C199" w14:textId="77777777" w:rsidR="007C383F" w:rsidRDefault="007C383F" w:rsidP="007C383F">
      <w:pPr>
        <w:pStyle w:val="ListParagraph"/>
        <w:numPr>
          <w:ilvl w:val="0"/>
          <w:numId w:val="1"/>
        </w:numPr>
        <w:tabs>
          <w:tab w:val="left" w:pos="1134"/>
        </w:tabs>
        <w:spacing w:line="280" w:lineRule="atLeast"/>
        <w:contextualSpacing/>
        <w:rPr>
          <w:sz w:val="24"/>
          <w:szCs w:val="24"/>
        </w:rPr>
      </w:pPr>
      <w:r w:rsidRPr="00F7002A">
        <w:rPr>
          <w:sz w:val="24"/>
          <w:szCs w:val="24"/>
        </w:rPr>
        <w:t xml:space="preserve">Please explain how incentive programs and funding sources targeting the EV rather than the EVSE and related grid infrastructure will have a beneficial impact on the MD/HD EV Charging Infrastructure Program. In </w:t>
      </w:r>
      <w:r>
        <w:rPr>
          <w:sz w:val="24"/>
          <w:szCs w:val="24"/>
        </w:rPr>
        <w:t>your</w:t>
      </w:r>
      <w:r w:rsidRPr="00F7002A">
        <w:rPr>
          <w:sz w:val="24"/>
          <w:szCs w:val="24"/>
        </w:rPr>
        <w:t xml:space="preserve"> explanation, </w:t>
      </w:r>
      <w:r>
        <w:rPr>
          <w:sz w:val="24"/>
          <w:szCs w:val="24"/>
        </w:rPr>
        <w:t>please</w:t>
      </w:r>
      <w:r w:rsidRPr="00F7002A">
        <w:rPr>
          <w:sz w:val="24"/>
          <w:szCs w:val="24"/>
        </w:rPr>
        <w:t xml:space="preserve"> focus on explaining how EV-targeting incentive programs and funding sources in general have beneficial impacts, rather than the beneficial impacts of HVIP in particular.</w:t>
      </w:r>
    </w:p>
    <w:p w14:paraId="498400F8" w14:textId="261019A0" w:rsidR="007C383F" w:rsidRDefault="007C383F" w:rsidP="007C383F">
      <w:pPr>
        <w:pStyle w:val="ListParagraph"/>
        <w:tabs>
          <w:tab w:val="left" w:pos="1134"/>
        </w:tabs>
        <w:spacing w:line="280" w:lineRule="atLeast"/>
        <w:contextualSpacing/>
        <w:rPr>
          <w:sz w:val="24"/>
          <w:szCs w:val="24"/>
        </w:rPr>
      </w:pPr>
    </w:p>
    <w:p w14:paraId="55825C83" w14:textId="5828AAAA" w:rsidR="00D33BAB" w:rsidRDefault="00D33BAB" w:rsidP="00D33BAB">
      <w:pPr>
        <w:spacing w:after="160" w:line="259" w:lineRule="auto"/>
        <w:contextualSpacing/>
        <w:rPr>
          <w:b/>
          <w:sz w:val="24"/>
          <w:szCs w:val="24"/>
        </w:rPr>
      </w:pPr>
      <w:r>
        <w:rPr>
          <w:b/>
          <w:sz w:val="24"/>
          <w:szCs w:val="24"/>
        </w:rPr>
        <w:t>Response:</w:t>
      </w:r>
    </w:p>
    <w:p w14:paraId="2B282496" w14:textId="5773207D" w:rsidR="00C962F7" w:rsidRDefault="00C41DEC" w:rsidP="00D33BAB">
      <w:pPr>
        <w:spacing w:after="160" w:line="259" w:lineRule="auto"/>
        <w:contextualSpacing/>
        <w:rPr>
          <w:sz w:val="24"/>
          <w:szCs w:val="24"/>
        </w:rPr>
      </w:pPr>
      <w:r>
        <w:rPr>
          <w:sz w:val="24"/>
          <w:szCs w:val="24"/>
        </w:rPr>
        <w:t>Please see response to Q7</w:t>
      </w:r>
      <w:r w:rsidR="00C962F7">
        <w:rPr>
          <w:sz w:val="24"/>
          <w:szCs w:val="24"/>
        </w:rPr>
        <w:t xml:space="preserve">.  </w:t>
      </w:r>
    </w:p>
    <w:p w14:paraId="633D2143" w14:textId="3B31F928" w:rsidR="00C962F7" w:rsidRDefault="00C962F7" w:rsidP="00D33BAB">
      <w:pPr>
        <w:spacing w:after="160" w:line="259" w:lineRule="auto"/>
        <w:contextualSpacing/>
        <w:rPr>
          <w:sz w:val="24"/>
          <w:szCs w:val="24"/>
        </w:rPr>
      </w:pPr>
    </w:p>
    <w:p w14:paraId="07304A01" w14:textId="77777777" w:rsidR="00C962F7" w:rsidRPr="00C962F7" w:rsidRDefault="00C962F7" w:rsidP="00D33BAB">
      <w:pPr>
        <w:spacing w:after="160" w:line="259" w:lineRule="auto"/>
        <w:contextualSpacing/>
        <w:rPr>
          <w:sz w:val="24"/>
          <w:szCs w:val="24"/>
        </w:rPr>
      </w:pPr>
    </w:p>
    <w:p w14:paraId="52B3C466" w14:textId="77777777" w:rsidR="00D33BAB" w:rsidRPr="00F7002A" w:rsidRDefault="00D33BAB" w:rsidP="007C383F">
      <w:pPr>
        <w:pStyle w:val="ListParagraph"/>
        <w:tabs>
          <w:tab w:val="left" w:pos="1134"/>
        </w:tabs>
        <w:spacing w:line="280" w:lineRule="atLeast"/>
        <w:contextualSpacing/>
        <w:rPr>
          <w:sz w:val="24"/>
          <w:szCs w:val="24"/>
        </w:rPr>
      </w:pPr>
    </w:p>
    <w:p w14:paraId="682603A2" w14:textId="77777777" w:rsidR="007C383F" w:rsidRPr="00F7002A" w:rsidRDefault="007C383F" w:rsidP="007C383F">
      <w:pPr>
        <w:pStyle w:val="ListParagraph"/>
        <w:numPr>
          <w:ilvl w:val="0"/>
          <w:numId w:val="1"/>
        </w:numPr>
        <w:tabs>
          <w:tab w:val="left" w:pos="1134"/>
        </w:tabs>
        <w:spacing w:line="280" w:lineRule="atLeast"/>
        <w:contextualSpacing/>
        <w:rPr>
          <w:sz w:val="24"/>
          <w:szCs w:val="24"/>
        </w:rPr>
      </w:pPr>
      <w:r w:rsidRPr="00F7002A">
        <w:rPr>
          <w:sz w:val="24"/>
          <w:szCs w:val="24"/>
        </w:rPr>
        <w:t>The US Department of Energy has the following vehicle classifications:</w:t>
      </w:r>
      <w:r w:rsidRPr="00F7002A">
        <w:rPr>
          <w:rStyle w:val="FootnoteReference"/>
          <w:sz w:val="24"/>
          <w:szCs w:val="24"/>
        </w:rPr>
        <w:footnoteReference w:id="3"/>
      </w:r>
    </w:p>
    <w:p w14:paraId="15663A04" w14:textId="77777777" w:rsidR="007C383F" w:rsidRPr="00F7002A" w:rsidRDefault="007C383F" w:rsidP="007C383F">
      <w:pPr>
        <w:tabs>
          <w:tab w:val="left" w:pos="1134"/>
        </w:tabs>
        <w:spacing w:line="280" w:lineRule="atLeast"/>
        <w:ind w:left="360"/>
        <w:rPr>
          <w:sz w:val="24"/>
          <w:szCs w:val="24"/>
        </w:rPr>
      </w:pPr>
    </w:p>
    <w:tbl>
      <w:tblPr>
        <w:tblW w:w="6160" w:type="dxa"/>
        <w:jc w:val="center"/>
        <w:tblLook w:val="04A0" w:firstRow="1" w:lastRow="0" w:firstColumn="1" w:lastColumn="0" w:noHBand="0" w:noVBand="1"/>
      </w:tblPr>
      <w:tblGrid>
        <w:gridCol w:w="3260"/>
        <w:gridCol w:w="1320"/>
        <w:gridCol w:w="1580"/>
      </w:tblGrid>
      <w:tr w:rsidR="007C383F" w:rsidRPr="00F7002A" w14:paraId="6D4A11B7" w14:textId="77777777" w:rsidTr="008B668C">
        <w:trPr>
          <w:trHeight w:val="300"/>
          <w:jc w:val="center"/>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C6EF8" w14:textId="77777777" w:rsidR="007C383F" w:rsidRPr="00F7002A" w:rsidRDefault="007C383F" w:rsidP="008B668C">
            <w:pPr>
              <w:jc w:val="center"/>
              <w:rPr>
                <w:b/>
                <w:bCs/>
                <w:color w:val="000000"/>
                <w:sz w:val="24"/>
                <w:szCs w:val="24"/>
              </w:rPr>
            </w:pPr>
            <w:r w:rsidRPr="00F7002A">
              <w:rPr>
                <w:b/>
                <w:bCs/>
                <w:color w:val="000000"/>
                <w:sz w:val="24"/>
                <w:szCs w:val="24"/>
              </w:rPr>
              <w:t>Gross Vehicle Weight Rating (GVWR) (lbs)</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76C9C674" w14:textId="77777777" w:rsidR="007C383F" w:rsidRPr="00F7002A" w:rsidRDefault="007C383F" w:rsidP="008B668C">
            <w:pPr>
              <w:jc w:val="center"/>
              <w:rPr>
                <w:b/>
                <w:bCs/>
                <w:color w:val="000000"/>
                <w:sz w:val="24"/>
                <w:szCs w:val="24"/>
              </w:rPr>
            </w:pPr>
            <w:r w:rsidRPr="00F7002A">
              <w:rPr>
                <w:b/>
                <w:bCs/>
                <w:color w:val="000000"/>
                <w:sz w:val="24"/>
                <w:szCs w:val="24"/>
              </w:rPr>
              <w:t>Vehicle Class</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35CF5058" w14:textId="77777777" w:rsidR="007C383F" w:rsidRPr="00F7002A" w:rsidRDefault="007C383F" w:rsidP="008B668C">
            <w:pPr>
              <w:jc w:val="center"/>
              <w:rPr>
                <w:b/>
                <w:bCs/>
                <w:color w:val="000000"/>
                <w:sz w:val="24"/>
                <w:szCs w:val="24"/>
              </w:rPr>
            </w:pPr>
            <w:r w:rsidRPr="00F7002A">
              <w:rPr>
                <w:b/>
                <w:bCs/>
                <w:color w:val="000000"/>
                <w:sz w:val="24"/>
                <w:szCs w:val="24"/>
              </w:rPr>
              <w:t>GVWR Category</w:t>
            </w:r>
          </w:p>
        </w:tc>
      </w:tr>
      <w:tr w:rsidR="007C383F" w:rsidRPr="00F7002A" w14:paraId="4447A1A0" w14:textId="77777777" w:rsidTr="008B668C">
        <w:trPr>
          <w:trHeight w:val="300"/>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D9679D6" w14:textId="77777777" w:rsidR="007C383F" w:rsidRPr="00F7002A" w:rsidRDefault="007C383F" w:rsidP="008B668C">
            <w:pPr>
              <w:jc w:val="center"/>
              <w:rPr>
                <w:color w:val="000000"/>
                <w:sz w:val="24"/>
                <w:szCs w:val="24"/>
              </w:rPr>
            </w:pPr>
            <w:r w:rsidRPr="00F7002A">
              <w:rPr>
                <w:color w:val="000000"/>
                <w:sz w:val="24"/>
                <w:szCs w:val="24"/>
              </w:rPr>
              <w:t>&lt;6,000</w:t>
            </w:r>
          </w:p>
        </w:tc>
        <w:tc>
          <w:tcPr>
            <w:tcW w:w="1320" w:type="dxa"/>
            <w:tcBorders>
              <w:top w:val="nil"/>
              <w:left w:val="nil"/>
              <w:bottom w:val="single" w:sz="4" w:space="0" w:color="auto"/>
              <w:right w:val="single" w:sz="4" w:space="0" w:color="auto"/>
            </w:tcBorders>
            <w:shd w:val="clear" w:color="auto" w:fill="auto"/>
            <w:noWrap/>
            <w:vAlign w:val="bottom"/>
            <w:hideMark/>
          </w:tcPr>
          <w:p w14:paraId="20CCF75D" w14:textId="77777777" w:rsidR="007C383F" w:rsidRPr="00F7002A" w:rsidRDefault="007C383F" w:rsidP="008B668C">
            <w:pPr>
              <w:jc w:val="center"/>
              <w:rPr>
                <w:color w:val="000000"/>
                <w:sz w:val="24"/>
                <w:szCs w:val="24"/>
              </w:rPr>
            </w:pPr>
            <w:r w:rsidRPr="00F7002A">
              <w:rPr>
                <w:color w:val="000000"/>
                <w:sz w:val="24"/>
                <w:szCs w:val="24"/>
              </w:rPr>
              <w:t>1</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A5E7C" w14:textId="77777777" w:rsidR="007C383F" w:rsidRPr="00F7002A" w:rsidRDefault="007C383F" w:rsidP="008B668C">
            <w:pPr>
              <w:jc w:val="center"/>
              <w:rPr>
                <w:color w:val="000000"/>
                <w:sz w:val="24"/>
                <w:szCs w:val="24"/>
              </w:rPr>
            </w:pPr>
            <w:r w:rsidRPr="00F7002A">
              <w:rPr>
                <w:color w:val="000000"/>
                <w:sz w:val="24"/>
                <w:szCs w:val="24"/>
              </w:rPr>
              <w:t>Light Duty</w:t>
            </w:r>
          </w:p>
        </w:tc>
      </w:tr>
      <w:tr w:rsidR="007C383F" w:rsidRPr="00F7002A" w14:paraId="6BA785F4" w14:textId="77777777" w:rsidTr="008B668C">
        <w:trPr>
          <w:trHeight w:val="300"/>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0B10443B" w14:textId="77777777" w:rsidR="007C383F" w:rsidRPr="00F7002A" w:rsidRDefault="007C383F" w:rsidP="008B668C">
            <w:pPr>
              <w:jc w:val="center"/>
              <w:rPr>
                <w:color w:val="000000"/>
                <w:sz w:val="24"/>
                <w:szCs w:val="24"/>
              </w:rPr>
            </w:pPr>
            <w:r w:rsidRPr="00F7002A">
              <w:rPr>
                <w:color w:val="000000"/>
                <w:sz w:val="24"/>
                <w:szCs w:val="24"/>
              </w:rPr>
              <w:t>6,001-10,000</w:t>
            </w:r>
          </w:p>
        </w:tc>
        <w:tc>
          <w:tcPr>
            <w:tcW w:w="1320" w:type="dxa"/>
            <w:tcBorders>
              <w:top w:val="nil"/>
              <w:left w:val="nil"/>
              <w:bottom w:val="single" w:sz="4" w:space="0" w:color="auto"/>
              <w:right w:val="single" w:sz="4" w:space="0" w:color="auto"/>
            </w:tcBorders>
            <w:shd w:val="clear" w:color="auto" w:fill="auto"/>
            <w:noWrap/>
            <w:vAlign w:val="bottom"/>
            <w:hideMark/>
          </w:tcPr>
          <w:p w14:paraId="0A163B64" w14:textId="77777777" w:rsidR="007C383F" w:rsidRPr="00F7002A" w:rsidRDefault="007C383F" w:rsidP="008B668C">
            <w:pPr>
              <w:jc w:val="center"/>
              <w:rPr>
                <w:color w:val="000000"/>
                <w:sz w:val="24"/>
                <w:szCs w:val="24"/>
              </w:rPr>
            </w:pPr>
            <w:r w:rsidRPr="00F7002A">
              <w:rPr>
                <w:color w:val="000000"/>
                <w:sz w:val="24"/>
                <w:szCs w:val="24"/>
              </w:rPr>
              <w:t>2</w:t>
            </w:r>
          </w:p>
        </w:tc>
        <w:tc>
          <w:tcPr>
            <w:tcW w:w="1580" w:type="dxa"/>
            <w:vMerge/>
            <w:tcBorders>
              <w:top w:val="nil"/>
              <w:left w:val="single" w:sz="4" w:space="0" w:color="auto"/>
              <w:bottom w:val="single" w:sz="4" w:space="0" w:color="auto"/>
              <w:right w:val="single" w:sz="4" w:space="0" w:color="auto"/>
            </w:tcBorders>
            <w:vAlign w:val="center"/>
            <w:hideMark/>
          </w:tcPr>
          <w:p w14:paraId="11F12866" w14:textId="77777777" w:rsidR="007C383F" w:rsidRPr="00F7002A" w:rsidRDefault="007C383F" w:rsidP="008B668C">
            <w:pPr>
              <w:rPr>
                <w:color w:val="000000"/>
                <w:sz w:val="24"/>
                <w:szCs w:val="24"/>
              </w:rPr>
            </w:pPr>
          </w:p>
        </w:tc>
      </w:tr>
      <w:tr w:rsidR="007C383F" w:rsidRPr="00F7002A" w14:paraId="6BA09FA1" w14:textId="77777777" w:rsidTr="008B668C">
        <w:trPr>
          <w:trHeight w:val="300"/>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14CAC4A0" w14:textId="77777777" w:rsidR="007C383F" w:rsidRPr="00F7002A" w:rsidRDefault="007C383F" w:rsidP="008B668C">
            <w:pPr>
              <w:jc w:val="center"/>
              <w:rPr>
                <w:color w:val="000000"/>
                <w:sz w:val="24"/>
                <w:szCs w:val="24"/>
              </w:rPr>
            </w:pPr>
            <w:r w:rsidRPr="00F7002A">
              <w:rPr>
                <w:color w:val="000000"/>
                <w:sz w:val="24"/>
                <w:szCs w:val="24"/>
              </w:rPr>
              <w:t>10,001-14,000</w:t>
            </w:r>
          </w:p>
        </w:tc>
        <w:tc>
          <w:tcPr>
            <w:tcW w:w="1320" w:type="dxa"/>
            <w:tcBorders>
              <w:top w:val="nil"/>
              <w:left w:val="nil"/>
              <w:bottom w:val="single" w:sz="4" w:space="0" w:color="auto"/>
              <w:right w:val="single" w:sz="4" w:space="0" w:color="auto"/>
            </w:tcBorders>
            <w:shd w:val="clear" w:color="auto" w:fill="auto"/>
            <w:noWrap/>
            <w:vAlign w:val="bottom"/>
            <w:hideMark/>
          </w:tcPr>
          <w:p w14:paraId="41E5DFA7" w14:textId="77777777" w:rsidR="007C383F" w:rsidRPr="00F7002A" w:rsidRDefault="007C383F" w:rsidP="008B668C">
            <w:pPr>
              <w:jc w:val="center"/>
              <w:rPr>
                <w:color w:val="000000"/>
                <w:sz w:val="24"/>
                <w:szCs w:val="24"/>
              </w:rPr>
            </w:pPr>
            <w:r w:rsidRPr="00F7002A">
              <w:rPr>
                <w:color w:val="000000"/>
                <w:sz w:val="24"/>
                <w:szCs w:val="24"/>
              </w:rPr>
              <w:t>3</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C1E5FB" w14:textId="77777777" w:rsidR="007C383F" w:rsidRPr="00F7002A" w:rsidRDefault="007C383F" w:rsidP="008B668C">
            <w:pPr>
              <w:jc w:val="center"/>
              <w:rPr>
                <w:color w:val="000000"/>
                <w:sz w:val="24"/>
                <w:szCs w:val="24"/>
              </w:rPr>
            </w:pPr>
            <w:r w:rsidRPr="00F7002A">
              <w:rPr>
                <w:color w:val="000000"/>
                <w:sz w:val="24"/>
                <w:szCs w:val="24"/>
              </w:rPr>
              <w:t>Medium Duty</w:t>
            </w:r>
          </w:p>
        </w:tc>
      </w:tr>
      <w:tr w:rsidR="007C383F" w:rsidRPr="00F7002A" w14:paraId="2C06800D" w14:textId="77777777" w:rsidTr="008B668C">
        <w:trPr>
          <w:trHeight w:val="300"/>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0C18CE57" w14:textId="77777777" w:rsidR="007C383F" w:rsidRPr="00F7002A" w:rsidRDefault="007C383F" w:rsidP="008B668C">
            <w:pPr>
              <w:jc w:val="center"/>
              <w:rPr>
                <w:color w:val="000000"/>
                <w:sz w:val="24"/>
                <w:szCs w:val="24"/>
              </w:rPr>
            </w:pPr>
            <w:r w:rsidRPr="00F7002A">
              <w:rPr>
                <w:color w:val="000000"/>
                <w:sz w:val="24"/>
                <w:szCs w:val="24"/>
              </w:rPr>
              <w:t>14,000-16,000</w:t>
            </w:r>
          </w:p>
        </w:tc>
        <w:tc>
          <w:tcPr>
            <w:tcW w:w="1320" w:type="dxa"/>
            <w:tcBorders>
              <w:top w:val="nil"/>
              <w:left w:val="nil"/>
              <w:bottom w:val="single" w:sz="4" w:space="0" w:color="auto"/>
              <w:right w:val="single" w:sz="4" w:space="0" w:color="auto"/>
            </w:tcBorders>
            <w:shd w:val="clear" w:color="auto" w:fill="auto"/>
            <w:noWrap/>
            <w:vAlign w:val="bottom"/>
            <w:hideMark/>
          </w:tcPr>
          <w:p w14:paraId="2EB093FB" w14:textId="77777777" w:rsidR="007C383F" w:rsidRPr="00F7002A" w:rsidRDefault="007C383F" w:rsidP="008B668C">
            <w:pPr>
              <w:jc w:val="center"/>
              <w:rPr>
                <w:color w:val="000000"/>
                <w:sz w:val="24"/>
                <w:szCs w:val="24"/>
              </w:rPr>
            </w:pPr>
            <w:r w:rsidRPr="00F7002A">
              <w:rPr>
                <w:color w:val="000000"/>
                <w:sz w:val="24"/>
                <w:szCs w:val="24"/>
              </w:rPr>
              <w:t>4</w:t>
            </w:r>
          </w:p>
        </w:tc>
        <w:tc>
          <w:tcPr>
            <w:tcW w:w="1580" w:type="dxa"/>
            <w:vMerge/>
            <w:tcBorders>
              <w:top w:val="nil"/>
              <w:left w:val="single" w:sz="4" w:space="0" w:color="auto"/>
              <w:bottom w:val="single" w:sz="4" w:space="0" w:color="auto"/>
              <w:right w:val="single" w:sz="4" w:space="0" w:color="auto"/>
            </w:tcBorders>
            <w:vAlign w:val="center"/>
            <w:hideMark/>
          </w:tcPr>
          <w:p w14:paraId="4729DCC0" w14:textId="77777777" w:rsidR="007C383F" w:rsidRPr="00F7002A" w:rsidRDefault="007C383F" w:rsidP="008B668C">
            <w:pPr>
              <w:rPr>
                <w:color w:val="000000"/>
                <w:sz w:val="24"/>
                <w:szCs w:val="24"/>
              </w:rPr>
            </w:pPr>
          </w:p>
        </w:tc>
      </w:tr>
      <w:tr w:rsidR="007C383F" w:rsidRPr="00F7002A" w14:paraId="1D74774D" w14:textId="77777777" w:rsidTr="008B668C">
        <w:trPr>
          <w:trHeight w:val="300"/>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106B4572" w14:textId="77777777" w:rsidR="007C383F" w:rsidRPr="00F7002A" w:rsidRDefault="007C383F" w:rsidP="008B668C">
            <w:pPr>
              <w:jc w:val="center"/>
              <w:rPr>
                <w:color w:val="000000"/>
                <w:sz w:val="24"/>
                <w:szCs w:val="24"/>
              </w:rPr>
            </w:pPr>
            <w:r w:rsidRPr="00F7002A">
              <w:rPr>
                <w:color w:val="000000"/>
                <w:sz w:val="24"/>
                <w:szCs w:val="24"/>
              </w:rPr>
              <w:t>16,001-19,500</w:t>
            </w:r>
          </w:p>
        </w:tc>
        <w:tc>
          <w:tcPr>
            <w:tcW w:w="1320" w:type="dxa"/>
            <w:tcBorders>
              <w:top w:val="nil"/>
              <w:left w:val="nil"/>
              <w:bottom w:val="single" w:sz="4" w:space="0" w:color="auto"/>
              <w:right w:val="single" w:sz="4" w:space="0" w:color="auto"/>
            </w:tcBorders>
            <w:shd w:val="clear" w:color="auto" w:fill="auto"/>
            <w:noWrap/>
            <w:vAlign w:val="bottom"/>
            <w:hideMark/>
          </w:tcPr>
          <w:p w14:paraId="7E53EE44" w14:textId="77777777" w:rsidR="007C383F" w:rsidRPr="00F7002A" w:rsidRDefault="007C383F" w:rsidP="008B668C">
            <w:pPr>
              <w:jc w:val="center"/>
              <w:rPr>
                <w:color w:val="000000"/>
                <w:sz w:val="24"/>
                <w:szCs w:val="24"/>
              </w:rPr>
            </w:pPr>
            <w:r w:rsidRPr="00F7002A">
              <w:rPr>
                <w:color w:val="000000"/>
                <w:sz w:val="24"/>
                <w:szCs w:val="24"/>
              </w:rPr>
              <w:t>5</w:t>
            </w:r>
          </w:p>
        </w:tc>
        <w:tc>
          <w:tcPr>
            <w:tcW w:w="1580" w:type="dxa"/>
            <w:vMerge/>
            <w:tcBorders>
              <w:top w:val="nil"/>
              <w:left w:val="single" w:sz="4" w:space="0" w:color="auto"/>
              <w:bottom w:val="single" w:sz="4" w:space="0" w:color="auto"/>
              <w:right w:val="single" w:sz="4" w:space="0" w:color="auto"/>
            </w:tcBorders>
            <w:vAlign w:val="center"/>
            <w:hideMark/>
          </w:tcPr>
          <w:p w14:paraId="74E8AE52" w14:textId="77777777" w:rsidR="007C383F" w:rsidRPr="00F7002A" w:rsidRDefault="007C383F" w:rsidP="008B668C">
            <w:pPr>
              <w:rPr>
                <w:color w:val="000000"/>
                <w:sz w:val="24"/>
                <w:szCs w:val="24"/>
              </w:rPr>
            </w:pPr>
          </w:p>
        </w:tc>
      </w:tr>
      <w:tr w:rsidR="007C383F" w:rsidRPr="00F7002A" w14:paraId="5D1AB88A" w14:textId="77777777" w:rsidTr="008B668C">
        <w:trPr>
          <w:trHeight w:val="300"/>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18119406" w14:textId="77777777" w:rsidR="007C383F" w:rsidRPr="00F7002A" w:rsidRDefault="007C383F" w:rsidP="008B668C">
            <w:pPr>
              <w:jc w:val="center"/>
              <w:rPr>
                <w:color w:val="000000"/>
                <w:sz w:val="24"/>
                <w:szCs w:val="24"/>
              </w:rPr>
            </w:pPr>
            <w:r w:rsidRPr="00F7002A">
              <w:rPr>
                <w:color w:val="000000"/>
                <w:sz w:val="24"/>
                <w:szCs w:val="24"/>
              </w:rPr>
              <w:t>19,501-26,000</w:t>
            </w:r>
          </w:p>
        </w:tc>
        <w:tc>
          <w:tcPr>
            <w:tcW w:w="1320" w:type="dxa"/>
            <w:tcBorders>
              <w:top w:val="nil"/>
              <w:left w:val="nil"/>
              <w:bottom w:val="single" w:sz="4" w:space="0" w:color="auto"/>
              <w:right w:val="single" w:sz="4" w:space="0" w:color="auto"/>
            </w:tcBorders>
            <w:shd w:val="clear" w:color="auto" w:fill="auto"/>
            <w:noWrap/>
            <w:vAlign w:val="bottom"/>
            <w:hideMark/>
          </w:tcPr>
          <w:p w14:paraId="756875DB" w14:textId="77777777" w:rsidR="007C383F" w:rsidRPr="00F7002A" w:rsidRDefault="007C383F" w:rsidP="008B668C">
            <w:pPr>
              <w:jc w:val="center"/>
              <w:rPr>
                <w:color w:val="000000"/>
                <w:sz w:val="24"/>
                <w:szCs w:val="24"/>
              </w:rPr>
            </w:pPr>
            <w:r w:rsidRPr="00F7002A">
              <w:rPr>
                <w:color w:val="000000"/>
                <w:sz w:val="24"/>
                <w:szCs w:val="24"/>
              </w:rPr>
              <w:t>6</w:t>
            </w:r>
          </w:p>
        </w:tc>
        <w:tc>
          <w:tcPr>
            <w:tcW w:w="1580" w:type="dxa"/>
            <w:vMerge/>
            <w:tcBorders>
              <w:top w:val="nil"/>
              <w:left w:val="single" w:sz="4" w:space="0" w:color="auto"/>
              <w:bottom w:val="single" w:sz="4" w:space="0" w:color="auto"/>
              <w:right w:val="single" w:sz="4" w:space="0" w:color="auto"/>
            </w:tcBorders>
            <w:vAlign w:val="center"/>
            <w:hideMark/>
          </w:tcPr>
          <w:p w14:paraId="437E3DEE" w14:textId="77777777" w:rsidR="007C383F" w:rsidRPr="00F7002A" w:rsidRDefault="007C383F" w:rsidP="008B668C">
            <w:pPr>
              <w:rPr>
                <w:color w:val="000000"/>
                <w:sz w:val="24"/>
                <w:szCs w:val="24"/>
              </w:rPr>
            </w:pPr>
          </w:p>
        </w:tc>
      </w:tr>
      <w:tr w:rsidR="007C383F" w:rsidRPr="00F7002A" w14:paraId="4933F6E9" w14:textId="77777777" w:rsidTr="008B668C">
        <w:trPr>
          <w:trHeight w:val="300"/>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526613E" w14:textId="77777777" w:rsidR="007C383F" w:rsidRPr="00F7002A" w:rsidRDefault="007C383F" w:rsidP="008B668C">
            <w:pPr>
              <w:jc w:val="center"/>
              <w:rPr>
                <w:color w:val="000000"/>
                <w:sz w:val="24"/>
                <w:szCs w:val="24"/>
              </w:rPr>
            </w:pPr>
            <w:r w:rsidRPr="00F7002A">
              <w:rPr>
                <w:color w:val="000000"/>
                <w:sz w:val="24"/>
                <w:szCs w:val="24"/>
              </w:rPr>
              <w:t>26,001-33,000</w:t>
            </w:r>
          </w:p>
        </w:tc>
        <w:tc>
          <w:tcPr>
            <w:tcW w:w="1320" w:type="dxa"/>
            <w:tcBorders>
              <w:top w:val="nil"/>
              <w:left w:val="nil"/>
              <w:bottom w:val="single" w:sz="4" w:space="0" w:color="auto"/>
              <w:right w:val="single" w:sz="4" w:space="0" w:color="auto"/>
            </w:tcBorders>
            <w:shd w:val="clear" w:color="auto" w:fill="auto"/>
            <w:noWrap/>
            <w:vAlign w:val="bottom"/>
            <w:hideMark/>
          </w:tcPr>
          <w:p w14:paraId="0C6D82EF" w14:textId="77777777" w:rsidR="007C383F" w:rsidRPr="00F7002A" w:rsidRDefault="007C383F" w:rsidP="008B668C">
            <w:pPr>
              <w:jc w:val="center"/>
              <w:rPr>
                <w:color w:val="000000"/>
                <w:sz w:val="24"/>
                <w:szCs w:val="24"/>
              </w:rPr>
            </w:pPr>
            <w:r w:rsidRPr="00F7002A">
              <w:rPr>
                <w:color w:val="000000"/>
                <w:sz w:val="24"/>
                <w:szCs w:val="24"/>
              </w:rPr>
              <w:t>7</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44C484" w14:textId="77777777" w:rsidR="007C383F" w:rsidRPr="00F7002A" w:rsidRDefault="007C383F" w:rsidP="008B668C">
            <w:pPr>
              <w:jc w:val="center"/>
              <w:rPr>
                <w:color w:val="000000"/>
                <w:sz w:val="24"/>
                <w:szCs w:val="24"/>
              </w:rPr>
            </w:pPr>
            <w:r w:rsidRPr="00F7002A">
              <w:rPr>
                <w:color w:val="000000"/>
                <w:sz w:val="24"/>
                <w:szCs w:val="24"/>
              </w:rPr>
              <w:t>Heavy Duty</w:t>
            </w:r>
          </w:p>
        </w:tc>
      </w:tr>
      <w:tr w:rsidR="007C383F" w:rsidRPr="00F7002A" w14:paraId="573E5FAC" w14:textId="77777777" w:rsidTr="008B668C">
        <w:trPr>
          <w:trHeight w:val="300"/>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9942541" w14:textId="77777777" w:rsidR="007C383F" w:rsidRPr="00F7002A" w:rsidRDefault="007C383F" w:rsidP="008B668C">
            <w:pPr>
              <w:jc w:val="center"/>
              <w:rPr>
                <w:color w:val="000000"/>
                <w:sz w:val="24"/>
                <w:szCs w:val="24"/>
              </w:rPr>
            </w:pPr>
            <w:r w:rsidRPr="00F7002A">
              <w:rPr>
                <w:color w:val="000000"/>
                <w:sz w:val="24"/>
                <w:szCs w:val="24"/>
              </w:rPr>
              <w:t>&gt;33,000</w:t>
            </w:r>
          </w:p>
        </w:tc>
        <w:tc>
          <w:tcPr>
            <w:tcW w:w="1320" w:type="dxa"/>
            <w:tcBorders>
              <w:top w:val="nil"/>
              <w:left w:val="nil"/>
              <w:bottom w:val="single" w:sz="4" w:space="0" w:color="auto"/>
              <w:right w:val="single" w:sz="4" w:space="0" w:color="auto"/>
            </w:tcBorders>
            <w:shd w:val="clear" w:color="auto" w:fill="auto"/>
            <w:noWrap/>
            <w:vAlign w:val="bottom"/>
            <w:hideMark/>
          </w:tcPr>
          <w:p w14:paraId="73661BEE" w14:textId="77777777" w:rsidR="007C383F" w:rsidRPr="00F7002A" w:rsidRDefault="007C383F" w:rsidP="008B668C">
            <w:pPr>
              <w:jc w:val="center"/>
              <w:rPr>
                <w:color w:val="000000"/>
                <w:sz w:val="24"/>
                <w:szCs w:val="24"/>
              </w:rPr>
            </w:pPr>
            <w:r w:rsidRPr="00F7002A">
              <w:rPr>
                <w:color w:val="000000"/>
                <w:sz w:val="24"/>
                <w:szCs w:val="24"/>
              </w:rPr>
              <w:t>8</w:t>
            </w:r>
          </w:p>
        </w:tc>
        <w:tc>
          <w:tcPr>
            <w:tcW w:w="1580" w:type="dxa"/>
            <w:vMerge/>
            <w:tcBorders>
              <w:top w:val="nil"/>
              <w:left w:val="single" w:sz="4" w:space="0" w:color="auto"/>
              <w:bottom w:val="single" w:sz="4" w:space="0" w:color="auto"/>
              <w:right w:val="single" w:sz="4" w:space="0" w:color="auto"/>
            </w:tcBorders>
            <w:vAlign w:val="center"/>
            <w:hideMark/>
          </w:tcPr>
          <w:p w14:paraId="2F4A7A30" w14:textId="77777777" w:rsidR="007C383F" w:rsidRPr="00F7002A" w:rsidRDefault="007C383F" w:rsidP="008B668C">
            <w:pPr>
              <w:rPr>
                <w:color w:val="000000"/>
                <w:sz w:val="24"/>
                <w:szCs w:val="24"/>
              </w:rPr>
            </w:pPr>
          </w:p>
        </w:tc>
      </w:tr>
    </w:tbl>
    <w:p w14:paraId="0EE93A54" w14:textId="77777777" w:rsidR="007C383F" w:rsidRPr="00F7002A" w:rsidRDefault="007C383F" w:rsidP="007C383F">
      <w:pPr>
        <w:tabs>
          <w:tab w:val="left" w:pos="1134"/>
        </w:tabs>
        <w:spacing w:line="280" w:lineRule="atLeast"/>
        <w:rPr>
          <w:sz w:val="24"/>
          <w:szCs w:val="24"/>
        </w:rPr>
      </w:pPr>
    </w:p>
    <w:p w14:paraId="246F7120" w14:textId="77777777" w:rsidR="007C383F" w:rsidRPr="001C7E22" w:rsidRDefault="007C383F" w:rsidP="007C383F">
      <w:pPr>
        <w:tabs>
          <w:tab w:val="left" w:pos="1134"/>
        </w:tabs>
        <w:spacing w:line="280" w:lineRule="atLeast"/>
        <w:ind w:left="720"/>
        <w:rPr>
          <w:sz w:val="24"/>
          <w:szCs w:val="24"/>
        </w:rPr>
      </w:pPr>
      <w:r w:rsidRPr="001C7E22">
        <w:rPr>
          <w:sz w:val="24"/>
          <w:szCs w:val="24"/>
        </w:rPr>
        <w:lastRenderedPageBreak/>
        <w:t xml:space="preserve">Based on the above classifications, it appears that Class 2 vehicles are classified as light duty. However, SDG&amp;E’s MD/HD EV Charging Infrastructure Program appears to target vehicles of all classes from 2-8. Please explain how SDG&amp;E’s vehicle class categorization differs from the US Department of Energy. If SDG&amp;E’s definition of Class 2 vehicles includes vehicles with a GVWR of 10,000 lbs or below, please explain SDG&amp;E’s rationale for including such vehicles in its MD/HD program. Please provide the vehicle weights and axle numbers </w:t>
      </w:r>
      <w:r>
        <w:rPr>
          <w:sz w:val="24"/>
          <w:szCs w:val="24"/>
        </w:rPr>
        <w:t>by which</w:t>
      </w:r>
      <w:r w:rsidRPr="001C7E22">
        <w:rPr>
          <w:sz w:val="24"/>
          <w:szCs w:val="24"/>
        </w:rPr>
        <w:t xml:space="preserve"> SDG&amp;E defines Class 1, 2, 3, 4, 5, 6, 7, </w:t>
      </w:r>
      <w:r>
        <w:rPr>
          <w:sz w:val="24"/>
          <w:szCs w:val="24"/>
        </w:rPr>
        <w:t xml:space="preserve">and </w:t>
      </w:r>
      <w:r w:rsidRPr="001C7E22">
        <w:rPr>
          <w:sz w:val="24"/>
          <w:szCs w:val="24"/>
        </w:rPr>
        <w:t>8</w:t>
      </w:r>
      <w:r>
        <w:rPr>
          <w:sz w:val="24"/>
          <w:szCs w:val="24"/>
        </w:rPr>
        <w:t xml:space="preserve"> vehicles. </w:t>
      </w:r>
    </w:p>
    <w:p w14:paraId="62538C79" w14:textId="0523F72B" w:rsidR="007C383F" w:rsidRDefault="007C383F" w:rsidP="007C383F">
      <w:pPr>
        <w:tabs>
          <w:tab w:val="left" w:pos="1134"/>
        </w:tabs>
        <w:spacing w:line="280" w:lineRule="atLeast"/>
        <w:rPr>
          <w:sz w:val="24"/>
          <w:szCs w:val="24"/>
        </w:rPr>
      </w:pPr>
    </w:p>
    <w:p w14:paraId="27B65548" w14:textId="77777777" w:rsidR="00D33BAB" w:rsidRPr="00D33BAB" w:rsidRDefault="00D33BAB" w:rsidP="00D33BAB">
      <w:pPr>
        <w:spacing w:after="160" w:line="259" w:lineRule="auto"/>
        <w:contextualSpacing/>
        <w:rPr>
          <w:b/>
          <w:sz w:val="24"/>
          <w:szCs w:val="24"/>
        </w:rPr>
      </w:pPr>
      <w:r>
        <w:rPr>
          <w:b/>
          <w:sz w:val="24"/>
          <w:szCs w:val="24"/>
        </w:rPr>
        <w:t>Response:</w:t>
      </w:r>
    </w:p>
    <w:p w14:paraId="57516D9A" w14:textId="77777777" w:rsidR="00C41DEC" w:rsidRDefault="00C962F7" w:rsidP="007C383F">
      <w:pPr>
        <w:tabs>
          <w:tab w:val="left" w:pos="1134"/>
        </w:tabs>
        <w:spacing w:line="280" w:lineRule="atLeast"/>
        <w:rPr>
          <w:sz w:val="24"/>
          <w:szCs w:val="24"/>
        </w:rPr>
      </w:pPr>
      <w:r>
        <w:rPr>
          <w:sz w:val="24"/>
          <w:szCs w:val="24"/>
        </w:rPr>
        <w:t xml:space="preserve">SDG&amp;E uses the same weight thresholds </w:t>
      </w:r>
      <w:r w:rsidR="00C41DEC">
        <w:rPr>
          <w:sz w:val="24"/>
          <w:szCs w:val="24"/>
        </w:rPr>
        <w:t xml:space="preserve">as the US DOE </w:t>
      </w:r>
      <w:r>
        <w:rPr>
          <w:sz w:val="24"/>
          <w:szCs w:val="24"/>
        </w:rPr>
        <w:t xml:space="preserve">to identify Class 1 – 8.  </w:t>
      </w:r>
    </w:p>
    <w:p w14:paraId="4F6E14EB" w14:textId="77777777" w:rsidR="00C41DEC" w:rsidRDefault="00C41DEC" w:rsidP="007C383F">
      <w:pPr>
        <w:tabs>
          <w:tab w:val="left" w:pos="1134"/>
        </w:tabs>
        <w:spacing w:line="280" w:lineRule="atLeast"/>
        <w:rPr>
          <w:sz w:val="24"/>
          <w:szCs w:val="24"/>
        </w:rPr>
      </w:pPr>
    </w:p>
    <w:p w14:paraId="4FCDDD79" w14:textId="338D6408" w:rsidR="00D33BAB" w:rsidRDefault="00C41DEC" w:rsidP="007C383F">
      <w:pPr>
        <w:tabs>
          <w:tab w:val="left" w:pos="1134"/>
        </w:tabs>
        <w:spacing w:line="280" w:lineRule="atLeast"/>
        <w:rPr>
          <w:sz w:val="24"/>
          <w:szCs w:val="24"/>
        </w:rPr>
      </w:pPr>
      <w:r>
        <w:rPr>
          <w:sz w:val="24"/>
          <w:szCs w:val="24"/>
        </w:rPr>
        <w:t>The application f</w:t>
      </w:r>
      <w:r w:rsidR="00C962F7">
        <w:rPr>
          <w:sz w:val="24"/>
          <w:szCs w:val="24"/>
        </w:rPr>
        <w:t>ocus</w:t>
      </w:r>
      <w:r>
        <w:rPr>
          <w:sz w:val="24"/>
          <w:szCs w:val="24"/>
        </w:rPr>
        <w:t>es</w:t>
      </w:r>
      <w:r w:rsidR="00C962F7">
        <w:rPr>
          <w:sz w:val="24"/>
          <w:szCs w:val="24"/>
        </w:rPr>
        <w:t xml:space="preserve"> o</w:t>
      </w:r>
      <w:r>
        <w:rPr>
          <w:sz w:val="24"/>
          <w:szCs w:val="24"/>
        </w:rPr>
        <w:t>n Class 2 – 8 vehicles as described</w:t>
      </w:r>
      <w:r w:rsidR="00C962F7">
        <w:rPr>
          <w:sz w:val="24"/>
          <w:szCs w:val="24"/>
        </w:rPr>
        <w:t xml:space="preserve"> </w:t>
      </w:r>
      <w:r>
        <w:rPr>
          <w:sz w:val="24"/>
          <w:szCs w:val="24"/>
        </w:rPr>
        <w:t xml:space="preserve">in Chapter 2 </w:t>
      </w:r>
      <w:r w:rsidR="00C962F7">
        <w:rPr>
          <w:sz w:val="24"/>
          <w:szCs w:val="24"/>
        </w:rPr>
        <w:t xml:space="preserve">on </w:t>
      </w:r>
      <w:r>
        <w:rPr>
          <w:sz w:val="24"/>
          <w:szCs w:val="24"/>
        </w:rPr>
        <w:t xml:space="preserve">page </w:t>
      </w:r>
      <w:r w:rsidR="00C962F7">
        <w:rPr>
          <w:sz w:val="24"/>
          <w:szCs w:val="24"/>
        </w:rPr>
        <w:t>HJR-2</w:t>
      </w:r>
      <w:r>
        <w:rPr>
          <w:sz w:val="24"/>
          <w:szCs w:val="24"/>
        </w:rPr>
        <w:t xml:space="preserve">.  However, </w:t>
      </w:r>
      <w:r w:rsidR="00C962F7">
        <w:rPr>
          <w:sz w:val="24"/>
          <w:szCs w:val="24"/>
        </w:rPr>
        <w:t xml:space="preserve">MD/HD </w:t>
      </w:r>
      <w:r>
        <w:rPr>
          <w:sz w:val="24"/>
          <w:szCs w:val="24"/>
        </w:rPr>
        <w:t xml:space="preserve">was used </w:t>
      </w:r>
      <w:r w:rsidR="00AB4F39">
        <w:rPr>
          <w:sz w:val="24"/>
          <w:szCs w:val="24"/>
        </w:rPr>
        <w:t>generally to describe</w:t>
      </w:r>
      <w:r w:rsidR="00C962F7">
        <w:rPr>
          <w:sz w:val="24"/>
          <w:szCs w:val="24"/>
        </w:rPr>
        <w:t xml:space="preserve"> these vehicle classes.  The intent is to support vehicles that are not generally driven by residential passenger vehicles</w:t>
      </w:r>
      <w:r>
        <w:rPr>
          <w:sz w:val="24"/>
          <w:szCs w:val="24"/>
        </w:rPr>
        <w:t xml:space="preserve"> such as Class 2 through Class 8 vehicles used to support a wide range of commercial and fleet purposes</w:t>
      </w:r>
      <w:r w:rsidR="00C962F7">
        <w:rPr>
          <w:sz w:val="24"/>
          <w:szCs w:val="24"/>
        </w:rPr>
        <w:t>.</w:t>
      </w:r>
      <w:r w:rsidR="002841E3">
        <w:rPr>
          <w:sz w:val="24"/>
          <w:szCs w:val="24"/>
        </w:rPr>
        <w:t xml:space="preserve">  For example, a light truck used by landscapers or maintenance vehicles can be Class 2.  SDG&amp;E’s MD/HD program would support those commercial applications by Class 2 vehicles.</w:t>
      </w:r>
      <w:r w:rsidR="00C962F7">
        <w:rPr>
          <w:sz w:val="24"/>
          <w:szCs w:val="24"/>
        </w:rPr>
        <w:t xml:space="preserve">  SDG&amp;E used a definition that allows for broader participation by customers thus resulting in greater greenhouse gas reduction</w:t>
      </w:r>
      <w:r w:rsidR="00AB4F39">
        <w:rPr>
          <w:sz w:val="24"/>
          <w:szCs w:val="24"/>
        </w:rPr>
        <w:t xml:space="preserve"> and reduction in tailpipe emissions.</w:t>
      </w:r>
    </w:p>
    <w:p w14:paraId="780B74B8" w14:textId="77777777" w:rsidR="00C962F7" w:rsidRDefault="00C962F7" w:rsidP="007C383F">
      <w:pPr>
        <w:tabs>
          <w:tab w:val="left" w:pos="1134"/>
        </w:tabs>
        <w:spacing w:line="280" w:lineRule="atLeast"/>
        <w:rPr>
          <w:sz w:val="24"/>
          <w:szCs w:val="24"/>
        </w:rPr>
      </w:pPr>
    </w:p>
    <w:p w14:paraId="366EFC98" w14:textId="472065DC" w:rsidR="00C962F7" w:rsidRDefault="00C962F7" w:rsidP="007C383F">
      <w:pPr>
        <w:tabs>
          <w:tab w:val="left" w:pos="1134"/>
        </w:tabs>
        <w:spacing w:line="280" w:lineRule="atLeast"/>
        <w:rPr>
          <w:sz w:val="24"/>
          <w:szCs w:val="24"/>
        </w:rPr>
      </w:pPr>
    </w:p>
    <w:p w14:paraId="40F07CC4" w14:textId="64EF4EDB" w:rsidR="00C962F7" w:rsidRDefault="00C962F7" w:rsidP="007C383F">
      <w:pPr>
        <w:tabs>
          <w:tab w:val="left" w:pos="1134"/>
        </w:tabs>
        <w:spacing w:line="280" w:lineRule="atLeast"/>
        <w:rPr>
          <w:sz w:val="24"/>
          <w:szCs w:val="24"/>
        </w:rPr>
      </w:pPr>
    </w:p>
    <w:p w14:paraId="4BB117BA" w14:textId="77777777" w:rsidR="00C962F7" w:rsidRDefault="00C962F7" w:rsidP="007C383F">
      <w:pPr>
        <w:tabs>
          <w:tab w:val="left" w:pos="1134"/>
        </w:tabs>
        <w:spacing w:line="280" w:lineRule="atLeast"/>
        <w:rPr>
          <w:sz w:val="24"/>
          <w:szCs w:val="24"/>
        </w:rPr>
      </w:pPr>
    </w:p>
    <w:p w14:paraId="3A40F279" w14:textId="77777777" w:rsidR="007C383F" w:rsidRPr="005B69AB" w:rsidRDefault="007C383F" w:rsidP="007C383F">
      <w:pPr>
        <w:pStyle w:val="ListParagraph"/>
        <w:numPr>
          <w:ilvl w:val="0"/>
          <w:numId w:val="1"/>
        </w:numPr>
        <w:tabs>
          <w:tab w:val="left" w:pos="1134"/>
        </w:tabs>
        <w:spacing w:line="280" w:lineRule="atLeast"/>
        <w:rPr>
          <w:sz w:val="24"/>
          <w:szCs w:val="24"/>
        </w:rPr>
      </w:pPr>
      <w:r>
        <w:rPr>
          <w:sz w:val="24"/>
          <w:szCs w:val="24"/>
        </w:rPr>
        <w:t xml:space="preserve">In SDG&amp;E’s testimony, Ch. 2 </w:t>
      </w:r>
      <w:r>
        <w:rPr>
          <w:rFonts w:ascii="TimesNewRomanPSMT" w:hAnsi="TimesNewRomanPSMT" w:cs="TimesNewRomanPSMT"/>
          <w:sz w:val="24"/>
          <w:szCs w:val="24"/>
        </w:rPr>
        <w:t>HJR – 16, SDG&amp;E states that the program’s load management plans will efficiently integrate new load to the grid and generate “benefits to all ratepayers through grid optimization.” SDG&amp;E further describes its load management plans in its response to Question 7 of ORA-SDG&amp;E-DR-01, suggesting it could include “</w:t>
      </w:r>
      <w:r w:rsidRPr="009129B9">
        <w:rPr>
          <w:sz w:val="24"/>
          <w:szCs w:val="24"/>
        </w:rPr>
        <w:t>price signals through the electric rate selected, automation, physical acts such as unplugging vehicles and other strategies</w:t>
      </w:r>
      <w:r>
        <w:rPr>
          <w:sz w:val="24"/>
          <w:szCs w:val="24"/>
        </w:rPr>
        <w:t>.”</w:t>
      </w:r>
    </w:p>
    <w:p w14:paraId="68A2D0BD" w14:textId="77777777" w:rsidR="007C383F" w:rsidRPr="00B27E7C" w:rsidRDefault="007C383F" w:rsidP="007C383F">
      <w:pPr>
        <w:pStyle w:val="ListParagraph"/>
        <w:numPr>
          <w:ilvl w:val="1"/>
          <w:numId w:val="1"/>
        </w:numPr>
        <w:tabs>
          <w:tab w:val="left" w:pos="1134"/>
        </w:tabs>
        <w:spacing w:line="280" w:lineRule="atLeast"/>
        <w:rPr>
          <w:sz w:val="24"/>
          <w:szCs w:val="24"/>
        </w:rPr>
      </w:pPr>
      <w:r>
        <w:rPr>
          <w:rFonts w:ascii="TimesNewRomanPSMT" w:hAnsi="TimesNewRomanPSMT" w:cs="TimesNewRomanPSMT"/>
          <w:sz w:val="24"/>
          <w:szCs w:val="24"/>
        </w:rPr>
        <w:t>What electric rates is SDG&amp;E including or considering for customers of this program?</w:t>
      </w:r>
    </w:p>
    <w:p w14:paraId="492ED91F" w14:textId="77777777" w:rsidR="007C383F" w:rsidRPr="00180435" w:rsidRDefault="007C383F" w:rsidP="007C383F">
      <w:pPr>
        <w:pStyle w:val="ListParagraph"/>
        <w:numPr>
          <w:ilvl w:val="1"/>
          <w:numId w:val="1"/>
        </w:numPr>
        <w:tabs>
          <w:tab w:val="left" w:pos="1134"/>
        </w:tabs>
        <w:spacing w:line="280" w:lineRule="atLeast"/>
        <w:rPr>
          <w:sz w:val="24"/>
          <w:szCs w:val="24"/>
        </w:rPr>
      </w:pPr>
      <w:r>
        <w:rPr>
          <w:rFonts w:ascii="TimesNewRomanPSMT" w:hAnsi="TimesNewRomanPSMT" w:cs="TimesNewRomanPSMT"/>
          <w:sz w:val="24"/>
          <w:szCs w:val="24"/>
        </w:rPr>
        <w:t xml:space="preserve">How will SDG&amp;E leverage the networked capability of the EVSEs? </w:t>
      </w:r>
    </w:p>
    <w:p w14:paraId="254C5AC5" w14:textId="77777777" w:rsidR="007C383F" w:rsidRDefault="007C383F" w:rsidP="007C383F">
      <w:pPr>
        <w:pStyle w:val="ListParagraph"/>
        <w:numPr>
          <w:ilvl w:val="1"/>
          <w:numId w:val="1"/>
        </w:numPr>
        <w:tabs>
          <w:tab w:val="left" w:pos="1134"/>
        </w:tabs>
        <w:spacing w:line="280" w:lineRule="atLeast"/>
        <w:rPr>
          <w:sz w:val="24"/>
          <w:szCs w:val="24"/>
        </w:rPr>
      </w:pPr>
      <w:r>
        <w:rPr>
          <w:sz w:val="24"/>
          <w:szCs w:val="24"/>
        </w:rPr>
        <w:t xml:space="preserve">In SDG&amp;E’s testimony, Ch. 2 </w:t>
      </w:r>
      <w:r>
        <w:rPr>
          <w:rFonts w:ascii="TimesNewRomanPSMT" w:hAnsi="TimesNewRomanPSMT" w:cs="TimesNewRomanPSMT"/>
          <w:sz w:val="24"/>
          <w:szCs w:val="24"/>
        </w:rPr>
        <w:t>HJR – 20, SDG&amp;E</w:t>
      </w:r>
      <w:r>
        <w:rPr>
          <w:sz w:val="24"/>
          <w:szCs w:val="24"/>
        </w:rPr>
        <w:t xml:space="preserve"> includes $15 million for transformer upgrades. W</w:t>
      </w:r>
      <w:r w:rsidRPr="003D03F3">
        <w:rPr>
          <w:sz w:val="24"/>
          <w:szCs w:val="24"/>
        </w:rPr>
        <w:t xml:space="preserve">hat upgrades are eliminated by </w:t>
      </w:r>
      <w:r>
        <w:rPr>
          <w:sz w:val="24"/>
          <w:szCs w:val="24"/>
        </w:rPr>
        <w:t xml:space="preserve">grid optimization </w:t>
      </w:r>
      <w:r w:rsidRPr="003D03F3">
        <w:rPr>
          <w:sz w:val="24"/>
          <w:szCs w:val="24"/>
        </w:rPr>
        <w:t xml:space="preserve">and how does this compare to the </w:t>
      </w:r>
      <w:r>
        <w:rPr>
          <w:sz w:val="24"/>
          <w:szCs w:val="24"/>
        </w:rPr>
        <w:t xml:space="preserve">$15 million in </w:t>
      </w:r>
      <w:r w:rsidRPr="003D03F3">
        <w:rPr>
          <w:sz w:val="24"/>
          <w:szCs w:val="24"/>
        </w:rPr>
        <w:t>additional infrastructure needed to support the EVs?</w:t>
      </w:r>
    </w:p>
    <w:p w14:paraId="7D430F9B" w14:textId="18F27B55" w:rsidR="007C383F" w:rsidRDefault="007C383F" w:rsidP="007C383F">
      <w:pPr>
        <w:pStyle w:val="ListParagraph"/>
        <w:tabs>
          <w:tab w:val="left" w:pos="1134"/>
        </w:tabs>
        <w:spacing w:line="280" w:lineRule="atLeast"/>
        <w:ind w:left="1440"/>
        <w:rPr>
          <w:sz w:val="24"/>
          <w:szCs w:val="24"/>
        </w:rPr>
      </w:pPr>
    </w:p>
    <w:p w14:paraId="1C34E032" w14:textId="6A899D6B" w:rsidR="00D33BAB" w:rsidRDefault="00D33BAB" w:rsidP="00D33BAB">
      <w:pPr>
        <w:spacing w:after="160" w:line="259" w:lineRule="auto"/>
        <w:contextualSpacing/>
        <w:rPr>
          <w:b/>
          <w:sz w:val="24"/>
          <w:szCs w:val="24"/>
        </w:rPr>
      </w:pPr>
      <w:r>
        <w:rPr>
          <w:b/>
          <w:sz w:val="24"/>
          <w:szCs w:val="24"/>
        </w:rPr>
        <w:t>Response:</w:t>
      </w:r>
    </w:p>
    <w:p w14:paraId="3C690556" w14:textId="52436038" w:rsidR="00C962F7" w:rsidRDefault="00C962F7" w:rsidP="00C962F7">
      <w:pPr>
        <w:spacing w:after="160" w:line="259" w:lineRule="auto"/>
        <w:contextualSpacing/>
        <w:rPr>
          <w:sz w:val="24"/>
          <w:szCs w:val="24"/>
        </w:rPr>
      </w:pPr>
      <w:r w:rsidRPr="00C962F7">
        <w:rPr>
          <w:sz w:val="24"/>
          <w:szCs w:val="24"/>
        </w:rPr>
        <w:lastRenderedPageBreak/>
        <w:t>a.</w:t>
      </w:r>
      <w:r>
        <w:rPr>
          <w:sz w:val="24"/>
          <w:szCs w:val="24"/>
        </w:rPr>
        <w:t xml:space="preserve">  At this time, customers will </w:t>
      </w:r>
      <w:r w:rsidR="00AB4F39">
        <w:rPr>
          <w:sz w:val="24"/>
          <w:szCs w:val="24"/>
        </w:rPr>
        <w:t>participate using</w:t>
      </w:r>
      <w:r>
        <w:rPr>
          <w:sz w:val="24"/>
          <w:szCs w:val="24"/>
        </w:rPr>
        <w:t xml:space="preserve"> SDG&amp;E’s </w:t>
      </w:r>
      <w:r w:rsidR="00AB4F39">
        <w:rPr>
          <w:sz w:val="24"/>
          <w:szCs w:val="24"/>
        </w:rPr>
        <w:t xml:space="preserve">existing </w:t>
      </w:r>
      <w:r>
        <w:rPr>
          <w:sz w:val="24"/>
          <w:szCs w:val="24"/>
        </w:rPr>
        <w:t>tariffed rates.  This includes rates such as AL-TOU and AL-TOU2.</w:t>
      </w:r>
      <w:r w:rsidR="002242A9">
        <w:rPr>
          <w:sz w:val="24"/>
          <w:szCs w:val="24"/>
        </w:rPr>
        <w:t xml:space="preserve">  SDG&amp;E participated in the CPUC’s June 7 and 8, 2018 ZEV Rate Design Forum</w:t>
      </w:r>
      <w:r w:rsidR="00AB4F39">
        <w:rPr>
          <w:sz w:val="24"/>
          <w:szCs w:val="24"/>
        </w:rPr>
        <w:t xml:space="preserve"> where various ideas were presented regarding rate design suitable for MD/HD electrification</w:t>
      </w:r>
      <w:r w:rsidR="002242A9">
        <w:rPr>
          <w:sz w:val="24"/>
          <w:szCs w:val="24"/>
        </w:rPr>
        <w:t>.  In addition,</w:t>
      </w:r>
      <w:r>
        <w:rPr>
          <w:sz w:val="24"/>
          <w:szCs w:val="24"/>
        </w:rPr>
        <w:t xml:space="preserve"> SDG&amp;E is examining additional rate options for commercial EV operators and intends to hold a workshop to garner stakeholder input.  </w:t>
      </w:r>
    </w:p>
    <w:p w14:paraId="4769F214" w14:textId="10802536" w:rsidR="00C962F7" w:rsidRDefault="00C962F7" w:rsidP="00C962F7">
      <w:pPr>
        <w:spacing w:after="160" w:line="259" w:lineRule="auto"/>
        <w:contextualSpacing/>
        <w:rPr>
          <w:sz w:val="24"/>
          <w:szCs w:val="24"/>
        </w:rPr>
      </w:pPr>
      <w:r>
        <w:rPr>
          <w:sz w:val="24"/>
          <w:szCs w:val="24"/>
        </w:rPr>
        <w:t>b.  Networked capability will allow for communication, managed charging and the ability</w:t>
      </w:r>
      <w:r w:rsidR="00EF648A">
        <w:rPr>
          <w:sz w:val="24"/>
          <w:szCs w:val="24"/>
        </w:rPr>
        <w:t xml:space="preserve"> to</w:t>
      </w:r>
      <w:r>
        <w:rPr>
          <w:sz w:val="24"/>
          <w:szCs w:val="24"/>
        </w:rPr>
        <w:t xml:space="preserve"> s</w:t>
      </w:r>
      <w:r w:rsidR="00EF648A">
        <w:rPr>
          <w:sz w:val="24"/>
          <w:szCs w:val="24"/>
        </w:rPr>
        <w:t>end new rate signals to the customer</w:t>
      </w:r>
      <w:r>
        <w:rPr>
          <w:sz w:val="24"/>
          <w:szCs w:val="24"/>
        </w:rPr>
        <w:t xml:space="preserve">.  As the market continues to evolve new functionality is expected to be </w:t>
      </w:r>
      <w:r w:rsidR="00EF648A">
        <w:rPr>
          <w:sz w:val="24"/>
          <w:szCs w:val="24"/>
        </w:rPr>
        <w:t>available.  A networked EVSE will allow for the customer to tap into more of th</w:t>
      </w:r>
      <w:r w:rsidR="002242A9">
        <w:rPr>
          <w:sz w:val="24"/>
          <w:szCs w:val="24"/>
        </w:rPr>
        <w:t>e</w:t>
      </w:r>
      <w:r w:rsidR="00EF648A">
        <w:rPr>
          <w:sz w:val="24"/>
          <w:szCs w:val="24"/>
        </w:rPr>
        <w:t xml:space="preserve">se innovations.  </w:t>
      </w:r>
    </w:p>
    <w:p w14:paraId="0A703193" w14:textId="7DCF31F6" w:rsidR="00746BFF" w:rsidRDefault="00C962F7" w:rsidP="00C962F7">
      <w:pPr>
        <w:spacing w:after="160" w:line="259" w:lineRule="auto"/>
        <w:contextualSpacing/>
        <w:rPr>
          <w:sz w:val="24"/>
          <w:szCs w:val="24"/>
        </w:rPr>
      </w:pPr>
      <w:r>
        <w:rPr>
          <w:sz w:val="24"/>
          <w:szCs w:val="24"/>
        </w:rPr>
        <w:t xml:space="preserve">c.  </w:t>
      </w:r>
      <w:r w:rsidR="002242A9" w:rsidRPr="002242A9">
        <w:rPr>
          <w:sz w:val="24"/>
          <w:szCs w:val="24"/>
        </w:rPr>
        <w:t xml:space="preserve">The $15M budget </w:t>
      </w:r>
      <w:r w:rsidR="005467E0">
        <w:rPr>
          <w:sz w:val="24"/>
          <w:szCs w:val="24"/>
        </w:rPr>
        <w:t>will cover new transformers to feed the</w:t>
      </w:r>
      <w:r w:rsidR="002242A9" w:rsidRPr="002242A9">
        <w:rPr>
          <w:sz w:val="24"/>
          <w:szCs w:val="24"/>
        </w:rPr>
        <w:t xml:space="preserve"> new charg</w:t>
      </w:r>
      <w:r w:rsidR="005467E0">
        <w:rPr>
          <w:sz w:val="24"/>
          <w:szCs w:val="24"/>
        </w:rPr>
        <w:t>ing stations</w:t>
      </w:r>
      <w:r w:rsidR="002242A9" w:rsidRPr="002242A9">
        <w:rPr>
          <w:sz w:val="24"/>
          <w:szCs w:val="24"/>
        </w:rPr>
        <w:t>.  The type of grid upgrades that could be reduced by managed charging and grid optimization are related to the upstream distribution circuit and substati</w:t>
      </w:r>
      <w:r w:rsidR="00746BFF">
        <w:rPr>
          <w:sz w:val="24"/>
          <w:szCs w:val="24"/>
        </w:rPr>
        <w:t>on that feeds the transformers and</w:t>
      </w:r>
      <w:r w:rsidR="002242A9" w:rsidRPr="002242A9">
        <w:rPr>
          <w:sz w:val="24"/>
          <w:szCs w:val="24"/>
        </w:rPr>
        <w:t xml:space="preserve"> charging stations.  </w:t>
      </w:r>
    </w:p>
    <w:p w14:paraId="353282D3" w14:textId="77777777" w:rsidR="00746BFF" w:rsidRDefault="00746BFF" w:rsidP="00C962F7">
      <w:pPr>
        <w:spacing w:after="160" w:line="259" w:lineRule="auto"/>
        <w:contextualSpacing/>
        <w:rPr>
          <w:sz w:val="24"/>
          <w:szCs w:val="24"/>
        </w:rPr>
      </w:pPr>
    </w:p>
    <w:p w14:paraId="5C202E8D" w14:textId="1676A474" w:rsidR="00C962F7" w:rsidRDefault="00C962F7" w:rsidP="00C962F7">
      <w:pPr>
        <w:spacing w:after="160" w:line="259" w:lineRule="auto"/>
        <w:contextualSpacing/>
        <w:rPr>
          <w:sz w:val="24"/>
          <w:szCs w:val="24"/>
        </w:rPr>
      </w:pPr>
      <w:r>
        <w:rPr>
          <w:sz w:val="24"/>
          <w:szCs w:val="24"/>
        </w:rPr>
        <w:t>Different customers with different vehicle operation needs will have varying abilities to help optimize the grid.</w:t>
      </w:r>
      <w:r w:rsidR="00EF648A">
        <w:rPr>
          <w:sz w:val="24"/>
          <w:szCs w:val="24"/>
        </w:rPr>
        <w:t xml:space="preserve">  Rate </w:t>
      </w:r>
      <w:r>
        <w:rPr>
          <w:sz w:val="24"/>
          <w:szCs w:val="24"/>
        </w:rPr>
        <w:t xml:space="preserve">signals and </w:t>
      </w:r>
      <w:r w:rsidR="00746BFF">
        <w:rPr>
          <w:sz w:val="24"/>
          <w:szCs w:val="24"/>
        </w:rPr>
        <w:t>managed charging can</w:t>
      </w:r>
      <w:r w:rsidR="00A17567">
        <w:rPr>
          <w:sz w:val="24"/>
          <w:szCs w:val="24"/>
        </w:rPr>
        <w:t xml:space="preserve"> give</w:t>
      </w:r>
      <w:r w:rsidR="00EF648A">
        <w:rPr>
          <w:sz w:val="24"/>
          <w:szCs w:val="24"/>
        </w:rPr>
        <w:t xml:space="preserve"> customers the ability </w:t>
      </w:r>
      <w:r>
        <w:rPr>
          <w:sz w:val="24"/>
          <w:szCs w:val="24"/>
        </w:rPr>
        <w:t>to charge at times that are less impactful to the grid</w:t>
      </w:r>
      <w:r w:rsidR="00A17567">
        <w:rPr>
          <w:sz w:val="24"/>
          <w:szCs w:val="24"/>
        </w:rPr>
        <w:t xml:space="preserve"> and cheaper for the customer</w:t>
      </w:r>
      <w:r>
        <w:rPr>
          <w:sz w:val="24"/>
          <w:szCs w:val="24"/>
        </w:rPr>
        <w:t xml:space="preserve">.  This </w:t>
      </w:r>
      <w:r w:rsidR="00A17567">
        <w:rPr>
          <w:sz w:val="24"/>
          <w:szCs w:val="24"/>
        </w:rPr>
        <w:t xml:space="preserve">type of </w:t>
      </w:r>
      <w:r>
        <w:rPr>
          <w:sz w:val="24"/>
          <w:szCs w:val="24"/>
        </w:rPr>
        <w:t>optimization will re</w:t>
      </w:r>
      <w:r w:rsidR="00746BFF">
        <w:rPr>
          <w:sz w:val="24"/>
          <w:szCs w:val="24"/>
        </w:rPr>
        <w:t>duce the need for as many</w:t>
      </w:r>
      <w:r>
        <w:rPr>
          <w:sz w:val="24"/>
          <w:szCs w:val="24"/>
        </w:rPr>
        <w:t xml:space="preserve"> upgrades.  However, upgrades will </w:t>
      </w:r>
      <w:r w:rsidR="00A17567">
        <w:rPr>
          <w:sz w:val="24"/>
          <w:szCs w:val="24"/>
        </w:rPr>
        <w:t xml:space="preserve">still </w:t>
      </w:r>
      <w:r>
        <w:rPr>
          <w:sz w:val="24"/>
          <w:szCs w:val="24"/>
        </w:rPr>
        <w:t xml:space="preserve">be needed as </w:t>
      </w:r>
      <w:r w:rsidR="00A17567">
        <w:rPr>
          <w:sz w:val="24"/>
          <w:szCs w:val="24"/>
        </w:rPr>
        <w:t>v</w:t>
      </w:r>
      <w:r>
        <w:rPr>
          <w:sz w:val="24"/>
          <w:szCs w:val="24"/>
        </w:rPr>
        <w:t xml:space="preserve">ehicle fleets transition from gas to electric. </w:t>
      </w:r>
    </w:p>
    <w:p w14:paraId="21605A4D" w14:textId="77777777" w:rsidR="00C962F7" w:rsidRPr="00C962F7" w:rsidRDefault="00C962F7" w:rsidP="00C962F7">
      <w:pPr>
        <w:spacing w:after="160" w:line="259" w:lineRule="auto"/>
        <w:contextualSpacing/>
        <w:rPr>
          <w:sz w:val="24"/>
          <w:szCs w:val="24"/>
        </w:rPr>
      </w:pPr>
    </w:p>
    <w:p w14:paraId="29722CFE" w14:textId="77777777" w:rsidR="00D33BAB" w:rsidRDefault="00D33BAB" w:rsidP="007C383F">
      <w:pPr>
        <w:pStyle w:val="ListParagraph"/>
        <w:tabs>
          <w:tab w:val="left" w:pos="1134"/>
        </w:tabs>
        <w:spacing w:line="280" w:lineRule="atLeast"/>
        <w:ind w:left="1440"/>
        <w:rPr>
          <w:sz w:val="24"/>
          <w:szCs w:val="24"/>
        </w:rPr>
      </w:pPr>
    </w:p>
    <w:p w14:paraId="10BA978F" w14:textId="77777777" w:rsidR="007C383F" w:rsidRPr="00E32237" w:rsidRDefault="007C383F" w:rsidP="007C383F">
      <w:pPr>
        <w:pStyle w:val="ListParagraph"/>
        <w:numPr>
          <w:ilvl w:val="0"/>
          <w:numId w:val="1"/>
        </w:numPr>
        <w:tabs>
          <w:tab w:val="left" w:pos="1134"/>
        </w:tabs>
        <w:spacing w:line="280" w:lineRule="atLeast"/>
        <w:rPr>
          <w:sz w:val="24"/>
          <w:szCs w:val="24"/>
        </w:rPr>
      </w:pPr>
      <w:r w:rsidRPr="00E32237">
        <w:rPr>
          <w:sz w:val="24"/>
          <w:szCs w:val="24"/>
        </w:rPr>
        <w:t xml:space="preserve">In SDG&amp;E’s Testimony, Ch. 3 DMG-5, SDG&amp;E states the V2G Pilot will use both an alternating current (“AC”) to direct current (“DC”) on-board converter to charge the buses as well as a DC to AC off-board inverter to discharge the buses to the grid. </w:t>
      </w:r>
    </w:p>
    <w:p w14:paraId="6155124D" w14:textId="77777777" w:rsidR="007C383F" w:rsidRDefault="007C383F" w:rsidP="007C383F">
      <w:pPr>
        <w:pStyle w:val="ListParagraph"/>
        <w:numPr>
          <w:ilvl w:val="1"/>
          <w:numId w:val="3"/>
        </w:numPr>
        <w:tabs>
          <w:tab w:val="left" w:pos="1134"/>
        </w:tabs>
        <w:spacing w:line="280" w:lineRule="atLeast"/>
        <w:rPr>
          <w:sz w:val="24"/>
          <w:szCs w:val="24"/>
        </w:rPr>
      </w:pPr>
      <w:r>
        <w:rPr>
          <w:sz w:val="24"/>
          <w:szCs w:val="24"/>
        </w:rPr>
        <w:t xml:space="preserve">List and describe the interconnection process (ie Rule 21) for how these resources will be studied and interconnected into SDG&amp;E’s distribution grid. </w:t>
      </w:r>
    </w:p>
    <w:p w14:paraId="17AC0D82" w14:textId="77777777" w:rsidR="007C383F" w:rsidRDefault="007C383F" w:rsidP="007C383F">
      <w:pPr>
        <w:pStyle w:val="ListParagraph"/>
        <w:numPr>
          <w:ilvl w:val="1"/>
          <w:numId w:val="3"/>
        </w:numPr>
        <w:tabs>
          <w:tab w:val="left" w:pos="1134"/>
        </w:tabs>
        <w:spacing w:line="280" w:lineRule="atLeast"/>
        <w:rPr>
          <w:sz w:val="24"/>
          <w:szCs w:val="24"/>
        </w:rPr>
      </w:pPr>
      <w:r>
        <w:rPr>
          <w:sz w:val="24"/>
          <w:szCs w:val="24"/>
        </w:rPr>
        <w:t xml:space="preserve">How does this hardware configuration work to solve interconnection issues for future V2G projects? </w:t>
      </w:r>
    </w:p>
    <w:p w14:paraId="3E8EFF88" w14:textId="3389A26D" w:rsidR="007C383F" w:rsidRDefault="007C383F" w:rsidP="007C383F">
      <w:pPr>
        <w:pStyle w:val="ListParagraph"/>
        <w:tabs>
          <w:tab w:val="left" w:pos="1134"/>
        </w:tabs>
        <w:spacing w:line="280" w:lineRule="atLeast"/>
        <w:ind w:left="1440"/>
        <w:rPr>
          <w:sz w:val="24"/>
          <w:szCs w:val="24"/>
        </w:rPr>
      </w:pPr>
    </w:p>
    <w:p w14:paraId="3856A226" w14:textId="7DF7086F" w:rsidR="00D33BAB" w:rsidRDefault="00D33BAB" w:rsidP="00D33BAB">
      <w:pPr>
        <w:spacing w:after="160" w:line="259" w:lineRule="auto"/>
        <w:contextualSpacing/>
        <w:rPr>
          <w:b/>
          <w:sz w:val="24"/>
          <w:szCs w:val="24"/>
        </w:rPr>
      </w:pPr>
      <w:r>
        <w:rPr>
          <w:b/>
          <w:sz w:val="24"/>
          <w:szCs w:val="24"/>
        </w:rPr>
        <w:t>Response:</w:t>
      </w:r>
    </w:p>
    <w:p w14:paraId="090B947F" w14:textId="6AFE4652" w:rsidR="00D32177" w:rsidRDefault="003D477A" w:rsidP="00D32177">
      <w:pPr>
        <w:spacing w:after="160" w:line="259" w:lineRule="auto"/>
        <w:contextualSpacing/>
        <w:rPr>
          <w:sz w:val="24"/>
          <w:szCs w:val="24"/>
        </w:rPr>
      </w:pPr>
      <w:r w:rsidRPr="003D477A">
        <w:rPr>
          <w:sz w:val="24"/>
          <w:szCs w:val="24"/>
        </w:rPr>
        <w:t xml:space="preserve">a.  </w:t>
      </w:r>
      <w:r>
        <w:rPr>
          <w:sz w:val="24"/>
          <w:szCs w:val="24"/>
        </w:rPr>
        <w:t xml:space="preserve">These resources will be interconnected consistent with SDG&amp;E’s Rule 21, found here:  </w:t>
      </w:r>
      <w:hyperlink r:id="rId11" w:history="1">
        <w:r w:rsidRPr="0093518F">
          <w:rPr>
            <w:rStyle w:val="Hyperlink"/>
            <w:sz w:val="24"/>
            <w:szCs w:val="24"/>
          </w:rPr>
          <w:t>http://regarchive.sdge.com/tm2/pdf/ELEC_ELEC-RULES_ERULE21.pdf</w:t>
        </w:r>
      </w:hyperlink>
      <w:r>
        <w:rPr>
          <w:sz w:val="24"/>
          <w:szCs w:val="24"/>
        </w:rPr>
        <w:t xml:space="preserve">.  SDG&amp;E’s current application is not proposing modifications to Rule 21.    </w:t>
      </w:r>
    </w:p>
    <w:p w14:paraId="7EDC884C" w14:textId="608FAF76" w:rsidR="00D32177" w:rsidRDefault="003D477A" w:rsidP="00D32177">
      <w:pPr>
        <w:spacing w:after="160" w:line="259" w:lineRule="auto"/>
        <w:contextualSpacing/>
        <w:rPr>
          <w:sz w:val="24"/>
          <w:szCs w:val="24"/>
        </w:rPr>
      </w:pPr>
      <w:r>
        <w:rPr>
          <w:sz w:val="24"/>
          <w:szCs w:val="24"/>
        </w:rPr>
        <w:t xml:space="preserve">b.  </w:t>
      </w:r>
      <w:r w:rsidR="00161C70">
        <w:rPr>
          <w:sz w:val="24"/>
          <w:szCs w:val="24"/>
        </w:rPr>
        <w:t>The proposed hardware configuration is intended to conform with Rule 21</w:t>
      </w:r>
      <w:r w:rsidR="00560A4D">
        <w:rPr>
          <w:sz w:val="24"/>
          <w:szCs w:val="24"/>
        </w:rPr>
        <w:t>.  If</w:t>
      </w:r>
      <w:r w:rsidR="00161C70">
        <w:rPr>
          <w:sz w:val="24"/>
          <w:szCs w:val="24"/>
        </w:rPr>
        <w:t xml:space="preserve"> the charging station has an approved inverter under UL certification as opposed to SAE certification it may help streamline future V2G projects.  The pilot will help test and pilot configurations and functionality.  </w:t>
      </w:r>
    </w:p>
    <w:p w14:paraId="4CD6EB62" w14:textId="6C10FB9F" w:rsidR="00EF136F" w:rsidRDefault="00EF136F" w:rsidP="00D32177">
      <w:pPr>
        <w:spacing w:after="160" w:line="259" w:lineRule="auto"/>
        <w:contextualSpacing/>
        <w:rPr>
          <w:sz w:val="24"/>
          <w:szCs w:val="24"/>
        </w:rPr>
      </w:pPr>
    </w:p>
    <w:p w14:paraId="6291E79D" w14:textId="126F5EC2" w:rsidR="00EF136F" w:rsidRDefault="00EF136F" w:rsidP="00D32177">
      <w:pPr>
        <w:spacing w:after="160" w:line="259" w:lineRule="auto"/>
        <w:contextualSpacing/>
        <w:rPr>
          <w:sz w:val="24"/>
          <w:szCs w:val="24"/>
        </w:rPr>
      </w:pPr>
    </w:p>
    <w:p w14:paraId="55930175" w14:textId="77777777" w:rsidR="00EF136F" w:rsidRPr="00D32177" w:rsidRDefault="00EF136F" w:rsidP="00D32177">
      <w:pPr>
        <w:spacing w:after="160" w:line="259" w:lineRule="auto"/>
        <w:contextualSpacing/>
        <w:rPr>
          <w:sz w:val="24"/>
          <w:szCs w:val="24"/>
        </w:rPr>
      </w:pPr>
    </w:p>
    <w:p w14:paraId="4228F548" w14:textId="77777777" w:rsidR="00D33BAB" w:rsidRDefault="00D33BAB" w:rsidP="007C383F">
      <w:pPr>
        <w:pStyle w:val="ListParagraph"/>
        <w:tabs>
          <w:tab w:val="left" w:pos="1134"/>
        </w:tabs>
        <w:spacing w:line="280" w:lineRule="atLeast"/>
        <w:ind w:left="1440"/>
        <w:rPr>
          <w:sz w:val="24"/>
          <w:szCs w:val="24"/>
        </w:rPr>
      </w:pPr>
    </w:p>
    <w:p w14:paraId="0EEDCCF1" w14:textId="77777777" w:rsidR="007C383F" w:rsidRPr="00E32237" w:rsidRDefault="007C383F" w:rsidP="007C383F">
      <w:pPr>
        <w:pStyle w:val="ListParagraph"/>
        <w:numPr>
          <w:ilvl w:val="0"/>
          <w:numId w:val="1"/>
        </w:numPr>
        <w:tabs>
          <w:tab w:val="left" w:pos="1134"/>
        </w:tabs>
        <w:spacing w:line="280" w:lineRule="atLeast"/>
        <w:rPr>
          <w:sz w:val="24"/>
          <w:szCs w:val="24"/>
        </w:rPr>
      </w:pPr>
      <w:bookmarkStart w:id="0" w:name="_Hlk515894010"/>
      <w:bookmarkStart w:id="1" w:name="_Hlk515619419"/>
      <w:r w:rsidRPr="00E32237">
        <w:rPr>
          <w:sz w:val="24"/>
          <w:szCs w:val="24"/>
        </w:rPr>
        <w:t>In SDG&amp;E’s Testimony, Ch. 3 DMG-9, SDG&amp;E describes a request for information (RFI) and request for proposal (RFP) process for its V2G Pilot. SDG&amp;E selected FP GreenFleet’s pilot concept, revealing "FP GreenFleet’s pilot concept was well thought out and is scalable from a technology and standardization perspective.”</w:t>
      </w:r>
    </w:p>
    <w:p w14:paraId="53DBE66F" w14:textId="77777777" w:rsidR="007C383F" w:rsidRDefault="007C383F" w:rsidP="007C383F">
      <w:pPr>
        <w:pStyle w:val="ListParagraph"/>
        <w:numPr>
          <w:ilvl w:val="1"/>
          <w:numId w:val="1"/>
        </w:numPr>
        <w:tabs>
          <w:tab w:val="left" w:pos="1134"/>
        </w:tabs>
        <w:spacing w:line="280" w:lineRule="atLeast"/>
        <w:rPr>
          <w:sz w:val="24"/>
          <w:szCs w:val="24"/>
        </w:rPr>
      </w:pPr>
      <w:r>
        <w:rPr>
          <w:sz w:val="24"/>
          <w:szCs w:val="24"/>
        </w:rPr>
        <w:t>What was the rationale for conducting an RFP before the application was submitted?</w:t>
      </w:r>
    </w:p>
    <w:p w14:paraId="36240299" w14:textId="77777777" w:rsidR="007C383F" w:rsidRDefault="007C383F" w:rsidP="007C383F">
      <w:pPr>
        <w:pStyle w:val="ListParagraph"/>
        <w:numPr>
          <w:ilvl w:val="1"/>
          <w:numId w:val="1"/>
        </w:numPr>
        <w:tabs>
          <w:tab w:val="left" w:pos="1134"/>
        </w:tabs>
        <w:spacing w:line="280" w:lineRule="atLeast"/>
        <w:rPr>
          <w:sz w:val="24"/>
          <w:szCs w:val="24"/>
        </w:rPr>
      </w:pPr>
      <w:r>
        <w:rPr>
          <w:sz w:val="24"/>
          <w:szCs w:val="24"/>
        </w:rPr>
        <w:t xml:space="preserve">Provide all factors that lead to SDG&amp;E’s decision to select the hardware and software configuration submitted by FP GreenFleet. </w:t>
      </w:r>
    </w:p>
    <w:p w14:paraId="1E846BFE" w14:textId="77777777" w:rsidR="007C383F" w:rsidRDefault="007C383F" w:rsidP="007C383F">
      <w:pPr>
        <w:pStyle w:val="ListParagraph"/>
        <w:numPr>
          <w:ilvl w:val="1"/>
          <w:numId w:val="1"/>
        </w:numPr>
        <w:tabs>
          <w:tab w:val="left" w:pos="1134"/>
        </w:tabs>
        <w:spacing w:line="280" w:lineRule="atLeast"/>
        <w:rPr>
          <w:sz w:val="24"/>
          <w:szCs w:val="24"/>
        </w:rPr>
      </w:pPr>
      <w:r>
        <w:rPr>
          <w:sz w:val="24"/>
          <w:szCs w:val="24"/>
        </w:rPr>
        <w:t>Who will own the intellectual property (IP) of the software engineering modifications to the EV buses?</w:t>
      </w:r>
    </w:p>
    <w:p w14:paraId="592FC2E4" w14:textId="77777777" w:rsidR="007C383F" w:rsidRDefault="007C383F" w:rsidP="007C383F">
      <w:pPr>
        <w:pStyle w:val="ListParagraph"/>
        <w:numPr>
          <w:ilvl w:val="1"/>
          <w:numId w:val="1"/>
        </w:numPr>
        <w:tabs>
          <w:tab w:val="left" w:pos="1134"/>
        </w:tabs>
        <w:spacing w:line="280" w:lineRule="atLeast"/>
        <w:rPr>
          <w:sz w:val="24"/>
          <w:szCs w:val="24"/>
        </w:rPr>
      </w:pPr>
      <w:r>
        <w:rPr>
          <w:sz w:val="24"/>
          <w:szCs w:val="24"/>
        </w:rPr>
        <w:t>Does EV Connect, the chosen bi-directional charger vendor, have a bi-directional charger that is UL-certified?</w:t>
      </w:r>
    </w:p>
    <w:p w14:paraId="185499F2" w14:textId="6E976138" w:rsidR="007C383F" w:rsidRDefault="007C383F" w:rsidP="007C383F">
      <w:pPr>
        <w:pStyle w:val="ListParagraph"/>
        <w:tabs>
          <w:tab w:val="left" w:pos="1134"/>
        </w:tabs>
        <w:spacing w:line="280" w:lineRule="atLeast"/>
        <w:ind w:left="1440"/>
        <w:rPr>
          <w:sz w:val="24"/>
          <w:szCs w:val="24"/>
        </w:rPr>
      </w:pPr>
    </w:p>
    <w:p w14:paraId="159EC4F4" w14:textId="315A6CD2" w:rsidR="00D33BAB" w:rsidRDefault="00D33BAB" w:rsidP="00D33BAB">
      <w:pPr>
        <w:spacing w:after="160" w:line="259" w:lineRule="auto"/>
        <w:contextualSpacing/>
        <w:rPr>
          <w:b/>
          <w:sz w:val="24"/>
          <w:szCs w:val="24"/>
        </w:rPr>
      </w:pPr>
      <w:r>
        <w:rPr>
          <w:b/>
          <w:sz w:val="24"/>
          <w:szCs w:val="24"/>
        </w:rPr>
        <w:t>Response:</w:t>
      </w:r>
    </w:p>
    <w:p w14:paraId="750D8FA0" w14:textId="6AC5B4AB" w:rsidR="00F774B2" w:rsidRDefault="00F774B2" w:rsidP="00F774B2">
      <w:pPr>
        <w:spacing w:after="160" w:line="259" w:lineRule="auto"/>
        <w:contextualSpacing/>
        <w:rPr>
          <w:sz w:val="24"/>
          <w:szCs w:val="24"/>
        </w:rPr>
      </w:pPr>
      <w:bookmarkStart w:id="2" w:name="_Hlk515619476"/>
      <w:r w:rsidRPr="00F774B2">
        <w:rPr>
          <w:sz w:val="24"/>
          <w:szCs w:val="24"/>
        </w:rPr>
        <w:t>a.</w:t>
      </w:r>
      <w:r>
        <w:rPr>
          <w:sz w:val="24"/>
          <w:szCs w:val="24"/>
        </w:rPr>
        <w:t xml:space="preserve">  V2G is relatively new, particularly with regards to MD/HD vehicle</w:t>
      </w:r>
      <w:r w:rsidR="002540EE">
        <w:rPr>
          <w:sz w:val="24"/>
          <w:szCs w:val="24"/>
        </w:rPr>
        <w:t xml:space="preserve">s and school buses.  </w:t>
      </w:r>
      <w:r w:rsidR="00746BFF">
        <w:rPr>
          <w:sz w:val="24"/>
          <w:szCs w:val="24"/>
        </w:rPr>
        <w:t>I</w:t>
      </w:r>
      <w:r w:rsidR="002540EE">
        <w:rPr>
          <w:sz w:val="24"/>
          <w:szCs w:val="24"/>
        </w:rPr>
        <w:t xml:space="preserve">t was </w:t>
      </w:r>
      <w:r>
        <w:rPr>
          <w:sz w:val="24"/>
          <w:szCs w:val="24"/>
        </w:rPr>
        <w:t xml:space="preserve">prudent to conduct an RFP to evaluate </w:t>
      </w:r>
      <w:r w:rsidR="00746BFF">
        <w:rPr>
          <w:sz w:val="24"/>
          <w:szCs w:val="24"/>
        </w:rPr>
        <w:t xml:space="preserve">the </w:t>
      </w:r>
      <w:r>
        <w:rPr>
          <w:sz w:val="24"/>
          <w:szCs w:val="24"/>
        </w:rPr>
        <w:t xml:space="preserve">solutions </w:t>
      </w:r>
      <w:r w:rsidR="00746BFF">
        <w:rPr>
          <w:sz w:val="24"/>
          <w:szCs w:val="24"/>
        </w:rPr>
        <w:t xml:space="preserve">that </w:t>
      </w:r>
      <w:r>
        <w:rPr>
          <w:sz w:val="24"/>
          <w:szCs w:val="24"/>
        </w:rPr>
        <w:t>market participants were able to provide</w:t>
      </w:r>
      <w:r w:rsidR="002540EE">
        <w:rPr>
          <w:sz w:val="24"/>
          <w:szCs w:val="24"/>
        </w:rPr>
        <w:t xml:space="preserve"> and the cost </w:t>
      </w:r>
      <w:r w:rsidR="00746BFF">
        <w:rPr>
          <w:sz w:val="24"/>
          <w:szCs w:val="24"/>
        </w:rPr>
        <w:t xml:space="preserve">to do so </w:t>
      </w:r>
      <w:r w:rsidR="002540EE">
        <w:rPr>
          <w:sz w:val="24"/>
          <w:szCs w:val="24"/>
        </w:rPr>
        <w:t>prior to making a request to the CPUC</w:t>
      </w:r>
      <w:r>
        <w:rPr>
          <w:sz w:val="24"/>
          <w:szCs w:val="24"/>
        </w:rPr>
        <w:t>.</w:t>
      </w:r>
    </w:p>
    <w:bookmarkEnd w:id="2"/>
    <w:p w14:paraId="6FE0582C" w14:textId="77777777" w:rsidR="0056717F" w:rsidRDefault="0056717F" w:rsidP="002540EE">
      <w:pPr>
        <w:spacing w:after="160" w:line="259" w:lineRule="auto"/>
        <w:contextualSpacing/>
        <w:rPr>
          <w:sz w:val="24"/>
          <w:szCs w:val="24"/>
        </w:rPr>
      </w:pPr>
    </w:p>
    <w:p w14:paraId="6FA91BF6" w14:textId="13450A3A" w:rsidR="0056717F" w:rsidRPr="0056717F" w:rsidRDefault="0056717F" w:rsidP="0056717F">
      <w:pPr>
        <w:spacing w:after="160" w:line="259" w:lineRule="auto"/>
        <w:contextualSpacing/>
        <w:rPr>
          <w:sz w:val="24"/>
          <w:szCs w:val="24"/>
        </w:rPr>
      </w:pPr>
      <w:r w:rsidRPr="0056717F">
        <w:rPr>
          <w:sz w:val="24"/>
          <w:szCs w:val="24"/>
        </w:rPr>
        <w:t>b.</w:t>
      </w:r>
      <w:r>
        <w:rPr>
          <w:sz w:val="24"/>
          <w:szCs w:val="24"/>
        </w:rPr>
        <w:t xml:space="preserve">  </w:t>
      </w:r>
      <w:r w:rsidR="00767554" w:rsidRPr="0056717F">
        <w:rPr>
          <w:sz w:val="24"/>
          <w:szCs w:val="24"/>
        </w:rPr>
        <w:t>An RFP was conducted requesting that interested parties provide a turnkey solution</w:t>
      </w:r>
      <w:r w:rsidR="00746BFF">
        <w:rPr>
          <w:sz w:val="24"/>
          <w:szCs w:val="24"/>
        </w:rPr>
        <w:t xml:space="preserve"> for a V2G</w:t>
      </w:r>
      <w:r w:rsidR="002540EE" w:rsidRPr="0056717F">
        <w:rPr>
          <w:sz w:val="24"/>
          <w:szCs w:val="24"/>
        </w:rPr>
        <w:t xml:space="preserve"> pilot</w:t>
      </w:r>
      <w:r w:rsidR="00746BFF">
        <w:rPr>
          <w:sz w:val="24"/>
          <w:szCs w:val="24"/>
        </w:rPr>
        <w:t>.</w:t>
      </w:r>
      <w:r w:rsidR="00767554" w:rsidRPr="0056717F">
        <w:rPr>
          <w:sz w:val="24"/>
          <w:szCs w:val="24"/>
        </w:rPr>
        <w:t xml:space="preserve">  FP GreenFleet provided a proposal that included the constituent groups</w:t>
      </w:r>
      <w:r w:rsidRPr="0056717F">
        <w:rPr>
          <w:sz w:val="24"/>
          <w:szCs w:val="24"/>
        </w:rPr>
        <w:t xml:space="preserve"> needed</w:t>
      </w:r>
      <w:r w:rsidR="00767554" w:rsidRPr="0056717F">
        <w:rPr>
          <w:sz w:val="24"/>
          <w:szCs w:val="24"/>
        </w:rPr>
        <w:t xml:space="preserve"> to execute the pilot.</w:t>
      </w:r>
      <w:r w:rsidR="002540EE" w:rsidRPr="0056717F">
        <w:rPr>
          <w:sz w:val="24"/>
          <w:szCs w:val="24"/>
        </w:rPr>
        <w:t xml:space="preserve">  FP GreenFleet will be responsible for project management and coordination of the Pilot.  </w:t>
      </w:r>
    </w:p>
    <w:p w14:paraId="407D227C" w14:textId="77777777" w:rsidR="0056717F" w:rsidRPr="0056717F" w:rsidRDefault="0056717F" w:rsidP="0056717F">
      <w:pPr>
        <w:rPr>
          <w:sz w:val="24"/>
          <w:szCs w:val="24"/>
        </w:rPr>
      </w:pPr>
    </w:p>
    <w:p w14:paraId="068EF9E6" w14:textId="3AF0562D" w:rsidR="00B71606" w:rsidRPr="0056717F" w:rsidRDefault="0056717F" w:rsidP="00B71606">
      <w:pPr>
        <w:spacing w:after="160" w:line="259" w:lineRule="auto"/>
        <w:contextualSpacing/>
        <w:rPr>
          <w:sz w:val="24"/>
          <w:szCs w:val="24"/>
        </w:rPr>
      </w:pPr>
      <w:r>
        <w:rPr>
          <w:sz w:val="24"/>
          <w:szCs w:val="24"/>
        </w:rPr>
        <w:t>Both FP Green Fleet</w:t>
      </w:r>
      <w:r w:rsidRPr="0056717F">
        <w:rPr>
          <w:sz w:val="24"/>
          <w:szCs w:val="24"/>
        </w:rPr>
        <w:t xml:space="preserve"> and Kisensum participated in the LA Air Force Base Pilot</w:t>
      </w:r>
      <w:r w:rsidR="00EF136F">
        <w:rPr>
          <w:sz w:val="24"/>
          <w:szCs w:val="24"/>
        </w:rPr>
        <w:t>, an early stage pilot using EVs.  Based on the responses to the RFP,</w:t>
      </w:r>
      <w:r w:rsidRPr="0056717F">
        <w:rPr>
          <w:sz w:val="24"/>
          <w:szCs w:val="24"/>
        </w:rPr>
        <w:t xml:space="preserve"> the determination was made that FP GreenFleet and its selected partners had the most expertise to deploy a V2G pilot utilizing electric school buses. </w:t>
      </w:r>
      <w:r w:rsidR="002540EE" w:rsidRPr="0056717F">
        <w:rPr>
          <w:sz w:val="24"/>
          <w:szCs w:val="24"/>
        </w:rPr>
        <w:t xml:space="preserve">  </w:t>
      </w:r>
      <w:r w:rsidR="00B71606" w:rsidRPr="0056717F">
        <w:rPr>
          <w:sz w:val="24"/>
          <w:szCs w:val="24"/>
        </w:rPr>
        <w:t xml:space="preserve">Please see Chapter 3 on page DMG-9 regarding the partners and </w:t>
      </w:r>
      <w:r w:rsidR="00B71606">
        <w:rPr>
          <w:sz w:val="24"/>
          <w:szCs w:val="24"/>
        </w:rPr>
        <w:t xml:space="preserve">further details on </w:t>
      </w:r>
      <w:r w:rsidR="00B71606" w:rsidRPr="0056717F">
        <w:rPr>
          <w:sz w:val="24"/>
          <w:szCs w:val="24"/>
        </w:rPr>
        <w:t xml:space="preserve">why they were selected.  </w:t>
      </w:r>
    </w:p>
    <w:p w14:paraId="69E4C2BA" w14:textId="30B63A00" w:rsidR="00F774B2" w:rsidRPr="0056717F" w:rsidRDefault="00F774B2" w:rsidP="0056717F">
      <w:pPr>
        <w:rPr>
          <w:sz w:val="24"/>
          <w:szCs w:val="24"/>
        </w:rPr>
      </w:pPr>
    </w:p>
    <w:p w14:paraId="7863E441" w14:textId="77777777" w:rsidR="0056717F" w:rsidRDefault="0056717F" w:rsidP="00F774B2">
      <w:pPr>
        <w:spacing w:after="160" w:line="259" w:lineRule="auto"/>
        <w:contextualSpacing/>
        <w:rPr>
          <w:sz w:val="24"/>
          <w:szCs w:val="24"/>
        </w:rPr>
      </w:pPr>
    </w:p>
    <w:p w14:paraId="65FF9151" w14:textId="0A2B3653" w:rsidR="00F774B2" w:rsidRPr="0056717F" w:rsidRDefault="0056717F" w:rsidP="0056717F">
      <w:pPr>
        <w:spacing w:after="160" w:line="259" w:lineRule="auto"/>
        <w:contextualSpacing/>
        <w:rPr>
          <w:sz w:val="24"/>
          <w:szCs w:val="24"/>
        </w:rPr>
      </w:pPr>
      <w:r w:rsidRPr="0056717F">
        <w:rPr>
          <w:sz w:val="24"/>
          <w:szCs w:val="24"/>
        </w:rPr>
        <w:t>c.</w:t>
      </w:r>
      <w:r>
        <w:rPr>
          <w:sz w:val="24"/>
          <w:szCs w:val="24"/>
        </w:rPr>
        <w:t xml:space="preserve">  </w:t>
      </w:r>
      <w:r w:rsidRPr="0056717F">
        <w:rPr>
          <w:sz w:val="24"/>
          <w:szCs w:val="24"/>
        </w:rPr>
        <w:t>The</w:t>
      </w:r>
      <w:r w:rsidR="001A2C9A">
        <w:rPr>
          <w:sz w:val="24"/>
          <w:szCs w:val="24"/>
        </w:rPr>
        <w:t xml:space="preserve"> IP for the software engineering modifications to the bus will not be SDG&amp;E’s.  According to FP GreenFleet, the software was contemplated and designed prior to SDG&amp;E’s RFP and offered as part of the proposed pilot.    </w:t>
      </w:r>
      <w:r w:rsidRPr="0056717F">
        <w:rPr>
          <w:sz w:val="24"/>
          <w:szCs w:val="24"/>
        </w:rPr>
        <w:t xml:space="preserve">  </w:t>
      </w:r>
    </w:p>
    <w:p w14:paraId="3DD4BD0A" w14:textId="57B89F3D" w:rsidR="0056717F" w:rsidRDefault="0056717F" w:rsidP="0056717F"/>
    <w:p w14:paraId="60C1C904" w14:textId="77777777" w:rsidR="0056717F" w:rsidRPr="0056717F" w:rsidRDefault="0056717F" w:rsidP="0056717F"/>
    <w:p w14:paraId="0DAC5E7B" w14:textId="1271023F" w:rsidR="00F774B2" w:rsidRDefault="00F774B2" w:rsidP="00F853EE">
      <w:pPr>
        <w:spacing w:after="160" w:line="259" w:lineRule="auto"/>
        <w:contextualSpacing/>
        <w:rPr>
          <w:sz w:val="24"/>
          <w:szCs w:val="24"/>
        </w:rPr>
      </w:pPr>
      <w:r>
        <w:rPr>
          <w:sz w:val="24"/>
          <w:szCs w:val="24"/>
        </w:rPr>
        <w:t xml:space="preserve">d.  </w:t>
      </w:r>
      <w:r w:rsidR="0056717F">
        <w:rPr>
          <w:sz w:val="24"/>
          <w:szCs w:val="24"/>
        </w:rPr>
        <w:t xml:space="preserve">BTC Power is </w:t>
      </w:r>
      <w:r w:rsidR="00EF136F">
        <w:rPr>
          <w:sz w:val="24"/>
          <w:szCs w:val="24"/>
        </w:rPr>
        <w:t xml:space="preserve">the EVSE manufacturer.  </w:t>
      </w:r>
      <w:r w:rsidR="001A2C9A">
        <w:rPr>
          <w:sz w:val="24"/>
          <w:szCs w:val="24"/>
        </w:rPr>
        <w:t>FP GreenFleet has proposed t</w:t>
      </w:r>
      <w:r w:rsidR="00EF136F" w:rsidRPr="00EF136F">
        <w:rPr>
          <w:sz w:val="24"/>
          <w:szCs w:val="24"/>
        </w:rPr>
        <w:t>he</w:t>
      </w:r>
      <w:r w:rsidR="00EF136F">
        <w:rPr>
          <w:sz w:val="24"/>
          <w:szCs w:val="24"/>
        </w:rPr>
        <w:t xml:space="preserve"> EVSE for this project </w:t>
      </w:r>
      <w:r w:rsidR="001A2C9A">
        <w:rPr>
          <w:sz w:val="24"/>
          <w:szCs w:val="24"/>
        </w:rPr>
        <w:t xml:space="preserve">stating that it </w:t>
      </w:r>
      <w:r w:rsidR="00EF136F">
        <w:rPr>
          <w:sz w:val="24"/>
          <w:szCs w:val="24"/>
        </w:rPr>
        <w:t>meets</w:t>
      </w:r>
      <w:r w:rsidR="00EF136F" w:rsidRPr="00EF136F">
        <w:rPr>
          <w:sz w:val="24"/>
          <w:szCs w:val="24"/>
        </w:rPr>
        <w:t xml:space="preserve"> UL 2594 for charging and UL 1741 certification for the inverter for </w:t>
      </w:r>
      <w:r w:rsidR="00EF136F" w:rsidRPr="00EF136F">
        <w:rPr>
          <w:sz w:val="24"/>
          <w:szCs w:val="24"/>
        </w:rPr>
        <w:lastRenderedPageBreak/>
        <w:t>dispatching power back to the grid.</w:t>
      </w:r>
      <w:r w:rsidR="001A2C9A">
        <w:rPr>
          <w:sz w:val="24"/>
          <w:szCs w:val="24"/>
        </w:rPr>
        <w:t xml:space="preserve">  The bid includes additional UL certifications met by the selected EVSE.  </w:t>
      </w:r>
    </w:p>
    <w:bookmarkEnd w:id="0"/>
    <w:p w14:paraId="4D1F9862" w14:textId="77777777" w:rsidR="00EF136F" w:rsidRPr="00F774B2" w:rsidRDefault="00EF136F" w:rsidP="00F853EE">
      <w:pPr>
        <w:spacing w:after="160" w:line="259" w:lineRule="auto"/>
        <w:contextualSpacing/>
        <w:rPr>
          <w:sz w:val="24"/>
          <w:szCs w:val="24"/>
        </w:rPr>
      </w:pPr>
    </w:p>
    <w:bookmarkEnd w:id="1"/>
    <w:p w14:paraId="4079A43E" w14:textId="77777777" w:rsidR="00D33BAB" w:rsidRDefault="00D33BAB" w:rsidP="007C383F">
      <w:pPr>
        <w:pStyle w:val="ListParagraph"/>
        <w:tabs>
          <w:tab w:val="left" w:pos="1134"/>
        </w:tabs>
        <w:spacing w:line="280" w:lineRule="atLeast"/>
        <w:ind w:left="1440"/>
        <w:rPr>
          <w:sz w:val="24"/>
          <w:szCs w:val="24"/>
        </w:rPr>
      </w:pPr>
    </w:p>
    <w:p w14:paraId="00A288B9" w14:textId="77777777" w:rsidR="007C383F" w:rsidRDefault="007C383F" w:rsidP="007C383F">
      <w:pPr>
        <w:pStyle w:val="ListParagraph"/>
        <w:numPr>
          <w:ilvl w:val="0"/>
          <w:numId w:val="1"/>
        </w:numPr>
        <w:tabs>
          <w:tab w:val="left" w:pos="1134"/>
        </w:tabs>
        <w:spacing w:line="280" w:lineRule="atLeast"/>
        <w:rPr>
          <w:sz w:val="24"/>
          <w:szCs w:val="24"/>
        </w:rPr>
      </w:pPr>
      <w:bookmarkStart w:id="3" w:name="_Hlk515894070"/>
      <w:r w:rsidRPr="00E32237">
        <w:rPr>
          <w:sz w:val="24"/>
          <w:szCs w:val="24"/>
        </w:rPr>
        <w:t xml:space="preserve">List what is specifically included in the $452,461 of </w:t>
      </w:r>
      <w:r>
        <w:rPr>
          <w:sz w:val="24"/>
          <w:szCs w:val="24"/>
        </w:rPr>
        <w:t xml:space="preserve">V2G Pilot </w:t>
      </w:r>
      <w:r w:rsidRPr="00E32237">
        <w:rPr>
          <w:sz w:val="24"/>
          <w:szCs w:val="24"/>
        </w:rPr>
        <w:t xml:space="preserve">licensing and analysis costs shown in Figure 4 in Ch. 3 DMG-14. </w:t>
      </w:r>
    </w:p>
    <w:bookmarkEnd w:id="3"/>
    <w:p w14:paraId="7663D055" w14:textId="06F683BC" w:rsidR="007C383F" w:rsidRDefault="007C383F" w:rsidP="007C383F">
      <w:pPr>
        <w:tabs>
          <w:tab w:val="left" w:pos="1134"/>
        </w:tabs>
        <w:spacing w:line="280" w:lineRule="atLeast"/>
        <w:rPr>
          <w:sz w:val="24"/>
          <w:szCs w:val="24"/>
        </w:rPr>
      </w:pPr>
    </w:p>
    <w:p w14:paraId="3D0B1F7B" w14:textId="59DBD0CA" w:rsidR="00D33BAB" w:rsidRDefault="00D33BAB" w:rsidP="00D33BAB">
      <w:pPr>
        <w:spacing w:after="160" w:line="259" w:lineRule="auto"/>
        <w:contextualSpacing/>
        <w:rPr>
          <w:b/>
          <w:sz w:val="24"/>
          <w:szCs w:val="24"/>
        </w:rPr>
      </w:pPr>
      <w:r>
        <w:rPr>
          <w:b/>
          <w:sz w:val="24"/>
          <w:szCs w:val="24"/>
        </w:rPr>
        <w:t>Response:</w:t>
      </w:r>
    </w:p>
    <w:p w14:paraId="60E5B776" w14:textId="73633447" w:rsidR="00EF136F" w:rsidRDefault="001A2C9A" w:rsidP="00D33BAB">
      <w:pPr>
        <w:spacing w:after="160" w:line="259" w:lineRule="auto"/>
        <w:contextualSpacing/>
        <w:rPr>
          <w:sz w:val="24"/>
          <w:szCs w:val="24"/>
        </w:rPr>
      </w:pPr>
      <w:r>
        <w:rPr>
          <w:sz w:val="24"/>
          <w:szCs w:val="24"/>
        </w:rPr>
        <w:t xml:space="preserve">FP GreenFleet has stated that they will conduct analysis </w:t>
      </w:r>
      <w:r w:rsidR="009843AA">
        <w:rPr>
          <w:sz w:val="24"/>
          <w:szCs w:val="24"/>
        </w:rPr>
        <w:t>pre-</w:t>
      </w:r>
      <w:r>
        <w:rPr>
          <w:sz w:val="24"/>
          <w:szCs w:val="24"/>
        </w:rPr>
        <w:t>deployment, duri</w:t>
      </w:r>
      <w:r w:rsidR="001A0971">
        <w:rPr>
          <w:sz w:val="24"/>
          <w:szCs w:val="24"/>
        </w:rPr>
        <w:t>ng deployment and post-deployment</w:t>
      </w:r>
      <w:r>
        <w:rPr>
          <w:sz w:val="24"/>
          <w:szCs w:val="24"/>
        </w:rPr>
        <w:t>.  In order to schedule the buses, they will review historical routes and load at the locat</w:t>
      </w:r>
      <w:r w:rsidR="009843AA">
        <w:rPr>
          <w:sz w:val="24"/>
          <w:szCs w:val="24"/>
        </w:rPr>
        <w:t>ion.  They will also factor</w:t>
      </w:r>
      <w:r>
        <w:rPr>
          <w:sz w:val="24"/>
          <w:szCs w:val="24"/>
        </w:rPr>
        <w:t xml:space="preserve"> in the expected new load requirements for the </w:t>
      </w:r>
      <w:r w:rsidR="009843AA">
        <w:rPr>
          <w:sz w:val="24"/>
          <w:szCs w:val="24"/>
        </w:rPr>
        <w:t>EV</w:t>
      </w:r>
      <w:r>
        <w:rPr>
          <w:sz w:val="24"/>
          <w:szCs w:val="24"/>
        </w:rPr>
        <w:t xml:space="preserve"> operation and the V2G discharge.  During the pilot, they will collect interval data, function</w:t>
      </w:r>
      <w:r w:rsidR="009843AA">
        <w:rPr>
          <w:sz w:val="24"/>
          <w:szCs w:val="24"/>
        </w:rPr>
        <w:t>ing</w:t>
      </w:r>
      <w:r>
        <w:rPr>
          <w:sz w:val="24"/>
          <w:szCs w:val="24"/>
        </w:rPr>
        <w:t xml:space="preserve"> of the EVSE and scheduling of use in the V2G configuration to determine effective </w:t>
      </w:r>
      <w:r w:rsidR="009843AA">
        <w:rPr>
          <w:sz w:val="24"/>
          <w:szCs w:val="24"/>
        </w:rPr>
        <w:t xml:space="preserve">vehicle </w:t>
      </w:r>
      <w:r>
        <w:rPr>
          <w:sz w:val="24"/>
          <w:szCs w:val="24"/>
        </w:rPr>
        <w:t xml:space="preserve">operations and maintaining of battery integrity.  Finally, they will create a report on the V2G pilot, including lessons learned for future expansion and V2G deployment.  </w:t>
      </w:r>
    </w:p>
    <w:p w14:paraId="3D6EAAA3" w14:textId="6542E685" w:rsidR="001A2C9A" w:rsidRDefault="001A2C9A" w:rsidP="00D33BAB">
      <w:pPr>
        <w:spacing w:after="160" w:line="259" w:lineRule="auto"/>
        <w:contextualSpacing/>
        <w:rPr>
          <w:sz w:val="24"/>
          <w:szCs w:val="24"/>
        </w:rPr>
      </w:pPr>
    </w:p>
    <w:p w14:paraId="47693A29" w14:textId="05E33FFD" w:rsidR="001A2C9A" w:rsidRPr="001A2C9A" w:rsidRDefault="009843AA" w:rsidP="00D33BAB">
      <w:pPr>
        <w:spacing w:after="160" w:line="259" w:lineRule="auto"/>
        <w:contextualSpacing/>
        <w:rPr>
          <w:sz w:val="24"/>
          <w:szCs w:val="24"/>
        </w:rPr>
      </w:pPr>
      <w:r>
        <w:rPr>
          <w:sz w:val="24"/>
          <w:szCs w:val="24"/>
        </w:rPr>
        <w:t>The analysis and licensing cost also includes licensing Kisensum’s energy management software.</w:t>
      </w:r>
    </w:p>
    <w:p w14:paraId="3750B59A" w14:textId="2E53A605" w:rsidR="00EF136F" w:rsidRDefault="00EF136F" w:rsidP="00D33BAB">
      <w:pPr>
        <w:spacing w:after="160" w:line="259" w:lineRule="auto"/>
        <w:contextualSpacing/>
        <w:rPr>
          <w:b/>
          <w:sz w:val="24"/>
          <w:szCs w:val="24"/>
        </w:rPr>
      </w:pPr>
    </w:p>
    <w:p w14:paraId="5A14D5D2" w14:textId="77777777" w:rsidR="00EF136F" w:rsidRPr="00D33BAB" w:rsidRDefault="00EF136F" w:rsidP="00D33BAB">
      <w:pPr>
        <w:spacing w:after="160" w:line="259" w:lineRule="auto"/>
        <w:contextualSpacing/>
        <w:rPr>
          <w:b/>
          <w:sz w:val="24"/>
          <w:szCs w:val="24"/>
        </w:rPr>
      </w:pPr>
    </w:p>
    <w:p w14:paraId="3A287487" w14:textId="77777777" w:rsidR="00D33BAB" w:rsidRPr="004E7E7B" w:rsidRDefault="00D33BAB" w:rsidP="007C383F">
      <w:pPr>
        <w:tabs>
          <w:tab w:val="left" w:pos="1134"/>
        </w:tabs>
        <w:spacing w:line="280" w:lineRule="atLeast"/>
        <w:rPr>
          <w:sz w:val="24"/>
          <w:szCs w:val="24"/>
        </w:rPr>
      </w:pPr>
    </w:p>
    <w:p w14:paraId="6E3C56BF" w14:textId="77777777" w:rsidR="007C383F" w:rsidRPr="00685BFA" w:rsidRDefault="007C383F" w:rsidP="007C383F">
      <w:pPr>
        <w:pStyle w:val="ListParagraph"/>
        <w:numPr>
          <w:ilvl w:val="0"/>
          <w:numId w:val="1"/>
        </w:numPr>
        <w:tabs>
          <w:tab w:val="left" w:pos="1134"/>
        </w:tabs>
        <w:spacing w:line="280" w:lineRule="atLeast"/>
        <w:rPr>
          <w:sz w:val="24"/>
          <w:szCs w:val="24"/>
        </w:rPr>
      </w:pPr>
      <w:r w:rsidRPr="009519A2">
        <w:rPr>
          <w:sz w:val="24"/>
          <w:szCs w:val="24"/>
        </w:rPr>
        <w:t xml:space="preserve">In SDG&amp;E’s testimony, Ch.2 HJR-6, SDG&amp;E states that it will supply an allowance percentage of 100% to all customers during the first year of the program (which decreases 10% per year); and to DACs, transit, and school buses for the entirety of the program. </w:t>
      </w:r>
    </w:p>
    <w:p w14:paraId="1BD8CB29" w14:textId="77777777" w:rsidR="007C383F" w:rsidRDefault="007C383F" w:rsidP="007C383F">
      <w:pPr>
        <w:pStyle w:val="ListParagraph"/>
        <w:numPr>
          <w:ilvl w:val="1"/>
          <w:numId w:val="1"/>
        </w:numPr>
        <w:tabs>
          <w:tab w:val="left" w:pos="1134"/>
        </w:tabs>
        <w:spacing w:line="280" w:lineRule="atLeast"/>
        <w:rPr>
          <w:sz w:val="24"/>
          <w:szCs w:val="24"/>
        </w:rPr>
      </w:pPr>
      <w:r w:rsidRPr="009519A2">
        <w:rPr>
          <w:sz w:val="24"/>
          <w:szCs w:val="24"/>
        </w:rPr>
        <w:t xml:space="preserve">Please provide all work papers for any analysis that SDG&amp;E has done to justify this high percentage against its cost to ratepayers. </w:t>
      </w:r>
    </w:p>
    <w:p w14:paraId="66F69B6A" w14:textId="77777777" w:rsidR="007C383F" w:rsidRPr="009519A2" w:rsidRDefault="007C383F" w:rsidP="007C383F">
      <w:pPr>
        <w:pStyle w:val="ListParagraph"/>
        <w:numPr>
          <w:ilvl w:val="1"/>
          <w:numId w:val="1"/>
        </w:numPr>
        <w:tabs>
          <w:tab w:val="left" w:pos="1134"/>
        </w:tabs>
        <w:spacing w:line="280" w:lineRule="atLeast"/>
        <w:rPr>
          <w:sz w:val="24"/>
          <w:szCs w:val="24"/>
        </w:rPr>
      </w:pPr>
      <w:r w:rsidRPr="009519A2">
        <w:rPr>
          <w:sz w:val="24"/>
          <w:szCs w:val="24"/>
        </w:rPr>
        <w:t>Additionally, please provide SDG&amp;E’s justification for providing this level of an allowance.</w:t>
      </w:r>
    </w:p>
    <w:p w14:paraId="1DB52234" w14:textId="6EC3939D" w:rsidR="007C383F" w:rsidRDefault="007C383F" w:rsidP="007C383F">
      <w:pPr>
        <w:pStyle w:val="ListParagraph"/>
        <w:tabs>
          <w:tab w:val="left" w:pos="1134"/>
        </w:tabs>
        <w:spacing w:line="280" w:lineRule="atLeast"/>
        <w:rPr>
          <w:sz w:val="24"/>
          <w:szCs w:val="24"/>
        </w:rPr>
      </w:pPr>
    </w:p>
    <w:p w14:paraId="680DB36D" w14:textId="37F99E86" w:rsidR="00D33BAB" w:rsidRDefault="00D33BAB" w:rsidP="00D33BAB">
      <w:pPr>
        <w:spacing w:after="160" w:line="259" w:lineRule="auto"/>
        <w:contextualSpacing/>
        <w:rPr>
          <w:b/>
          <w:sz w:val="24"/>
          <w:szCs w:val="24"/>
        </w:rPr>
      </w:pPr>
      <w:r>
        <w:rPr>
          <w:b/>
          <w:sz w:val="24"/>
          <w:szCs w:val="24"/>
        </w:rPr>
        <w:t>Response:</w:t>
      </w:r>
    </w:p>
    <w:p w14:paraId="66A4986D" w14:textId="2C2C67CF" w:rsidR="008F2928" w:rsidRDefault="008F2928" w:rsidP="00360ED1">
      <w:pPr>
        <w:spacing w:after="160" w:line="259" w:lineRule="auto"/>
        <w:contextualSpacing/>
        <w:rPr>
          <w:sz w:val="24"/>
          <w:szCs w:val="24"/>
        </w:rPr>
      </w:pPr>
      <w:r>
        <w:rPr>
          <w:sz w:val="24"/>
          <w:szCs w:val="24"/>
        </w:rPr>
        <w:t xml:space="preserve">A 100% allowance in the first year is intended to encourage early adoption of MD/HD EVs.  It will decrease in subsequent years.  Workpapers were not created in determining this element of program design.  </w:t>
      </w:r>
    </w:p>
    <w:p w14:paraId="0597D208" w14:textId="77777777" w:rsidR="008F2928" w:rsidRDefault="008F2928" w:rsidP="00360ED1">
      <w:pPr>
        <w:spacing w:after="160" w:line="259" w:lineRule="auto"/>
        <w:contextualSpacing/>
        <w:rPr>
          <w:sz w:val="24"/>
          <w:szCs w:val="24"/>
        </w:rPr>
      </w:pPr>
    </w:p>
    <w:p w14:paraId="296FBB6B" w14:textId="5B87C82B" w:rsidR="008F2928" w:rsidRDefault="008F2928" w:rsidP="00D33BAB">
      <w:pPr>
        <w:spacing w:after="160" w:line="259" w:lineRule="auto"/>
        <w:contextualSpacing/>
        <w:rPr>
          <w:sz w:val="24"/>
          <w:szCs w:val="24"/>
        </w:rPr>
      </w:pPr>
      <w:r>
        <w:rPr>
          <w:sz w:val="24"/>
          <w:szCs w:val="24"/>
        </w:rPr>
        <w:t xml:space="preserve">Due to the GHG and health impacts of internal combustion engine MD/HD vehicles an allowance is prudent to help accelerate this nascent market.  A declining </w:t>
      </w:r>
      <w:r w:rsidR="008E04B6">
        <w:rPr>
          <w:sz w:val="24"/>
          <w:szCs w:val="24"/>
        </w:rPr>
        <w:t>allowance</w:t>
      </w:r>
      <w:r>
        <w:rPr>
          <w:sz w:val="24"/>
          <w:szCs w:val="24"/>
        </w:rPr>
        <w:t xml:space="preserve"> rewards early adopters and then phases out the allowance in order to reduce ratepayer impacts.</w:t>
      </w:r>
      <w:r w:rsidR="002623C1">
        <w:rPr>
          <w:sz w:val="24"/>
          <w:szCs w:val="24"/>
        </w:rPr>
        <w:t xml:space="preserve">  SDG&amp;E made </w:t>
      </w:r>
      <w:r w:rsidR="002623C1">
        <w:rPr>
          <w:sz w:val="24"/>
          <w:szCs w:val="24"/>
        </w:rPr>
        <w:lastRenderedPageBreak/>
        <w:t>a programmatic decision to encourage early adopters through a higher allowance.  As the allowance phases out the customer will contribute to a greater cost of the EVSE.</w:t>
      </w:r>
      <w:r>
        <w:rPr>
          <w:sz w:val="24"/>
          <w:szCs w:val="24"/>
        </w:rPr>
        <w:t xml:space="preserve">  </w:t>
      </w:r>
    </w:p>
    <w:p w14:paraId="04D77ACA" w14:textId="77777777" w:rsidR="00A076FF" w:rsidRPr="00A076FF" w:rsidRDefault="00A076FF" w:rsidP="00D33BAB">
      <w:pPr>
        <w:spacing w:after="160" w:line="259" w:lineRule="auto"/>
        <w:contextualSpacing/>
        <w:rPr>
          <w:sz w:val="24"/>
          <w:szCs w:val="24"/>
        </w:rPr>
      </w:pPr>
    </w:p>
    <w:p w14:paraId="6002D762" w14:textId="77777777" w:rsidR="00D33BAB" w:rsidRPr="009519A2" w:rsidRDefault="00D33BAB" w:rsidP="007C383F">
      <w:pPr>
        <w:pStyle w:val="ListParagraph"/>
        <w:tabs>
          <w:tab w:val="left" w:pos="1134"/>
        </w:tabs>
        <w:spacing w:line="280" w:lineRule="atLeast"/>
        <w:rPr>
          <w:sz w:val="24"/>
          <w:szCs w:val="24"/>
        </w:rPr>
      </w:pPr>
    </w:p>
    <w:p w14:paraId="48EDDF8F" w14:textId="77777777" w:rsidR="007C383F" w:rsidRPr="009519A2" w:rsidRDefault="007C383F" w:rsidP="007C383F">
      <w:pPr>
        <w:pStyle w:val="ListParagraph"/>
        <w:numPr>
          <w:ilvl w:val="0"/>
          <w:numId w:val="1"/>
        </w:numPr>
        <w:tabs>
          <w:tab w:val="left" w:pos="1134"/>
        </w:tabs>
        <w:spacing w:line="280" w:lineRule="atLeast"/>
        <w:rPr>
          <w:sz w:val="24"/>
          <w:szCs w:val="24"/>
        </w:rPr>
      </w:pPr>
      <w:r w:rsidRPr="009519A2">
        <w:rPr>
          <w:sz w:val="24"/>
          <w:szCs w:val="24"/>
        </w:rPr>
        <w:t>In SDG&amp;E’s testimony, Ch.2 HJR-19, SDG&amp;E states that it will share its analysis and results on an on-going basis through annual reports and th</w:t>
      </w:r>
      <w:r>
        <w:rPr>
          <w:sz w:val="24"/>
          <w:szCs w:val="24"/>
        </w:rPr>
        <w:t>rough the existing PAC. Please:</w:t>
      </w:r>
      <w:r w:rsidRPr="009519A2">
        <w:rPr>
          <w:sz w:val="24"/>
          <w:szCs w:val="24"/>
        </w:rPr>
        <w:t xml:space="preserve"> specify the analysis and results SDG&amp;E plans to supply in its annual reports, provide detail into how SDG&amp;E plans to monitor pending vehicle electrification targets, and how SDG&amp;E plans to report its progress.</w:t>
      </w:r>
    </w:p>
    <w:p w14:paraId="68A65367" w14:textId="70A93ADB" w:rsidR="007C383F" w:rsidRDefault="007C383F" w:rsidP="007C383F">
      <w:pPr>
        <w:pStyle w:val="ListParagraph"/>
        <w:tabs>
          <w:tab w:val="left" w:pos="1134"/>
        </w:tabs>
        <w:spacing w:line="280" w:lineRule="atLeast"/>
        <w:rPr>
          <w:sz w:val="24"/>
          <w:szCs w:val="24"/>
        </w:rPr>
      </w:pPr>
    </w:p>
    <w:p w14:paraId="6FAB626F" w14:textId="598E3EB8" w:rsidR="00D33BAB" w:rsidRDefault="00D33BAB" w:rsidP="00D33BAB">
      <w:pPr>
        <w:spacing w:after="160" w:line="259" w:lineRule="auto"/>
        <w:contextualSpacing/>
        <w:rPr>
          <w:b/>
          <w:sz w:val="24"/>
          <w:szCs w:val="24"/>
        </w:rPr>
      </w:pPr>
      <w:r>
        <w:rPr>
          <w:b/>
          <w:sz w:val="24"/>
          <w:szCs w:val="24"/>
        </w:rPr>
        <w:t>Response:</w:t>
      </w:r>
    </w:p>
    <w:p w14:paraId="56D4E1B7" w14:textId="6711BAFE" w:rsidR="00121625" w:rsidRDefault="00534424" w:rsidP="00121625">
      <w:pPr>
        <w:spacing w:after="160" w:line="259" w:lineRule="auto"/>
        <w:contextualSpacing/>
        <w:rPr>
          <w:sz w:val="24"/>
          <w:szCs w:val="24"/>
        </w:rPr>
      </w:pPr>
      <w:r w:rsidRPr="00534424">
        <w:rPr>
          <w:sz w:val="24"/>
          <w:szCs w:val="24"/>
        </w:rPr>
        <w:t>In addition to conducting a total cost of ownership an</w:t>
      </w:r>
      <w:r w:rsidR="00121625">
        <w:rPr>
          <w:sz w:val="24"/>
          <w:szCs w:val="24"/>
        </w:rPr>
        <w:t>alysis for MD/HD vehicles</w:t>
      </w:r>
      <w:r w:rsidRPr="00534424">
        <w:rPr>
          <w:sz w:val="24"/>
          <w:szCs w:val="24"/>
        </w:rPr>
        <w:t>,</w:t>
      </w:r>
      <w:r>
        <w:rPr>
          <w:sz w:val="24"/>
          <w:szCs w:val="24"/>
        </w:rPr>
        <w:t xml:space="preserve"> the program will help define best practices for utility deployment of EV charging infrastructure for </w:t>
      </w:r>
      <w:r w:rsidR="00121625">
        <w:rPr>
          <w:sz w:val="24"/>
          <w:szCs w:val="24"/>
        </w:rPr>
        <w:t xml:space="preserve">MD/HD vehicles.  </w:t>
      </w:r>
      <w:r w:rsidR="00121625" w:rsidRPr="00121625">
        <w:rPr>
          <w:sz w:val="24"/>
          <w:szCs w:val="24"/>
        </w:rPr>
        <w:t xml:space="preserve">SDG&amp;E has not </w:t>
      </w:r>
      <w:r w:rsidR="00121625">
        <w:rPr>
          <w:sz w:val="24"/>
          <w:szCs w:val="24"/>
        </w:rPr>
        <w:t xml:space="preserve">finalized </w:t>
      </w:r>
      <w:r w:rsidR="00121625" w:rsidRPr="00121625">
        <w:rPr>
          <w:sz w:val="24"/>
          <w:szCs w:val="24"/>
        </w:rPr>
        <w:t>reporting metric</w:t>
      </w:r>
      <w:r w:rsidR="00121625">
        <w:rPr>
          <w:sz w:val="24"/>
          <w:szCs w:val="24"/>
        </w:rPr>
        <w:t>s</w:t>
      </w:r>
      <w:r w:rsidR="00121625" w:rsidRPr="00121625">
        <w:rPr>
          <w:sz w:val="24"/>
          <w:szCs w:val="24"/>
        </w:rPr>
        <w:t xml:space="preserve"> and intends to col</w:t>
      </w:r>
      <w:r w:rsidR="00121625">
        <w:rPr>
          <w:sz w:val="24"/>
          <w:szCs w:val="24"/>
        </w:rPr>
        <w:t>laborate with stakeholders</w:t>
      </w:r>
      <w:r w:rsidR="00121625" w:rsidRPr="00121625">
        <w:rPr>
          <w:sz w:val="24"/>
          <w:szCs w:val="24"/>
        </w:rPr>
        <w:t xml:space="preserve"> through the PAC process to develop reporting metrics</w:t>
      </w:r>
      <w:r w:rsidR="00121625">
        <w:rPr>
          <w:sz w:val="24"/>
          <w:szCs w:val="24"/>
        </w:rPr>
        <w:t>.</w:t>
      </w:r>
      <w:r w:rsidR="00121625" w:rsidRPr="00121625">
        <w:rPr>
          <w:sz w:val="24"/>
          <w:szCs w:val="24"/>
        </w:rPr>
        <w:t xml:space="preserve"> </w:t>
      </w:r>
      <w:r w:rsidR="00121625">
        <w:rPr>
          <w:sz w:val="24"/>
          <w:szCs w:val="24"/>
        </w:rPr>
        <w:t xml:space="preserve"> </w:t>
      </w:r>
      <w:r w:rsidR="00121625" w:rsidRPr="00121625">
        <w:rPr>
          <w:sz w:val="24"/>
          <w:szCs w:val="24"/>
        </w:rPr>
        <w:t xml:space="preserve">This process will begin after a final decision in this proceeding, and will leverage existing reports such as the semi-annual Power </w:t>
      </w:r>
      <w:r w:rsidR="00121625">
        <w:rPr>
          <w:sz w:val="24"/>
          <w:szCs w:val="24"/>
        </w:rPr>
        <w:t>Your Drive report</w:t>
      </w:r>
      <w:r w:rsidR="00121625" w:rsidRPr="00121625">
        <w:rPr>
          <w:sz w:val="24"/>
          <w:szCs w:val="24"/>
        </w:rPr>
        <w:t>.</w:t>
      </w:r>
    </w:p>
    <w:p w14:paraId="7A518FB7" w14:textId="77777777" w:rsidR="00534424" w:rsidRPr="00A076FF" w:rsidRDefault="00534424" w:rsidP="00D33BAB">
      <w:pPr>
        <w:spacing w:after="160" w:line="259" w:lineRule="auto"/>
        <w:contextualSpacing/>
        <w:rPr>
          <w:sz w:val="24"/>
          <w:szCs w:val="24"/>
        </w:rPr>
      </w:pPr>
    </w:p>
    <w:p w14:paraId="2743D0BB" w14:textId="77777777" w:rsidR="00D33BAB" w:rsidRPr="009519A2" w:rsidRDefault="00D33BAB" w:rsidP="007C383F">
      <w:pPr>
        <w:pStyle w:val="ListParagraph"/>
        <w:tabs>
          <w:tab w:val="left" w:pos="1134"/>
        </w:tabs>
        <w:spacing w:line="280" w:lineRule="atLeast"/>
        <w:rPr>
          <w:sz w:val="24"/>
          <w:szCs w:val="24"/>
        </w:rPr>
      </w:pPr>
    </w:p>
    <w:p w14:paraId="4FDA8A2E" w14:textId="77777777" w:rsidR="007C383F" w:rsidRPr="009519A2" w:rsidRDefault="007C383F" w:rsidP="007C383F">
      <w:pPr>
        <w:pStyle w:val="ListParagraph"/>
        <w:numPr>
          <w:ilvl w:val="0"/>
          <w:numId w:val="1"/>
        </w:numPr>
        <w:tabs>
          <w:tab w:val="left" w:pos="1134"/>
        </w:tabs>
        <w:spacing w:line="280" w:lineRule="atLeast"/>
        <w:rPr>
          <w:sz w:val="24"/>
          <w:szCs w:val="24"/>
        </w:rPr>
      </w:pPr>
      <w:r w:rsidRPr="009519A2">
        <w:rPr>
          <w:sz w:val="24"/>
          <w:szCs w:val="24"/>
        </w:rPr>
        <w:t>In SDG&amp;E’s testimony, Ch.7 JCM-4, SDG&amp;E states that it estimates an emissions reduction of 476,552 MT CO2e, 327.9 MT NOx, and 50.5 MT PM2.5 over the lifetime of the vehicles.  Please provide an explanation of actions SDG&amp;E will take to: track ongoing emission reductions attributable to the project, encourage program participants to reduce the carbon intensity of the electricity they use to charge (e.g. charge their vehicles during times the times of highest renewable penetration of the electricity mix), and optimize costs for the estimated emissions reductions.</w:t>
      </w:r>
    </w:p>
    <w:p w14:paraId="0DF3F8E8" w14:textId="1CEC27A0" w:rsidR="007C383F" w:rsidRDefault="007C383F" w:rsidP="007C383F">
      <w:pPr>
        <w:pStyle w:val="ListParagraph"/>
        <w:tabs>
          <w:tab w:val="left" w:pos="1134"/>
        </w:tabs>
        <w:spacing w:line="280" w:lineRule="atLeast"/>
        <w:rPr>
          <w:sz w:val="24"/>
          <w:szCs w:val="24"/>
        </w:rPr>
      </w:pPr>
    </w:p>
    <w:p w14:paraId="10FB5661" w14:textId="2561C01C" w:rsidR="00D33BAB" w:rsidRDefault="00D33BAB" w:rsidP="00D33BAB">
      <w:pPr>
        <w:spacing w:after="160" w:line="259" w:lineRule="auto"/>
        <w:contextualSpacing/>
        <w:rPr>
          <w:b/>
          <w:sz w:val="24"/>
          <w:szCs w:val="24"/>
        </w:rPr>
      </w:pPr>
      <w:r>
        <w:rPr>
          <w:b/>
          <w:sz w:val="24"/>
          <w:szCs w:val="24"/>
        </w:rPr>
        <w:t>Response:</w:t>
      </w:r>
    </w:p>
    <w:p w14:paraId="3213BF6D" w14:textId="4F316D89" w:rsidR="00C926A1" w:rsidRPr="00C926A1" w:rsidRDefault="00C926A1" w:rsidP="00D33BAB">
      <w:pPr>
        <w:spacing w:after="160" w:line="259" w:lineRule="auto"/>
        <w:contextualSpacing/>
        <w:rPr>
          <w:sz w:val="24"/>
          <w:szCs w:val="24"/>
        </w:rPr>
      </w:pPr>
      <w:r w:rsidRPr="00C926A1">
        <w:rPr>
          <w:sz w:val="24"/>
          <w:szCs w:val="24"/>
        </w:rPr>
        <w:t>SDG&amp;E will track ongoing emission reductions attributable to the project as described in Prepared Direct Testimony of Hannon J. Rasool Chapter 2 Section C</w:t>
      </w:r>
      <w:r>
        <w:rPr>
          <w:sz w:val="24"/>
          <w:szCs w:val="24"/>
        </w:rPr>
        <w:t>,</w:t>
      </w:r>
      <w:r w:rsidRPr="00C926A1">
        <w:rPr>
          <w:sz w:val="24"/>
          <w:szCs w:val="24"/>
        </w:rPr>
        <w:t xml:space="preserve"> Monitoring and Evaluation Plan</w:t>
      </w:r>
      <w:r>
        <w:rPr>
          <w:sz w:val="24"/>
          <w:szCs w:val="24"/>
        </w:rPr>
        <w:t xml:space="preserve"> </w:t>
      </w:r>
      <w:r w:rsidRPr="00121625">
        <w:rPr>
          <w:sz w:val="24"/>
          <w:szCs w:val="24"/>
        </w:rPr>
        <w:t xml:space="preserve">and will leverage existing reports such as the semi-annual Power </w:t>
      </w:r>
      <w:r>
        <w:rPr>
          <w:sz w:val="24"/>
          <w:szCs w:val="24"/>
        </w:rPr>
        <w:t>Your Drive report</w:t>
      </w:r>
      <w:r w:rsidRPr="00C926A1">
        <w:rPr>
          <w:sz w:val="24"/>
          <w:szCs w:val="24"/>
        </w:rPr>
        <w:t>.  Participants will be encouraged to reduce their carbon intensity of electricity used for charging through the education program and Load Management plan described in Chapter 2 (pages HJR-15 to HJR-16).  Customer will optimize their fuel costs through price signals provided in existing applicable commercial rates selected by the customer.</w:t>
      </w:r>
    </w:p>
    <w:p w14:paraId="2AB8DCCC" w14:textId="77777777" w:rsidR="00D33BAB" w:rsidRPr="009519A2" w:rsidRDefault="00D33BAB" w:rsidP="007C383F">
      <w:pPr>
        <w:pStyle w:val="ListParagraph"/>
        <w:tabs>
          <w:tab w:val="left" w:pos="1134"/>
        </w:tabs>
        <w:spacing w:line="280" w:lineRule="atLeast"/>
        <w:rPr>
          <w:sz w:val="24"/>
          <w:szCs w:val="24"/>
        </w:rPr>
      </w:pPr>
    </w:p>
    <w:p w14:paraId="63A088DD" w14:textId="77777777" w:rsidR="007C383F" w:rsidRPr="00685BFA" w:rsidRDefault="007C383F" w:rsidP="007C383F">
      <w:pPr>
        <w:pStyle w:val="ListParagraph"/>
        <w:numPr>
          <w:ilvl w:val="0"/>
          <w:numId w:val="1"/>
        </w:numPr>
        <w:tabs>
          <w:tab w:val="left" w:pos="1134"/>
        </w:tabs>
        <w:spacing w:line="280" w:lineRule="atLeast"/>
        <w:rPr>
          <w:sz w:val="24"/>
          <w:szCs w:val="24"/>
        </w:rPr>
      </w:pPr>
      <w:r w:rsidRPr="009519A2">
        <w:rPr>
          <w:sz w:val="24"/>
          <w:szCs w:val="24"/>
        </w:rPr>
        <w:lastRenderedPageBreak/>
        <w:t xml:space="preserve">In SDG&amp;E’s testimony, Ch.7 JCM-6, SDG&amp;E states that it utilized the Argonne National Lab GREET model to derive Well-to-Tank emission estimates. </w:t>
      </w:r>
    </w:p>
    <w:p w14:paraId="20AF630C" w14:textId="77777777" w:rsidR="007C383F" w:rsidRDefault="007C383F" w:rsidP="007C383F">
      <w:pPr>
        <w:pStyle w:val="ListParagraph"/>
        <w:numPr>
          <w:ilvl w:val="1"/>
          <w:numId w:val="1"/>
        </w:numPr>
        <w:tabs>
          <w:tab w:val="left" w:pos="1134"/>
        </w:tabs>
        <w:spacing w:line="280" w:lineRule="atLeast"/>
        <w:rPr>
          <w:sz w:val="24"/>
          <w:szCs w:val="24"/>
        </w:rPr>
      </w:pPr>
      <w:r w:rsidRPr="009519A2">
        <w:rPr>
          <w:sz w:val="24"/>
          <w:szCs w:val="24"/>
        </w:rPr>
        <w:t xml:space="preserve">Please indicate whether or not the California-specific CA-GREET model was considered. </w:t>
      </w:r>
    </w:p>
    <w:p w14:paraId="03779842" w14:textId="77777777" w:rsidR="007C383F" w:rsidRDefault="007C383F" w:rsidP="007C383F">
      <w:pPr>
        <w:pStyle w:val="ListParagraph"/>
        <w:numPr>
          <w:ilvl w:val="1"/>
          <w:numId w:val="1"/>
        </w:numPr>
        <w:tabs>
          <w:tab w:val="left" w:pos="1134"/>
        </w:tabs>
        <w:spacing w:line="280" w:lineRule="atLeast"/>
        <w:rPr>
          <w:sz w:val="24"/>
          <w:szCs w:val="24"/>
        </w:rPr>
      </w:pPr>
      <w:r>
        <w:rPr>
          <w:sz w:val="24"/>
          <w:szCs w:val="24"/>
        </w:rPr>
        <w:t>If CA-GREET</w:t>
      </w:r>
      <w:r w:rsidRPr="009519A2">
        <w:rPr>
          <w:sz w:val="24"/>
          <w:szCs w:val="24"/>
        </w:rPr>
        <w:t xml:space="preserve"> was considered, please provide any workpapers used to determine the benefits of utilizing one model versus the other. </w:t>
      </w:r>
    </w:p>
    <w:p w14:paraId="1E18C7BD" w14:textId="77777777" w:rsidR="007C383F" w:rsidRDefault="007C383F" w:rsidP="007C383F">
      <w:pPr>
        <w:pStyle w:val="ListParagraph"/>
        <w:numPr>
          <w:ilvl w:val="1"/>
          <w:numId w:val="1"/>
        </w:numPr>
        <w:tabs>
          <w:tab w:val="left" w:pos="1134"/>
        </w:tabs>
        <w:spacing w:line="280" w:lineRule="atLeast"/>
        <w:rPr>
          <w:sz w:val="24"/>
          <w:szCs w:val="24"/>
        </w:rPr>
      </w:pPr>
      <w:r>
        <w:rPr>
          <w:sz w:val="24"/>
          <w:szCs w:val="24"/>
        </w:rPr>
        <w:t>If CA-GREET</w:t>
      </w:r>
      <w:r w:rsidRPr="009519A2">
        <w:rPr>
          <w:sz w:val="24"/>
          <w:szCs w:val="24"/>
        </w:rPr>
        <w:t xml:space="preserve"> was not considered, please provide an explanation as to why. </w:t>
      </w:r>
    </w:p>
    <w:p w14:paraId="37B35422" w14:textId="77777777" w:rsidR="007C383F" w:rsidRPr="009519A2" w:rsidRDefault="007C383F" w:rsidP="007C383F">
      <w:pPr>
        <w:pStyle w:val="ListParagraph"/>
        <w:numPr>
          <w:ilvl w:val="1"/>
          <w:numId w:val="1"/>
        </w:numPr>
        <w:tabs>
          <w:tab w:val="left" w:pos="1134"/>
        </w:tabs>
        <w:spacing w:line="280" w:lineRule="atLeast"/>
        <w:rPr>
          <w:sz w:val="24"/>
          <w:szCs w:val="24"/>
        </w:rPr>
      </w:pPr>
      <w:r w:rsidRPr="009519A2">
        <w:rPr>
          <w:sz w:val="24"/>
          <w:szCs w:val="24"/>
        </w:rPr>
        <w:t>Additionally, please provide a list of any other models considered for the purposes of determining emission estimates.</w:t>
      </w:r>
    </w:p>
    <w:p w14:paraId="67A02DE4" w14:textId="070D817D" w:rsidR="00C926A1" w:rsidRDefault="00C926A1" w:rsidP="007C383F">
      <w:pPr>
        <w:pStyle w:val="ListParagraph"/>
        <w:tabs>
          <w:tab w:val="left" w:pos="1134"/>
        </w:tabs>
        <w:spacing w:line="280" w:lineRule="atLeast"/>
        <w:rPr>
          <w:sz w:val="24"/>
          <w:szCs w:val="24"/>
        </w:rPr>
      </w:pPr>
    </w:p>
    <w:p w14:paraId="23D23717" w14:textId="2C2D3CFA" w:rsidR="00D33BAB" w:rsidRDefault="00D33BAB" w:rsidP="00D33BAB">
      <w:pPr>
        <w:spacing w:after="160" w:line="259" w:lineRule="auto"/>
        <w:contextualSpacing/>
        <w:rPr>
          <w:b/>
          <w:sz w:val="24"/>
          <w:szCs w:val="24"/>
        </w:rPr>
      </w:pPr>
      <w:r>
        <w:rPr>
          <w:b/>
          <w:sz w:val="24"/>
          <w:szCs w:val="24"/>
        </w:rPr>
        <w:t>Response:</w:t>
      </w:r>
    </w:p>
    <w:p w14:paraId="721C1492" w14:textId="15541E34" w:rsidR="00C926A1" w:rsidRDefault="00C926A1" w:rsidP="00C926A1">
      <w:pPr>
        <w:pStyle w:val="ListParagraph"/>
        <w:tabs>
          <w:tab w:val="left" w:pos="1134"/>
        </w:tabs>
        <w:spacing w:line="280" w:lineRule="atLeast"/>
        <w:ind w:left="0"/>
        <w:rPr>
          <w:sz w:val="24"/>
          <w:szCs w:val="24"/>
        </w:rPr>
      </w:pPr>
      <w:r w:rsidRPr="00D906A5">
        <w:rPr>
          <w:sz w:val="24"/>
          <w:szCs w:val="24"/>
        </w:rPr>
        <w:t>The California-specific CA-GREET model (20</w:t>
      </w:r>
      <w:r w:rsidR="00CB4F22">
        <w:rPr>
          <w:sz w:val="24"/>
          <w:szCs w:val="24"/>
        </w:rPr>
        <w:t>15</w:t>
      </w:r>
      <w:r w:rsidRPr="00D906A5">
        <w:rPr>
          <w:sz w:val="24"/>
          <w:szCs w:val="24"/>
        </w:rPr>
        <w:t xml:space="preserve"> CA-GREET, version </w:t>
      </w:r>
      <w:r w:rsidR="00CB4F22">
        <w:rPr>
          <w:sz w:val="24"/>
          <w:szCs w:val="24"/>
        </w:rPr>
        <w:t>2.0</w:t>
      </w:r>
      <w:r w:rsidRPr="00D906A5">
        <w:rPr>
          <w:sz w:val="24"/>
          <w:szCs w:val="24"/>
        </w:rPr>
        <w:t xml:space="preserve">) was considered for estimating Well-to-Tank emission estimates. However, the 2016 Argonne National Lab GREET model was used </w:t>
      </w:r>
      <w:r>
        <w:rPr>
          <w:sz w:val="24"/>
          <w:szCs w:val="24"/>
        </w:rPr>
        <w:t>due to its</w:t>
      </w:r>
      <w:r w:rsidRPr="00D906A5">
        <w:rPr>
          <w:sz w:val="24"/>
          <w:szCs w:val="24"/>
        </w:rPr>
        <w:t xml:space="preserve"> more recent vintage and since SDG&amp;E specific power mix </w:t>
      </w:r>
      <w:r w:rsidR="00CB4F22">
        <w:rPr>
          <w:sz w:val="24"/>
          <w:szCs w:val="24"/>
        </w:rPr>
        <w:t>was</w:t>
      </w:r>
      <w:r w:rsidRPr="00D906A5">
        <w:rPr>
          <w:sz w:val="24"/>
          <w:szCs w:val="24"/>
        </w:rPr>
        <w:t xml:space="preserve"> used.  No other models were considered for the purposes of determining Well-to-Tank emission estimates.</w:t>
      </w:r>
    </w:p>
    <w:p w14:paraId="5E890EDF" w14:textId="77777777" w:rsidR="00C926A1" w:rsidRPr="00D33BAB" w:rsidRDefault="00C926A1" w:rsidP="00D33BAB">
      <w:pPr>
        <w:spacing w:after="160" w:line="259" w:lineRule="auto"/>
        <w:contextualSpacing/>
        <w:rPr>
          <w:b/>
          <w:sz w:val="24"/>
          <w:szCs w:val="24"/>
        </w:rPr>
      </w:pPr>
    </w:p>
    <w:p w14:paraId="0CA151F7" w14:textId="77777777" w:rsidR="00D33BAB" w:rsidRPr="009519A2" w:rsidRDefault="00D33BAB" w:rsidP="007C383F">
      <w:pPr>
        <w:pStyle w:val="ListParagraph"/>
        <w:tabs>
          <w:tab w:val="left" w:pos="1134"/>
        </w:tabs>
        <w:spacing w:line="280" w:lineRule="atLeast"/>
        <w:rPr>
          <w:sz w:val="24"/>
          <w:szCs w:val="24"/>
        </w:rPr>
      </w:pPr>
    </w:p>
    <w:p w14:paraId="67A3A3FB" w14:textId="77777777" w:rsidR="007C383F" w:rsidRDefault="007C383F" w:rsidP="007C383F">
      <w:pPr>
        <w:pStyle w:val="ListParagraph"/>
        <w:numPr>
          <w:ilvl w:val="0"/>
          <w:numId w:val="1"/>
        </w:numPr>
        <w:tabs>
          <w:tab w:val="left" w:pos="1134"/>
        </w:tabs>
        <w:spacing w:line="280" w:lineRule="atLeast"/>
        <w:rPr>
          <w:sz w:val="24"/>
          <w:szCs w:val="24"/>
        </w:rPr>
      </w:pPr>
      <w:r w:rsidRPr="009519A2">
        <w:rPr>
          <w:sz w:val="24"/>
          <w:szCs w:val="24"/>
        </w:rPr>
        <w:t>How many vehicles is SDG&amp;E assuming it can electrify per charger in developing its cost and emission estimates? Please provide an explanation as to why SDG&amp;E makes these assumptions.</w:t>
      </w:r>
    </w:p>
    <w:p w14:paraId="0BD6B179" w14:textId="409DC25C" w:rsidR="007C383F" w:rsidRDefault="007C383F" w:rsidP="007C383F">
      <w:pPr>
        <w:pStyle w:val="ListParagraph"/>
        <w:tabs>
          <w:tab w:val="left" w:pos="1134"/>
        </w:tabs>
        <w:spacing w:line="280" w:lineRule="atLeast"/>
        <w:rPr>
          <w:sz w:val="24"/>
          <w:szCs w:val="24"/>
        </w:rPr>
      </w:pPr>
    </w:p>
    <w:p w14:paraId="583BB9F6" w14:textId="3045324F" w:rsidR="00D33BAB" w:rsidRDefault="00D33BAB" w:rsidP="00D33BAB">
      <w:pPr>
        <w:spacing w:after="160" w:line="259" w:lineRule="auto"/>
        <w:contextualSpacing/>
        <w:rPr>
          <w:b/>
          <w:sz w:val="24"/>
          <w:szCs w:val="24"/>
        </w:rPr>
      </w:pPr>
      <w:r>
        <w:rPr>
          <w:b/>
          <w:sz w:val="24"/>
          <w:szCs w:val="24"/>
        </w:rPr>
        <w:t>Response:</w:t>
      </w:r>
    </w:p>
    <w:p w14:paraId="69A7C39C" w14:textId="4ED6F723" w:rsidR="00A076FF" w:rsidRDefault="00A076FF" w:rsidP="00D33BAB">
      <w:pPr>
        <w:spacing w:after="160" w:line="259" w:lineRule="auto"/>
        <w:contextualSpacing/>
        <w:rPr>
          <w:sz w:val="24"/>
          <w:szCs w:val="24"/>
        </w:rPr>
      </w:pPr>
      <w:r>
        <w:rPr>
          <w:sz w:val="24"/>
          <w:szCs w:val="24"/>
        </w:rPr>
        <w:t>A conservative ratio of one charger per vehicle was taken.  This is du</w:t>
      </w:r>
      <w:r w:rsidR="001A0971">
        <w:rPr>
          <w:sz w:val="24"/>
          <w:szCs w:val="24"/>
        </w:rPr>
        <w:t>e to the fact that many of the</w:t>
      </w:r>
      <w:r>
        <w:rPr>
          <w:sz w:val="24"/>
          <w:szCs w:val="24"/>
        </w:rPr>
        <w:t xml:space="preserve"> commercial vehicles will be in operation during the day and only be able to charge at night.  Therefore</w:t>
      </w:r>
      <w:r w:rsidR="001A0971">
        <w:rPr>
          <w:sz w:val="24"/>
          <w:szCs w:val="24"/>
        </w:rPr>
        <w:t>,</w:t>
      </w:r>
      <w:r>
        <w:rPr>
          <w:sz w:val="24"/>
          <w:szCs w:val="24"/>
        </w:rPr>
        <w:t xml:space="preserve"> they will each need their own charging port.  </w:t>
      </w:r>
    </w:p>
    <w:p w14:paraId="1BFE53B1" w14:textId="06DD7277" w:rsidR="00011D6C" w:rsidRDefault="00011D6C" w:rsidP="00D33BAB">
      <w:pPr>
        <w:spacing w:after="160" w:line="259" w:lineRule="auto"/>
        <w:contextualSpacing/>
        <w:rPr>
          <w:sz w:val="24"/>
          <w:szCs w:val="24"/>
        </w:rPr>
      </w:pPr>
    </w:p>
    <w:p w14:paraId="787CE571" w14:textId="06A37F31" w:rsidR="00011D6C" w:rsidRDefault="00011D6C" w:rsidP="00D33BAB">
      <w:pPr>
        <w:spacing w:after="160" w:line="259" w:lineRule="auto"/>
        <w:contextualSpacing/>
        <w:rPr>
          <w:sz w:val="24"/>
          <w:szCs w:val="24"/>
        </w:rPr>
      </w:pPr>
      <w:r>
        <w:rPr>
          <w:sz w:val="24"/>
          <w:szCs w:val="24"/>
        </w:rPr>
        <w:t xml:space="preserve">The on-route fast chargers are expected to support more than one vehicle per charger. </w:t>
      </w:r>
    </w:p>
    <w:p w14:paraId="49532E93" w14:textId="77777777" w:rsidR="00011D6C" w:rsidRPr="00A076FF" w:rsidRDefault="00011D6C" w:rsidP="00D33BAB">
      <w:pPr>
        <w:spacing w:after="160" w:line="259" w:lineRule="auto"/>
        <w:contextualSpacing/>
        <w:rPr>
          <w:sz w:val="24"/>
          <w:szCs w:val="24"/>
        </w:rPr>
      </w:pPr>
    </w:p>
    <w:p w14:paraId="7F36111E" w14:textId="77777777" w:rsidR="00D33BAB" w:rsidRDefault="00D33BAB" w:rsidP="007C383F">
      <w:pPr>
        <w:pStyle w:val="ListParagraph"/>
        <w:tabs>
          <w:tab w:val="left" w:pos="1134"/>
        </w:tabs>
        <w:spacing w:line="280" w:lineRule="atLeast"/>
        <w:rPr>
          <w:sz w:val="24"/>
          <w:szCs w:val="24"/>
        </w:rPr>
      </w:pPr>
    </w:p>
    <w:p w14:paraId="466327E7" w14:textId="77777777" w:rsidR="007C383F" w:rsidRPr="0072482F" w:rsidRDefault="007C383F" w:rsidP="007C383F">
      <w:pPr>
        <w:pStyle w:val="ListParagraph"/>
        <w:numPr>
          <w:ilvl w:val="0"/>
          <w:numId w:val="1"/>
        </w:numPr>
        <w:tabs>
          <w:tab w:val="left" w:pos="1134"/>
        </w:tabs>
        <w:spacing w:line="280" w:lineRule="atLeast"/>
        <w:rPr>
          <w:sz w:val="24"/>
          <w:szCs w:val="24"/>
        </w:rPr>
      </w:pPr>
      <w:bookmarkStart w:id="4" w:name="_Hlk516216896"/>
      <w:r w:rsidRPr="0072482F">
        <w:rPr>
          <w:sz w:val="24"/>
          <w:szCs w:val="24"/>
        </w:rPr>
        <w:t>Please provide the workpapers or data sources used to develop SCE’s cost estimates in A18-01-012 ORA_SDGE_DR1, worksheet: “Final - Confidential - Unredacted - MD HD Cost Estimate 50 Percent utility ownership.” If data from SDG&amp;E’s Power Your Drive program were used, provide all installation cost data and assumptions used from SDG&amp;E’s Power Your Drive program to date.</w:t>
      </w:r>
    </w:p>
    <w:bookmarkEnd w:id="4"/>
    <w:p w14:paraId="64FEA48E" w14:textId="77777777" w:rsidR="007C383F" w:rsidRDefault="007C383F" w:rsidP="007C383F">
      <w:pPr>
        <w:pStyle w:val="ListParagraph"/>
        <w:tabs>
          <w:tab w:val="left" w:pos="1134"/>
        </w:tabs>
        <w:spacing w:line="280" w:lineRule="atLeast"/>
        <w:rPr>
          <w:sz w:val="24"/>
          <w:szCs w:val="24"/>
        </w:rPr>
      </w:pPr>
    </w:p>
    <w:p w14:paraId="17FBBB0C" w14:textId="77777777" w:rsidR="007C383F" w:rsidRPr="003A5DEC" w:rsidRDefault="007C383F" w:rsidP="007C383F">
      <w:pPr>
        <w:tabs>
          <w:tab w:val="left" w:pos="1134"/>
        </w:tabs>
        <w:spacing w:line="280" w:lineRule="atLeast"/>
        <w:rPr>
          <w:sz w:val="24"/>
          <w:szCs w:val="24"/>
        </w:rPr>
      </w:pPr>
    </w:p>
    <w:p w14:paraId="4B5B7E41" w14:textId="5EC2E029" w:rsidR="007C383F" w:rsidRDefault="00D33BAB" w:rsidP="00C23F24">
      <w:pPr>
        <w:spacing w:after="160" w:line="259" w:lineRule="auto"/>
        <w:contextualSpacing/>
        <w:rPr>
          <w:b/>
          <w:sz w:val="24"/>
          <w:szCs w:val="24"/>
        </w:rPr>
      </w:pPr>
      <w:r>
        <w:rPr>
          <w:b/>
          <w:sz w:val="24"/>
          <w:szCs w:val="24"/>
        </w:rPr>
        <w:t>Response:</w:t>
      </w:r>
    </w:p>
    <w:p w14:paraId="751E658D" w14:textId="2C7DB046" w:rsidR="00C23F24" w:rsidRDefault="00C23F24" w:rsidP="00C23F24">
      <w:pPr>
        <w:spacing w:after="160" w:line="259" w:lineRule="auto"/>
        <w:contextualSpacing/>
        <w:rPr>
          <w:sz w:val="24"/>
          <w:szCs w:val="24"/>
        </w:rPr>
      </w:pPr>
      <w:r>
        <w:rPr>
          <w:sz w:val="24"/>
          <w:szCs w:val="24"/>
        </w:rPr>
        <w:lastRenderedPageBreak/>
        <w:t>The workpapers were provided in the tabs of</w:t>
      </w:r>
      <w:r w:rsidR="00794312">
        <w:rPr>
          <w:sz w:val="24"/>
          <w:szCs w:val="24"/>
        </w:rPr>
        <w:t xml:space="preserve"> the Excel document</w:t>
      </w:r>
      <w:r>
        <w:rPr>
          <w:sz w:val="24"/>
          <w:szCs w:val="24"/>
        </w:rPr>
        <w:t xml:space="preserve"> </w:t>
      </w:r>
      <w:r w:rsidRPr="00C23F24">
        <w:rPr>
          <w:sz w:val="24"/>
          <w:szCs w:val="24"/>
        </w:rPr>
        <w:t>“Final - Confidential - Unredacted - MD HD Cost Estimate 50 Percent utility ownership.”</w:t>
      </w:r>
      <w:r>
        <w:rPr>
          <w:sz w:val="24"/>
          <w:szCs w:val="24"/>
        </w:rPr>
        <w:t xml:space="preserve">  </w:t>
      </w:r>
      <w:r w:rsidRPr="000648BB">
        <w:rPr>
          <w:sz w:val="24"/>
          <w:szCs w:val="24"/>
        </w:rPr>
        <w:t>Please provide clarification on what other informati</w:t>
      </w:r>
      <w:r w:rsidR="000648BB">
        <w:rPr>
          <w:sz w:val="24"/>
          <w:szCs w:val="24"/>
        </w:rPr>
        <w:t>on is sought in response to the</w:t>
      </w:r>
      <w:r w:rsidRPr="000648BB">
        <w:rPr>
          <w:sz w:val="24"/>
          <w:szCs w:val="24"/>
        </w:rPr>
        <w:t xml:space="preserve"> cost estimate.</w:t>
      </w:r>
      <w:r>
        <w:rPr>
          <w:sz w:val="24"/>
          <w:szCs w:val="24"/>
        </w:rPr>
        <w:t xml:space="preserve">  </w:t>
      </w:r>
    </w:p>
    <w:p w14:paraId="2996A179" w14:textId="238A124A" w:rsidR="00C23F24" w:rsidRDefault="00C23F24" w:rsidP="00C23F24">
      <w:pPr>
        <w:spacing w:after="160" w:line="259" w:lineRule="auto"/>
        <w:contextualSpacing/>
        <w:rPr>
          <w:sz w:val="24"/>
          <w:szCs w:val="24"/>
        </w:rPr>
      </w:pPr>
    </w:p>
    <w:p w14:paraId="02EC59AF" w14:textId="4E5112B9" w:rsidR="00C23F24" w:rsidRPr="00C23F24" w:rsidRDefault="00C23F24" w:rsidP="00C23F24">
      <w:pPr>
        <w:spacing w:after="160" w:line="259" w:lineRule="auto"/>
        <w:contextualSpacing/>
        <w:rPr>
          <w:sz w:val="24"/>
          <w:szCs w:val="24"/>
        </w:rPr>
      </w:pPr>
      <w:r>
        <w:rPr>
          <w:sz w:val="24"/>
          <w:szCs w:val="24"/>
        </w:rPr>
        <w:t xml:space="preserve">Power Your Drive, </w:t>
      </w:r>
      <w:r w:rsidR="000648BB">
        <w:rPr>
          <w:sz w:val="24"/>
          <w:szCs w:val="24"/>
        </w:rPr>
        <w:t xml:space="preserve">which </w:t>
      </w:r>
      <w:r>
        <w:rPr>
          <w:sz w:val="24"/>
          <w:szCs w:val="24"/>
        </w:rPr>
        <w:t>focused on light-duty vehicles in workplaces and multi-unit dwellings, and medium-duty / heavy-duty EV infrastructure have many differences.</w:t>
      </w:r>
      <w:r w:rsidR="00794312">
        <w:rPr>
          <w:sz w:val="24"/>
          <w:szCs w:val="24"/>
        </w:rPr>
        <w:t xml:space="preserve">  </w:t>
      </w:r>
      <w:r w:rsidR="000648BB">
        <w:rPr>
          <w:sz w:val="24"/>
          <w:szCs w:val="24"/>
        </w:rPr>
        <w:t>However, p</w:t>
      </w:r>
      <w:r w:rsidR="00794312">
        <w:rPr>
          <w:sz w:val="24"/>
          <w:szCs w:val="24"/>
        </w:rPr>
        <w:t xml:space="preserve">ermitting costs for PYD were used as a data source for the MD/HD application.  The majority of costs used to estimate the budget were derived from construction costs and estimates such as </w:t>
      </w:r>
      <w:r w:rsidR="000648BB">
        <w:rPr>
          <w:sz w:val="24"/>
          <w:szCs w:val="24"/>
        </w:rPr>
        <w:t xml:space="preserve">the cost of a general foreman, saw cutting, etc. </w:t>
      </w:r>
    </w:p>
    <w:p w14:paraId="10076DF1" w14:textId="77777777" w:rsidR="007C383F" w:rsidRDefault="007C383F" w:rsidP="007C383F">
      <w:pPr>
        <w:rPr>
          <w:sz w:val="24"/>
          <w:szCs w:val="24"/>
        </w:rPr>
      </w:pPr>
    </w:p>
    <w:p w14:paraId="729D93F6" w14:textId="77777777" w:rsidR="00623101" w:rsidRDefault="00623101"/>
    <w:sectPr w:rsidR="0062310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C1090" w14:textId="77777777" w:rsidR="003E5D5D" w:rsidRDefault="003E5D5D" w:rsidP="003E5D5D">
      <w:r>
        <w:separator/>
      </w:r>
    </w:p>
  </w:endnote>
  <w:endnote w:type="continuationSeparator" w:id="0">
    <w:p w14:paraId="3D0F3206" w14:textId="77777777" w:rsidR="003E5D5D" w:rsidRDefault="003E5D5D" w:rsidP="003E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DF40" w14:textId="77777777" w:rsidR="00A20ACC" w:rsidRDefault="00A20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06732" w14:textId="77777777" w:rsidR="00A20ACC" w:rsidRDefault="00A20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B620" w14:textId="77777777" w:rsidR="00A20ACC" w:rsidRDefault="00A20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64679" w14:textId="77777777" w:rsidR="003E5D5D" w:rsidRDefault="003E5D5D" w:rsidP="003E5D5D">
      <w:r>
        <w:separator/>
      </w:r>
    </w:p>
  </w:footnote>
  <w:footnote w:type="continuationSeparator" w:id="0">
    <w:p w14:paraId="0B2C478C" w14:textId="77777777" w:rsidR="003E5D5D" w:rsidRDefault="003E5D5D" w:rsidP="003E5D5D">
      <w:r>
        <w:continuationSeparator/>
      </w:r>
    </w:p>
  </w:footnote>
  <w:footnote w:id="1">
    <w:p w14:paraId="44C4E4C7" w14:textId="77777777" w:rsidR="007C383F" w:rsidRDefault="007C383F" w:rsidP="007C383F">
      <w:pPr>
        <w:pStyle w:val="FootnoteText"/>
      </w:pPr>
      <w:r>
        <w:rPr>
          <w:rStyle w:val="FootnoteReference"/>
        </w:rPr>
        <w:footnoteRef/>
      </w:r>
      <w:r>
        <w:t xml:space="preserve"> SDG&amp;E Testimony Chapter 2 p. 11.</w:t>
      </w:r>
    </w:p>
  </w:footnote>
  <w:footnote w:id="2">
    <w:p w14:paraId="50897DE2" w14:textId="77777777" w:rsidR="007C383F" w:rsidRDefault="007C383F" w:rsidP="007C383F">
      <w:pPr>
        <w:pStyle w:val="FootnoteText"/>
      </w:pPr>
      <w:r>
        <w:rPr>
          <w:rStyle w:val="FootnoteReference"/>
        </w:rPr>
        <w:footnoteRef/>
      </w:r>
      <w:r>
        <w:t xml:space="preserve"> </w:t>
      </w:r>
      <w:hyperlink r:id="rId1" w:history="1">
        <w:r w:rsidRPr="00D91988">
          <w:rPr>
            <w:rStyle w:val="Hyperlink"/>
          </w:rPr>
          <w:t>https://www.californiahvip.org/about/</w:t>
        </w:r>
      </w:hyperlink>
      <w:r>
        <w:t xml:space="preserve"> </w:t>
      </w:r>
    </w:p>
  </w:footnote>
  <w:footnote w:id="3">
    <w:p w14:paraId="45AF2DE7" w14:textId="77777777" w:rsidR="007C383F" w:rsidRDefault="007C383F" w:rsidP="007C383F">
      <w:pPr>
        <w:pStyle w:val="FootnoteText"/>
      </w:pPr>
      <w:r>
        <w:rPr>
          <w:rStyle w:val="FootnoteReference"/>
        </w:rPr>
        <w:footnoteRef/>
      </w:r>
      <w:r>
        <w:t xml:space="preserve"> From </w:t>
      </w:r>
      <w:hyperlink r:id="rId2" w:history="1">
        <w:r w:rsidRPr="0032008B">
          <w:rPr>
            <w:rStyle w:val="Hyperlink"/>
          </w:rPr>
          <w:t>https://www.afdc.energy.gov/data/10380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FEBD" w14:textId="77777777" w:rsidR="00A20ACC" w:rsidRDefault="00A20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1076" w14:textId="77777777" w:rsidR="003E5D5D" w:rsidRDefault="003E5D5D" w:rsidP="003E5D5D">
    <w:pPr>
      <w:pStyle w:val="Default"/>
      <w:jc w:val="center"/>
      <w:rPr>
        <w:b/>
        <w:bCs/>
        <w:sz w:val="23"/>
        <w:szCs w:val="23"/>
      </w:rPr>
    </w:pPr>
    <w:r>
      <w:rPr>
        <w:b/>
        <w:bCs/>
        <w:sz w:val="23"/>
        <w:szCs w:val="23"/>
      </w:rPr>
      <w:t xml:space="preserve">ORA DATA REQUEST </w:t>
    </w:r>
  </w:p>
  <w:p w14:paraId="222173C2" w14:textId="77777777" w:rsidR="003E5D5D" w:rsidRDefault="003E5D5D" w:rsidP="003E5D5D">
    <w:pPr>
      <w:pStyle w:val="Default"/>
      <w:jc w:val="center"/>
      <w:rPr>
        <w:b/>
        <w:bCs/>
        <w:sz w:val="23"/>
        <w:szCs w:val="23"/>
      </w:rPr>
    </w:pPr>
    <w:r>
      <w:rPr>
        <w:b/>
        <w:bCs/>
        <w:sz w:val="23"/>
        <w:szCs w:val="23"/>
      </w:rPr>
      <w:t>ORA-SDG&amp;E-DR-02</w:t>
    </w:r>
  </w:p>
  <w:p w14:paraId="78629ABC" w14:textId="77777777" w:rsidR="003E5D5D" w:rsidRDefault="003E5D5D" w:rsidP="003E5D5D">
    <w:pPr>
      <w:pStyle w:val="Default"/>
      <w:jc w:val="center"/>
      <w:rPr>
        <w:b/>
        <w:bCs/>
        <w:sz w:val="23"/>
        <w:szCs w:val="23"/>
      </w:rPr>
    </w:pPr>
    <w:r>
      <w:rPr>
        <w:b/>
        <w:bCs/>
        <w:sz w:val="23"/>
        <w:szCs w:val="23"/>
      </w:rPr>
      <w:t xml:space="preserve">SDG&amp;E TRANSPORTATION ELECTRIFICATION MD/HD and V2G PROPOSALS (A.18-01-012) </w:t>
    </w:r>
  </w:p>
  <w:p w14:paraId="79D72683" w14:textId="77777777" w:rsidR="003E5D5D" w:rsidRDefault="003E5D5D" w:rsidP="003E5D5D">
    <w:pPr>
      <w:pStyle w:val="Default"/>
      <w:jc w:val="center"/>
      <w:rPr>
        <w:b/>
        <w:bCs/>
        <w:sz w:val="23"/>
        <w:szCs w:val="23"/>
      </w:rPr>
    </w:pPr>
    <w:r>
      <w:rPr>
        <w:b/>
        <w:bCs/>
        <w:sz w:val="23"/>
        <w:szCs w:val="23"/>
      </w:rPr>
      <w:t xml:space="preserve">SDG&amp;E RESPONSE </w:t>
    </w:r>
  </w:p>
  <w:p w14:paraId="4DED787C" w14:textId="77777777" w:rsidR="003E5D5D" w:rsidRDefault="003E5D5D" w:rsidP="003E5D5D">
    <w:pPr>
      <w:pStyle w:val="Default"/>
      <w:jc w:val="center"/>
      <w:rPr>
        <w:b/>
        <w:bCs/>
        <w:sz w:val="23"/>
        <w:szCs w:val="23"/>
      </w:rPr>
    </w:pPr>
    <w:r>
      <w:rPr>
        <w:b/>
        <w:bCs/>
        <w:sz w:val="23"/>
        <w:szCs w:val="23"/>
      </w:rPr>
      <w:t xml:space="preserve">DATE RECEIVED: May 29, 2018 </w:t>
    </w:r>
  </w:p>
  <w:p w14:paraId="2A34017E" w14:textId="2A3D64E5" w:rsidR="003E5D5D" w:rsidRDefault="00A20ACC" w:rsidP="003E5D5D">
    <w:pPr>
      <w:pStyle w:val="Default"/>
      <w:jc w:val="center"/>
      <w:rPr>
        <w:b/>
        <w:bCs/>
        <w:color w:val="C00000"/>
        <w:sz w:val="23"/>
        <w:szCs w:val="23"/>
      </w:rPr>
    </w:pPr>
    <w:r>
      <w:rPr>
        <w:b/>
        <w:bCs/>
        <w:sz w:val="23"/>
        <w:szCs w:val="23"/>
      </w:rPr>
      <w:t>DATE RESPONDED: June 19</w:t>
    </w:r>
    <w:bookmarkStart w:id="5" w:name="_GoBack"/>
    <w:bookmarkEnd w:id="5"/>
    <w:r w:rsidR="003E5D5D" w:rsidRPr="00B7571C">
      <w:rPr>
        <w:b/>
        <w:bCs/>
        <w:sz w:val="23"/>
        <w:szCs w:val="23"/>
      </w:rPr>
      <w:t>, 2018</w:t>
    </w:r>
  </w:p>
  <w:p w14:paraId="282A0D73" w14:textId="77777777" w:rsidR="003E5D5D" w:rsidRDefault="003E5D5D">
    <w:pPr>
      <w:pStyle w:val="Header"/>
    </w:pPr>
  </w:p>
  <w:p w14:paraId="7052C3F9" w14:textId="77777777" w:rsidR="003E5D5D" w:rsidRDefault="003E5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0F68" w14:textId="77777777" w:rsidR="00A20ACC" w:rsidRDefault="00A20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C1965"/>
    <w:multiLevelType w:val="hybridMultilevel"/>
    <w:tmpl w:val="F2CAC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591309"/>
    <w:multiLevelType w:val="hybridMultilevel"/>
    <w:tmpl w:val="FB6E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707F0"/>
    <w:multiLevelType w:val="hybridMultilevel"/>
    <w:tmpl w:val="ED742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C79A5"/>
    <w:multiLevelType w:val="hybridMultilevel"/>
    <w:tmpl w:val="E90610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751C24"/>
    <w:multiLevelType w:val="hybridMultilevel"/>
    <w:tmpl w:val="A4469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370F59"/>
    <w:multiLevelType w:val="hybridMultilevel"/>
    <w:tmpl w:val="0E6CC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5D"/>
    <w:rsid w:val="00011D6C"/>
    <w:rsid w:val="00032A32"/>
    <w:rsid w:val="00041C7A"/>
    <w:rsid w:val="000648BB"/>
    <w:rsid w:val="00097539"/>
    <w:rsid w:val="000C42D2"/>
    <w:rsid w:val="00121625"/>
    <w:rsid w:val="00126670"/>
    <w:rsid w:val="00161C70"/>
    <w:rsid w:val="001A0971"/>
    <w:rsid w:val="001A2C9A"/>
    <w:rsid w:val="001B4B58"/>
    <w:rsid w:val="00203030"/>
    <w:rsid w:val="002242A9"/>
    <w:rsid w:val="002540EE"/>
    <w:rsid w:val="002623C1"/>
    <w:rsid w:val="002841E3"/>
    <w:rsid w:val="00360ED1"/>
    <w:rsid w:val="003709A2"/>
    <w:rsid w:val="003D477A"/>
    <w:rsid w:val="003E5D5D"/>
    <w:rsid w:val="004C463C"/>
    <w:rsid w:val="004D0FE0"/>
    <w:rsid w:val="004D638F"/>
    <w:rsid w:val="00504E8E"/>
    <w:rsid w:val="00534424"/>
    <w:rsid w:val="005467E0"/>
    <w:rsid w:val="00550D12"/>
    <w:rsid w:val="00560A4D"/>
    <w:rsid w:val="0056717F"/>
    <w:rsid w:val="00583E6B"/>
    <w:rsid w:val="00623101"/>
    <w:rsid w:val="006723F7"/>
    <w:rsid w:val="00716AB6"/>
    <w:rsid w:val="00746BFF"/>
    <w:rsid w:val="0074767B"/>
    <w:rsid w:val="00767554"/>
    <w:rsid w:val="00794312"/>
    <w:rsid w:val="007A41B9"/>
    <w:rsid w:val="007C383F"/>
    <w:rsid w:val="007D2464"/>
    <w:rsid w:val="007F5801"/>
    <w:rsid w:val="008E04B6"/>
    <w:rsid w:val="008F2928"/>
    <w:rsid w:val="00975C17"/>
    <w:rsid w:val="009843AA"/>
    <w:rsid w:val="00A076FF"/>
    <w:rsid w:val="00A17567"/>
    <w:rsid w:val="00A20ACC"/>
    <w:rsid w:val="00AB4F39"/>
    <w:rsid w:val="00B71606"/>
    <w:rsid w:val="00C23F24"/>
    <w:rsid w:val="00C41DEC"/>
    <w:rsid w:val="00C54C0C"/>
    <w:rsid w:val="00C926A1"/>
    <w:rsid w:val="00C962F7"/>
    <w:rsid w:val="00CB4F22"/>
    <w:rsid w:val="00D078FF"/>
    <w:rsid w:val="00D13B00"/>
    <w:rsid w:val="00D32177"/>
    <w:rsid w:val="00D33BAB"/>
    <w:rsid w:val="00D454B0"/>
    <w:rsid w:val="00EF136F"/>
    <w:rsid w:val="00EF648A"/>
    <w:rsid w:val="00F270B0"/>
    <w:rsid w:val="00F774B2"/>
    <w:rsid w:val="00F8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D5D3"/>
  <w15:chartTrackingRefBased/>
  <w15:docId w15:val="{EB3F50DB-7C9B-4553-8A4B-16E3E755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83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D5D"/>
    <w:pPr>
      <w:tabs>
        <w:tab w:val="center" w:pos="4680"/>
        <w:tab w:val="right" w:pos="9360"/>
      </w:tabs>
    </w:pPr>
  </w:style>
  <w:style w:type="character" w:customStyle="1" w:styleId="HeaderChar">
    <w:name w:val="Header Char"/>
    <w:basedOn w:val="DefaultParagraphFont"/>
    <w:link w:val="Header"/>
    <w:uiPriority w:val="99"/>
    <w:rsid w:val="003E5D5D"/>
  </w:style>
  <w:style w:type="paragraph" w:styleId="Footer">
    <w:name w:val="footer"/>
    <w:basedOn w:val="Normal"/>
    <w:link w:val="FooterChar"/>
    <w:uiPriority w:val="99"/>
    <w:unhideWhenUsed/>
    <w:rsid w:val="003E5D5D"/>
    <w:pPr>
      <w:tabs>
        <w:tab w:val="center" w:pos="4680"/>
        <w:tab w:val="right" w:pos="9360"/>
      </w:tabs>
    </w:pPr>
  </w:style>
  <w:style w:type="character" w:customStyle="1" w:styleId="FooterChar">
    <w:name w:val="Footer Char"/>
    <w:basedOn w:val="DefaultParagraphFont"/>
    <w:link w:val="Footer"/>
    <w:uiPriority w:val="99"/>
    <w:rsid w:val="003E5D5D"/>
  </w:style>
  <w:style w:type="paragraph" w:customStyle="1" w:styleId="Default">
    <w:name w:val="Default"/>
    <w:rsid w:val="003E5D5D"/>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character" w:styleId="Hyperlink">
    <w:name w:val="Hyperlink"/>
    <w:rsid w:val="007C383F"/>
    <w:rPr>
      <w:color w:val="0000FF"/>
      <w:u w:val="single"/>
    </w:rPr>
  </w:style>
  <w:style w:type="paragraph" w:styleId="ListParagraph">
    <w:name w:val="List Paragraph"/>
    <w:basedOn w:val="Normal"/>
    <w:uiPriority w:val="34"/>
    <w:qFormat/>
    <w:rsid w:val="007C383F"/>
    <w:pPr>
      <w:ind w:left="720"/>
    </w:pPr>
  </w:style>
  <w:style w:type="paragraph" w:styleId="FootnoteText">
    <w:name w:val="footnote text"/>
    <w:basedOn w:val="Normal"/>
    <w:link w:val="FootnoteTextChar"/>
    <w:uiPriority w:val="99"/>
    <w:semiHidden/>
    <w:unhideWhenUsed/>
    <w:rsid w:val="007C383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7C383F"/>
    <w:rPr>
      <w:sz w:val="20"/>
      <w:szCs w:val="20"/>
    </w:rPr>
  </w:style>
  <w:style w:type="character" w:styleId="FootnoteReference">
    <w:name w:val="footnote reference"/>
    <w:basedOn w:val="DefaultParagraphFont"/>
    <w:uiPriority w:val="99"/>
    <w:semiHidden/>
    <w:unhideWhenUsed/>
    <w:rsid w:val="007C383F"/>
    <w:rPr>
      <w:vertAlign w:val="superscript"/>
    </w:rPr>
  </w:style>
  <w:style w:type="character" w:styleId="UnresolvedMention">
    <w:name w:val="Unresolved Mention"/>
    <w:basedOn w:val="DefaultParagraphFont"/>
    <w:uiPriority w:val="99"/>
    <w:semiHidden/>
    <w:unhideWhenUsed/>
    <w:rsid w:val="003D477A"/>
    <w:rPr>
      <w:color w:val="808080"/>
      <w:shd w:val="clear" w:color="auto" w:fill="E6E6E6"/>
    </w:rPr>
  </w:style>
  <w:style w:type="character" w:styleId="CommentReference">
    <w:name w:val="annotation reference"/>
    <w:basedOn w:val="DefaultParagraphFont"/>
    <w:uiPriority w:val="99"/>
    <w:semiHidden/>
    <w:unhideWhenUsed/>
    <w:rsid w:val="00EF648A"/>
    <w:rPr>
      <w:sz w:val="16"/>
      <w:szCs w:val="16"/>
    </w:rPr>
  </w:style>
  <w:style w:type="paragraph" w:styleId="CommentText">
    <w:name w:val="annotation text"/>
    <w:basedOn w:val="Normal"/>
    <w:link w:val="CommentTextChar"/>
    <w:uiPriority w:val="99"/>
    <w:semiHidden/>
    <w:unhideWhenUsed/>
    <w:rsid w:val="00EF648A"/>
  </w:style>
  <w:style w:type="character" w:customStyle="1" w:styleId="CommentTextChar">
    <w:name w:val="Comment Text Char"/>
    <w:basedOn w:val="DefaultParagraphFont"/>
    <w:link w:val="CommentText"/>
    <w:uiPriority w:val="99"/>
    <w:semiHidden/>
    <w:rsid w:val="00EF64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648A"/>
    <w:rPr>
      <w:b/>
      <w:bCs/>
    </w:rPr>
  </w:style>
  <w:style w:type="character" w:customStyle="1" w:styleId="CommentSubjectChar">
    <w:name w:val="Comment Subject Char"/>
    <w:basedOn w:val="CommentTextChar"/>
    <w:link w:val="CommentSubject"/>
    <w:uiPriority w:val="99"/>
    <w:semiHidden/>
    <w:rsid w:val="00EF64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64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4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94191">
      <w:bodyDiv w:val="1"/>
      <w:marLeft w:val="0"/>
      <w:marRight w:val="0"/>
      <w:marTop w:val="0"/>
      <w:marBottom w:val="0"/>
      <w:divBdr>
        <w:top w:val="none" w:sz="0" w:space="0" w:color="auto"/>
        <w:left w:val="none" w:sz="0" w:space="0" w:color="auto"/>
        <w:bottom w:val="none" w:sz="0" w:space="0" w:color="auto"/>
        <w:right w:val="none" w:sz="0" w:space="0" w:color="auto"/>
      </w:divBdr>
    </w:div>
    <w:div w:id="205076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garchive.sdge.com/tm2/pdf/ELEC_ELEC-RULES_ERULE2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fdc.energy.gov/data/10380" TargetMode="External"/><Relationship Id="rId1" Type="http://schemas.openxmlformats.org/officeDocument/2006/relationships/hyperlink" Target="https://www.californiahvip.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F4F5D1B534F4F409E43F3440FCEE6A5" ma:contentTypeVersion="2" ma:contentTypeDescription="Create a new document." ma:contentTypeScope="" ma:versionID="ee77885ebc1da8ec38211f82471faf6f">
  <xsd:schema xmlns:xsd="http://www.w3.org/2001/XMLSchema" xmlns:xs="http://www.w3.org/2001/XMLSchema" xmlns:p="http://schemas.microsoft.com/office/2006/metadata/properties" xmlns:ns2="http://schemas.microsoft.com/sharepoint/v3/fields" xmlns:ns3="812856ba-b32e-42d6-8dd8-febfeffde699" targetNamespace="http://schemas.microsoft.com/office/2006/metadata/properties" ma:root="true" ma:fieldsID="410042db108c3f2fef7fe86dc080c360" ns2:_="" ns3:_="">
    <xsd:import namespace="http://schemas.microsoft.com/sharepoint/v3/fields"/>
    <xsd:import namespace="812856ba-b32e-42d6-8dd8-febfeffde69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856ba-b32e-42d6-8dd8-febfeffde69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2856ba-b32e-42d6-8dd8-febfeffde699">73N6EUZE7Z5T-1855833353-2379</_dlc_DocId>
    <_dlc_DocIdUrl xmlns="812856ba-b32e-42d6-8dd8-febfeffde699">
      <Url>https://sps.sdge.com/so/ci/Project 2.0/_layouts/DocIdRedir.aspx?ID=73N6EUZE7Z5T-1855833353-2379</Url>
      <Description>73N6EUZE7Z5T-1855833353-2379</Description>
    </_dlc_DocIdUrl>
    <_Version xmlns="http://schemas.microsoft.com/sharepoint/v3/fields" xsi:nil="true"/>
  </documentManagement>
</p:properties>
</file>

<file path=customXml/itemProps1.xml><?xml version="1.0" encoding="utf-8"?>
<ds:datastoreItem xmlns:ds="http://schemas.openxmlformats.org/officeDocument/2006/customXml" ds:itemID="{1AA76A70-2A48-461A-8FA4-0C051AB17ADD}">
  <ds:schemaRefs>
    <ds:schemaRef ds:uri="http://schemas.microsoft.com/sharepoint/v3/contenttype/forms"/>
  </ds:schemaRefs>
</ds:datastoreItem>
</file>

<file path=customXml/itemProps2.xml><?xml version="1.0" encoding="utf-8"?>
<ds:datastoreItem xmlns:ds="http://schemas.openxmlformats.org/officeDocument/2006/customXml" ds:itemID="{48AB8C14-F614-4B04-B57A-5C76E6B2D41B}">
  <ds:schemaRefs>
    <ds:schemaRef ds:uri="http://schemas.microsoft.com/sharepoint/events"/>
  </ds:schemaRefs>
</ds:datastoreItem>
</file>

<file path=customXml/itemProps3.xml><?xml version="1.0" encoding="utf-8"?>
<ds:datastoreItem xmlns:ds="http://schemas.openxmlformats.org/officeDocument/2006/customXml" ds:itemID="{0722A9DA-850D-469A-AC96-B2F991ED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12856ba-b32e-42d6-8dd8-febfeffde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8B8FB-3955-4205-9A1E-30EF51D2C9F6}">
  <ds:schemaRefs>
    <ds:schemaRef ds:uri="http://schemas.microsoft.com/office/2006/documentManagement/types"/>
    <ds:schemaRef ds:uri="812856ba-b32e-42d6-8dd8-febfeffde699"/>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sharepoint/v3/field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11</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Jennifer</dc:creator>
  <cp:keywords/>
  <dc:description/>
  <cp:lastModifiedBy>Kinports, Dean A.  - E&amp;FP</cp:lastModifiedBy>
  <cp:revision>39</cp:revision>
  <dcterms:created xsi:type="dcterms:W3CDTF">2018-05-30T00:29:00Z</dcterms:created>
  <dcterms:modified xsi:type="dcterms:W3CDTF">2018-06-19T21:13:00Z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ed2e90b9-63bf-49de-af79-26b16609ba32</vt:lpwstr>
  </property>
  <property fmtid="{D5CDD505-2E9C-101B-9397-08002B2CF9AE}" pid="3" name="ContentTypeId">
    <vt:lpwstr>0x0101003F4F5D1B534F4F409E43F3440FCEE6A5</vt:lpwstr>
  </property>
</Properties>
</file>