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3AF83" w14:textId="344E1003" w:rsidR="00E069A8" w:rsidRPr="00722D38" w:rsidRDefault="00E069A8" w:rsidP="00877A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530507" w14:textId="77777777" w:rsidR="008A45F5" w:rsidRPr="00722D38" w:rsidRDefault="008A45F5" w:rsidP="008A45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27C0B1" w14:textId="27FC220A" w:rsidR="00981691" w:rsidRPr="00722D38" w:rsidRDefault="00981691" w:rsidP="00981691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2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Question No. 1 </w:t>
      </w:r>
    </w:p>
    <w:p w14:paraId="5C2A66B6" w14:textId="77777777" w:rsidR="00722D38" w:rsidRPr="00722D38" w:rsidRDefault="00722D38" w:rsidP="00722D3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4"/>
          <w:szCs w:val="24"/>
        </w:rPr>
      </w:pPr>
      <w:r w:rsidRPr="00722D38">
        <w:rPr>
          <w:rFonts w:ascii="Times New Roman" w:hAnsi="Times New Roman" w:cs="Times New Roman"/>
          <w:color w:val="1A1A1A"/>
          <w:sz w:val="24"/>
          <w:szCs w:val="24"/>
        </w:rPr>
        <w:t xml:space="preserve">In Exhibit SDGE-22, the Prepared Supplemental Rebuttal Testimony of Jennifer Montanez, at page JM-13, lines 7 through 10, Ms. Montanez testifies: </w:t>
      </w:r>
    </w:p>
    <w:p w14:paraId="61B33FF0" w14:textId="77777777" w:rsidR="00722D38" w:rsidRPr="00722D38" w:rsidRDefault="00722D38" w:rsidP="00722D3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2D38">
        <w:rPr>
          <w:rFonts w:ascii="Times New Roman" w:hAnsi="Times New Roman" w:cs="Times New Roman"/>
          <w:color w:val="1A1A1A"/>
          <w:sz w:val="24"/>
          <w:szCs w:val="24"/>
        </w:rPr>
        <w:t>“</w:t>
      </w:r>
      <w:r w:rsidRPr="00722D38">
        <w:rPr>
          <w:rFonts w:ascii="Times New Roman" w:hAnsi="Times New Roman" w:cs="Times New Roman"/>
          <w:color w:val="000000"/>
          <w:sz w:val="24"/>
          <w:szCs w:val="24"/>
        </w:rPr>
        <w:t xml:space="preserve">JARP acknowledges that the overall RA avoided costs results from the participants’ load reductions in SDG&amp;E load forecast the following year, and in turn reduces SDG&amp;E’s RA obligation in the second year. However, SDG&amp;E’s system load is constantly changing from year to year. There is virtually no way to attribute system load reduction in a given year to specific customers.” [Footnotes omitted.] </w:t>
      </w:r>
      <w:bookmarkStart w:id="0" w:name="_GoBack"/>
      <w:bookmarkEnd w:id="0"/>
    </w:p>
    <w:p w14:paraId="34A8C2A3" w14:textId="6A277F9A" w:rsidR="00722D38" w:rsidRPr="00722D38" w:rsidRDefault="00722D38" w:rsidP="00722D38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4"/>
          <w:szCs w:val="24"/>
        </w:rPr>
      </w:pPr>
      <w:r w:rsidRPr="00722D38">
        <w:rPr>
          <w:rFonts w:ascii="Times New Roman" w:hAnsi="Times New Roman" w:cs="Times New Roman"/>
          <w:color w:val="1A1A1A"/>
          <w:sz w:val="24"/>
          <w:szCs w:val="24"/>
        </w:rPr>
        <w:t xml:space="preserve">To the extent that RTP customers modify their consumption of electricity such that the wholesale cost of the electricity SDG&amp;E procures on their behalf decreases, do the wholesale energy savings automatically flow through to SDG&amp;E customers as part of the Energy Resource Recovery Account process? </w:t>
      </w:r>
    </w:p>
    <w:p w14:paraId="493FC8FF" w14:textId="1EF84A5D" w:rsidR="00722D38" w:rsidRPr="00722D38" w:rsidRDefault="00722D38" w:rsidP="00722D38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4"/>
          <w:szCs w:val="24"/>
        </w:rPr>
      </w:pPr>
      <w:r w:rsidRPr="00722D38">
        <w:rPr>
          <w:rFonts w:ascii="Times New Roman" w:hAnsi="Times New Roman" w:cs="Times New Roman"/>
          <w:color w:val="1A1A1A"/>
          <w:sz w:val="24"/>
          <w:szCs w:val="24"/>
        </w:rPr>
        <w:t xml:space="preserve">To the extent that RTP customers modify their consumption of electricity such that they lower their contribution to SDG&amp;E's highest coincident peak, does the lower peak load reduce SDG&amp;E's Resource Adequacy obligation in the future (by affecting the future load forecast)? </w:t>
      </w:r>
    </w:p>
    <w:p w14:paraId="0D16A610" w14:textId="1ED67B7A" w:rsidR="00981691" w:rsidRPr="00722D38" w:rsidRDefault="00722D38" w:rsidP="00722D38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22D38">
        <w:rPr>
          <w:rFonts w:ascii="Times New Roman" w:hAnsi="Times New Roman" w:cs="Times New Roman"/>
          <w:color w:val="1A1A1A"/>
          <w:sz w:val="24"/>
          <w:szCs w:val="24"/>
        </w:rPr>
        <w:t>If so, do the capacity cost savings automatically flow through to SDG&amp;E customers as part of the Energy Resource Recovery Account process?</w:t>
      </w:r>
    </w:p>
    <w:p w14:paraId="358F8E59" w14:textId="77777777" w:rsidR="00722D38" w:rsidRPr="00722D38" w:rsidRDefault="00722D38" w:rsidP="00981691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9FF3A" w14:textId="77777777" w:rsidR="00981691" w:rsidRPr="00722D38" w:rsidRDefault="008A45F5" w:rsidP="00981691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2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SDG&amp;E Response</w:t>
      </w:r>
      <w:r w:rsidR="00C55487" w:rsidRPr="00722D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BA17CF2" w14:textId="77777777" w:rsidR="00981691" w:rsidRDefault="00981691" w:rsidP="00981691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0E8FE9" w14:textId="41730916" w:rsidR="00D11F97" w:rsidRPr="00B712DB" w:rsidRDefault="62730569" w:rsidP="00B712D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1A1A1A"/>
          <w:sz w:val="24"/>
          <w:szCs w:val="24"/>
        </w:rPr>
      </w:pPr>
      <w:r w:rsidRPr="00B712DB">
        <w:rPr>
          <w:rFonts w:ascii="Times New Roman" w:hAnsi="Times New Roman" w:cs="Times New Roman"/>
          <w:color w:val="1A1A1A"/>
          <w:sz w:val="24"/>
          <w:szCs w:val="24"/>
        </w:rPr>
        <w:t>If</w:t>
      </w:r>
      <w:r w:rsidR="00FE0B7A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RTP customers lower their consumption/energy usage</w:t>
      </w:r>
      <w:r w:rsidR="00B50139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and </w:t>
      </w:r>
      <w:r w:rsidR="00B42D14" w:rsidRPr="00B712DB">
        <w:rPr>
          <w:rFonts w:ascii="Times New Roman" w:hAnsi="Times New Roman" w:cs="Times New Roman"/>
          <w:color w:val="1A1A1A"/>
          <w:sz w:val="24"/>
          <w:szCs w:val="24"/>
        </w:rPr>
        <w:t>wholesale costs of electricity decreases</w:t>
      </w:r>
      <w:r w:rsidR="0051409C" w:rsidRPr="00B712DB">
        <w:rPr>
          <w:rFonts w:ascii="Times New Roman" w:hAnsi="Times New Roman" w:cs="Times New Roman"/>
          <w:color w:val="1A1A1A"/>
          <w:sz w:val="24"/>
          <w:szCs w:val="24"/>
        </w:rPr>
        <w:t>, SDG&amp;E’s load costs would decrease</w:t>
      </w:r>
      <w:r w:rsidR="009B5D5C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51409C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F77479" w:rsidRPr="00B712DB">
        <w:rPr>
          <w:rFonts w:ascii="Times New Roman" w:hAnsi="Times New Roman" w:cs="Times New Roman"/>
          <w:color w:val="1A1A1A"/>
          <w:sz w:val="24"/>
          <w:szCs w:val="24"/>
        </w:rPr>
        <w:t>which will be reflected in lower E</w:t>
      </w:r>
      <w:r w:rsidR="00B50139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nergy Resource </w:t>
      </w:r>
      <w:r w:rsidR="00F77479" w:rsidRPr="00B712DB">
        <w:rPr>
          <w:rFonts w:ascii="Times New Roman" w:hAnsi="Times New Roman" w:cs="Times New Roman"/>
          <w:color w:val="1A1A1A"/>
          <w:sz w:val="24"/>
          <w:szCs w:val="24"/>
        </w:rPr>
        <w:t>R</w:t>
      </w:r>
      <w:r w:rsidR="00B50139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ecovery </w:t>
      </w:r>
      <w:r w:rsidR="00F77479" w:rsidRPr="00B712DB">
        <w:rPr>
          <w:rFonts w:ascii="Times New Roman" w:hAnsi="Times New Roman" w:cs="Times New Roman"/>
          <w:color w:val="1A1A1A"/>
          <w:sz w:val="24"/>
          <w:szCs w:val="24"/>
        </w:rPr>
        <w:t>A</w:t>
      </w:r>
      <w:r w:rsidR="00B50139" w:rsidRPr="00B712DB">
        <w:rPr>
          <w:rFonts w:ascii="Times New Roman" w:hAnsi="Times New Roman" w:cs="Times New Roman"/>
          <w:color w:val="1A1A1A"/>
          <w:sz w:val="24"/>
          <w:szCs w:val="24"/>
        </w:rPr>
        <w:t>ccount (ERRA)</w:t>
      </w:r>
      <w:r w:rsidR="00F77479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expenses. </w:t>
      </w:r>
      <w:r w:rsidR="00DB334B" w:rsidRPr="00B712DB">
        <w:rPr>
          <w:rFonts w:ascii="Times New Roman" w:hAnsi="Times New Roman" w:cs="Times New Roman"/>
          <w:color w:val="1A1A1A"/>
          <w:sz w:val="24"/>
          <w:szCs w:val="24"/>
        </w:rPr>
        <w:t>T</w:t>
      </w:r>
      <w:r w:rsidR="00861A84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he RTM consists of many variables, </w:t>
      </w:r>
      <w:r w:rsidR="0056153D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such </w:t>
      </w:r>
      <w:r w:rsidR="00861A84" w:rsidRPr="00B712DB">
        <w:rPr>
          <w:rFonts w:ascii="Times New Roman" w:hAnsi="Times New Roman" w:cs="Times New Roman"/>
          <w:color w:val="1A1A1A"/>
          <w:sz w:val="24"/>
          <w:szCs w:val="24"/>
        </w:rPr>
        <w:t>as</w:t>
      </w:r>
      <w:r w:rsidR="0056153D" w:rsidRPr="00B712DB">
        <w:rPr>
          <w:rFonts w:ascii="Times New Roman" w:hAnsi="Times New Roman" w:cs="Times New Roman"/>
          <w:color w:val="1A1A1A"/>
          <w:sz w:val="24"/>
          <w:szCs w:val="24"/>
        </w:rPr>
        <w:t>: day-ahead mark</w:t>
      </w:r>
      <w:r w:rsidR="00BA1367" w:rsidRPr="00B712DB">
        <w:rPr>
          <w:rFonts w:ascii="Times New Roman" w:hAnsi="Times New Roman" w:cs="Times New Roman"/>
          <w:color w:val="1A1A1A"/>
          <w:sz w:val="24"/>
          <w:szCs w:val="24"/>
        </w:rPr>
        <w:t>et results, forecasts, transmission lines, bids, outages</w:t>
      </w:r>
      <w:r w:rsidR="00DB334B" w:rsidRPr="00B712DB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656394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etc.,</w:t>
      </w:r>
      <w:r w:rsidR="00E30B78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and all these variables affect the wholesale cost of electricity.</w:t>
      </w:r>
      <w:r w:rsidR="005A6DA8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272DD6">
        <w:rPr>
          <w:rFonts w:ascii="Times New Roman" w:hAnsi="Times New Roman" w:cs="Times New Roman"/>
          <w:color w:val="1A1A1A"/>
          <w:sz w:val="24"/>
          <w:szCs w:val="24"/>
        </w:rPr>
        <w:t xml:space="preserve">Therefore, </w:t>
      </w:r>
      <w:r w:rsidR="005A6DA8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it </w:t>
      </w:r>
      <w:r w:rsidR="008D7E30">
        <w:rPr>
          <w:rFonts w:ascii="Times New Roman" w:hAnsi="Times New Roman" w:cs="Times New Roman"/>
          <w:color w:val="1A1A1A"/>
          <w:sz w:val="24"/>
          <w:szCs w:val="24"/>
        </w:rPr>
        <w:t xml:space="preserve">cannot be </w:t>
      </w:r>
      <w:r w:rsidR="005A6DA8" w:rsidRPr="00B712DB">
        <w:rPr>
          <w:rFonts w:ascii="Times New Roman" w:hAnsi="Times New Roman" w:cs="Times New Roman"/>
          <w:color w:val="1A1A1A"/>
          <w:sz w:val="24"/>
          <w:szCs w:val="24"/>
        </w:rPr>
        <w:t>assume</w:t>
      </w:r>
      <w:r w:rsidR="008D7E30">
        <w:rPr>
          <w:rFonts w:ascii="Times New Roman" w:hAnsi="Times New Roman" w:cs="Times New Roman"/>
          <w:color w:val="1A1A1A"/>
          <w:sz w:val="24"/>
          <w:szCs w:val="24"/>
        </w:rPr>
        <w:t>d</w:t>
      </w:r>
      <w:r w:rsidR="005A6DA8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that </w:t>
      </w:r>
      <w:r w:rsidR="00042E5C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if </w:t>
      </w:r>
      <w:r w:rsidR="005A6DA8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RTP customers </w:t>
      </w:r>
      <w:r w:rsidR="00BF1130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shift or lower their energy usage </w:t>
      </w:r>
      <w:r w:rsidR="00042E5C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the wholesale costs of electricity will always decrease. </w:t>
      </w:r>
      <w:r w:rsidR="00DD186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42D14" w:rsidRPr="00B712DB">
        <w:rPr>
          <w:rFonts w:ascii="Times New Roman" w:hAnsi="Times New Roman" w:cs="Times New Roman"/>
          <w:color w:val="1A1A1A"/>
          <w:sz w:val="24"/>
          <w:szCs w:val="24"/>
        </w:rPr>
        <w:t>In addition,</w:t>
      </w:r>
      <w:r w:rsidR="00F77479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42D14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when the </w:t>
      </w:r>
      <w:r w:rsidR="00846C37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wholesale cost of electricity </w:t>
      </w:r>
      <w:r w:rsidR="00B50139" w:rsidRPr="00B712DB">
        <w:rPr>
          <w:rFonts w:ascii="Times New Roman" w:hAnsi="Times New Roman" w:cs="Times New Roman"/>
          <w:color w:val="1A1A1A"/>
          <w:sz w:val="24"/>
          <w:szCs w:val="24"/>
        </w:rPr>
        <w:t>decreases</w:t>
      </w:r>
      <w:r w:rsidR="00E22FAA" w:rsidRPr="00B712DB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846C37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SDG&amp;E will receive lower CAISO revenues</w:t>
      </w:r>
      <w:r w:rsidR="00F3725C" w:rsidRPr="00B712DB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846C37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D40E0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which will cause higher above-market </w:t>
      </w:r>
      <w:r w:rsidR="00851E91" w:rsidRPr="00B712DB">
        <w:rPr>
          <w:rFonts w:ascii="Times New Roman" w:hAnsi="Times New Roman" w:cs="Times New Roman"/>
          <w:color w:val="1A1A1A"/>
          <w:sz w:val="24"/>
          <w:szCs w:val="24"/>
        </w:rPr>
        <w:t>costs</w:t>
      </w:r>
      <w:r w:rsidR="00BD40E0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C7F3B">
        <w:rPr>
          <w:rFonts w:ascii="Times New Roman" w:hAnsi="Times New Roman" w:cs="Times New Roman"/>
          <w:color w:val="1A1A1A"/>
          <w:sz w:val="24"/>
          <w:szCs w:val="24"/>
        </w:rPr>
        <w:t xml:space="preserve">to be </w:t>
      </w:r>
      <w:r w:rsidR="00BD40E0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reflected in </w:t>
      </w:r>
      <w:r w:rsidR="00851E91" w:rsidRPr="00B712DB">
        <w:rPr>
          <w:rFonts w:ascii="Times New Roman" w:hAnsi="Times New Roman" w:cs="Times New Roman"/>
          <w:color w:val="1A1A1A"/>
          <w:sz w:val="24"/>
          <w:szCs w:val="24"/>
        </w:rPr>
        <w:t xml:space="preserve">an increase to the </w:t>
      </w:r>
      <w:r w:rsidR="008B0697" w:rsidRPr="00B712DB">
        <w:rPr>
          <w:rFonts w:ascii="Times New Roman" w:hAnsi="Times New Roman" w:cs="Times New Roman"/>
          <w:color w:val="1A1A1A"/>
          <w:sz w:val="24"/>
          <w:szCs w:val="24"/>
        </w:rPr>
        <w:t>Portfolio Allocation Balancing Account (</w:t>
      </w:r>
      <w:r w:rsidR="00BD40E0" w:rsidRPr="00B712DB">
        <w:rPr>
          <w:rFonts w:ascii="Times New Roman" w:hAnsi="Times New Roman" w:cs="Times New Roman"/>
          <w:color w:val="1A1A1A"/>
          <w:sz w:val="24"/>
          <w:szCs w:val="24"/>
        </w:rPr>
        <w:t>PABA</w:t>
      </w:r>
      <w:r w:rsidR="008B0697" w:rsidRPr="00B712DB">
        <w:rPr>
          <w:rFonts w:ascii="Times New Roman" w:hAnsi="Times New Roman" w:cs="Times New Roman"/>
          <w:color w:val="1A1A1A"/>
          <w:sz w:val="24"/>
          <w:szCs w:val="24"/>
        </w:rPr>
        <w:t>)</w:t>
      </w:r>
      <w:r w:rsidR="00BD40E0" w:rsidRPr="00B712DB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50CC00D8" w14:textId="362B87B2" w:rsidR="00E22FAA" w:rsidRPr="00010152" w:rsidRDefault="0039194F" w:rsidP="000E0DD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1A1A1A"/>
          <w:sz w:val="24"/>
          <w:szCs w:val="24"/>
        </w:rPr>
      </w:pPr>
      <w:r w:rsidRPr="00010152">
        <w:rPr>
          <w:rFonts w:ascii="Times New Roman" w:hAnsi="Times New Roman" w:cs="Times New Roman"/>
          <w:color w:val="1A1A1A"/>
          <w:sz w:val="24"/>
          <w:szCs w:val="24"/>
        </w:rPr>
        <w:t>Resource Adequacy (RA) requirements are based on forecasted load</w:t>
      </w:r>
      <w:r w:rsidR="00CE6699">
        <w:rPr>
          <w:rFonts w:ascii="Times New Roman" w:hAnsi="Times New Roman" w:cs="Times New Roman"/>
          <w:color w:val="1A1A1A"/>
          <w:sz w:val="24"/>
          <w:szCs w:val="24"/>
        </w:rPr>
        <w:t xml:space="preserve"> set by the California Energy Commission</w:t>
      </w:r>
      <w:r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.  </w:t>
      </w:r>
      <w:r w:rsidR="00BA0825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To the extent </w:t>
      </w:r>
      <w:r w:rsidR="00A91152" w:rsidRPr="00010152">
        <w:rPr>
          <w:rFonts w:ascii="Times New Roman" w:hAnsi="Times New Roman" w:cs="Times New Roman"/>
          <w:color w:val="1A1A1A"/>
          <w:sz w:val="24"/>
          <w:szCs w:val="24"/>
        </w:rPr>
        <w:t>RTP customers modify their energy usage/consumption, SDG&amp;E’s overall load forecast and RA requirements</w:t>
      </w:r>
      <w:r w:rsidR="0044225B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will be impacted. </w:t>
      </w:r>
      <w:r w:rsidR="007278FE">
        <w:rPr>
          <w:rFonts w:ascii="Times New Roman" w:hAnsi="Times New Roman" w:cs="Times New Roman"/>
          <w:color w:val="1A1A1A"/>
          <w:sz w:val="24"/>
          <w:szCs w:val="24"/>
        </w:rPr>
        <w:t>As stated in Ms. Montanez testimony, “</w:t>
      </w:r>
      <w:r w:rsidR="007278FE" w:rsidRPr="00E41144">
        <w:rPr>
          <w:rFonts w:ascii="Times New Roman" w:hAnsi="Times New Roman" w:cs="Times New Roman"/>
          <w:color w:val="1A1A1A"/>
          <w:sz w:val="24"/>
          <w:szCs w:val="24"/>
        </w:rPr>
        <w:t xml:space="preserve">JARP acknowledges that the overall RA avoided costs results from the participants’ load reductions in SDG&amp;E load forecast the following year, and in turn reduces SDG&amp;E’s RA obligation in the second year.”  </w:t>
      </w:r>
      <w:r w:rsidR="005E43EF" w:rsidRPr="00010152">
        <w:rPr>
          <w:rFonts w:ascii="Times New Roman" w:hAnsi="Times New Roman" w:cs="Times New Roman"/>
          <w:color w:val="1A1A1A"/>
          <w:sz w:val="24"/>
          <w:szCs w:val="24"/>
        </w:rPr>
        <w:t>Assuming</w:t>
      </w:r>
      <w:r w:rsidR="00877371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SDG&amp;E’s </w:t>
      </w:r>
      <w:r w:rsidR="005E43EF" w:rsidRPr="00010152">
        <w:rPr>
          <w:rFonts w:ascii="Times New Roman" w:hAnsi="Times New Roman" w:cs="Times New Roman"/>
          <w:color w:val="1A1A1A"/>
          <w:sz w:val="24"/>
          <w:szCs w:val="24"/>
        </w:rPr>
        <w:t>coincident peak is</w:t>
      </w:r>
      <w:r w:rsidR="00877371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reduced, then SDG&amp;E</w:t>
      </w:r>
      <w:r w:rsidR="005E43EF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’s RA requirements would be </w:t>
      </w:r>
      <w:r w:rsidR="00010152" w:rsidRPr="00010152">
        <w:rPr>
          <w:rFonts w:ascii="Times New Roman" w:hAnsi="Times New Roman" w:cs="Times New Roman"/>
          <w:color w:val="1A1A1A"/>
          <w:sz w:val="24"/>
          <w:szCs w:val="24"/>
        </w:rPr>
        <w:t>reduced</w:t>
      </w:r>
      <w:r w:rsidR="00AB5B59">
        <w:rPr>
          <w:rFonts w:ascii="Times New Roman" w:hAnsi="Times New Roman" w:cs="Times New Roman"/>
          <w:color w:val="1A1A1A"/>
          <w:sz w:val="24"/>
          <w:szCs w:val="24"/>
        </w:rPr>
        <w:t xml:space="preserve"> (</w:t>
      </w:r>
      <w:r w:rsidR="002C69E6">
        <w:rPr>
          <w:rFonts w:ascii="Times New Roman" w:hAnsi="Times New Roman" w:cs="Times New Roman"/>
          <w:color w:val="1A1A1A"/>
          <w:sz w:val="24"/>
          <w:szCs w:val="24"/>
        </w:rPr>
        <w:t>1-</w:t>
      </w:r>
      <w:r w:rsidR="00C2339D">
        <w:rPr>
          <w:rFonts w:ascii="Times New Roman" w:hAnsi="Times New Roman" w:cs="Times New Roman"/>
          <w:color w:val="1A1A1A"/>
          <w:sz w:val="24"/>
          <w:szCs w:val="24"/>
        </w:rPr>
        <w:t xml:space="preserve">2 years </w:t>
      </w:r>
      <w:r w:rsidR="006D0845">
        <w:rPr>
          <w:rFonts w:ascii="Times New Roman" w:hAnsi="Times New Roman" w:cs="Times New Roman"/>
          <w:color w:val="1A1A1A"/>
          <w:sz w:val="24"/>
          <w:szCs w:val="24"/>
        </w:rPr>
        <w:t>later)</w:t>
      </w:r>
      <w:r w:rsidR="00010152" w:rsidRPr="00010152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5E43EF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and SDG&amp;E wou</w:t>
      </w:r>
      <w:r w:rsidR="00877371" w:rsidRPr="00010152">
        <w:rPr>
          <w:rFonts w:ascii="Times New Roman" w:hAnsi="Times New Roman" w:cs="Times New Roman"/>
          <w:color w:val="1A1A1A"/>
          <w:sz w:val="24"/>
          <w:szCs w:val="24"/>
        </w:rPr>
        <w:t>ld procure</w:t>
      </w:r>
      <w:r w:rsidR="00E71D05">
        <w:rPr>
          <w:rFonts w:ascii="Times New Roman" w:hAnsi="Times New Roman" w:cs="Times New Roman"/>
          <w:color w:val="1A1A1A"/>
          <w:sz w:val="24"/>
          <w:szCs w:val="24"/>
        </w:rPr>
        <w:t xml:space="preserve"> less</w:t>
      </w:r>
      <w:r w:rsidR="00877371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F3295A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incremental resources/contracts to </w:t>
      </w:r>
      <w:r w:rsidR="000140BA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meet peak demand. </w:t>
      </w:r>
      <w:r w:rsidR="00010152">
        <w:rPr>
          <w:rFonts w:ascii="Times New Roman" w:hAnsi="Times New Roman" w:cs="Times New Roman"/>
          <w:color w:val="1A1A1A"/>
          <w:sz w:val="24"/>
          <w:szCs w:val="24"/>
        </w:rPr>
        <w:t>H</w:t>
      </w:r>
      <w:r w:rsidR="00E22FAA" w:rsidRPr="00010152">
        <w:rPr>
          <w:rFonts w:ascii="Times New Roman" w:hAnsi="Times New Roman" w:cs="Times New Roman"/>
          <w:color w:val="1A1A1A"/>
          <w:sz w:val="24"/>
          <w:szCs w:val="24"/>
        </w:rPr>
        <w:t>owever, load serving entities</w:t>
      </w:r>
      <w:r w:rsidR="006C639B">
        <w:rPr>
          <w:rFonts w:ascii="Times New Roman" w:hAnsi="Times New Roman" w:cs="Times New Roman"/>
          <w:color w:val="1A1A1A"/>
          <w:sz w:val="24"/>
          <w:szCs w:val="24"/>
        </w:rPr>
        <w:t xml:space="preserve"> (including SDG&amp;E)</w:t>
      </w:r>
      <w:r w:rsidR="00E22FAA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must procure resources to serve customer needs in all hours and not just during the </w:t>
      </w:r>
      <w:r w:rsidR="006C639B">
        <w:rPr>
          <w:rFonts w:ascii="Times New Roman" w:hAnsi="Times New Roman" w:cs="Times New Roman"/>
          <w:color w:val="1A1A1A"/>
          <w:sz w:val="24"/>
          <w:szCs w:val="24"/>
        </w:rPr>
        <w:t xml:space="preserve">coincident </w:t>
      </w:r>
      <w:r w:rsidR="00E22FAA" w:rsidRPr="00010152">
        <w:rPr>
          <w:rFonts w:ascii="Times New Roman" w:hAnsi="Times New Roman" w:cs="Times New Roman"/>
          <w:color w:val="1A1A1A"/>
          <w:sz w:val="24"/>
          <w:szCs w:val="24"/>
        </w:rPr>
        <w:t>peak hours.</w:t>
      </w:r>
      <w:r w:rsidR="00CC37B9">
        <w:rPr>
          <w:rFonts w:ascii="Times New Roman" w:hAnsi="Times New Roman" w:cs="Times New Roman"/>
          <w:color w:val="1A1A1A"/>
          <w:sz w:val="24"/>
          <w:szCs w:val="24"/>
        </w:rPr>
        <w:t xml:space="preserve">  Therefore, </w:t>
      </w:r>
      <w:r w:rsidR="001E6D44">
        <w:rPr>
          <w:rFonts w:ascii="Times New Roman" w:hAnsi="Times New Roman" w:cs="Times New Roman"/>
          <w:color w:val="1A1A1A"/>
          <w:sz w:val="24"/>
          <w:szCs w:val="24"/>
        </w:rPr>
        <w:t xml:space="preserve">lowering </w:t>
      </w:r>
      <w:r w:rsidR="00473825">
        <w:rPr>
          <w:rFonts w:ascii="Times New Roman" w:hAnsi="Times New Roman" w:cs="Times New Roman"/>
          <w:color w:val="1A1A1A"/>
          <w:sz w:val="24"/>
          <w:szCs w:val="24"/>
        </w:rPr>
        <w:t xml:space="preserve">SDG&amp;E’s </w:t>
      </w:r>
      <w:r w:rsidR="001E6D44">
        <w:rPr>
          <w:rFonts w:ascii="Times New Roman" w:hAnsi="Times New Roman" w:cs="Times New Roman"/>
          <w:color w:val="1A1A1A"/>
          <w:sz w:val="24"/>
          <w:szCs w:val="24"/>
        </w:rPr>
        <w:t>coincident peak might not</w:t>
      </w:r>
      <w:r w:rsidR="00D678A6" w:rsidRPr="00F57E51">
        <w:rPr>
          <w:rFonts w:ascii="Times New Roman" w:hAnsi="Times New Roman" w:cs="Times New Roman"/>
          <w:sz w:val="24"/>
          <w:szCs w:val="24"/>
        </w:rPr>
        <w:t xml:space="preserve"> eliminate </w:t>
      </w:r>
      <w:r w:rsidR="00473825" w:rsidRPr="00473825">
        <w:rPr>
          <w:rFonts w:ascii="Times New Roman" w:hAnsi="Times New Roman" w:cs="Times New Roman"/>
          <w:color w:val="1A1A1A"/>
          <w:sz w:val="24"/>
          <w:szCs w:val="24"/>
        </w:rPr>
        <w:t xml:space="preserve">SDG&amp;E’s </w:t>
      </w:r>
      <w:r w:rsidR="00D678A6">
        <w:rPr>
          <w:rFonts w:ascii="Times New Roman" w:hAnsi="Times New Roman" w:cs="Times New Roman"/>
          <w:color w:val="1A1A1A"/>
          <w:sz w:val="24"/>
          <w:szCs w:val="24"/>
        </w:rPr>
        <w:t xml:space="preserve">need to procure incremental </w:t>
      </w:r>
      <w:r w:rsidR="006675E1">
        <w:rPr>
          <w:rFonts w:ascii="Times New Roman" w:hAnsi="Times New Roman" w:cs="Times New Roman"/>
          <w:color w:val="1A1A1A"/>
          <w:sz w:val="24"/>
          <w:szCs w:val="24"/>
        </w:rPr>
        <w:t>resources</w:t>
      </w:r>
      <w:r w:rsidR="00D678A6">
        <w:rPr>
          <w:rFonts w:ascii="Times New Roman" w:hAnsi="Times New Roman" w:cs="Times New Roman"/>
          <w:color w:val="1A1A1A"/>
          <w:sz w:val="24"/>
          <w:szCs w:val="24"/>
        </w:rPr>
        <w:t>/</w:t>
      </w:r>
      <w:r w:rsidR="00473825" w:rsidRPr="00473825">
        <w:rPr>
          <w:rFonts w:ascii="Times New Roman" w:hAnsi="Times New Roman" w:cs="Times New Roman"/>
          <w:color w:val="1A1A1A"/>
          <w:sz w:val="24"/>
          <w:szCs w:val="24"/>
        </w:rPr>
        <w:t>contract</w:t>
      </w:r>
      <w:r w:rsidR="00D678A6">
        <w:rPr>
          <w:rFonts w:ascii="Times New Roman" w:hAnsi="Times New Roman" w:cs="Times New Roman"/>
          <w:color w:val="1A1A1A"/>
          <w:sz w:val="24"/>
          <w:szCs w:val="24"/>
        </w:rPr>
        <w:t>s</w:t>
      </w:r>
      <w:r w:rsidR="006675E1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534A2">
        <w:rPr>
          <w:rFonts w:ascii="Times New Roman" w:hAnsi="Times New Roman" w:cs="Times New Roman"/>
          <w:color w:val="1A1A1A"/>
          <w:sz w:val="24"/>
          <w:szCs w:val="24"/>
        </w:rPr>
        <w:t xml:space="preserve"> Furthermore, </w:t>
      </w:r>
      <w:r w:rsidR="00A976FC">
        <w:rPr>
          <w:rFonts w:ascii="Times New Roman" w:hAnsi="Times New Roman" w:cs="Times New Roman"/>
          <w:color w:val="1A1A1A"/>
          <w:sz w:val="24"/>
          <w:szCs w:val="24"/>
        </w:rPr>
        <w:t xml:space="preserve">the load forecast and RA requirement will only be reduced to the extent the load is reduced depending on the </w:t>
      </w:r>
      <w:r w:rsidR="006F5D7B">
        <w:rPr>
          <w:rFonts w:ascii="Times New Roman" w:hAnsi="Times New Roman" w:cs="Times New Roman"/>
          <w:color w:val="1A1A1A"/>
          <w:sz w:val="24"/>
          <w:szCs w:val="24"/>
        </w:rPr>
        <w:t xml:space="preserve">amount of </w:t>
      </w:r>
      <w:r w:rsidR="00BC501D">
        <w:rPr>
          <w:rFonts w:ascii="Times New Roman" w:hAnsi="Times New Roman" w:cs="Times New Roman"/>
          <w:color w:val="1A1A1A"/>
          <w:sz w:val="24"/>
          <w:szCs w:val="24"/>
        </w:rPr>
        <w:t xml:space="preserve">RTP customers </w:t>
      </w:r>
      <w:r w:rsidR="006F5D7B">
        <w:rPr>
          <w:rFonts w:ascii="Times New Roman" w:hAnsi="Times New Roman" w:cs="Times New Roman"/>
          <w:color w:val="1A1A1A"/>
          <w:sz w:val="24"/>
          <w:szCs w:val="24"/>
        </w:rPr>
        <w:t>and their energy usage/consumption</w:t>
      </w:r>
      <w:r w:rsidR="009563DA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1E6D4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8D5C7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E22FAA" w:rsidRPr="00010152">
        <w:rPr>
          <w:rFonts w:ascii="Times New Roman" w:hAnsi="Times New Roman" w:cs="Times New Roman"/>
          <w:color w:val="1A1A1A"/>
          <w:sz w:val="24"/>
          <w:szCs w:val="24"/>
        </w:rPr>
        <w:t xml:space="preserve">  </w:t>
      </w:r>
    </w:p>
    <w:p w14:paraId="31C909F9" w14:textId="79C6DB51" w:rsidR="008A45F5" w:rsidRPr="0051243E" w:rsidRDefault="004A386A" w:rsidP="000E0DDD">
      <w:pPr>
        <w:pStyle w:val="ListParagraph"/>
        <w:widowControl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lastRenderedPageBreak/>
        <w:t>SDG&amp;E objects to this question as it is vague and ambiguous</w:t>
      </w:r>
      <w:r w:rsidR="00F3483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281B11">
        <w:rPr>
          <w:rFonts w:ascii="Times New Roman" w:hAnsi="Times New Roman" w:cs="Times New Roman"/>
          <w:color w:val="1A1A1A"/>
          <w:sz w:val="24"/>
          <w:szCs w:val="24"/>
        </w:rPr>
        <w:t>regarding</w:t>
      </w:r>
      <w:r w:rsidR="00F3483B">
        <w:rPr>
          <w:rFonts w:ascii="Times New Roman" w:hAnsi="Times New Roman" w:cs="Times New Roman"/>
          <w:color w:val="1A1A1A"/>
          <w:sz w:val="24"/>
          <w:szCs w:val="24"/>
        </w:rPr>
        <w:t xml:space="preserve"> the meaning of “</w:t>
      </w:r>
      <w:r w:rsidR="006C1BD6">
        <w:rPr>
          <w:rFonts w:ascii="Times New Roman" w:hAnsi="Times New Roman" w:cs="Times New Roman"/>
          <w:color w:val="1A1A1A"/>
          <w:sz w:val="24"/>
          <w:szCs w:val="24"/>
        </w:rPr>
        <w:t xml:space="preserve">capacity cost savings.”  </w:t>
      </w:r>
      <w:r w:rsidR="0069100E">
        <w:rPr>
          <w:rFonts w:ascii="Times New Roman" w:hAnsi="Times New Roman" w:cs="Times New Roman"/>
          <w:color w:val="1A1A1A"/>
          <w:sz w:val="24"/>
          <w:szCs w:val="24"/>
        </w:rPr>
        <w:t xml:space="preserve">Subject to and without waiving </w:t>
      </w:r>
      <w:r w:rsidR="007054F1">
        <w:rPr>
          <w:rFonts w:ascii="Times New Roman" w:hAnsi="Times New Roman" w:cs="Times New Roman"/>
          <w:color w:val="1A1A1A"/>
          <w:sz w:val="24"/>
          <w:szCs w:val="24"/>
        </w:rPr>
        <w:t xml:space="preserve">this objection, </w:t>
      </w:r>
      <w:r w:rsidR="00D755C8">
        <w:rPr>
          <w:rFonts w:ascii="Times New Roman" w:hAnsi="Times New Roman" w:cs="Times New Roman"/>
          <w:color w:val="1A1A1A"/>
          <w:sz w:val="24"/>
          <w:szCs w:val="24"/>
        </w:rPr>
        <w:t xml:space="preserve">SDG&amp;E responds as follows:  </w:t>
      </w:r>
      <w:r w:rsidR="000B090D">
        <w:rPr>
          <w:rFonts w:ascii="Times New Roman" w:hAnsi="Times New Roman" w:cs="Times New Roman"/>
          <w:color w:val="1A1A1A"/>
          <w:sz w:val="24"/>
          <w:szCs w:val="24"/>
        </w:rPr>
        <w:t xml:space="preserve">There is not a one-to-one dollar reduction </w:t>
      </w:r>
      <w:r w:rsidR="00196256">
        <w:rPr>
          <w:rFonts w:ascii="Times New Roman" w:hAnsi="Times New Roman" w:cs="Times New Roman"/>
          <w:color w:val="1A1A1A"/>
          <w:sz w:val="24"/>
          <w:szCs w:val="24"/>
        </w:rPr>
        <w:t xml:space="preserve">in </w:t>
      </w:r>
      <w:r w:rsidR="0005671F">
        <w:rPr>
          <w:rFonts w:ascii="Times New Roman" w:hAnsi="Times New Roman" w:cs="Times New Roman"/>
          <w:color w:val="1A1A1A"/>
          <w:sz w:val="24"/>
          <w:szCs w:val="24"/>
        </w:rPr>
        <w:t xml:space="preserve">ERRA </w:t>
      </w:r>
      <w:r w:rsidR="00196256">
        <w:rPr>
          <w:rFonts w:ascii="Times New Roman" w:hAnsi="Times New Roman" w:cs="Times New Roman"/>
          <w:color w:val="1A1A1A"/>
          <w:sz w:val="24"/>
          <w:szCs w:val="24"/>
        </w:rPr>
        <w:t xml:space="preserve">costs </w:t>
      </w:r>
      <w:r w:rsidR="005162AC">
        <w:rPr>
          <w:rFonts w:ascii="Times New Roman" w:hAnsi="Times New Roman" w:cs="Times New Roman"/>
          <w:color w:val="1A1A1A"/>
          <w:sz w:val="24"/>
          <w:szCs w:val="24"/>
        </w:rPr>
        <w:t>correlated</w:t>
      </w:r>
      <w:r w:rsidR="0005671F">
        <w:rPr>
          <w:rFonts w:ascii="Times New Roman" w:hAnsi="Times New Roman" w:cs="Times New Roman"/>
          <w:color w:val="1A1A1A"/>
          <w:sz w:val="24"/>
          <w:szCs w:val="24"/>
        </w:rPr>
        <w:t xml:space="preserve"> with</w:t>
      </w:r>
      <w:r w:rsidR="0019625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150578">
        <w:rPr>
          <w:rFonts w:ascii="Times New Roman" w:hAnsi="Times New Roman" w:cs="Times New Roman"/>
          <w:color w:val="1A1A1A"/>
          <w:sz w:val="24"/>
          <w:szCs w:val="24"/>
        </w:rPr>
        <w:t xml:space="preserve">coincident peak reduction.  </w:t>
      </w:r>
      <w:r w:rsidR="603AB514" w:rsidRPr="009565E3">
        <w:rPr>
          <w:rFonts w:ascii="Times New Roman" w:hAnsi="Times New Roman" w:cs="Times New Roman"/>
          <w:color w:val="1A1A1A"/>
          <w:sz w:val="24"/>
          <w:szCs w:val="24"/>
        </w:rPr>
        <w:t>If</w:t>
      </w:r>
      <w:r w:rsidR="001149DF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SDG&amp;E’s </w:t>
      </w:r>
      <w:r w:rsidR="003616A2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overall load forecast and </w:t>
      </w:r>
      <w:r w:rsidR="001149DF" w:rsidRPr="009565E3">
        <w:rPr>
          <w:rFonts w:ascii="Times New Roman" w:hAnsi="Times New Roman" w:cs="Times New Roman"/>
          <w:color w:val="1A1A1A"/>
          <w:sz w:val="24"/>
          <w:szCs w:val="24"/>
        </w:rPr>
        <w:t>RA requirements are reduced,</w:t>
      </w:r>
      <w:r w:rsidR="00DA5FC0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and</w:t>
      </w:r>
      <w:r w:rsidR="001149DF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116F0B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SDG&amp;E </w:t>
      </w:r>
      <w:r w:rsidR="00DA5FC0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does </w:t>
      </w:r>
      <w:r w:rsidR="001137A7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not </w:t>
      </w:r>
      <w:r w:rsidR="00116F0B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need to </w:t>
      </w:r>
      <w:r w:rsidR="003138FC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procure </w:t>
      </w:r>
      <w:r w:rsidR="001137A7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incremental </w:t>
      </w:r>
      <w:r w:rsidR="006C5C32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RA </w:t>
      </w:r>
      <w:r w:rsidR="001137A7" w:rsidRPr="009565E3">
        <w:rPr>
          <w:rFonts w:ascii="Times New Roman" w:hAnsi="Times New Roman" w:cs="Times New Roman"/>
          <w:color w:val="1A1A1A"/>
          <w:sz w:val="24"/>
          <w:szCs w:val="24"/>
        </w:rPr>
        <w:t>resources/</w:t>
      </w:r>
      <w:r w:rsidR="006C5C32" w:rsidRPr="009565E3">
        <w:rPr>
          <w:rFonts w:ascii="Times New Roman" w:hAnsi="Times New Roman" w:cs="Times New Roman"/>
          <w:color w:val="1A1A1A"/>
          <w:sz w:val="24"/>
          <w:szCs w:val="24"/>
        </w:rPr>
        <w:t>contracts</w:t>
      </w:r>
      <w:r w:rsidR="00DA5FC0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, then </w:t>
      </w:r>
      <w:r w:rsidR="000962E0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additional costs </w:t>
      </w:r>
      <w:r w:rsidR="00A95AAC">
        <w:rPr>
          <w:rFonts w:ascii="Times New Roman" w:hAnsi="Times New Roman" w:cs="Times New Roman"/>
          <w:color w:val="1A1A1A"/>
          <w:sz w:val="24"/>
          <w:szCs w:val="24"/>
        </w:rPr>
        <w:t>will</w:t>
      </w:r>
      <w:r w:rsidR="00A95AAC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962E0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not </w:t>
      </w:r>
      <w:r w:rsidR="00EB0FBE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be </w:t>
      </w:r>
      <w:r w:rsidR="00F963F5">
        <w:rPr>
          <w:rFonts w:ascii="Times New Roman" w:hAnsi="Times New Roman" w:cs="Times New Roman"/>
          <w:color w:val="1A1A1A"/>
          <w:sz w:val="24"/>
          <w:szCs w:val="24"/>
        </w:rPr>
        <w:t xml:space="preserve">spent to procure </w:t>
      </w:r>
      <w:r w:rsidR="008F20EC">
        <w:rPr>
          <w:rFonts w:ascii="Times New Roman" w:hAnsi="Times New Roman" w:cs="Times New Roman"/>
          <w:color w:val="1A1A1A"/>
          <w:sz w:val="24"/>
          <w:szCs w:val="24"/>
        </w:rPr>
        <w:t xml:space="preserve">and </w:t>
      </w:r>
      <w:r w:rsidR="00A42707">
        <w:rPr>
          <w:rFonts w:ascii="Times New Roman" w:hAnsi="Times New Roman" w:cs="Times New Roman"/>
          <w:color w:val="1A1A1A"/>
          <w:sz w:val="24"/>
          <w:szCs w:val="24"/>
        </w:rPr>
        <w:t xml:space="preserve">these additional costs will not be added </w:t>
      </w:r>
      <w:r w:rsidR="000962E0" w:rsidRPr="009565E3">
        <w:rPr>
          <w:rFonts w:ascii="Times New Roman" w:hAnsi="Times New Roman" w:cs="Times New Roman"/>
          <w:color w:val="1A1A1A"/>
          <w:sz w:val="24"/>
          <w:szCs w:val="24"/>
        </w:rPr>
        <w:t>to ERRA</w:t>
      </w:r>
      <w:r w:rsidR="00DE1BAA" w:rsidRPr="009565E3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FD44AD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6353B4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7015F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However, </w:t>
      </w:r>
      <w:r w:rsidR="00122864" w:rsidRPr="009565E3">
        <w:rPr>
          <w:rFonts w:ascii="Times New Roman" w:hAnsi="Times New Roman" w:cs="Times New Roman"/>
          <w:color w:val="1A1A1A"/>
          <w:sz w:val="24"/>
          <w:szCs w:val="24"/>
        </w:rPr>
        <w:t>lowering SDG&amp;E’s load forecast and the correlating RA requirements</w:t>
      </w:r>
      <w:r w:rsidR="00F4335F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would not reduce SDG&amp;E’s long-term </w:t>
      </w:r>
      <w:r w:rsidR="002004F2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procurement/contract obligations. </w:t>
      </w:r>
      <w:r w:rsidR="006353B4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D0071F" w:rsidRPr="009565E3">
        <w:rPr>
          <w:rFonts w:ascii="Times New Roman" w:hAnsi="Times New Roman" w:cs="Times New Roman"/>
          <w:color w:val="1A1A1A"/>
          <w:sz w:val="24"/>
          <w:szCs w:val="24"/>
        </w:rPr>
        <w:t>If the RA requirements are reduced be</w:t>
      </w:r>
      <w:r w:rsidR="0076344B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yond SDG&amp;E’s </w:t>
      </w:r>
      <w:r w:rsidR="001952B2" w:rsidRPr="009565E3">
        <w:rPr>
          <w:rFonts w:ascii="Times New Roman" w:hAnsi="Times New Roman" w:cs="Times New Roman"/>
          <w:color w:val="1A1A1A"/>
          <w:sz w:val="24"/>
          <w:szCs w:val="24"/>
        </w:rPr>
        <w:t>long-term procurement/</w:t>
      </w:r>
      <w:r w:rsidR="006C58DA" w:rsidRPr="009565E3">
        <w:rPr>
          <w:rFonts w:ascii="Times New Roman" w:hAnsi="Times New Roman" w:cs="Times New Roman"/>
          <w:color w:val="1A1A1A"/>
          <w:sz w:val="24"/>
          <w:szCs w:val="24"/>
        </w:rPr>
        <w:t>contract</w:t>
      </w:r>
      <w:r w:rsidR="001952B2" w:rsidRPr="009565E3">
        <w:rPr>
          <w:rFonts w:ascii="Times New Roman" w:hAnsi="Times New Roman" w:cs="Times New Roman"/>
          <w:color w:val="1A1A1A"/>
          <w:sz w:val="24"/>
          <w:szCs w:val="24"/>
        </w:rPr>
        <w:t>s</w:t>
      </w:r>
      <w:r w:rsidR="006C58DA" w:rsidRPr="009565E3">
        <w:rPr>
          <w:rFonts w:ascii="Times New Roman" w:hAnsi="Times New Roman" w:cs="Times New Roman"/>
          <w:color w:val="1A1A1A"/>
          <w:sz w:val="24"/>
          <w:szCs w:val="24"/>
        </w:rPr>
        <w:t>, the</w:t>
      </w:r>
      <w:r w:rsidR="001952B2" w:rsidRPr="009565E3">
        <w:rPr>
          <w:rFonts w:ascii="Times New Roman" w:hAnsi="Times New Roman" w:cs="Times New Roman"/>
          <w:color w:val="1A1A1A"/>
          <w:sz w:val="24"/>
          <w:szCs w:val="24"/>
        </w:rPr>
        <w:t>n the</w:t>
      </w:r>
      <w:r w:rsidR="006C58DA" w:rsidRPr="009565E3">
        <w:rPr>
          <w:rFonts w:ascii="Times New Roman" w:hAnsi="Times New Roman" w:cs="Times New Roman"/>
          <w:color w:val="1A1A1A"/>
          <w:sz w:val="24"/>
          <w:szCs w:val="24"/>
        </w:rPr>
        <w:t xml:space="preserve">se contracts would be available for portfolio </w:t>
      </w:r>
      <w:r w:rsidR="0076344B" w:rsidRPr="009565E3">
        <w:rPr>
          <w:rFonts w:ascii="Times New Roman" w:hAnsi="Times New Roman" w:cs="Times New Roman"/>
          <w:color w:val="1A1A1A"/>
          <w:sz w:val="24"/>
          <w:szCs w:val="24"/>
        </w:rPr>
        <w:t>optimization</w:t>
      </w:r>
      <w:r w:rsidR="0016093E">
        <w:rPr>
          <w:rFonts w:ascii="Times New Roman" w:hAnsi="Times New Roman" w:cs="Times New Roman"/>
          <w:color w:val="1A1A1A"/>
          <w:sz w:val="24"/>
          <w:szCs w:val="24"/>
        </w:rPr>
        <w:t xml:space="preserve"> (i.e., “right-sizing” the portfolio and selling off </w:t>
      </w:r>
      <w:r w:rsidR="009B6BA8">
        <w:rPr>
          <w:rFonts w:ascii="Times New Roman" w:hAnsi="Times New Roman" w:cs="Times New Roman"/>
          <w:color w:val="1A1A1A"/>
          <w:sz w:val="24"/>
          <w:szCs w:val="24"/>
        </w:rPr>
        <w:t>contracts that are no longer needed)</w:t>
      </w:r>
      <w:r w:rsidR="006C58DA" w:rsidRPr="009565E3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sectPr w:rsidR="008A45F5" w:rsidRPr="0051243E">
      <w:headerReference w:type="default" r:id="rId11"/>
      <w:footerReference w:type="default" r:id="rId12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30B51" w14:textId="77777777" w:rsidR="000E0DDD" w:rsidRDefault="000E0DDD">
      <w:r>
        <w:separator/>
      </w:r>
    </w:p>
  </w:endnote>
  <w:endnote w:type="continuationSeparator" w:id="0">
    <w:p w14:paraId="1DB69DC9" w14:textId="77777777" w:rsidR="000E0DDD" w:rsidRDefault="000E0DDD">
      <w:r>
        <w:continuationSeparator/>
      </w:r>
    </w:p>
  </w:endnote>
  <w:endnote w:type="continuationNotice" w:id="1">
    <w:p w14:paraId="1DD3EC6F" w14:textId="77777777" w:rsidR="000E0DDD" w:rsidRDefault="000E0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B94839" w:rsidRDefault="00B948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B94839" w:rsidRDefault="00B9483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15677" w14:textId="77777777" w:rsidR="000E0DDD" w:rsidRDefault="000E0DDD">
      <w:r>
        <w:separator/>
      </w:r>
    </w:p>
  </w:footnote>
  <w:footnote w:type="continuationSeparator" w:id="0">
    <w:p w14:paraId="0C922E2C" w14:textId="77777777" w:rsidR="000E0DDD" w:rsidRDefault="000E0DDD">
      <w:r>
        <w:continuationSeparator/>
      </w:r>
    </w:p>
  </w:footnote>
  <w:footnote w:type="continuationNotice" w:id="1">
    <w:p w14:paraId="6C57CE04" w14:textId="77777777" w:rsidR="000E0DDD" w:rsidRDefault="000E0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B94839" w:rsidRDefault="00B94839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5BD8C0C0" w:rsidR="00B94839" w:rsidRPr="00BB3B03" w:rsidRDefault="00B94839" w:rsidP="008A45F5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Joint Advance Rate Parties</w:t>
    </w:r>
    <w:r w:rsidR="00981691">
      <w:rPr>
        <w:rFonts w:ascii="Times New Roman" w:hAnsi="Times New Roman" w:cs="Times New Roman"/>
        <w:b/>
      </w:rPr>
      <w:t xml:space="preserve"> + Enel X North America</w:t>
    </w:r>
    <w:r>
      <w:rPr>
        <w:rFonts w:ascii="Times New Roman" w:hAnsi="Times New Roman" w:cs="Times New Roman"/>
        <w:b/>
      </w:rPr>
      <w:t xml:space="preserve"> Data Request #0</w:t>
    </w:r>
    <w:r w:rsidR="00981691">
      <w:rPr>
        <w:rFonts w:ascii="Times New Roman" w:hAnsi="Times New Roman" w:cs="Times New Roman"/>
        <w:b/>
      </w:rPr>
      <w:t>1</w:t>
    </w:r>
    <w:r w:rsidR="00722D38">
      <w:rPr>
        <w:rFonts w:ascii="Times New Roman" w:hAnsi="Times New Roman" w:cs="Times New Roman"/>
        <w:b/>
      </w:rPr>
      <w:t>a</w:t>
    </w:r>
    <w:r w:rsidRPr="00BB3B03">
      <w:rPr>
        <w:rFonts w:ascii="Times New Roman" w:hAnsi="Times New Roman" w:cs="Times New Roman"/>
        <w:b/>
      </w:rPr>
      <w:br/>
      <w:t>SDG&amp;E PHASE 2 GRC PROCEEDING</w:t>
    </w:r>
    <w:r>
      <w:rPr>
        <w:rFonts w:ascii="Times New Roman" w:hAnsi="Times New Roman" w:cs="Times New Roman"/>
        <w:b/>
      </w:rPr>
      <w:t xml:space="preserve"> </w:t>
    </w:r>
    <w:r w:rsidRPr="00BB3B03">
      <w:rPr>
        <w:rFonts w:ascii="Times New Roman" w:hAnsi="Times New Roman" w:cs="Times New Roman"/>
        <w:b/>
      </w:rPr>
      <w:t>- A.19-0</w:t>
    </w:r>
    <w:r>
      <w:rPr>
        <w:rFonts w:ascii="Times New Roman" w:hAnsi="Times New Roman" w:cs="Times New Roman"/>
        <w:b/>
      </w:rPr>
      <w:t>3</w:t>
    </w:r>
    <w:r w:rsidRPr="00BB3B03">
      <w:rPr>
        <w:rFonts w:ascii="Times New Roman" w:hAnsi="Times New Roman" w:cs="Times New Roman"/>
        <w:b/>
      </w:rPr>
      <w:t>-00</w:t>
    </w:r>
    <w:r>
      <w:rPr>
        <w:rFonts w:ascii="Times New Roman" w:hAnsi="Times New Roman" w:cs="Times New Roman"/>
        <w:b/>
      </w:rPr>
      <w:t>2</w:t>
    </w:r>
    <w:r w:rsidRPr="00BB3B03">
      <w:rPr>
        <w:rFonts w:ascii="Times New Roman" w:hAnsi="Times New Roman" w:cs="Times New Roman"/>
        <w:b/>
      </w:rPr>
      <w:br/>
      <w:t xml:space="preserve">DATE RECEIVED: </w:t>
    </w:r>
    <w:r w:rsidR="00981691">
      <w:rPr>
        <w:rFonts w:ascii="Times New Roman" w:hAnsi="Times New Roman" w:cs="Times New Roman"/>
        <w:b/>
      </w:rPr>
      <w:t>September</w:t>
    </w:r>
    <w:r>
      <w:rPr>
        <w:rFonts w:ascii="Times New Roman" w:hAnsi="Times New Roman" w:cs="Times New Roman"/>
        <w:b/>
      </w:rPr>
      <w:t xml:space="preserve"> 2</w:t>
    </w:r>
    <w:r w:rsidR="00722D38">
      <w:rPr>
        <w:rFonts w:ascii="Times New Roman" w:hAnsi="Times New Roman" w:cs="Times New Roman"/>
        <w:b/>
      </w:rPr>
      <w:t>4</w:t>
    </w:r>
    <w:r w:rsidRPr="00BB3B03">
      <w:rPr>
        <w:rFonts w:ascii="Times New Roman" w:hAnsi="Times New Roman" w:cs="Times New Roman"/>
        <w:b/>
      </w:rPr>
      <w:t>, 20</w:t>
    </w:r>
    <w:r>
      <w:rPr>
        <w:rFonts w:ascii="Times New Roman" w:hAnsi="Times New Roman" w:cs="Times New Roman"/>
        <w:b/>
      </w:rPr>
      <w:t>20</w:t>
    </w:r>
  </w:p>
  <w:p w14:paraId="46DCAB12" w14:textId="5AA9326A" w:rsidR="00B94839" w:rsidRPr="00BB3B03" w:rsidRDefault="00B94839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981691">
      <w:rPr>
        <w:rFonts w:ascii="Times New Roman" w:hAnsi="Times New Roman" w:cs="Times New Roman"/>
        <w:b/>
      </w:rPr>
      <w:t xml:space="preserve">September </w:t>
    </w:r>
    <w:r w:rsidR="00D80136">
      <w:rPr>
        <w:rFonts w:ascii="Times New Roman" w:hAnsi="Times New Roman" w:cs="Times New Roman"/>
        <w:b/>
      </w:rPr>
      <w:t>27</w:t>
    </w:r>
    <w:r>
      <w:rPr>
        <w:rFonts w:ascii="Times New Roman" w:hAnsi="Times New Roman" w:cs="Times New Roman"/>
        <w:b/>
      </w:rPr>
      <w:t>, 2020</w:t>
    </w:r>
  </w:p>
  <w:p w14:paraId="25BD10E8" w14:textId="77777777" w:rsidR="00B94839" w:rsidRDefault="00B94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688900"/>
    <w:multiLevelType w:val="hybridMultilevel"/>
    <w:tmpl w:val="45B82F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BE6035"/>
    <w:multiLevelType w:val="hybridMultilevel"/>
    <w:tmpl w:val="A56B68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05394"/>
    <w:multiLevelType w:val="hybridMultilevel"/>
    <w:tmpl w:val="81F2A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83C59"/>
    <w:multiLevelType w:val="hybridMultilevel"/>
    <w:tmpl w:val="447CC4E0"/>
    <w:lvl w:ilvl="0" w:tplc="96A0E456">
      <w:start w:val="1"/>
      <w:numFmt w:val="decimal"/>
      <w:lvlText w:val="3-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71471"/>
    <w:multiLevelType w:val="hybridMultilevel"/>
    <w:tmpl w:val="6CD48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74CD3"/>
    <w:multiLevelType w:val="hybridMultilevel"/>
    <w:tmpl w:val="2B082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973BA"/>
    <w:multiLevelType w:val="hybridMultilevel"/>
    <w:tmpl w:val="B6AC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81A8F"/>
    <w:multiLevelType w:val="hybridMultilevel"/>
    <w:tmpl w:val="AA285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E288A"/>
    <w:multiLevelType w:val="hybridMultilevel"/>
    <w:tmpl w:val="1DB625DA"/>
    <w:lvl w:ilvl="0" w:tplc="F17492BE">
      <w:start w:val="1"/>
      <w:numFmt w:val="decimal"/>
      <w:lvlText w:val="%1."/>
      <w:lvlJc w:val="left"/>
      <w:pPr>
        <w:ind w:left="795" w:hanging="43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0E91"/>
    <w:multiLevelType w:val="hybridMultilevel"/>
    <w:tmpl w:val="1D6C2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31FB0"/>
    <w:multiLevelType w:val="hybridMultilevel"/>
    <w:tmpl w:val="BE92842A"/>
    <w:lvl w:ilvl="0" w:tplc="ED7EA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80AA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3A247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110AB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EE68D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E96102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C1215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1C54D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FA2A7E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8A208B6"/>
    <w:multiLevelType w:val="hybridMultilevel"/>
    <w:tmpl w:val="BB20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F3282"/>
    <w:multiLevelType w:val="hybridMultilevel"/>
    <w:tmpl w:val="9F96D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52C0927"/>
    <w:multiLevelType w:val="hybridMultilevel"/>
    <w:tmpl w:val="F08CD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E2114"/>
    <w:multiLevelType w:val="hybridMultilevel"/>
    <w:tmpl w:val="77ACA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5E6"/>
    <w:multiLevelType w:val="hybridMultilevel"/>
    <w:tmpl w:val="F9F26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370A4"/>
    <w:multiLevelType w:val="hybridMultilevel"/>
    <w:tmpl w:val="24FC5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36979"/>
    <w:multiLevelType w:val="hybridMultilevel"/>
    <w:tmpl w:val="F66AE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87AD6"/>
    <w:multiLevelType w:val="hybridMultilevel"/>
    <w:tmpl w:val="6938E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4"/>
  </w:num>
  <w:num w:numId="8">
    <w:abstractNumId w:val="4"/>
  </w:num>
  <w:num w:numId="9">
    <w:abstractNumId w:val="26"/>
  </w:num>
  <w:num w:numId="10">
    <w:abstractNumId w:val="23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25"/>
  </w:num>
  <w:num w:numId="16">
    <w:abstractNumId w:val="8"/>
  </w:num>
  <w:num w:numId="17">
    <w:abstractNumId w:val="16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11"/>
  </w:num>
  <w:num w:numId="23">
    <w:abstractNumId w:val="27"/>
  </w:num>
  <w:num w:numId="24">
    <w:abstractNumId w:val="3"/>
  </w:num>
  <w:num w:numId="25">
    <w:abstractNumId w:val="21"/>
  </w:num>
  <w:num w:numId="26">
    <w:abstractNumId w:val="7"/>
  </w:num>
  <w:num w:numId="27">
    <w:abstractNumId w:val="13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DCA"/>
    <w:rsid w:val="000043A9"/>
    <w:rsid w:val="00006B7A"/>
    <w:rsid w:val="00010152"/>
    <w:rsid w:val="00011A81"/>
    <w:rsid w:val="000133A9"/>
    <w:rsid w:val="000140BA"/>
    <w:rsid w:val="00015BD1"/>
    <w:rsid w:val="00023A68"/>
    <w:rsid w:val="000249E4"/>
    <w:rsid w:val="00032FB7"/>
    <w:rsid w:val="00036DC8"/>
    <w:rsid w:val="000408D0"/>
    <w:rsid w:val="00041BC7"/>
    <w:rsid w:val="00042E5C"/>
    <w:rsid w:val="000441EE"/>
    <w:rsid w:val="000473F3"/>
    <w:rsid w:val="0005671F"/>
    <w:rsid w:val="00060117"/>
    <w:rsid w:val="00065688"/>
    <w:rsid w:val="00067570"/>
    <w:rsid w:val="00073483"/>
    <w:rsid w:val="00077773"/>
    <w:rsid w:val="00077B19"/>
    <w:rsid w:val="00082442"/>
    <w:rsid w:val="00086B54"/>
    <w:rsid w:val="00090093"/>
    <w:rsid w:val="0009039C"/>
    <w:rsid w:val="000932E2"/>
    <w:rsid w:val="0009464A"/>
    <w:rsid w:val="000962E0"/>
    <w:rsid w:val="000A39A6"/>
    <w:rsid w:val="000A6C9A"/>
    <w:rsid w:val="000A6F05"/>
    <w:rsid w:val="000A7651"/>
    <w:rsid w:val="000B090D"/>
    <w:rsid w:val="000B1ECA"/>
    <w:rsid w:val="000B213F"/>
    <w:rsid w:val="000B710B"/>
    <w:rsid w:val="000C5A23"/>
    <w:rsid w:val="000C7F3B"/>
    <w:rsid w:val="000D24BA"/>
    <w:rsid w:val="000D2AC1"/>
    <w:rsid w:val="000D6ECD"/>
    <w:rsid w:val="000E0DDD"/>
    <w:rsid w:val="000F073C"/>
    <w:rsid w:val="000F217D"/>
    <w:rsid w:val="000F219A"/>
    <w:rsid w:val="000F5557"/>
    <w:rsid w:val="000F6F65"/>
    <w:rsid w:val="00101D98"/>
    <w:rsid w:val="00104F5E"/>
    <w:rsid w:val="0010718F"/>
    <w:rsid w:val="001103C9"/>
    <w:rsid w:val="001137A7"/>
    <w:rsid w:val="001149DF"/>
    <w:rsid w:val="00116F0B"/>
    <w:rsid w:val="00117124"/>
    <w:rsid w:val="00121E7C"/>
    <w:rsid w:val="00122864"/>
    <w:rsid w:val="00130766"/>
    <w:rsid w:val="00131DA7"/>
    <w:rsid w:val="0013597B"/>
    <w:rsid w:val="00137417"/>
    <w:rsid w:val="00142C40"/>
    <w:rsid w:val="001434BF"/>
    <w:rsid w:val="0014783D"/>
    <w:rsid w:val="00147E26"/>
    <w:rsid w:val="00150578"/>
    <w:rsid w:val="001522AA"/>
    <w:rsid w:val="00154C2A"/>
    <w:rsid w:val="00155437"/>
    <w:rsid w:val="00155965"/>
    <w:rsid w:val="0016093E"/>
    <w:rsid w:val="00163795"/>
    <w:rsid w:val="00163DC7"/>
    <w:rsid w:val="00164CB9"/>
    <w:rsid w:val="00166C29"/>
    <w:rsid w:val="00167CF6"/>
    <w:rsid w:val="00167F03"/>
    <w:rsid w:val="001729AE"/>
    <w:rsid w:val="001734B7"/>
    <w:rsid w:val="00174111"/>
    <w:rsid w:val="00180707"/>
    <w:rsid w:val="001909F3"/>
    <w:rsid w:val="00192F9B"/>
    <w:rsid w:val="001952B2"/>
    <w:rsid w:val="0019584E"/>
    <w:rsid w:val="00196256"/>
    <w:rsid w:val="001A10A8"/>
    <w:rsid w:val="001A31F8"/>
    <w:rsid w:val="001A350B"/>
    <w:rsid w:val="001A7FE7"/>
    <w:rsid w:val="001B40F6"/>
    <w:rsid w:val="001B6807"/>
    <w:rsid w:val="001C0D0A"/>
    <w:rsid w:val="001C3582"/>
    <w:rsid w:val="001C6049"/>
    <w:rsid w:val="001E1AB2"/>
    <w:rsid w:val="001E4C36"/>
    <w:rsid w:val="001E597C"/>
    <w:rsid w:val="001E6D44"/>
    <w:rsid w:val="001E73D1"/>
    <w:rsid w:val="001F1F3B"/>
    <w:rsid w:val="001F2B11"/>
    <w:rsid w:val="001F6745"/>
    <w:rsid w:val="001FA1F9"/>
    <w:rsid w:val="002004F2"/>
    <w:rsid w:val="002055A0"/>
    <w:rsid w:val="00212531"/>
    <w:rsid w:val="00213F58"/>
    <w:rsid w:val="0021401E"/>
    <w:rsid w:val="0021544F"/>
    <w:rsid w:val="00221F6F"/>
    <w:rsid w:val="0022705F"/>
    <w:rsid w:val="00227922"/>
    <w:rsid w:val="00227AD1"/>
    <w:rsid w:val="00230361"/>
    <w:rsid w:val="002312A3"/>
    <w:rsid w:val="002407A5"/>
    <w:rsid w:val="00242383"/>
    <w:rsid w:val="00242884"/>
    <w:rsid w:val="00243E6B"/>
    <w:rsid w:val="00247295"/>
    <w:rsid w:val="00247644"/>
    <w:rsid w:val="00251F92"/>
    <w:rsid w:val="00253BFB"/>
    <w:rsid w:val="002540A5"/>
    <w:rsid w:val="00256561"/>
    <w:rsid w:val="00257835"/>
    <w:rsid w:val="00264F5F"/>
    <w:rsid w:val="00265FA2"/>
    <w:rsid w:val="002663C6"/>
    <w:rsid w:val="00271CE3"/>
    <w:rsid w:val="00272DD6"/>
    <w:rsid w:val="002758C7"/>
    <w:rsid w:val="0027631B"/>
    <w:rsid w:val="00281B11"/>
    <w:rsid w:val="00284755"/>
    <w:rsid w:val="00284DB5"/>
    <w:rsid w:val="00286F5F"/>
    <w:rsid w:val="0029459D"/>
    <w:rsid w:val="00294908"/>
    <w:rsid w:val="002A06C2"/>
    <w:rsid w:val="002A19BC"/>
    <w:rsid w:val="002A1DEB"/>
    <w:rsid w:val="002A48B2"/>
    <w:rsid w:val="002A5B2A"/>
    <w:rsid w:val="002B2A91"/>
    <w:rsid w:val="002B487A"/>
    <w:rsid w:val="002B7723"/>
    <w:rsid w:val="002B7A84"/>
    <w:rsid w:val="002C3FC3"/>
    <w:rsid w:val="002C51C0"/>
    <w:rsid w:val="002C69E6"/>
    <w:rsid w:val="002C6B39"/>
    <w:rsid w:val="002E01E7"/>
    <w:rsid w:val="002E3CB1"/>
    <w:rsid w:val="002E6865"/>
    <w:rsid w:val="002E6C9A"/>
    <w:rsid w:val="002F2139"/>
    <w:rsid w:val="002F4871"/>
    <w:rsid w:val="002F5ADA"/>
    <w:rsid w:val="002F6BDE"/>
    <w:rsid w:val="002F6E37"/>
    <w:rsid w:val="00305E66"/>
    <w:rsid w:val="00312BB1"/>
    <w:rsid w:val="003138FC"/>
    <w:rsid w:val="00313F49"/>
    <w:rsid w:val="00315540"/>
    <w:rsid w:val="00316412"/>
    <w:rsid w:val="00317A8F"/>
    <w:rsid w:val="00320693"/>
    <w:rsid w:val="00322EA2"/>
    <w:rsid w:val="00331DCE"/>
    <w:rsid w:val="00332052"/>
    <w:rsid w:val="0033683C"/>
    <w:rsid w:val="00337178"/>
    <w:rsid w:val="003401A8"/>
    <w:rsid w:val="00354752"/>
    <w:rsid w:val="00360568"/>
    <w:rsid w:val="003616A2"/>
    <w:rsid w:val="00362A8A"/>
    <w:rsid w:val="00366461"/>
    <w:rsid w:val="003714E5"/>
    <w:rsid w:val="003719EA"/>
    <w:rsid w:val="00375B04"/>
    <w:rsid w:val="00377E06"/>
    <w:rsid w:val="0038229B"/>
    <w:rsid w:val="00383216"/>
    <w:rsid w:val="0038435A"/>
    <w:rsid w:val="00387235"/>
    <w:rsid w:val="0039194F"/>
    <w:rsid w:val="003920AA"/>
    <w:rsid w:val="003A3E1E"/>
    <w:rsid w:val="003A6866"/>
    <w:rsid w:val="003B40AB"/>
    <w:rsid w:val="003B6F33"/>
    <w:rsid w:val="003B7BC2"/>
    <w:rsid w:val="003C1EF7"/>
    <w:rsid w:val="003D0506"/>
    <w:rsid w:val="003D317D"/>
    <w:rsid w:val="003D3D72"/>
    <w:rsid w:val="003E1C2F"/>
    <w:rsid w:val="003E5B5F"/>
    <w:rsid w:val="003F1804"/>
    <w:rsid w:val="003F2073"/>
    <w:rsid w:val="003F5CD9"/>
    <w:rsid w:val="003F6F35"/>
    <w:rsid w:val="003F764D"/>
    <w:rsid w:val="004011A4"/>
    <w:rsid w:val="00403979"/>
    <w:rsid w:val="00404616"/>
    <w:rsid w:val="00407041"/>
    <w:rsid w:val="0041226F"/>
    <w:rsid w:val="00412E38"/>
    <w:rsid w:val="004178A0"/>
    <w:rsid w:val="004209CB"/>
    <w:rsid w:val="004239E3"/>
    <w:rsid w:val="00425235"/>
    <w:rsid w:val="00433A8F"/>
    <w:rsid w:val="00437BC0"/>
    <w:rsid w:val="0044225B"/>
    <w:rsid w:val="004445A7"/>
    <w:rsid w:val="00445522"/>
    <w:rsid w:val="00447F1E"/>
    <w:rsid w:val="00452A25"/>
    <w:rsid w:val="00452A41"/>
    <w:rsid w:val="0046792C"/>
    <w:rsid w:val="00472FB6"/>
    <w:rsid w:val="00473825"/>
    <w:rsid w:val="00473EE3"/>
    <w:rsid w:val="004769DF"/>
    <w:rsid w:val="004818AB"/>
    <w:rsid w:val="00493695"/>
    <w:rsid w:val="004A0D4C"/>
    <w:rsid w:val="004A0F0E"/>
    <w:rsid w:val="004A386A"/>
    <w:rsid w:val="004A637D"/>
    <w:rsid w:val="004B0621"/>
    <w:rsid w:val="004B2F71"/>
    <w:rsid w:val="004B3078"/>
    <w:rsid w:val="004B5FBF"/>
    <w:rsid w:val="004B7620"/>
    <w:rsid w:val="004C21FC"/>
    <w:rsid w:val="004C3B31"/>
    <w:rsid w:val="004C6421"/>
    <w:rsid w:val="004D375A"/>
    <w:rsid w:val="004D3E16"/>
    <w:rsid w:val="004D3E37"/>
    <w:rsid w:val="004D42BA"/>
    <w:rsid w:val="004E3FA3"/>
    <w:rsid w:val="004E4C42"/>
    <w:rsid w:val="004F35E4"/>
    <w:rsid w:val="004F3D54"/>
    <w:rsid w:val="004F4A4D"/>
    <w:rsid w:val="004F573A"/>
    <w:rsid w:val="004F6A69"/>
    <w:rsid w:val="0050650D"/>
    <w:rsid w:val="00507BB7"/>
    <w:rsid w:val="0051056F"/>
    <w:rsid w:val="00511D3D"/>
    <w:rsid w:val="0051243E"/>
    <w:rsid w:val="0051409C"/>
    <w:rsid w:val="005162AC"/>
    <w:rsid w:val="00517B02"/>
    <w:rsid w:val="00520577"/>
    <w:rsid w:val="00520F6B"/>
    <w:rsid w:val="00521CE4"/>
    <w:rsid w:val="005255A2"/>
    <w:rsid w:val="00527FFC"/>
    <w:rsid w:val="005334CE"/>
    <w:rsid w:val="005366FA"/>
    <w:rsid w:val="00537755"/>
    <w:rsid w:val="00542997"/>
    <w:rsid w:val="0056153D"/>
    <w:rsid w:val="00561BD6"/>
    <w:rsid w:val="00562768"/>
    <w:rsid w:val="0056291E"/>
    <w:rsid w:val="00565376"/>
    <w:rsid w:val="00566CDC"/>
    <w:rsid w:val="00570FAB"/>
    <w:rsid w:val="0057463E"/>
    <w:rsid w:val="005765AC"/>
    <w:rsid w:val="00584FC4"/>
    <w:rsid w:val="00585FC4"/>
    <w:rsid w:val="00586A85"/>
    <w:rsid w:val="00587F03"/>
    <w:rsid w:val="005909F7"/>
    <w:rsid w:val="00593616"/>
    <w:rsid w:val="00597B44"/>
    <w:rsid w:val="00597BF3"/>
    <w:rsid w:val="005A16B9"/>
    <w:rsid w:val="005A186D"/>
    <w:rsid w:val="005A533D"/>
    <w:rsid w:val="005A65E2"/>
    <w:rsid w:val="005A6DA8"/>
    <w:rsid w:val="005A7025"/>
    <w:rsid w:val="005A7691"/>
    <w:rsid w:val="005B3A65"/>
    <w:rsid w:val="005B5AF1"/>
    <w:rsid w:val="005B6C12"/>
    <w:rsid w:val="005C006A"/>
    <w:rsid w:val="005C0353"/>
    <w:rsid w:val="005C09BB"/>
    <w:rsid w:val="005D2CB9"/>
    <w:rsid w:val="005D3518"/>
    <w:rsid w:val="005D535A"/>
    <w:rsid w:val="005D5FA4"/>
    <w:rsid w:val="005D73F9"/>
    <w:rsid w:val="005E43EF"/>
    <w:rsid w:val="005E500A"/>
    <w:rsid w:val="005F16B2"/>
    <w:rsid w:val="005F7A87"/>
    <w:rsid w:val="0060296D"/>
    <w:rsid w:val="006074AD"/>
    <w:rsid w:val="006143D0"/>
    <w:rsid w:val="00621321"/>
    <w:rsid w:val="00633ED5"/>
    <w:rsid w:val="006349C3"/>
    <w:rsid w:val="00634F52"/>
    <w:rsid w:val="006353B4"/>
    <w:rsid w:val="00650376"/>
    <w:rsid w:val="0065480E"/>
    <w:rsid w:val="00656394"/>
    <w:rsid w:val="00657F6E"/>
    <w:rsid w:val="0066258C"/>
    <w:rsid w:val="00664AAC"/>
    <w:rsid w:val="006659B7"/>
    <w:rsid w:val="00666653"/>
    <w:rsid w:val="006675E1"/>
    <w:rsid w:val="00670ECC"/>
    <w:rsid w:val="00671DF8"/>
    <w:rsid w:val="006743F1"/>
    <w:rsid w:val="006746FC"/>
    <w:rsid w:val="00675C0D"/>
    <w:rsid w:val="00676426"/>
    <w:rsid w:val="00683DE9"/>
    <w:rsid w:val="0069100E"/>
    <w:rsid w:val="0069248C"/>
    <w:rsid w:val="00692B51"/>
    <w:rsid w:val="00696A30"/>
    <w:rsid w:val="0069799F"/>
    <w:rsid w:val="006A2A33"/>
    <w:rsid w:val="006A724E"/>
    <w:rsid w:val="006B50D0"/>
    <w:rsid w:val="006B64BC"/>
    <w:rsid w:val="006B7D74"/>
    <w:rsid w:val="006C1BD6"/>
    <w:rsid w:val="006C2607"/>
    <w:rsid w:val="006C46C9"/>
    <w:rsid w:val="006C578A"/>
    <w:rsid w:val="006C58DA"/>
    <w:rsid w:val="006C5C32"/>
    <w:rsid w:val="006C639B"/>
    <w:rsid w:val="006D0845"/>
    <w:rsid w:val="006D3EDC"/>
    <w:rsid w:val="006E073E"/>
    <w:rsid w:val="006E6BCA"/>
    <w:rsid w:val="006F440F"/>
    <w:rsid w:val="006F5D7B"/>
    <w:rsid w:val="006F62AB"/>
    <w:rsid w:val="007001F8"/>
    <w:rsid w:val="0070035F"/>
    <w:rsid w:val="007054F1"/>
    <w:rsid w:val="00713C2A"/>
    <w:rsid w:val="00717EB6"/>
    <w:rsid w:val="00721EFC"/>
    <w:rsid w:val="00722074"/>
    <w:rsid w:val="00722D38"/>
    <w:rsid w:val="007233C8"/>
    <w:rsid w:val="00724F25"/>
    <w:rsid w:val="007278FE"/>
    <w:rsid w:val="00727C31"/>
    <w:rsid w:val="00740397"/>
    <w:rsid w:val="0074106E"/>
    <w:rsid w:val="00741A02"/>
    <w:rsid w:val="007449EF"/>
    <w:rsid w:val="00744BD2"/>
    <w:rsid w:val="00746D53"/>
    <w:rsid w:val="00750456"/>
    <w:rsid w:val="007525E6"/>
    <w:rsid w:val="007534A2"/>
    <w:rsid w:val="00753C5A"/>
    <w:rsid w:val="0076344B"/>
    <w:rsid w:val="00776074"/>
    <w:rsid w:val="007803F7"/>
    <w:rsid w:val="00781387"/>
    <w:rsid w:val="0078262C"/>
    <w:rsid w:val="007876AA"/>
    <w:rsid w:val="00787AC5"/>
    <w:rsid w:val="00796D88"/>
    <w:rsid w:val="00797D2A"/>
    <w:rsid w:val="007A31BB"/>
    <w:rsid w:val="007A5538"/>
    <w:rsid w:val="007A6E4D"/>
    <w:rsid w:val="007A7F06"/>
    <w:rsid w:val="007B016E"/>
    <w:rsid w:val="007B4D05"/>
    <w:rsid w:val="007C3A48"/>
    <w:rsid w:val="007C4C8A"/>
    <w:rsid w:val="007C5A92"/>
    <w:rsid w:val="007C5EF9"/>
    <w:rsid w:val="007D2AE3"/>
    <w:rsid w:val="007D3EC5"/>
    <w:rsid w:val="007D677E"/>
    <w:rsid w:val="007D735F"/>
    <w:rsid w:val="007E3DAC"/>
    <w:rsid w:val="007E4F06"/>
    <w:rsid w:val="007F0826"/>
    <w:rsid w:val="007F7ABD"/>
    <w:rsid w:val="00802E44"/>
    <w:rsid w:val="008113E5"/>
    <w:rsid w:val="00811904"/>
    <w:rsid w:val="008131FF"/>
    <w:rsid w:val="008175F7"/>
    <w:rsid w:val="00817F06"/>
    <w:rsid w:val="008243E4"/>
    <w:rsid w:val="00825638"/>
    <w:rsid w:val="00825835"/>
    <w:rsid w:val="0082649E"/>
    <w:rsid w:val="00826CBF"/>
    <w:rsid w:val="0084394B"/>
    <w:rsid w:val="00844369"/>
    <w:rsid w:val="00846164"/>
    <w:rsid w:val="00846C37"/>
    <w:rsid w:val="00846CC9"/>
    <w:rsid w:val="00851E91"/>
    <w:rsid w:val="0085302F"/>
    <w:rsid w:val="00854948"/>
    <w:rsid w:val="00855198"/>
    <w:rsid w:val="00855C82"/>
    <w:rsid w:val="00860C3C"/>
    <w:rsid w:val="00861A84"/>
    <w:rsid w:val="00863840"/>
    <w:rsid w:val="00863F14"/>
    <w:rsid w:val="0087248C"/>
    <w:rsid w:val="00875CE3"/>
    <w:rsid w:val="00877371"/>
    <w:rsid w:val="00877A20"/>
    <w:rsid w:val="00877FE1"/>
    <w:rsid w:val="00883D24"/>
    <w:rsid w:val="008850CC"/>
    <w:rsid w:val="0088617C"/>
    <w:rsid w:val="0089380E"/>
    <w:rsid w:val="00896096"/>
    <w:rsid w:val="008A45F5"/>
    <w:rsid w:val="008A7402"/>
    <w:rsid w:val="008B0697"/>
    <w:rsid w:val="008B1F90"/>
    <w:rsid w:val="008B4D6A"/>
    <w:rsid w:val="008B72DA"/>
    <w:rsid w:val="008C181B"/>
    <w:rsid w:val="008C1929"/>
    <w:rsid w:val="008C3DFC"/>
    <w:rsid w:val="008D0191"/>
    <w:rsid w:val="008D3794"/>
    <w:rsid w:val="008D5C73"/>
    <w:rsid w:val="008D66C0"/>
    <w:rsid w:val="008D6F0E"/>
    <w:rsid w:val="008D7E30"/>
    <w:rsid w:val="008E2320"/>
    <w:rsid w:val="008E47C3"/>
    <w:rsid w:val="008E7E48"/>
    <w:rsid w:val="008F02E0"/>
    <w:rsid w:val="008F20EC"/>
    <w:rsid w:val="008F557C"/>
    <w:rsid w:val="0090294C"/>
    <w:rsid w:val="00904AEA"/>
    <w:rsid w:val="00907727"/>
    <w:rsid w:val="009146C4"/>
    <w:rsid w:val="009174E9"/>
    <w:rsid w:val="0092031B"/>
    <w:rsid w:val="00921C40"/>
    <w:rsid w:val="00922639"/>
    <w:rsid w:val="00922C0C"/>
    <w:rsid w:val="00922F52"/>
    <w:rsid w:val="0092310A"/>
    <w:rsid w:val="00925773"/>
    <w:rsid w:val="009274BB"/>
    <w:rsid w:val="00930FA8"/>
    <w:rsid w:val="009319FE"/>
    <w:rsid w:val="00936900"/>
    <w:rsid w:val="009375AA"/>
    <w:rsid w:val="009412FB"/>
    <w:rsid w:val="00941E1E"/>
    <w:rsid w:val="00943820"/>
    <w:rsid w:val="00943B34"/>
    <w:rsid w:val="00944DEF"/>
    <w:rsid w:val="009468E5"/>
    <w:rsid w:val="0095235C"/>
    <w:rsid w:val="00953263"/>
    <w:rsid w:val="009532D3"/>
    <w:rsid w:val="009563DA"/>
    <w:rsid w:val="009565E3"/>
    <w:rsid w:val="00956D02"/>
    <w:rsid w:val="00963CE7"/>
    <w:rsid w:val="00967D02"/>
    <w:rsid w:val="00970EB8"/>
    <w:rsid w:val="00971DDD"/>
    <w:rsid w:val="0097209E"/>
    <w:rsid w:val="00972B1F"/>
    <w:rsid w:val="009762CC"/>
    <w:rsid w:val="00981691"/>
    <w:rsid w:val="00987089"/>
    <w:rsid w:val="009879A1"/>
    <w:rsid w:val="00990FEB"/>
    <w:rsid w:val="00992180"/>
    <w:rsid w:val="00993F4E"/>
    <w:rsid w:val="00994EA9"/>
    <w:rsid w:val="00995740"/>
    <w:rsid w:val="009A3265"/>
    <w:rsid w:val="009A4CD0"/>
    <w:rsid w:val="009A593B"/>
    <w:rsid w:val="009A740A"/>
    <w:rsid w:val="009A7554"/>
    <w:rsid w:val="009B18B5"/>
    <w:rsid w:val="009B4739"/>
    <w:rsid w:val="009B5D5C"/>
    <w:rsid w:val="009B6AC0"/>
    <w:rsid w:val="009B6BA8"/>
    <w:rsid w:val="009B6F32"/>
    <w:rsid w:val="009B7DCB"/>
    <w:rsid w:val="009C28C4"/>
    <w:rsid w:val="009C527C"/>
    <w:rsid w:val="009C6D1F"/>
    <w:rsid w:val="009D18E7"/>
    <w:rsid w:val="009D1F4E"/>
    <w:rsid w:val="009D260F"/>
    <w:rsid w:val="009D6650"/>
    <w:rsid w:val="009D7F6C"/>
    <w:rsid w:val="009E61C4"/>
    <w:rsid w:val="009E71D5"/>
    <w:rsid w:val="009F3D56"/>
    <w:rsid w:val="009F5CA3"/>
    <w:rsid w:val="009F6BE7"/>
    <w:rsid w:val="009F790A"/>
    <w:rsid w:val="00A01C82"/>
    <w:rsid w:val="00A01FE9"/>
    <w:rsid w:val="00A0280C"/>
    <w:rsid w:val="00A02884"/>
    <w:rsid w:val="00A05750"/>
    <w:rsid w:val="00A06D28"/>
    <w:rsid w:val="00A06EFD"/>
    <w:rsid w:val="00A1171E"/>
    <w:rsid w:val="00A20CBF"/>
    <w:rsid w:val="00A21440"/>
    <w:rsid w:val="00A23CD1"/>
    <w:rsid w:val="00A26135"/>
    <w:rsid w:val="00A30EF2"/>
    <w:rsid w:val="00A419C1"/>
    <w:rsid w:val="00A42707"/>
    <w:rsid w:val="00A42C8D"/>
    <w:rsid w:val="00A479CD"/>
    <w:rsid w:val="00A52FCF"/>
    <w:rsid w:val="00A53F99"/>
    <w:rsid w:val="00A55F73"/>
    <w:rsid w:val="00A61D26"/>
    <w:rsid w:val="00A6660A"/>
    <w:rsid w:val="00A67832"/>
    <w:rsid w:val="00A67C89"/>
    <w:rsid w:val="00A7037D"/>
    <w:rsid w:val="00A7576B"/>
    <w:rsid w:val="00A84360"/>
    <w:rsid w:val="00A90892"/>
    <w:rsid w:val="00A91152"/>
    <w:rsid w:val="00A9131A"/>
    <w:rsid w:val="00A957F6"/>
    <w:rsid w:val="00A95AAC"/>
    <w:rsid w:val="00A95F00"/>
    <w:rsid w:val="00A976FC"/>
    <w:rsid w:val="00AA2F73"/>
    <w:rsid w:val="00AA6995"/>
    <w:rsid w:val="00AB0FE5"/>
    <w:rsid w:val="00AB1AF2"/>
    <w:rsid w:val="00AB5B59"/>
    <w:rsid w:val="00AC2F6D"/>
    <w:rsid w:val="00AC5615"/>
    <w:rsid w:val="00AC7781"/>
    <w:rsid w:val="00AD218D"/>
    <w:rsid w:val="00AD6C40"/>
    <w:rsid w:val="00AD7840"/>
    <w:rsid w:val="00AE1E1C"/>
    <w:rsid w:val="00AE5F7E"/>
    <w:rsid w:val="00AF027C"/>
    <w:rsid w:val="00AF59A2"/>
    <w:rsid w:val="00AF6700"/>
    <w:rsid w:val="00AF7F69"/>
    <w:rsid w:val="00B005ED"/>
    <w:rsid w:val="00B05633"/>
    <w:rsid w:val="00B06452"/>
    <w:rsid w:val="00B12953"/>
    <w:rsid w:val="00B12EAC"/>
    <w:rsid w:val="00B1392C"/>
    <w:rsid w:val="00B15D8A"/>
    <w:rsid w:val="00B208EB"/>
    <w:rsid w:val="00B25E47"/>
    <w:rsid w:val="00B3116A"/>
    <w:rsid w:val="00B333AB"/>
    <w:rsid w:val="00B34558"/>
    <w:rsid w:val="00B42D14"/>
    <w:rsid w:val="00B45304"/>
    <w:rsid w:val="00B4626C"/>
    <w:rsid w:val="00B50139"/>
    <w:rsid w:val="00B540BD"/>
    <w:rsid w:val="00B603AB"/>
    <w:rsid w:val="00B64BDE"/>
    <w:rsid w:val="00B670B5"/>
    <w:rsid w:val="00B7015F"/>
    <w:rsid w:val="00B70382"/>
    <w:rsid w:val="00B712DB"/>
    <w:rsid w:val="00B73736"/>
    <w:rsid w:val="00B73BB5"/>
    <w:rsid w:val="00B754F4"/>
    <w:rsid w:val="00B83FFD"/>
    <w:rsid w:val="00B84156"/>
    <w:rsid w:val="00B90B71"/>
    <w:rsid w:val="00B91E14"/>
    <w:rsid w:val="00B9399E"/>
    <w:rsid w:val="00B94839"/>
    <w:rsid w:val="00B97974"/>
    <w:rsid w:val="00BA0825"/>
    <w:rsid w:val="00BA1367"/>
    <w:rsid w:val="00BA7F23"/>
    <w:rsid w:val="00BB3796"/>
    <w:rsid w:val="00BB616A"/>
    <w:rsid w:val="00BB79A4"/>
    <w:rsid w:val="00BC35A8"/>
    <w:rsid w:val="00BC40F0"/>
    <w:rsid w:val="00BC501D"/>
    <w:rsid w:val="00BC5E25"/>
    <w:rsid w:val="00BC7145"/>
    <w:rsid w:val="00BD16C2"/>
    <w:rsid w:val="00BD40E0"/>
    <w:rsid w:val="00BD4CD7"/>
    <w:rsid w:val="00BE2AA1"/>
    <w:rsid w:val="00BE2F7E"/>
    <w:rsid w:val="00BE6EC7"/>
    <w:rsid w:val="00BF1130"/>
    <w:rsid w:val="00BF27D8"/>
    <w:rsid w:val="00BF5E12"/>
    <w:rsid w:val="00C006E6"/>
    <w:rsid w:val="00C01B35"/>
    <w:rsid w:val="00C023F9"/>
    <w:rsid w:val="00C033AB"/>
    <w:rsid w:val="00C03810"/>
    <w:rsid w:val="00C06FA8"/>
    <w:rsid w:val="00C10A6E"/>
    <w:rsid w:val="00C11BD5"/>
    <w:rsid w:val="00C167EE"/>
    <w:rsid w:val="00C2339D"/>
    <w:rsid w:val="00C23A5F"/>
    <w:rsid w:val="00C25DE9"/>
    <w:rsid w:val="00C26176"/>
    <w:rsid w:val="00C2679D"/>
    <w:rsid w:val="00C33C73"/>
    <w:rsid w:val="00C507EB"/>
    <w:rsid w:val="00C51405"/>
    <w:rsid w:val="00C55487"/>
    <w:rsid w:val="00C577BC"/>
    <w:rsid w:val="00C618E5"/>
    <w:rsid w:val="00C61FAE"/>
    <w:rsid w:val="00C64548"/>
    <w:rsid w:val="00C658D0"/>
    <w:rsid w:val="00C76212"/>
    <w:rsid w:val="00C77C09"/>
    <w:rsid w:val="00C77E51"/>
    <w:rsid w:val="00C8751C"/>
    <w:rsid w:val="00C90026"/>
    <w:rsid w:val="00C92602"/>
    <w:rsid w:val="00CA3F16"/>
    <w:rsid w:val="00CA51E1"/>
    <w:rsid w:val="00CB0A46"/>
    <w:rsid w:val="00CB16F9"/>
    <w:rsid w:val="00CB269D"/>
    <w:rsid w:val="00CB7A9A"/>
    <w:rsid w:val="00CC158A"/>
    <w:rsid w:val="00CC37B9"/>
    <w:rsid w:val="00CC4483"/>
    <w:rsid w:val="00CC5197"/>
    <w:rsid w:val="00CC5B87"/>
    <w:rsid w:val="00CD4219"/>
    <w:rsid w:val="00CD44E4"/>
    <w:rsid w:val="00CD6EF7"/>
    <w:rsid w:val="00CE35CE"/>
    <w:rsid w:val="00CE6699"/>
    <w:rsid w:val="00CF08C5"/>
    <w:rsid w:val="00CF2067"/>
    <w:rsid w:val="00D0071F"/>
    <w:rsid w:val="00D079F6"/>
    <w:rsid w:val="00D10B89"/>
    <w:rsid w:val="00D11A72"/>
    <w:rsid w:val="00D11F97"/>
    <w:rsid w:val="00D15F54"/>
    <w:rsid w:val="00D22854"/>
    <w:rsid w:val="00D23A7A"/>
    <w:rsid w:val="00D26552"/>
    <w:rsid w:val="00D35420"/>
    <w:rsid w:val="00D4333E"/>
    <w:rsid w:val="00D44747"/>
    <w:rsid w:val="00D45862"/>
    <w:rsid w:val="00D46265"/>
    <w:rsid w:val="00D51844"/>
    <w:rsid w:val="00D53A50"/>
    <w:rsid w:val="00D5475F"/>
    <w:rsid w:val="00D56365"/>
    <w:rsid w:val="00D61A17"/>
    <w:rsid w:val="00D63BCC"/>
    <w:rsid w:val="00D64B96"/>
    <w:rsid w:val="00D654F7"/>
    <w:rsid w:val="00D65592"/>
    <w:rsid w:val="00D6777E"/>
    <w:rsid w:val="00D678A6"/>
    <w:rsid w:val="00D70CB3"/>
    <w:rsid w:val="00D755C8"/>
    <w:rsid w:val="00D80136"/>
    <w:rsid w:val="00D80411"/>
    <w:rsid w:val="00D9485E"/>
    <w:rsid w:val="00D96703"/>
    <w:rsid w:val="00DA4E5F"/>
    <w:rsid w:val="00DA5700"/>
    <w:rsid w:val="00DA5FC0"/>
    <w:rsid w:val="00DA7297"/>
    <w:rsid w:val="00DA7DD9"/>
    <w:rsid w:val="00DB2529"/>
    <w:rsid w:val="00DB334B"/>
    <w:rsid w:val="00DB53EC"/>
    <w:rsid w:val="00DC107F"/>
    <w:rsid w:val="00DD0D3D"/>
    <w:rsid w:val="00DD1865"/>
    <w:rsid w:val="00DD186A"/>
    <w:rsid w:val="00DD1E60"/>
    <w:rsid w:val="00DE1BAA"/>
    <w:rsid w:val="00DE5318"/>
    <w:rsid w:val="00DE6E4B"/>
    <w:rsid w:val="00E012E2"/>
    <w:rsid w:val="00E069A8"/>
    <w:rsid w:val="00E101F3"/>
    <w:rsid w:val="00E118D5"/>
    <w:rsid w:val="00E11C12"/>
    <w:rsid w:val="00E12B10"/>
    <w:rsid w:val="00E14A08"/>
    <w:rsid w:val="00E22FAA"/>
    <w:rsid w:val="00E25D8B"/>
    <w:rsid w:val="00E30B78"/>
    <w:rsid w:val="00E335B9"/>
    <w:rsid w:val="00E40514"/>
    <w:rsid w:val="00E41144"/>
    <w:rsid w:val="00E41516"/>
    <w:rsid w:val="00E43BD1"/>
    <w:rsid w:val="00E44CE6"/>
    <w:rsid w:val="00E47E77"/>
    <w:rsid w:val="00E527D5"/>
    <w:rsid w:val="00E61984"/>
    <w:rsid w:val="00E71281"/>
    <w:rsid w:val="00E71A16"/>
    <w:rsid w:val="00E71D05"/>
    <w:rsid w:val="00E744AE"/>
    <w:rsid w:val="00E8584C"/>
    <w:rsid w:val="00E904AE"/>
    <w:rsid w:val="00E962ED"/>
    <w:rsid w:val="00E97312"/>
    <w:rsid w:val="00E97A30"/>
    <w:rsid w:val="00EA1598"/>
    <w:rsid w:val="00EB0FBE"/>
    <w:rsid w:val="00EB1039"/>
    <w:rsid w:val="00EB2754"/>
    <w:rsid w:val="00EB2929"/>
    <w:rsid w:val="00EB55AA"/>
    <w:rsid w:val="00EB7811"/>
    <w:rsid w:val="00EC282A"/>
    <w:rsid w:val="00ED1A8B"/>
    <w:rsid w:val="00ED1CF2"/>
    <w:rsid w:val="00ED21CC"/>
    <w:rsid w:val="00ED220F"/>
    <w:rsid w:val="00ED442A"/>
    <w:rsid w:val="00ED6E6B"/>
    <w:rsid w:val="00ED793F"/>
    <w:rsid w:val="00EE060B"/>
    <w:rsid w:val="00EE0A82"/>
    <w:rsid w:val="00EE2218"/>
    <w:rsid w:val="00EF0B14"/>
    <w:rsid w:val="00EF0DA6"/>
    <w:rsid w:val="00EF642F"/>
    <w:rsid w:val="00EF734C"/>
    <w:rsid w:val="00EF76DF"/>
    <w:rsid w:val="00F10B46"/>
    <w:rsid w:val="00F1311A"/>
    <w:rsid w:val="00F13911"/>
    <w:rsid w:val="00F152D5"/>
    <w:rsid w:val="00F15DD6"/>
    <w:rsid w:val="00F22507"/>
    <w:rsid w:val="00F24466"/>
    <w:rsid w:val="00F25E6E"/>
    <w:rsid w:val="00F27225"/>
    <w:rsid w:val="00F3295A"/>
    <w:rsid w:val="00F3483B"/>
    <w:rsid w:val="00F3650D"/>
    <w:rsid w:val="00F36927"/>
    <w:rsid w:val="00F3725C"/>
    <w:rsid w:val="00F37F7E"/>
    <w:rsid w:val="00F4335F"/>
    <w:rsid w:val="00F44CC0"/>
    <w:rsid w:val="00F47BDB"/>
    <w:rsid w:val="00F5199D"/>
    <w:rsid w:val="00F51D3E"/>
    <w:rsid w:val="00F54A6D"/>
    <w:rsid w:val="00F54CE5"/>
    <w:rsid w:val="00F5688E"/>
    <w:rsid w:val="00F571D6"/>
    <w:rsid w:val="00F5753F"/>
    <w:rsid w:val="00F57E51"/>
    <w:rsid w:val="00F60D9C"/>
    <w:rsid w:val="00F61FB9"/>
    <w:rsid w:val="00F65911"/>
    <w:rsid w:val="00F77479"/>
    <w:rsid w:val="00F8145F"/>
    <w:rsid w:val="00F85867"/>
    <w:rsid w:val="00F86E79"/>
    <w:rsid w:val="00F87D74"/>
    <w:rsid w:val="00F926AF"/>
    <w:rsid w:val="00F9515B"/>
    <w:rsid w:val="00F963F5"/>
    <w:rsid w:val="00FA43C2"/>
    <w:rsid w:val="00FA7DEB"/>
    <w:rsid w:val="00FB2BBB"/>
    <w:rsid w:val="00FB330C"/>
    <w:rsid w:val="00FB4157"/>
    <w:rsid w:val="00FB63EB"/>
    <w:rsid w:val="00FC0778"/>
    <w:rsid w:val="00FC38A4"/>
    <w:rsid w:val="00FC445B"/>
    <w:rsid w:val="00FC6FC4"/>
    <w:rsid w:val="00FC7EEE"/>
    <w:rsid w:val="00FD2376"/>
    <w:rsid w:val="00FD44AD"/>
    <w:rsid w:val="00FD49DE"/>
    <w:rsid w:val="00FE0B7A"/>
    <w:rsid w:val="00FE2902"/>
    <w:rsid w:val="00FF39E4"/>
    <w:rsid w:val="00FF5154"/>
    <w:rsid w:val="00FF7179"/>
    <w:rsid w:val="02021364"/>
    <w:rsid w:val="02938EB3"/>
    <w:rsid w:val="03F42A66"/>
    <w:rsid w:val="05952F68"/>
    <w:rsid w:val="078BF41D"/>
    <w:rsid w:val="0A3D3A4C"/>
    <w:rsid w:val="0E43AF1F"/>
    <w:rsid w:val="0EF9C44C"/>
    <w:rsid w:val="0F04A8E3"/>
    <w:rsid w:val="0F6A0C5A"/>
    <w:rsid w:val="1001C7CA"/>
    <w:rsid w:val="13149C96"/>
    <w:rsid w:val="13607DC0"/>
    <w:rsid w:val="18AE2FAF"/>
    <w:rsid w:val="18C19E00"/>
    <w:rsid w:val="18F8A6BF"/>
    <w:rsid w:val="1BF9AF31"/>
    <w:rsid w:val="218FFED2"/>
    <w:rsid w:val="232F1289"/>
    <w:rsid w:val="2421B5D2"/>
    <w:rsid w:val="248527B8"/>
    <w:rsid w:val="2504CD57"/>
    <w:rsid w:val="2781E140"/>
    <w:rsid w:val="2953D6B1"/>
    <w:rsid w:val="2A72E003"/>
    <w:rsid w:val="2CB8DD69"/>
    <w:rsid w:val="2EB44C2F"/>
    <w:rsid w:val="347C9A97"/>
    <w:rsid w:val="351F54BB"/>
    <w:rsid w:val="36E104C5"/>
    <w:rsid w:val="397F2486"/>
    <w:rsid w:val="3A064E1D"/>
    <w:rsid w:val="3B97E933"/>
    <w:rsid w:val="3F224695"/>
    <w:rsid w:val="40170892"/>
    <w:rsid w:val="405551F6"/>
    <w:rsid w:val="408EC31E"/>
    <w:rsid w:val="4494C1B1"/>
    <w:rsid w:val="4500E2BF"/>
    <w:rsid w:val="450D3EB7"/>
    <w:rsid w:val="45FA2D68"/>
    <w:rsid w:val="47DF2C8B"/>
    <w:rsid w:val="4C38F8CD"/>
    <w:rsid w:val="4EC6CF1B"/>
    <w:rsid w:val="50ECE5EB"/>
    <w:rsid w:val="513F88C8"/>
    <w:rsid w:val="520C5D2A"/>
    <w:rsid w:val="56763769"/>
    <w:rsid w:val="58D67C22"/>
    <w:rsid w:val="595E0A78"/>
    <w:rsid w:val="59D71FA5"/>
    <w:rsid w:val="59E65F53"/>
    <w:rsid w:val="5AC3BC70"/>
    <w:rsid w:val="5BE69FFD"/>
    <w:rsid w:val="5C6E9CF5"/>
    <w:rsid w:val="5C71D13E"/>
    <w:rsid w:val="603AB514"/>
    <w:rsid w:val="62730569"/>
    <w:rsid w:val="64C9559A"/>
    <w:rsid w:val="68E993C3"/>
    <w:rsid w:val="6C5DEB4E"/>
    <w:rsid w:val="6F55A37A"/>
    <w:rsid w:val="735E583C"/>
    <w:rsid w:val="7451E2EA"/>
    <w:rsid w:val="75E05832"/>
    <w:rsid w:val="77208DED"/>
    <w:rsid w:val="787CDF7A"/>
    <w:rsid w:val="78EF4A5C"/>
    <w:rsid w:val="7BC22F24"/>
    <w:rsid w:val="7FD9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72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627085820B45ABDC82DD35D4FDFD" ma:contentTypeVersion="6" ma:contentTypeDescription="Create a new document." ma:contentTypeScope="" ma:versionID="b4dcc1ece3023b81186b03f6aded42f0">
  <xsd:schema xmlns:xsd="http://www.w3.org/2001/XMLSchema" xmlns:xs="http://www.w3.org/2001/XMLSchema" xmlns:p="http://schemas.microsoft.com/office/2006/metadata/properties" xmlns:ns2="c67951e0-1750-45b8-a06c-ba7fb743eef7" xmlns:ns3="c4df65ad-d090-4c39-b3ac-1c39a8bad350" targetNamespace="http://schemas.microsoft.com/office/2006/metadata/properties" ma:root="true" ma:fieldsID="6942c1f69b2241c7e397384af37cbb9c" ns2:_="" ns3:_="">
    <xsd:import namespace="c67951e0-1750-45b8-a06c-ba7fb743eef7"/>
    <xsd:import namespace="c4df65ad-d090-4c39-b3ac-1c39a8bad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51e0-1750-45b8-a06c-ba7fb743e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65ad-d090-4c39-b3ac-1c39a8bad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BD43-FC4B-4380-9160-D159DBC76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951e0-1750-45b8-a06c-ba7fb743eef7"/>
    <ds:schemaRef ds:uri="c4df65ad-d090-4c39-b3ac-1c39a8bad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8FE37-2B30-4CA8-9344-81EFE3AF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40399-CFE9-4E52-8EEC-6C5030203BF8}">
  <ds:schemaRefs>
    <ds:schemaRef ds:uri="http://purl.org/dc/terms/"/>
    <ds:schemaRef ds:uri="http://schemas.openxmlformats.org/package/2006/metadata/core-properties"/>
    <ds:schemaRef ds:uri="c67951e0-1750-45b8-a06c-ba7fb743eef7"/>
    <ds:schemaRef ds:uri="http://purl.org/dc/dcmitype/"/>
    <ds:schemaRef ds:uri="http://schemas.microsoft.com/office/infopath/2007/PartnerControls"/>
    <ds:schemaRef ds:uri="c4df65ad-d090-4c39-b3ac-1c39a8bad35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3BCA65-9D19-4DC4-BA7F-F7A81DA8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2020-09-24T18:16:00Z</dcterms:created>
  <dcterms:modified xsi:type="dcterms:W3CDTF">2020-09-28T01:12:00Z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0x010100421F627085820B45ABDC82DD35D4FDFD</vt:lpwstr>
  </property>
</Properties>
</file>