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7F6" w:rsidRDefault="00A957F6" w:rsidP="00A957F6">
      <w:pPr>
        <w:pStyle w:val="ListParagraph"/>
        <w:widowControl w:val="0"/>
        <w:numPr>
          <w:ilvl w:val="0"/>
          <w:numId w:val="4"/>
        </w:numPr>
        <w:tabs>
          <w:tab w:val="left" w:pos="-1440"/>
        </w:tabs>
        <w:autoSpaceDE w:val="0"/>
        <w:autoSpaceDN w:val="0"/>
        <w:adjustRightInd w:val="0"/>
        <w:contextualSpacing w:val="0"/>
        <w:rPr>
          <w:bCs/>
        </w:rPr>
      </w:pPr>
      <w:r>
        <w:rPr>
          <w:bCs/>
        </w:rPr>
        <w:t>Please provide SDG&amp;E’s complete workpapers for the application.  Where possible, please provide SDG&amp;E’s workpapers electronically, and preferably in Excel with all formulas intact.</w:t>
      </w:r>
    </w:p>
    <w:p w:rsidR="00A957F6" w:rsidRDefault="00A957F6" w:rsidP="00A957F6">
      <w:pPr>
        <w:pStyle w:val="ListParagraph"/>
        <w:widowControl w:val="0"/>
        <w:tabs>
          <w:tab w:val="left" w:pos="-1440"/>
        </w:tabs>
        <w:autoSpaceDE w:val="0"/>
        <w:autoSpaceDN w:val="0"/>
        <w:adjustRightInd w:val="0"/>
        <w:ind w:left="1080"/>
        <w:contextualSpacing w:val="0"/>
        <w:rPr>
          <w:bCs/>
        </w:rPr>
      </w:pPr>
    </w:p>
    <w:p w:rsidR="00A957F6" w:rsidRPr="00D418E3" w:rsidRDefault="00A957F6" w:rsidP="00A957F6">
      <w:pPr>
        <w:pStyle w:val="ListParagraph"/>
        <w:widowControl w:val="0"/>
        <w:tabs>
          <w:tab w:val="left" w:pos="-1440"/>
        </w:tabs>
        <w:autoSpaceDE w:val="0"/>
        <w:autoSpaceDN w:val="0"/>
        <w:adjustRightInd w:val="0"/>
        <w:ind w:left="1080"/>
        <w:contextualSpacing w:val="0"/>
        <w:rPr>
          <w:bCs/>
        </w:rPr>
      </w:pPr>
      <w:r w:rsidRPr="00A957F6">
        <w:rPr>
          <w:b/>
          <w:bCs/>
        </w:rPr>
        <w:t xml:space="preserve">SDG&amp;E Response: </w:t>
      </w:r>
      <w:r w:rsidR="00D418E3">
        <w:rPr>
          <w:bCs/>
        </w:rPr>
        <w:t>Workpapers for the application and tes</w:t>
      </w:r>
      <w:r w:rsidR="00335E7F">
        <w:rPr>
          <w:bCs/>
        </w:rPr>
        <w:t xml:space="preserve">timony can be viewed at </w:t>
      </w:r>
      <w:hyperlink r:id="rId7" w:history="1">
        <w:r w:rsidR="00335E7F" w:rsidRPr="00EB5CF4">
          <w:rPr>
            <w:rStyle w:val="Hyperlink"/>
          </w:rPr>
          <w:t>https://www.sdge.com/rates-and-regulations/proceedings/ev-high-power-charging-rate</w:t>
        </w:r>
      </w:hyperlink>
    </w:p>
    <w:p w:rsidR="00A957F6" w:rsidRDefault="00A957F6" w:rsidP="00A957F6">
      <w:pPr>
        <w:pStyle w:val="ListParagraph"/>
        <w:tabs>
          <w:tab w:val="left" w:pos="-1440"/>
        </w:tabs>
        <w:ind w:left="1080"/>
        <w:rPr>
          <w:bCs/>
        </w:rPr>
      </w:pPr>
    </w:p>
    <w:p w:rsidR="00A957F6" w:rsidRDefault="00A957F6" w:rsidP="00A957F6">
      <w:pPr>
        <w:pStyle w:val="ListParagraph"/>
        <w:widowControl w:val="0"/>
        <w:numPr>
          <w:ilvl w:val="0"/>
          <w:numId w:val="4"/>
        </w:numPr>
        <w:tabs>
          <w:tab w:val="left" w:pos="-1440"/>
        </w:tabs>
        <w:autoSpaceDE w:val="0"/>
        <w:autoSpaceDN w:val="0"/>
        <w:adjustRightInd w:val="0"/>
        <w:contextualSpacing w:val="0"/>
        <w:rPr>
          <w:bCs/>
        </w:rPr>
      </w:pPr>
      <w:r>
        <w:rPr>
          <w:bCs/>
        </w:rPr>
        <w:t>At page BS-11, Line 17-19, SDG&amp;E states that “If the customer’s maximum demand continues to exceed their subscription level after another two months SDG&amp;E will reset their subscription level to align with the customer’s actual demand.”  Would this reset only occur if the customer exceeds their subscription level in all three months?</w:t>
      </w:r>
      <w:r w:rsidR="00B62AD9">
        <w:rPr>
          <w:bCs/>
        </w:rPr>
        <w:t>’</w:t>
      </w:r>
    </w:p>
    <w:p w:rsidR="00B62AD9" w:rsidRDefault="00B62AD9" w:rsidP="00B62AD9">
      <w:pPr>
        <w:pStyle w:val="ListParagraph"/>
        <w:widowControl w:val="0"/>
        <w:tabs>
          <w:tab w:val="left" w:pos="-1440"/>
        </w:tabs>
        <w:autoSpaceDE w:val="0"/>
        <w:autoSpaceDN w:val="0"/>
        <w:adjustRightInd w:val="0"/>
        <w:ind w:left="1080"/>
        <w:contextualSpacing w:val="0"/>
        <w:rPr>
          <w:bCs/>
        </w:rPr>
      </w:pPr>
    </w:p>
    <w:p w:rsidR="00B62AD9" w:rsidRPr="00B62AD9" w:rsidRDefault="00B62AD9" w:rsidP="00137B8F">
      <w:pPr>
        <w:pStyle w:val="ListParagraph"/>
        <w:widowControl w:val="0"/>
        <w:tabs>
          <w:tab w:val="left" w:pos="-1440"/>
        </w:tabs>
        <w:autoSpaceDE w:val="0"/>
        <w:autoSpaceDN w:val="0"/>
        <w:adjustRightInd w:val="0"/>
        <w:ind w:left="1080"/>
        <w:contextualSpacing w:val="0"/>
        <w:rPr>
          <w:bCs/>
        </w:rPr>
      </w:pPr>
      <w:r>
        <w:rPr>
          <w:b/>
          <w:bCs/>
        </w:rPr>
        <w:t xml:space="preserve">SDG&amp;E Response: </w:t>
      </w:r>
      <w:r>
        <w:rPr>
          <w:bCs/>
        </w:rPr>
        <w:t>Yes,</w:t>
      </w:r>
      <w:r w:rsidR="00976E20">
        <w:rPr>
          <w:bCs/>
        </w:rPr>
        <w:t xml:space="preserve"> the customer’s subscription level will be reset to the higher level</w:t>
      </w:r>
      <w:r w:rsidR="00C92939">
        <w:rPr>
          <w:bCs/>
        </w:rPr>
        <w:t xml:space="preserve"> only</w:t>
      </w:r>
      <w:r w:rsidR="00976E20">
        <w:rPr>
          <w:bCs/>
        </w:rPr>
        <w:t xml:space="preserve"> if the customer</w:t>
      </w:r>
      <w:r w:rsidR="00C92939">
        <w:rPr>
          <w:bCs/>
        </w:rPr>
        <w:t>’s maximum demand</w:t>
      </w:r>
      <w:r w:rsidR="00976E20">
        <w:rPr>
          <w:bCs/>
        </w:rPr>
        <w:t xml:space="preserve"> exceeds their current </w:t>
      </w:r>
      <w:r w:rsidR="005B7EF0">
        <w:rPr>
          <w:bCs/>
        </w:rPr>
        <w:t>subscription level in all three</w:t>
      </w:r>
      <w:r w:rsidR="002F78B2">
        <w:rPr>
          <w:bCs/>
        </w:rPr>
        <w:t xml:space="preserve"> consecutive</w:t>
      </w:r>
      <w:r w:rsidR="005B7EF0">
        <w:rPr>
          <w:bCs/>
        </w:rPr>
        <w:t xml:space="preserve"> months.  In addition, the subscription level will be reset to a higher level if </w:t>
      </w:r>
      <w:r w:rsidR="00A31419" w:rsidRPr="00244EE2">
        <w:rPr>
          <w:bCs/>
        </w:rPr>
        <w:t xml:space="preserve">the customer’s maximum demand exceeds the subscribed demand for </w:t>
      </w:r>
      <w:r w:rsidR="00DF70F9">
        <w:rPr>
          <w:bCs/>
        </w:rPr>
        <w:t>six</w:t>
      </w:r>
      <w:r w:rsidR="00A31419" w:rsidRPr="00244EE2">
        <w:rPr>
          <w:bCs/>
        </w:rPr>
        <w:t xml:space="preserve"> or more months (non-consecutive) in a rolling 12-month period</w:t>
      </w:r>
      <w:r w:rsidR="005B7EF0" w:rsidRPr="00244EE2">
        <w:rPr>
          <w:bCs/>
        </w:rPr>
        <w:t>.</w:t>
      </w:r>
      <w:r w:rsidR="005B7EF0">
        <w:rPr>
          <w:bCs/>
        </w:rPr>
        <w:t xml:space="preserve">  </w:t>
      </w:r>
      <w:r>
        <w:rPr>
          <w:bCs/>
        </w:rPr>
        <w:t xml:space="preserve"> </w:t>
      </w:r>
    </w:p>
    <w:p w:rsidR="00A957F6" w:rsidRDefault="00A957F6" w:rsidP="00A957F6">
      <w:pPr>
        <w:pStyle w:val="ListParagraph"/>
        <w:rPr>
          <w:bCs/>
        </w:rPr>
      </w:pPr>
    </w:p>
    <w:p w:rsidR="00A51A98" w:rsidRDefault="00A957F6" w:rsidP="00A51A98">
      <w:pPr>
        <w:pStyle w:val="ListParagraph"/>
        <w:widowControl w:val="0"/>
        <w:numPr>
          <w:ilvl w:val="0"/>
          <w:numId w:val="4"/>
        </w:numPr>
        <w:tabs>
          <w:tab w:val="left" w:pos="-1440"/>
        </w:tabs>
        <w:autoSpaceDE w:val="0"/>
        <w:autoSpaceDN w:val="0"/>
        <w:adjustRightInd w:val="0"/>
        <w:contextualSpacing w:val="0"/>
        <w:rPr>
          <w:bCs/>
        </w:rPr>
      </w:pPr>
      <w:r>
        <w:rPr>
          <w:bCs/>
        </w:rPr>
        <w:t>At page BS-13, Line 11, SDG&amp;E states that the 10-year phase down will begin in the year the EV-HP rate is introduced.  Does this mean that SDG&amp;E would immediately change the subscription charge reduction from 50% to 55% when the EV-HP rate is introduced, or would the subscription charge reduction remain at 50% for one full year after introduction of the EV-HP rate?</w:t>
      </w:r>
    </w:p>
    <w:p w:rsidR="00A51A98" w:rsidRDefault="00A51A98" w:rsidP="00A51A98">
      <w:pPr>
        <w:widowControl w:val="0"/>
        <w:tabs>
          <w:tab w:val="left" w:pos="-1440"/>
        </w:tabs>
        <w:autoSpaceDE w:val="0"/>
        <w:autoSpaceDN w:val="0"/>
        <w:adjustRightInd w:val="0"/>
        <w:rPr>
          <w:bCs/>
        </w:rPr>
      </w:pPr>
    </w:p>
    <w:p w:rsidR="00A51A98" w:rsidRPr="00137B8F" w:rsidRDefault="00A51A98" w:rsidP="00137B8F">
      <w:pPr>
        <w:widowControl w:val="0"/>
        <w:tabs>
          <w:tab w:val="left" w:pos="-1440"/>
        </w:tabs>
        <w:autoSpaceDE w:val="0"/>
        <w:autoSpaceDN w:val="0"/>
        <w:adjustRightInd w:val="0"/>
        <w:ind w:left="1080"/>
        <w:rPr>
          <w:bCs/>
        </w:rPr>
      </w:pPr>
      <w:r>
        <w:rPr>
          <w:b/>
          <w:bCs/>
        </w:rPr>
        <w:t xml:space="preserve">SDG&amp;E Response: </w:t>
      </w:r>
      <w:r w:rsidR="00824189">
        <w:rPr>
          <w:bCs/>
        </w:rPr>
        <w:t xml:space="preserve">The subscription charge </w:t>
      </w:r>
      <w:r w:rsidR="000C150B">
        <w:rPr>
          <w:bCs/>
        </w:rPr>
        <w:t xml:space="preserve">discount will be 50% for </w:t>
      </w:r>
      <w:r w:rsidR="00FB5818">
        <w:rPr>
          <w:bCs/>
        </w:rPr>
        <w:t xml:space="preserve">the first </w:t>
      </w:r>
      <w:r w:rsidR="000C150B">
        <w:rPr>
          <w:bCs/>
        </w:rPr>
        <w:t>year after the introduction of the EV-HP rate, and will step down to 45% in the subsequent year.</w:t>
      </w:r>
      <w:r w:rsidR="00031E49">
        <w:rPr>
          <w:bCs/>
        </w:rPr>
        <w:t xml:space="preserve">  The initial 50% discount is intended to be </w:t>
      </w:r>
      <w:r w:rsidR="008661B7">
        <w:rPr>
          <w:bCs/>
        </w:rPr>
        <w:t xml:space="preserve">for one year however it may vary to align with existing planned rate changes so as not to </w:t>
      </w:r>
      <w:r w:rsidR="00D90E81">
        <w:rPr>
          <w:bCs/>
        </w:rPr>
        <w:t>introduce too many rate changes within a short period of time that could confuse customers.</w:t>
      </w:r>
      <w:r w:rsidR="000C150B">
        <w:rPr>
          <w:bCs/>
        </w:rPr>
        <w:t xml:space="preserve"> </w:t>
      </w:r>
    </w:p>
    <w:p w:rsidR="00A957F6" w:rsidRDefault="00A957F6" w:rsidP="00A957F6">
      <w:pPr>
        <w:pStyle w:val="ListParagraph"/>
        <w:tabs>
          <w:tab w:val="left" w:pos="-1440"/>
        </w:tabs>
        <w:ind w:left="1080"/>
        <w:rPr>
          <w:bCs/>
        </w:rPr>
      </w:pPr>
    </w:p>
    <w:p w:rsidR="00CD331D" w:rsidRPr="00137B8F" w:rsidRDefault="00A957F6">
      <w:pPr>
        <w:pStyle w:val="ListParagraph"/>
        <w:widowControl w:val="0"/>
        <w:numPr>
          <w:ilvl w:val="0"/>
          <w:numId w:val="4"/>
        </w:numPr>
        <w:tabs>
          <w:tab w:val="left" w:pos="-1440"/>
        </w:tabs>
        <w:autoSpaceDE w:val="0"/>
        <w:autoSpaceDN w:val="0"/>
        <w:adjustRightInd w:val="0"/>
        <w:contextualSpacing w:val="0"/>
        <w:rPr>
          <w:bCs/>
        </w:rPr>
      </w:pPr>
      <w:r>
        <w:rPr>
          <w:bCs/>
        </w:rPr>
        <w:t xml:space="preserve">To the extent not already provided in response to question 1, please provide SDG&amp;E’s calculation of estimated monthly bills for various sample customer types enrolled in the proposed EV-HP rate. See page PK-1, lines 20-22.  Please also include SDG&amp;E’s calculation s of estimated costs on these customers’ existing rates, and SDG&amp;E’s estimated bill impacts (i.e. workpapers for the bill impacts discussed on pages PK-2 to PK-10). </w:t>
      </w:r>
      <w:r w:rsidR="00CD331D">
        <w:rPr>
          <w:bCs/>
        </w:rPr>
        <w:br/>
      </w:r>
      <w:r w:rsidR="00CD331D">
        <w:rPr>
          <w:bCs/>
        </w:rPr>
        <w:br/>
      </w:r>
      <w:r w:rsidR="00CD331D">
        <w:rPr>
          <w:b/>
          <w:bCs/>
        </w:rPr>
        <w:t xml:space="preserve">SDG&amp;E Response: </w:t>
      </w:r>
      <w:r w:rsidR="00751917">
        <w:rPr>
          <w:bCs/>
        </w:rPr>
        <w:t>Workpapers provided in</w:t>
      </w:r>
      <w:r w:rsidR="000D71AA">
        <w:rPr>
          <w:bCs/>
        </w:rPr>
        <w:t xml:space="preserve"> response to</w:t>
      </w:r>
      <w:r w:rsidR="00751917">
        <w:rPr>
          <w:bCs/>
        </w:rPr>
        <w:t xml:space="preserve"> Question 1.</w:t>
      </w:r>
    </w:p>
    <w:p w:rsidR="00A957F6" w:rsidRDefault="00A957F6" w:rsidP="00A957F6">
      <w:pPr>
        <w:tabs>
          <w:tab w:val="left" w:pos="-1440"/>
        </w:tabs>
        <w:rPr>
          <w:bCs/>
        </w:rPr>
      </w:pPr>
    </w:p>
    <w:p w:rsidR="00751917" w:rsidRPr="00137B8F" w:rsidRDefault="00A957F6">
      <w:pPr>
        <w:pStyle w:val="ListParagraph"/>
        <w:widowControl w:val="0"/>
        <w:numPr>
          <w:ilvl w:val="0"/>
          <w:numId w:val="4"/>
        </w:numPr>
        <w:tabs>
          <w:tab w:val="left" w:pos="-1440"/>
        </w:tabs>
        <w:autoSpaceDE w:val="0"/>
        <w:autoSpaceDN w:val="0"/>
        <w:adjustRightInd w:val="0"/>
        <w:contextualSpacing w:val="0"/>
        <w:rPr>
          <w:bCs/>
        </w:rPr>
      </w:pPr>
      <w:r>
        <w:rPr>
          <w:bCs/>
        </w:rPr>
        <w:t>To the extent not already provided in response to question 1, please provide SDG&amp;E’s complete cost allocation and electric rate design models used to develop SDG&amp;E’s proposed EV-HP rates.</w:t>
      </w:r>
      <w:r w:rsidR="00751917">
        <w:rPr>
          <w:bCs/>
        </w:rPr>
        <w:br/>
      </w:r>
      <w:r w:rsidR="00751917">
        <w:rPr>
          <w:bCs/>
        </w:rPr>
        <w:br/>
      </w:r>
      <w:r w:rsidR="00751917">
        <w:rPr>
          <w:b/>
          <w:bCs/>
        </w:rPr>
        <w:t xml:space="preserve">SDG&amp;E Response: </w:t>
      </w:r>
      <w:r w:rsidR="00751917">
        <w:rPr>
          <w:bCs/>
        </w:rPr>
        <w:t xml:space="preserve">Workpapers provided in </w:t>
      </w:r>
      <w:r w:rsidR="000D71AA">
        <w:rPr>
          <w:bCs/>
        </w:rPr>
        <w:t xml:space="preserve">response to </w:t>
      </w:r>
      <w:r w:rsidR="00751917">
        <w:rPr>
          <w:bCs/>
        </w:rPr>
        <w:t>Question 1.</w:t>
      </w:r>
    </w:p>
    <w:p w:rsidR="00A957F6" w:rsidRDefault="00A957F6" w:rsidP="00A957F6">
      <w:pPr>
        <w:pStyle w:val="ListParagraph"/>
        <w:rPr>
          <w:bCs/>
        </w:rPr>
      </w:pPr>
    </w:p>
    <w:p w:rsidR="00A957F6" w:rsidRDefault="00A957F6" w:rsidP="00A957F6">
      <w:pPr>
        <w:pStyle w:val="ListParagraph"/>
        <w:widowControl w:val="0"/>
        <w:numPr>
          <w:ilvl w:val="0"/>
          <w:numId w:val="4"/>
        </w:numPr>
        <w:tabs>
          <w:tab w:val="left" w:pos="-1440"/>
        </w:tabs>
        <w:autoSpaceDE w:val="0"/>
        <w:autoSpaceDN w:val="0"/>
        <w:adjustRightInd w:val="0"/>
        <w:contextualSpacing w:val="0"/>
        <w:rPr>
          <w:bCs/>
        </w:rPr>
      </w:pPr>
      <w:r>
        <w:rPr>
          <w:bCs/>
        </w:rPr>
        <w:t xml:space="preserve">To the extent not already provided in response to question 1, please provide SDG&amp;E’s sales forecasts, and billing determinants, that were used to develop the proposed EV-HP rate.  </w:t>
      </w:r>
      <w:r w:rsidR="00751917">
        <w:rPr>
          <w:bCs/>
        </w:rPr>
        <w:br/>
      </w:r>
      <w:r w:rsidR="00751917">
        <w:rPr>
          <w:bCs/>
        </w:rPr>
        <w:br/>
      </w:r>
      <w:r w:rsidR="00751917">
        <w:rPr>
          <w:b/>
          <w:bCs/>
        </w:rPr>
        <w:t xml:space="preserve">SDG&amp;E Response: </w:t>
      </w:r>
      <w:r w:rsidR="00751917">
        <w:rPr>
          <w:bCs/>
        </w:rPr>
        <w:t xml:space="preserve">Workpapers provided in </w:t>
      </w:r>
      <w:r w:rsidR="000D71AA">
        <w:rPr>
          <w:bCs/>
        </w:rPr>
        <w:t xml:space="preserve">response to </w:t>
      </w:r>
      <w:r w:rsidR="00751917">
        <w:rPr>
          <w:bCs/>
        </w:rPr>
        <w:t>Question 1.</w:t>
      </w:r>
    </w:p>
    <w:p w:rsidR="00A957F6" w:rsidRDefault="00A957F6" w:rsidP="00A957F6">
      <w:pPr>
        <w:tabs>
          <w:tab w:val="left" w:pos="-1440"/>
        </w:tabs>
        <w:rPr>
          <w:bCs/>
        </w:rPr>
      </w:pPr>
    </w:p>
    <w:p w:rsidR="00A957F6" w:rsidRDefault="00A957F6" w:rsidP="00A957F6">
      <w:pPr>
        <w:pStyle w:val="ListParagraph"/>
        <w:widowControl w:val="0"/>
        <w:numPr>
          <w:ilvl w:val="0"/>
          <w:numId w:val="4"/>
        </w:numPr>
        <w:tabs>
          <w:tab w:val="left" w:pos="-1440"/>
        </w:tabs>
        <w:autoSpaceDE w:val="0"/>
        <w:autoSpaceDN w:val="0"/>
        <w:adjustRightInd w:val="0"/>
        <w:contextualSpacing w:val="0"/>
        <w:rPr>
          <w:bCs/>
        </w:rPr>
      </w:pPr>
      <w:r>
        <w:rPr>
          <w:bCs/>
        </w:rPr>
        <w:t>This question seeks to better understand the implications of SDG&amp;E’s proposed subscription rates for the proposed EV-HP rate.</w:t>
      </w:r>
    </w:p>
    <w:p w:rsidR="00A957F6" w:rsidRDefault="00A957F6" w:rsidP="00A957F6">
      <w:pPr>
        <w:pStyle w:val="ListParagraph"/>
        <w:rPr>
          <w:bCs/>
        </w:rPr>
      </w:pPr>
    </w:p>
    <w:p w:rsidR="0094432D" w:rsidRDefault="00A957F6" w:rsidP="00A957F6">
      <w:pPr>
        <w:pStyle w:val="ListParagraph"/>
        <w:widowControl w:val="0"/>
        <w:numPr>
          <w:ilvl w:val="1"/>
          <w:numId w:val="4"/>
        </w:numPr>
        <w:tabs>
          <w:tab w:val="left" w:pos="-1440"/>
        </w:tabs>
        <w:autoSpaceDE w:val="0"/>
        <w:autoSpaceDN w:val="0"/>
        <w:adjustRightInd w:val="0"/>
        <w:contextualSpacing w:val="0"/>
        <w:rPr>
          <w:bCs/>
        </w:rPr>
      </w:pPr>
      <w:r>
        <w:rPr>
          <w:bCs/>
        </w:rPr>
        <w:t>Has SDG&amp;E’s rate design accounted for extra revenues from unused subscription capacity (e.g. if a customer subscribes to 25 kW of capacity but only uses 20 kW)?  If so, how?</w:t>
      </w:r>
      <w:r w:rsidR="001D5761">
        <w:rPr>
          <w:bCs/>
        </w:rPr>
        <w:br/>
      </w:r>
      <w:r w:rsidR="001D5761">
        <w:rPr>
          <w:bCs/>
        </w:rPr>
        <w:br/>
      </w:r>
      <w:r w:rsidR="001D5761">
        <w:rPr>
          <w:b/>
          <w:bCs/>
        </w:rPr>
        <w:lastRenderedPageBreak/>
        <w:t xml:space="preserve">SDG&amp;E Response: </w:t>
      </w:r>
      <w:r w:rsidR="001D5761">
        <w:rPr>
          <w:bCs/>
        </w:rPr>
        <w:t xml:space="preserve">The </w:t>
      </w:r>
      <w:r w:rsidR="00995BA7">
        <w:rPr>
          <w:bCs/>
        </w:rPr>
        <w:t xml:space="preserve">first </w:t>
      </w:r>
      <w:r w:rsidR="001D5761">
        <w:rPr>
          <w:bCs/>
        </w:rPr>
        <w:t xml:space="preserve">subscription charge increment </w:t>
      </w:r>
      <w:r w:rsidR="00995BA7">
        <w:rPr>
          <w:bCs/>
        </w:rPr>
        <w:t>(i</w:t>
      </w:r>
      <w:r w:rsidR="00A86FB8">
        <w:rPr>
          <w:bCs/>
        </w:rPr>
        <w:t>.</w:t>
      </w:r>
      <w:r w:rsidR="00995BA7">
        <w:rPr>
          <w:bCs/>
        </w:rPr>
        <w:t>e</w:t>
      </w:r>
      <w:r w:rsidR="00A86FB8">
        <w:rPr>
          <w:bCs/>
        </w:rPr>
        <w:t>.</w:t>
      </w:r>
      <w:r w:rsidR="00995BA7">
        <w:rPr>
          <w:bCs/>
        </w:rPr>
        <w:t xml:space="preserve">, the first tranche from 0 kW to 25 kW) </w:t>
      </w:r>
      <w:r w:rsidR="001D5761">
        <w:rPr>
          <w:bCs/>
        </w:rPr>
        <w:t>is half the cost of subsequent increments</w:t>
      </w:r>
      <w:r w:rsidR="00995BA7">
        <w:rPr>
          <w:bCs/>
        </w:rPr>
        <w:t xml:space="preserve">.  The first </w:t>
      </w:r>
      <w:r w:rsidR="00265331">
        <w:rPr>
          <w:bCs/>
        </w:rPr>
        <w:t>subscription charge increment is based on 12.5 kW of demand.</w:t>
      </w:r>
      <w:r w:rsidR="0094432D">
        <w:rPr>
          <w:bCs/>
        </w:rPr>
        <w:t xml:space="preserve">  Subsequent tranches of 25 kW will stack on top of the first tranche and therefore </w:t>
      </w:r>
      <w:r w:rsidR="00056FC5">
        <w:rPr>
          <w:bCs/>
        </w:rPr>
        <w:t xml:space="preserve">the total subscription charge paid by the customer </w:t>
      </w:r>
      <w:r w:rsidR="00D051DD">
        <w:rPr>
          <w:bCs/>
        </w:rPr>
        <w:t>incorporates this initial tranche of 12.5 kW of demand</w:t>
      </w:r>
      <w:r w:rsidR="00E9757E">
        <w:rPr>
          <w:bCs/>
        </w:rPr>
        <w:t xml:space="preserve">, regardless of where in the final tranche the customer’s maximum demand </w:t>
      </w:r>
      <w:proofErr w:type="gramStart"/>
      <w:r w:rsidR="00E9757E">
        <w:rPr>
          <w:bCs/>
        </w:rPr>
        <w:t>actually lands</w:t>
      </w:r>
      <w:proofErr w:type="gramEnd"/>
      <w:r w:rsidR="00415AC2">
        <w:rPr>
          <w:bCs/>
        </w:rPr>
        <w:t xml:space="preserve">.  </w:t>
      </w:r>
    </w:p>
    <w:p w:rsidR="0094432D" w:rsidRDefault="0094432D" w:rsidP="0094432D">
      <w:pPr>
        <w:pStyle w:val="ListParagraph"/>
        <w:widowControl w:val="0"/>
        <w:tabs>
          <w:tab w:val="left" w:pos="-1440"/>
        </w:tabs>
        <w:autoSpaceDE w:val="0"/>
        <w:autoSpaceDN w:val="0"/>
        <w:adjustRightInd w:val="0"/>
        <w:ind w:left="1440"/>
        <w:contextualSpacing w:val="0"/>
        <w:rPr>
          <w:bCs/>
        </w:rPr>
      </w:pPr>
    </w:p>
    <w:p w:rsidR="00A957F6" w:rsidRDefault="00DA3FF2" w:rsidP="00244EE2">
      <w:pPr>
        <w:pStyle w:val="ListParagraph"/>
        <w:widowControl w:val="0"/>
        <w:tabs>
          <w:tab w:val="left" w:pos="-1440"/>
        </w:tabs>
        <w:autoSpaceDE w:val="0"/>
        <w:autoSpaceDN w:val="0"/>
        <w:adjustRightInd w:val="0"/>
        <w:ind w:left="1440"/>
        <w:contextualSpacing w:val="0"/>
        <w:rPr>
          <w:bCs/>
        </w:rPr>
      </w:pPr>
      <w:r>
        <w:rPr>
          <w:bCs/>
        </w:rPr>
        <w:t xml:space="preserve">In the above example since the customer is </w:t>
      </w:r>
      <w:r w:rsidR="00867D92">
        <w:rPr>
          <w:bCs/>
        </w:rPr>
        <w:t>only subscribed to a single 25 kW subscription increment and has a maximum demand of 20 kW, their subscription charge is based on an assumed 12.5 kW of demand.</w:t>
      </w:r>
    </w:p>
    <w:p w:rsidR="00A957F6" w:rsidRDefault="00A957F6" w:rsidP="00A957F6">
      <w:pPr>
        <w:tabs>
          <w:tab w:val="left" w:pos="-1440"/>
        </w:tabs>
        <w:ind w:left="1080"/>
        <w:rPr>
          <w:bCs/>
        </w:rPr>
      </w:pPr>
    </w:p>
    <w:p w:rsidR="00A957F6" w:rsidRDefault="00A957F6" w:rsidP="00A957F6">
      <w:pPr>
        <w:pStyle w:val="ListParagraph"/>
        <w:widowControl w:val="0"/>
        <w:numPr>
          <w:ilvl w:val="1"/>
          <w:numId w:val="4"/>
        </w:numPr>
        <w:tabs>
          <w:tab w:val="left" w:pos="-1440"/>
        </w:tabs>
        <w:autoSpaceDE w:val="0"/>
        <w:autoSpaceDN w:val="0"/>
        <w:adjustRightInd w:val="0"/>
        <w:contextualSpacing w:val="0"/>
        <w:rPr>
          <w:bCs/>
        </w:rPr>
      </w:pPr>
      <w:r>
        <w:rPr>
          <w:bCs/>
        </w:rPr>
        <w:t xml:space="preserve">To the extent customers will exceed their subscribed amount of capacity, please provide SDG&amp;E’s forecast of the amount of overage capacity that customers will utilize.  </w:t>
      </w:r>
      <w:r w:rsidR="007F531D">
        <w:rPr>
          <w:bCs/>
        </w:rPr>
        <w:br/>
      </w:r>
      <w:r w:rsidR="007F531D">
        <w:rPr>
          <w:bCs/>
        </w:rPr>
        <w:br/>
      </w:r>
      <w:r w:rsidR="007F531D">
        <w:rPr>
          <w:b/>
          <w:bCs/>
        </w:rPr>
        <w:t xml:space="preserve">SDG&amp;E Response: </w:t>
      </w:r>
      <w:r w:rsidR="007F531D">
        <w:rPr>
          <w:bCs/>
        </w:rPr>
        <w:t xml:space="preserve">SDG&amp;E did not perform </w:t>
      </w:r>
      <w:r w:rsidR="00043F9E">
        <w:rPr>
          <w:bCs/>
        </w:rPr>
        <w:t>this forecast</w:t>
      </w:r>
      <w:r w:rsidR="00CB3B16">
        <w:rPr>
          <w:bCs/>
        </w:rPr>
        <w:t>.</w:t>
      </w:r>
    </w:p>
    <w:p w:rsidR="00A957F6" w:rsidRDefault="00A957F6" w:rsidP="00A957F6">
      <w:pPr>
        <w:pStyle w:val="ListParagraph"/>
        <w:rPr>
          <w:bCs/>
        </w:rPr>
      </w:pPr>
    </w:p>
    <w:p w:rsidR="00A957F6" w:rsidRDefault="00A957F6" w:rsidP="00A957F6">
      <w:pPr>
        <w:pStyle w:val="ListParagraph"/>
        <w:widowControl w:val="0"/>
        <w:numPr>
          <w:ilvl w:val="1"/>
          <w:numId w:val="4"/>
        </w:numPr>
        <w:tabs>
          <w:tab w:val="left" w:pos="-1440"/>
        </w:tabs>
        <w:autoSpaceDE w:val="0"/>
        <w:autoSpaceDN w:val="0"/>
        <w:adjustRightInd w:val="0"/>
        <w:contextualSpacing w:val="0"/>
        <w:rPr>
          <w:bCs/>
        </w:rPr>
      </w:pPr>
      <w:r>
        <w:rPr>
          <w:bCs/>
        </w:rPr>
        <w:t>Please confirm that SDG&amp;E does not propose to charge a higher subscription charge rate to the extent that customer’s exceed their subscribed capacity amount.</w:t>
      </w:r>
      <w:r w:rsidR="003D1DD8">
        <w:rPr>
          <w:bCs/>
        </w:rPr>
        <w:br/>
      </w:r>
      <w:r w:rsidR="003D1DD8">
        <w:rPr>
          <w:bCs/>
        </w:rPr>
        <w:br/>
      </w:r>
      <w:r w:rsidR="003D1DD8">
        <w:rPr>
          <w:b/>
          <w:bCs/>
        </w:rPr>
        <w:t xml:space="preserve">SDG&amp;E Response: </w:t>
      </w:r>
      <w:r w:rsidR="003D1DD8">
        <w:rPr>
          <w:bCs/>
        </w:rPr>
        <w:t xml:space="preserve">If a customer’s maximum demand exceeds their subscription level for over three </w:t>
      </w:r>
      <w:r w:rsidR="002F78B2">
        <w:rPr>
          <w:bCs/>
        </w:rPr>
        <w:t xml:space="preserve">consecutive </w:t>
      </w:r>
      <w:r w:rsidR="003D1DD8">
        <w:rPr>
          <w:bCs/>
        </w:rPr>
        <w:t>months</w:t>
      </w:r>
      <w:r w:rsidR="00BD31C3">
        <w:rPr>
          <w:bCs/>
        </w:rPr>
        <w:t xml:space="preserve"> or </w:t>
      </w:r>
      <w:r w:rsidR="00DF70F9">
        <w:rPr>
          <w:bCs/>
        </w:rPr>
        <w:t>six</w:t>
      </w:r>
      <w:r w:rsidR="00BD31C3">
        <w:rPr>
          <w:bCs/>
        </w:rPr>
        <w:t xml:space="preserve"> </w:t>
      </w:r>
      <w:r w:rsidR="006F6150">
        <w:rPr>
          <w:bCs/>
        </w:rPr>
        <w:t xml:space="preserve">non-consecutive </w:t>
      </w:r>
      <w:r w:rsidR="00BD31C3">
        <w:rPr>
          <w:bCs/>
        </w:rPr>
        <w:t>months in a rolling 12-month period,</w:t>
      </w:r>
      <w:r w:rsidR="003D1DD8">
        <w:rPr>
          <w:bCs/>
        </w:rPr>
        <w:t xml:space="preserve"> their </w:t>
      </w:r>
      <w:r w:rsidR="00532F09">
        <w:rPr>
          <w:bCs/>
        </w:rPr>
        <w:t xml:space="preserve">subscription level will be raised to a level consistent with their maximum demand. </w:t>
      </w:r>
      <w:r w:rsidR="00E72E09">
        <w:rPr>
          <w:bCs/>
        </w:rPr>
        <w:t>No penalty will be charged</w:t>
      </w:r>
      <w:r w:rsidR="00CF6127">
        <w:rPr>
          <w:bCs/>
        </w:rPr>
        <w:t xml:space="preserve"> in this instance.</w:t>
      </w:r>
    </w:p>
    <w:p w:rsidR="00A957F6" w:rsidRDefault="00A957F6" w:rsidP="00A957F6">
      <w:pPr>
        <w:pStyle w:val="ListParagraph"/>
        <w:rPr>
          <w:bCs/>
        </w:rPr>
      </w:pPr>
    </w:p>
    <w:p w:rsidR="00A957F6" w:rsidRDefault="00A957F6" w:rsidP="00A957F6">
      <w:pPr>
        <w:pStyle w:val="ListParagraph"/>
        <w:widowControl w:val="0"/>
        <w:numPr>
          <w:ilvl w:val="0"/>
          <w:numId w:val="4"/>
        </w:numPr>
        <w:tabs>
          <w:tab w:val="left" w:pos="-1440"/>
        </w:tabs>
        <w:autoSpaceDE w:val="0"/>
        <w:autoSpaceDN w:val="0"/>
        <w:adjustRightInd w:val="0"/>
        <w:contextualSpacing w:val="0"/>
        <w:rPr>
          <w:bCs/>
        </w:rPr>
      </w:pPr>
      <w:r>
        <w:rPr>
          <w:bCs/>
        </w:rPr>
        <w:t>Page BS-12 provides an example of a customer that has a maximum demand of 57 kW if three 19 kW chargers are used simultaneously.  SDG&amp;E observes, at lines 15-17 of page BS-12, that the customer could subscribe to only two 25 kW subscription tranches (i.e. 50 kW), if it prefers to use load management strategies like staggered charging or demand management software to ensure load does not exceed 50 kW.  SDG&amp;E also notes, at Line 2 of page BS-14, that the customer also may choose to utilize behind-the-meter storage, in order to manage their demand.</w:t>
      </w:r>
    </w:p>
    <w:p w:rsidR="00A957F6" w:rsidRDefault="00A957F6" w:rsidP="00A957F6">
      <w:pPr>
        <w:pStyle w:val="ListParagraph"/>
        <w:tabs>
          <w:tab w:val="left" w:pos="-1440"/>
        </w:tabs>
        <w:ind w:left="1080"/>
        <w:rPr>
          <w:bCs/>
        </w:rPr>
      </w:pPr>
    </w:p>
    <w:p w:rsidR="00A957F6" w:rsidRDefault="00A957F6" w:rsidP="00A957F6">
      <w:pPr>
        <w:pStyle w:val="ListParagraph"/>
        <w:widowControl w:val="0"/>
        <w:numPr>
          <w:ilvl w:val="1"/>
          <w:numId w:val="4"/>
        </w:numPr>
        <w:tabs>
          <w:tab w:val="left" w:pos="-1440"/>
        </w:tabs>
        <w:autoSpaceDE w:val="0"/>
        <w:autoSpaceDN w:val="0"/>
        <w:adjustRightInd w:val="0"/>
        <w:contextualSpacing w:val="0"/>
        <w:rPr>
          <w:bCs/>
        </w:rPr>
      </w:pPr>
      <w:r>
        <w:rPr>
          <w:bCs/>
        </w:rPr>
        <w:t>Does SDG&amp;E have an estimate of the expected capital cost of battery storage?   If so, please provide it, along with any supporting information regarding the source of SDG&amp;E’s estimate.</w:t>
      </w:r>
      <w:r w:rsidR="007A02EB">
        <w:rPr>
          <w:bCs/>
        </w:rPr>
        <w:br/>
      </w:r>
      <w:r w:rsidR="007A02EB">
        <w:rPr>
          <w:bCs/>
        </w:rPr>
        <w:br/>
      </w:r>
      <w:r w:rsidR="007A02EB">
        <w:rPr>
          <w:b/>
          <w:bCs/>
        </w:rPr>
        <w:t xml:space="preserve">SDG&amp;E Response: </w:t>
      </w:r>
      <w:r w:rsidR="007A02EB">
        <w:rPr>
          <w:bCs/>
        </w:rPr>
        <w:t xml:space="preserve">SDG&amp;E did not perform an analysis </w:t>
      </w:r>
      <w:r w:rsidR="00F658AD">
        <w:rPr>
          <w:bCs/>
        </w:rPr>
        <w:t xml:space="preserve">of the cost of using battery storage to reduce the subscription charge on </w:t>
      </w:r>
      <w:bookmarkStart w:id="0" w:name="_GoBack"/>
      <w:r w:rsidR="00F658AD">
        <w:rPr>
          <w:bCs/>
        </w:rPr>
        <w:t xml:space="preserve">the </w:t>
      </w:r>
      <w:bookmarkEnd w:id="0"/>
      <w:r w:rsidR="00F658AD">
        <w:rPr>
          <w:bCs/>
        </w:rPr>
        <w:t>proposed EV-HP rate.</w:t>
      </w:r>
    </w:p>
    <w:p w:rsidR="00A957F6" w:rsidRDefault="00A957F6" w:rsidP="00A957F6">
      <w:pPr>
        <w:pStyle w:val="ListParagraph"/>
        <w:tabs>
          <w:tab w:val="left" w:pos="-1440"/>
        </w:tabs>
        <w:ind w:left="1440"/>
        <w:rPr>
          <w:bCs/>
        </w:rPr>
      </w:pPr>
    </w:p>
    <w:p w:rsidR="00A957F6" w:rsidRDefault="00A957F6" w:rsidP="00A957F6">
      <w:pPr>
        <w:pStyle w:val="ListParagraph"/>
        <w:widowControl w:val="0"/>
        <w:numPr>
          <w:ilvl w:val="1"/>
          <w:numId w:val="4"/>
        </w:numPr>
        <w:tabs>
          <w:tab w:val="left" w:pos="-1440"/>
        </w:tabs>
        <w:autoSpaceDE w:val="0"/>
        <w:autoSpaceDN w:val="0"/>
        <w:adjustRightInd w:val="0"/>
        <w:contextualSpacing w:val="0"/>
        <w:rPr>
          <w:bCs/>
        </w:rPr>
      </w:pPr>
      <w:r>
        <w:rPr>
          <w:bCs/>
        </w:rPr>
        <w:t xml:space="preserve">Does SDG&amp;E have an estimate of the annual cost of using energy storage to manage load, as described in the example?  If so, please provide SDG&amp;E’s calculation of what a customer should expect to spend in annual expenses to utilize battery storage in order to achieve the 7 kW reduction in maximum demand that is discussed in the example. </w:t>
      </w:r>
      <w:r w:rsidR="00F658AD">
        <w:rPr>
          <w:bCs/>
        </w:rPr>
        <w:br/>
      </w:r>
      <w:r w:rsidR="00F658AD">
        <w:rPr>
          <w:bCs/>
        </w:rPr>
        <w:br/>
      </w:r>
      <w:r w:rsidR="00E72E09">
        <w:rPr>
          <w:b/>
          <w:bCs/>
        </w:rPr>
        <w:t xml:space="preserve">SDG&amp;E Response: </w:t>
      </w:r>
      <w:r w:rsidR="00E72E09">
        <w:rPr>
          <w:bCs/>
        </w:rPr>
        <w:t xml:space="preserve">See </w:t>
      </w:r>
      <w:r w:rsidR="002A4227">
        <w:rPr>
          <w:bCs/>
        </w:rPr>
        <w:t xml:space="preserve">response to </w:t>
      </w:r>
      <w:r w:rsidR="00984091">
        <w:rPr>
          <w:bCs/>
        </w:rPr>
        <w:t xml:space="preserve">Question </w:t>
      </w:r>
      <w:r w:rsidR="002A4227">
        <w:rPr>
          <w:bCs/>
        </w:rPr>
        <w:t>8.a.</w:t>
      </w:r>
    </w:p>
    <w:p w:rsidR="00A74D3E" w:rsidRPr="00A957F6" w:rsidRDefault="00A74D3E" w:rsidP="00A957F6"/>
    <w:sectPr w:rsidR="00A74D3E" w:rsidRPr="00A957F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1C6" w:rsidRDefault="00E911C6" w:rsidP="00D53FF2">
      <w:r>
        <w:separator/>
      </w:r>
    </w:p>
  </w:endnote>
  <w:endnote w:type="continuationSeparator" w:id="0">
    <w:p w:rsidR="00E911C6" w:rsidRDefault="00E911C6" w:rsidP="00D53FF2">
      <w:r>
        <w:continuationSeparator/>
      </w:r>
    </w:p>
  </w:endnote>
  <w:endnote w:type="continuationNotice" w:id="1">
    <w:p w:rsidR="00E911C6" w:rsidRDefault="00E911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YCZGQ+TimesNewRomanPS-Bold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1C6" w:rsidRDefault="00E911C6" w:rsidP="00D53FF2">
      <w:r>
        <w:separator/>
      </w:r>
    </w:p>
  </w:footnote>
  <w:footnote w:type="continuationSeparator" w:id="0">
    <w:p w:rsidR="00E911C6" w:rsidRDefault="00E911C6" w:rsidP="00D53FF2">
      <w:r>
        <w:continuationSeparator/>
      </w:r>
    </w:p>
  </w:footnote>
  <w:footnote w:type="continuationNotice" w:id="1">
    <w:p w:rsidR="00E911C6" w:rsidRDefault="00E911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FF2" w:rsidRPr="00D53FF2" w:rsidRDefault="00F761A7" w:rsidP="00D53FF2">
    <w:pPr>
      <w:pStyle w:val="Default"/>
      <w:jc w:val="center"/>
      <w:rPr>
        <w:rFonts w:asciiTheme="minorHAnsi" w:hAnsiTheme="minorHAnsi" w:cstheme="minorHAnsi"/>
        <w:b/>
        <w:bCs/>
        <w:sz w:val="23"/>
        <w:szCs w:val="23"/>
      </w:rPr>
    </w:pPr>
    <w:r>
      <w:rPr>
        <w:rFonts w:asciiTheme="minorHAnsi" w:hAnsiTheme="minorHAnsi" w:cstheme="minorHAnsi"/>
        <w:b/>
        <w:bCs/>
        <w:sz w:val="23"/>
        <w:szCs w:val="23"/>
      </w:rPr>
      <w:t>EVgo</w:t>
    </w:r>
    <w:r w:rsidR="00D53FF2" w:rsidRPr="00D53FF2">
      <w:rPr>
        <w:rFonts w:asciiTheme="minorHAnsi" w:hAnsiTheme="minorHAnsi" w:cstheme="minorHAnsi"/>
        <w:b/>
        <w:bCs/>
        <w:sz w:val="23"/>
        <w:szCs w:val="23"/>
      </w:rPr>
      <w:t xml:space="preserve"> DATA REQUEST </w:t>
    </w:r>
  </w:p>
  <w:p w:rsidR="00D53FF2" w:rsidRPr="00D53FF2" w:rsidRDefault="00F761A7" w:rsidP="00D53FF2">
    <w:pPr>
      <w:pStyle w:val="Default"/>
      <w:jc w:val="center"/>
      <w:rPr>
        <w:rFonts w:asciiTheme="minorHAnsi" w:hAnsiTheme="minorHAnsi" w:cstheme="minorHAnsi"/>
        <w:b/>
        <w:bCs/>
        <w:sz w:val="23"/>
        <w:szCs w:val="23"/>
      </w:rPr>
    </w:pPr>
    <w:r>
      <w:rPr>
        <w:rFonts w:asciiTheme="minorHAnsi" w:hAnsiTheme="minorHAnsi" w:cstheme="minorHAnsi"/>
        <w:b/>
        <w:bCs/>
        <w:sz w:val="23"/>
        <w:szCs w:val="23"/>
      </w:rPr>
      <w:t>EVgo</w:t>
    </w:r>
    <w:r w:rsidR="00D53FF2">
      <w:rPr>
        <w:rFonts w:asciiTheme="minorHAnsi" w:hAnsiTheme="minorHAnsi" w:cstheme="minorHAnsi"/>
        <w:b/>
        <w:bCs/>
        <w:sz w:val="23"/>
        <w:szCs w:val="23"/>
      </w:rPr>
      <w:t xml:space="preserve"> </w:t>
    </w:r>
    <w:r w:rsidR="00D53FF2" w:rsidRPr="00D53FF2">
      <w:rPr>
        <w:rFonts w:asciiTheme="minorHAnsi" w:hAnsiTheme="minorHAnsi" w:cstheme="minorHAnsi"/>
        <w:b/>
        <w:bCs/>
        <w:sz w:val="23"/>
        <w:szCs w:val="23"/>
      </w:rPr>
      <w:t>-SDG&amp;E-DR-01</w:t>
    </w:r>
  </w:p>
  <w:p w:rsidR="00D53FF2" w:rsidRPr="00D53FF2" w:rsidRDefault="00D53FF2" w:rsidP="00D53FF2">
    <w:pPr>
      <w:pStyle w:val="Default"/>
      <w:jc w:val="center"/>
      <w:rPr>
        <w:rFonts w:asciiTheme="minorHAnsi" w:hAnsiTheme="minorHAnsi" w:cstheme="minorHAnsi"/>
        <w:b/>
        <w:bCs/>
        <w:sz w:val="23"/>
        <w:szCs w:val="23"/>
      </w:rPr>
    </w:pPr>
    <w:r w:rsidRPr="00D53FF2">
      <w:rPr>
        <w:rFonts w:asciiTheme="minorHAnsi" w:hAnsiTheme="minorHAnsi" w:cstheme="minorHAnsi"/>
        <w:b/>
        <w:bCs/>
        <w:sz w:val="23"/>
        <w:szCs w:val="23"/>
      </w:rPr>
      <w:t>Application for Approval of Electric Vehicle High Power Charging Rate</w:t>
    </w:r>
  </w:p>
  <w:p w:rsidR="00D53FF2" w:rsidRPr="00D53FF2" w:rsidRDefault="00D53FF2" w:rsidP="00D53FF2">
    <w:pPr>
      <w:pStyle w:val="Default"/>
      <w:jc w:val="center"/>
      <w:rPr>
        <w:rFonts w:asciiTheme="minorHAnsi" w:hAnsiTheme="minorHAnsi" w:cstheme="minorHAnsi"/>
        <w:b/>
        <w:bCs/>
        <w:sz w:val="23"/>
        <w:szCs w:val="23"/>
      </w:rPr>
    </w:pPr>
    <w:r w:rsidRPr="00D53FF2">
      <w:rPr>
        <w:rFonts w:asciiTheme="minorHAnsi" w:hAnsiTheme="minorHAnsi" w:cstheme="minorHAnsi"/>
        <w:b/>
        <w:bCs/>
        <w:sz w:val="23"/>
        <w:szCs w:val="23"/>
      </w:rPr>
      <w:t xml:space="preserve">SDG&amp;E RESPONSE </w:t>
    </w:r>
  </w:p>
  <w:p w:rsidR="00D53FF2" w:rsidRPr="00D53FF2" w:rsidRDefault="00D53FF2" w:rsidP="00D53FF2">
    <w:pPr>
      <w:pStyle w:val="Default"/>
      <w:jc w:val="center"/>
      <w:rPr>
        <w:rFonts w:asciiTheme="minorHAnsi" w:hAnsiTheme="minorHAnsi" w:cstheme="minorHAnsi"/>
        <w:b/>
        <w:bCs/>
        <w:sz w:val="23"/>
        <w:szCs w:val="23"/>
      </w:rPr>
    </w:pPr>
    <w:r w:rsidRPr="00D53FF2">
      <w:rPr>
        <w:rFonts w:asciiTheme="minorHAnsi" w:hAnsiTheme="minorHAnsi" w:cstheme="minorHAnsi"/>
        <w:b/>
        <w:bCs/>
        <w:sz w:val="23"/>
        <w:szCs w:val="23"/>
      </w:rPr>
      <w:t xml:space="preserve">DATE RECEIVED: </w:t>
    </w:r>
    <w:r w:rsidR="00F761A7">
      <w:rPr>
        <w:rFonts w:asciiTheme="minorHAnsi" w:hAnsiTheme="minorHAnsi" w:cstheme="minorHAnsi"/>
        <w:b/>
        <w:bCs/>
        <w:sz w:val="23"/>
        <w:szCs w:val="23"/>
      </w:rPr>
      <w:t>August 6</w:t>
    </w:r>
    <w:r w:rsidRPr="00D53FF2">
      <w:rPr>
        <w:rFonts w:asciiTheme="minorHAnsi" w:hAnsiTheme="minorHAnsi" w:cstheme="minorHAnsi"/>
        <w:b/>
        <w:bCs/>
        <w:sz w:val="23"/>
        <w:szCs w:val="23"/>
      </w:rPr>
      <w:t xml:space="preserve">, 2019 </w:t>
    </w:r>
  </w:p>
  <w:p w:rsidR="00D53FF2" w:rsidRPr="00D53FF2" w:rsidRDefault="00D53FF2" w:rsidP="00D53FF2">
    <w:pPr>
      <w:pStyle w:val="Default"/>
      <w:jc w:val="center"/>
      <w:rPr>
        <w:rFonts w:asciiTheme="minorHAnsi" w:hAnsiTheme="minorHAnsi" w:cstheme="minorHAnsi"/>
        <w:b/>
        <w:bCs/>
        <w:sz w:val="23"/>
        <w:szCs w:val="23"/>
      </w:rPr>
    </w:pPr>
    <w:r w:rsidRPr="00D53FF2">
      <w:rPr>
        <w:rFonts w:asciiTheme="minorHAnsi" w:hAnsiTheme="minorHAnsi" w:cstheme="minorHAnsi"/>
        <w:b/>
        <w:bCs/>
        <w:sz w:val="23"/>
        <w:szCs w:val="23"/>
      </w:rPr>
      <w:t xml:space="preserve">DATE RESPONDED: </w:t>
    </w:r>
    <w:r w:rsidR="00A957F6" w:rsidRPr="00C40FFF">
      <w:rPr>
        <w:rFonts w:asciiTheme="minorHAnsi" w:hAnsiTheme="minorHAnsi" w:cstheme="minorHAnsi"/>
        <w:b/>
        <w:bCs/>
        <w:color w:val="auto"/>
        <w:sz w:val="23"/>
        <w:szCs w:val="23"/>
      </w:rPr>
      <w:t>August 1</w:t>
    </w:r>
    <w:r w:rsidR="0001108E">
      <w:rPr>
        <w:rFonts w:asciiTheme="minorHAnsi" w:hAnsiTheme="minorHAnsi" w:cstheme="minorHAnsi"/>
        <w:b/>
        <w:bCs/>
        <w:color w:val="auto"/>
        <w:sz w:val="23"/>
        <w:szCs w:val="23"/>
      </w:rPr>
      <w:t>6</w:t>
    </w:r>
    <w:r w:rsidRPr="00C40FFF">
      <w:rPr>
        <w:rFonts w:asciiTheme="minorHAnsi" w:hAnsiTheme="minorHAnsi" w:cstheme="minorHAnsi"/>
        <w:b/>
        <w:bCs/>
        <w:color w:val="auto"/>
        <w:sz w:val="23"/>
        <w:szCs w:val="23"/>
      </w:rPr>
      <w:t>, 2019</w:t>
    </w:r>
  </w:p>
  <w:p w:rsidR="00D53FF2" w:rsidRDefault="00D53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3078"/>
    <w:multiLevelType w:val="hybridMultilevel"/>
    <w:tmpl w:val="325EA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950EF"/>
    <w:multiLevelType w:val="hybridMultilevel"/>
    <w:tmpl w:val="6B0E7DE4"/>
    <w:lvl w:ilvl="0" w:tplc="368AA08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A24796A"/>
    <w:multiLevelType w:val="hybridMultilevel"/>
    <w:tmpl w:val="E6107830"/>
    <w:lvl w:ilvl="0" w:tplc="2EE8C6BC">
      <w:start w:val="1"/>
      <w:numFmt w:val="decimal"/>
      <w:lvlText w:val="%1."/>
      <w:lvlJc w:val="left"/>
      <w:pPr>
        <w:tabs>
          <w:tab w:val="num" w:pos="720"/>
        </w:tabs>
        <w:ind w:left="720" w:hanging="360"/>
      </w:pPr>
      <w:rPr>
        <w:rFonts w:ascii="Times New Roman" w:hAnsi="Times New Roman" w:cs="Times New Roman" w:hint="default"/>
        <w:b w:val="0"/>
        <w:i w:val="0"/>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F2"/>
    <w:rsid w:val="0001108E"/>
    <w:rsid w:val="00031E49"/>
    <w:rsid w:val="00043F9E"/>
    <w:rsid w:val="00056FC5"/>
    <w:rsid w:val="000B3323"/>
    <w:rsid w:val="000C150B"/>
    <w:rsid w:val="000D6426"/>
    <w:rsid w:val="000D71AA"/>
    <w:rsid w:val="000F3BC7"/>
    <w:rsid w:val="00137B8F"/>
    <w:rsid w:val="00161260"/>
    <w:rsid w:val="001645A3"/>
    <w:rsid w:val="001D2608"/>
    <w:rsid w:val="001D3163"/>
    <w:rsid w:val="001D5761"/>
    <w:rsid w:val="002100DF"/>
    <w:rsid w:val="00234A63"/>
    <w:rsid w:val="00244EE2"/>
    <w:rsid w:val="00265331"/>
    <w:rsid w:val="002A4227"/>
    <w:rsid w:val="002E2C65"/>
    <w:rsid w:val="002E725A"/>
    <w:rsid w:val="002F78B2"/>
    <w:rsid w:val="00307AC6"/>
    <w:rsid w:val="003156EC"/>
    <w:rsid w:val="00335E7F"/>
    <w:rsid w:val="00345237"/>
    <w:rsid w:val="00362007"/>
    <w:rsid w:val="003828B7"/>
    <w:rsid w:val="003835A5"/>
    <w:rsid w:val="00384514"/>
    <w:rsid w:val="003D1DD8"/>
    <w:rsid w:val="003F7ECB"/>
    <w:rsid w:val="00412CF2"/>
    <w:rsid w:val="00415AC2"/>
    <w:rsid w:val="0042067B"/>
    <w:rsid w:val="00461ACA"/>
    <w:rsid w:val="004634F7"/>
    <w:rsid w:val="004878FC"/>
    <w:rsid w:val="004B6D30"/>
    <w:rsid w:val="004D38A6"/>
    <w:rsid w:val="00532F09"/>
    <w:rsid w:val="00591B5A"/>
    <w:rsid w:val="005A0BB1"/>
    <w:rsid w:val="005B7EF0"/>
    <w:rsid w:val="005F4DAE"/>
    <w:rsid w:val="00626D3D"/>
    <w:rsid w:val="006E4DAB"/>
    <w:rsid w:val="006E5DB8"/>
    <w:rsid w:val="006F6150"/>
    <w:rsid w:val="00733B23"/>
    <w:rsid w:val="00751917"/>
    <w:rsid w:val="00761474"/>
    <w:rsid w:val="007961A8"/>
    <w:rsid w:val="007A02EB"/>
    <w:rsid w:val="007A689F"/>
    <w:rsid w:val="007F531D"/>
    <w:rsid w:val="00824189"/>
    <w:rsid w:val="00830095"/>
    <w:rsid w:val="008661B7"/>
    <w:rsid w:val="00867D92"/>
    <w:rsid w:val="00886BE5"/>
    <w:rsid w:val="008A603C"/>
    <w:rsid w:val="008D06C8"/>
    <w:rsid w:val="008F2CF7"/>
    <w:rsid w:val="0094432D"/>
    <w:rsid w:val="00976E20"/>
    <w:rsid w:val="00984091"/>
    <w:rsid w:val="00995BA7"/>
    <w:rsid w:val="00995E01"/>
    <w:rsid w:val="009C2237"/>
    <w:rsid w:val="009E2E2C"/>
    <w:rsid w:val="009F3708"/>
    <w:rsid w:val="00A31419"/>
    <w:rsid w:val="00A51A98"/>
    <w:rsid w:val="00A562CD"/>
    <w:rsid w:val="00A74D3E"/>
    <w:rsid w:val="00A8067A"/>
    <w:rsid w:val="00A86FB8"/>
    <w:rsid w:val="00A957F6"/>
    <w:rsid w:val="00AA1CE4"/>
    <w:rsid w:val="00B62AD9"/>
    <w:rsid w:val="00BD31C3"/>
    <w:rsid w:val="00BF3209"/>
    <w:rsid w:val="00C1249F"/>
    <w:rsid w:val="00C20656"/>
    <w:rsid w:val="00C34E93"/>
    <w:rsid w:val="00C40FFF"/>
    <w:rsid w:val="00C62ED3"/>
    <w:rsid w:val="00C92939"/>
    <w:rsid w:val="00CB3B16"/>
    <w:rsid w:val="00CD331D"/>
    <w:rsid w:val="00CF507D"/>
    <w:rsid w:val="00CF6127"/>
    <w:rsid w:val="00D051DD"/>
    <w:rsid w:val="00D418E3"/>
    <w:rsid w:val="00D41D6C"/>
    <w:rsid w:val="00D53FF2"/>
    <w:rsid w:val="00D6085F"/>
    <w:rsid w:val="00D9005B"/>
    <w:rsid w:val="00D90E81"/>
    <w:rsid w:val="00D9124B"/>
    <w:rsid w:val="00DA3FF2"/>
    <w:rsid w:val="00DF70F9"/>
    <w:rsid w:val="00E12CC6"/>
    <w:rsid w:val="00E72E09"/>
    <w:rsid w:val="00E911C6"/>
    <w:rsid w:val="00E9757E"/>
    <w:rsid w:val="00EB3201"/>
    <w:rsid w:val="00EE7552"/>
    <w:rsid w:val="00EF69BC"/>
    <w:rsid w:val="00F35534"/>
    <w:rsid w:val="00F658AD"/>
    <w:rsid w:val="00F761A7"/>
    <w:rsid w:val="00F814B7"/>
    <w:rsid w:val="00FA32DC"/>
    <w:rsid w:val="00FB18A8"/>
    <w:rsid w:val="00FB5818"/>
    <w:rsid w:val="00FC0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208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FF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FF2"/>
    <w:pPr>
      <w:tabs>
        <w:tab w:val="center" w:pos="4680"/>
        <w:tab w:val="right" w:pos="9360"/>
      </w:tabs>
    </w:pPr>
  </w:style>
  <w:style w:type="character" w:customStyle="1" w:styleId="HeaderChar">
    <w:name w:val="Header Char"/>
    <w:basedOn w:val="DefaultParagraphFont"/>
    <w:link w:val="Header"/>
    <w:uiPriority w:val="99"/>
    <w:rsid w:val="00D53FF2"/>
  </w:style>
  <w:style w:type="paragraph" w:styleId="Footer">
    <w:name w:val="footer"/>
    <w:basedOn w:val="Normal"/>
    <w:link w:val="FooterChar"/>
    <w:uiPriority w:val="99"/>
    <w:unhideWhenUsed/>
    <w:rsid w:val="00D53FF2"/>
    <w:pPr>
      <w:tabs>
        <w:tab w:val="center" w:pos="4680"/>
        <w:tab w:val="right" w:pos="9360"/>
      </w:tabs>
    </w:pPr>
  </w:style>
  <w:style w:type="character" w:customStyle="1" w:styleId="FooterChar">
    <w:name w:val="Footer Char"/>
    <w:basedOn w:val="DefaultParagraphFont"/>
    <w:link w:val="Footer"/>
    <w:uiPriority w:val="99"/>
    <w:rsid w:val="00D53FF2"/>
  </w:style>
  <w:style w:type="paragraph" w:customStyle="1" w:styleId="Default">
    <w:name w:val="Default"/>
    <w:rsid w:val="00D53FF2"/>
    <w:pPr>
      <w:widowControl w:val="0"/>
      <w:autoSpaceDE w:val="0"/>
      <w:autoSpaceDN w:val="0"/>
      <w:adjustRightInd w:val="0"/>
      <w:spacing w:after="0" w:line="240" w:lineRule="auto"/>
    </w:pPr>
    <w:rPr>
      <w:rFonts w:ascii="TYCZGQ+TimesNewRomanPS-BoldMT" w:eastAsiaTheme="minorEastAsia" w:hAnsi="TYCZGQ+TimesNewRomanPS-BoldMT" w:cs="TYCZGQ+TimesNewRomanPS-BoldMT"/>
      <w:color w:val="000000"/>
      <w:sz w:val="24"/>
      <w:szCs w:val="24"/>
    </w:rPr>
  </w:style>
  <w:style w:type="paragraph" w:styleId="ListParagraph">
    <w:name w:val="List Paragraph"/>
    <w:basedOn w:val="Normal"/>
    <w:uiPriority w:val="34"/>
    <w:qFormat/>
    <w:rsid w:val="00D53FF2"/>
    <w:pPr>
      <w:ind w:left="720"/>
      <w:contextualSpacing/>
    </w:pPr>
  </w:style>
  <w:style w:type="character" w:styleId="Hyperlink">
    <w:name w:val="Hyperlink"/>
    <w:basedOn w:val="DefaultParagraphFont"/>
    <w:uiPriority w:val="99"/>
    <w:unhideWhenUsed/>
    <w:rsid w:val="00D53FF2"/>
    <w:rPr>
      <w:color w:val="0000FF"/>
      <w:u w:val="single"/>
    </w:rPr>
  </w:style>
  <w:style w:type="character" w:styleId="UnresolvedMention">
    <w:name w:val="Unresolved Mention"/>
    <w:basedOn w:val="DefaultParagraphFont"/>
    <w:uiPriority w:val="99"/>
    <w:semiHidden/>
    <w:unhideWhenUsed/>
    <w:rsid w:val="00335E7F"/>
    <w:rPr>
      <w:color w:val="605E5C"/>
      <w:shd w:val="clear" w:color="auto" w:fill="E1DFDD"/>
    </w:rPr>
  </w:style>
  <w:style w:type="character" w:styleId="CommentReference">
    <w:name w:val="annotation reference"/>
    <w:basedOn w:val="DefaultParagraphFont"/>
    <w:uiPriority w:val="99"/>
    <w:semiHidden/>
    <w:unhideWhenUsed/>
    <w:rsid w:val="00C20656"/>
    <w:rPr>
      <w:sz w:val="16"/>
      <w:szCs w:val="16"/>
    </w:rPr>
  </w:style>
  <w:style w:type="paragraph" w:styleId="CommentText">
    <w:name w:val="annotation text"/>
    <w:basedOn w:val="Normal"/>
    <w:link w:val="CommentTextChar"/>
    <w:uiPriority w:val="99"/>
    <w:semiHidden/>
    <w:unhideWhenUsed/>
    <w:rsid w:val="00C20656"/>
  </w:style>
  <w:style w:type="character" w:customStyle="1" w:styleId="CommentTextChar">
    <w:name w:val="Comment Text Char"/>
    <w:basedOn w:val="DefaultParagraphFont"/>
    <w:link w:val="CommentText"/>
    <w:uiPriority w:val="99"/>
    <w:semiHidden/>
    <w:rsid w:val="00C206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0656"/>
    <w:rPr>
      <w:b/>
      <w:bCs/>
    </w:rPr>
  </w:style>
  <w:style w:type="character" w:customStyle="1" w:styleId="CommentSubjectChar">
    <w:name w:val="Comment Subject Char"/>
    <w:basedOn w:val="CommentTextChar"/>
    <w:link w:val="CommentSubject"/>
    <w:uiPriority w:val="99"/>
    <w:semiHidden/>
    <w:rsid w:val="00C2065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206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65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96350">
      <w:bodyDiv w:val="1"/>
      <w:marLeft w:val="0"/>
      <w:marRight w:val="0"/>
      <w:marTop w:val="0"/>
      <w:marBottom w:val="0"/>
      <w:divBdr>
        <w:top w:val="none" w:sz="0" w:space="0" w:color="auto"/>
        <w:left w:val="none" w:sz="0" w:space="0" w:color="auto"/>
        <w:bottom w:val="none" w:sz="0" w:space="0" w:color="auto"/>
        <w:right w:val="none" w:sz="0" w:space="0" w:color="auto"/>
      </w:divBdr>
    </w:div>
    <w:div w:id="670179827">
      <w:bodyDiv w:val="1"/>
      <w:marLeft w:val="0"/>
      <w:marRight w:val="0"/>
      <w:marTop w:val="0"/>
      <w:marBottom w:val="0"/>
      <w:divBdr>
        <w:top w:val="none" w:sz="0" w:space="0" w:color="auto"/>
        <w:left w:val="none" w:sz="0" w:space="0" w:color="auto"/>
        <w:bottom w:val="none" w:sz="0" w:space="0" w:color="auto"/>
        <w:right w:val="none" w:sz="0" w:space="0" w:color="auto"/>
      </w:divBdr>
    </w:div>
    <w:div w:id="131953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dge.com/rates-and-regulations/proceedings/ev-high-power-charging-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Links>
    <vt:vector size="6" baseType="variant">
      <vt:variant>
        <vt:i4>3866685</vt:i4>
      </vt:variant>
      <vt:variant>
        <vt:i4>0</vt:i4>
      </vt:variant>
      <vt:variant>
        <vt:i4>0</vt:i4>
      </vt:variant>
      <vt:variant>
        <vt:i4>5</vt:i4>
      </vt:variant>
      <vt:variant>
        <vt:lpwstr>https://www.sdge.com/rates-and-regulations/proceedings/ev-high-power-charging-rate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2019-08-16T23:51:00Z</dcterms:created>
  <dcterms:modified xsi:type="dcterms:W3CDTF">2019-08-16T23:53:00Z</dcterms:modified>
</cp:coreProperties>
</file>