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0B4AA0" w:rsidRDefault="006C46C9" w:rsidP="00ED1A8B">
      <w:pPr>
        <w:pStyle w:val="Default"/>
        <w:rPr>
          <w:b/>
          <w:bCs/>
          <w:color w:val="auto"/>
        </w:rPr>
      </w:pPr>
      <w:bookmarkStart w:id="0" w:name="_GoBack"/>
      <w:bookmarkEnd w:id="0"/>
    </w:p>
    <w:p w14:paraId="39C5F65B" w14:textId="77777777" w:rsidR="00F571D6" w:rsidRPr="000B4AA0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0B4AA0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0B4A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0B4A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0B4A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0B4A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0B4A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B4A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0B4A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0B4A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B4A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3F8DE7D1" w14:textId="4238D5CF" w:rsidR="00F25E6E" w:rsidRDefault="00F25E6E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p w14:paraId="196F4390" w14:textId="5C7FAB3A" w:rsidR="004B4023" w:rsidRDefault="004B4023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p w14:paraId="7B15BADC" w14:textId="77777777" w:rsidR="004B4023" w:rsidRPr="00A56FAD" w:rsidRDefault="004B4023" w:rsidP="004B4023">
      <w:pPr>
        <w:rPr>
          <w:sz w:val="24"/>
          <w:szCs w:val="24"/>
        </w:rPr>
      </w:pPr>
    </w:p>
    <w:p w14:paraId="0BAE83E9" w14:textId="77777777" w:rsidR="004B4023" w:rsidRPr="00A56FAD" w:rsidRDefault="004B4023" w:rsidP="004B4023">
      <w:pPr>
        <w:pStyle w:val="ListParagraph"/>
        <w:numPr>
          <w:ilvl w:val="0"/>
          <w:numId w:val="12"/>
        </w:numPr>
        <w:spacing w:after="120"/>
        <w:contextualSpacing/>
        <w:rPr>
          <w:sz w:val="24"/>
          <w:szCs w:val="24"/>
        </w:rPr>
      </w:pPr>
      <w:r w:rsidRPr="00A56FAD">
        <w:rPr>
          <w:sz w:val="24"/>
          <w:szCs w:val="24"/>
        </w:rPr>
        <w:t>Referring to Chapter 3, the Non-Coincident Demand rate for TOU-M:</w:t>
      </w:r>
    </w:p>
    <w:p w14:paraId="41072A08" w14:textId="77777777" w:rsidR="004B4023" w:rsidRPr="00A56FAD" w:rsidRDefault="004B4023" w:rsidP="004B4023">
      <w:pPr>
        <w:pStyle w:val="ListParagraph"/>
        <w:rPr>
          <w:sz w:val="24"/>
          <w:szCs w:val="24"/>
        </w:rPr>
      </w:pPr>
    </w:p>
    <w:p w14:paraId="4AE44B13" w14:textId="77777777" w:rsidR="004B4023" w:rsidRPr="00A56FAD" w:rsidRDefault="004B4023" w:rsidP="004B4023">
      <w:pPr>
        <w:pStyle w:val="ListParagraph"/>
        <w:numPr>
          <w:ilvl w:val="0"/>
          <w:numId w:val="13"/>
        </w:numPr>
        <w:spacing w:after="120"/>
        <w:contextualSpacing/>
        <w:rPr>
          <w:sz w:val="24"/>
          <w:szCs w:val="24"/>
        </w:rPr>
      </w:pPr>
      <w:r w:rsidRPr="00A56FAD">
        <w:rPr>
          <w:sz w:val="24"/>
          <w:szCs w:val="24"/>
        </w:rPr>
        <w:t>Attachment A, p. 21 (PDF p. 58) has the rate as $2.50/kW. (Column P, line 7)</w:t>
      </w:r>
    </w:p>
    <w:p w14:paraId="3320ED66" w14:textId="77777777" w:rsidR="004B4023" w:rsidRPr="00A56FAD" w:rsidRDefault="004B4023" w:rsidP="004B4023">
      <w:pPr>
        <w:pStyle w:val="ListParagraph"/>
        <w:numPr>
          <w:ilvl w:val="0"/>
          <w:numId w:val="13"/>
        </w:numPr>
        <w:spacing w:after="120"/>
        <w:contextualSpacing/>
        <w:rPr>
          <w:sz w:val="24"/>
          <w:szCs w:val="24"/>
        </w:rPr>
      </w:pPr>
      <w:r w:rsidRPr="00A56FAD">
        <w:rPr>
          <w:sz w:val="24"/>
          <w:szCs w:val="24"/>
        </w:rPr>
        <w:t>Workpaper WP2, tab “Total Present Rate”, cell AR1824 has the rate as $3.44/kW</w:t>
      </w:r>
    </w:p>
    <w:p w14:paraId="11401F33" w14:textId="77777777" w:rsidR="004B4023" w:rsidRPr="00A56FAD" w:rsidRDefault="004B4023" w:rsidP="004B4023">
      <w:pPr>
        <w:pStyle w:val="ListParagraph"/>
        <w:numPr>
          <w:ilvl w:val="0"/>
          <w:numId w:val="13"/>
        </w:numPr>
        <w:spacing w:after="120"/>
        <w:contextualSpacing/>
        <w:rPr>
          <w:sz w:val="24"/>
          <w:szCs w:val="24"/>
        </w:rPr>
      </w:pPr>
      <w:r w:rsidRPr="00A56FAD">
        <w:rPr>
          <w:sz w:val="24"/>
          <w:szCs w:val="24"/>
        </w:rPr>
        <w:t>TOU-M effective June 1, 2019, from SDG&amp;E’s website, lists $2.22/kW</w:t>
      </w:r>
    </w:p>
    <w:p w14:paraId="63F9A365" w14:textId="77777777" w:rsidR="004B4023" w:rsidRPr="00A56FAD" w:rsidRDefault="004B4023" w:rsidP="004B4023">
      <w:pPr>
        <w:pStyle w:val="ListParagraph"/>
        <w:rPr>
          <w:sz w:val="24"/>
          <w:szCs w:val="24"/>
        </w:rPr>
      </w:pPr>
    </w:p>
    <w:p w14:paraId="7AFE388C" w14:textId="6D095CD8" w:rsidR="004B4023" w:rsidRPr="00A56FAD" w:rsidRDefault="004B4023" w:rsidP="004B4023">
      <w:pPr>
        <w:ind w:firstLine="360"/>
        <w:rPr>
          <w:sz w:val="24"/>
          <w:szCs w:val="24"/>
        </w:rPr>
      </w:pPr>
      <w:r w:rsidRPr="00A56FAD">
        <w:rPr>
          <w:sz w:val="24"/>
          <w:szCs w:val="24"/>
        </w:rPr>
        <w:t>Please clarify what is the present rate. Which source is correct?</w:t>
      </w:r>
    </w:p>
    <w:p w14:paraId="1B3BB266" w14:textId="5C37A422" w:rsidR="004B4023" w:rsidRPr="00A56FAD" w:rsidRDefault="004B4023" w:rsidP="004B4023">
      <w:pPr>
        <w:ind w:firstLine="360"/>
        <w:rPr>
          <w:sz w:val="24"/>
          <w:szCs w:val="24"/>
        </w:rPr>
      </w:pPr>
    </w:p>
    <w:p w14:paraId="5DA08537" w14:textId="2F9B1C73" w:rsidR="004B4023" w:rsidRPr="00A56FAD" w:rsidRDefault="004B4023" w:rsidP="004B4023">
      <w:pPr>
        <w:ind w:firstLine="360"/>
        <w:rPr>
          <w:b/>
          <w:bCs/>
          <w:sz w:val="24"/>
          <w:szCs w:val="24"/>
        </w:rPr>
      </w:pPr>
      <w:r w:rsidRPr="00A56FAD">
        <w:rPr>
          <w:b/>
          <w:bCs/>
          <w:sz w:val="24"/>
          <w:szCs w:val="24"/>
        </w:rPr>
        <w:t>SDG&amp;E Response:</w:t>
      </w:r>
    </w:p>
    <w:p w14:paraId="68EE1D56" w14:textId="77777777" w:rsidR="00F9075C" w:rsidRPr="00A56FAD" w:rsidRDefault="00F9075C" w:rsidP="00F9075C">
      <w:pPr>
        <w:pStyle w:val="ListParagraph"/>
        <w:widowControl/>
        <w:ind w:left="720"/>
        <w:rPr>
          <w:rFonts w:eastAsia="Times New Roman"/>
          <w:sz w:val="24"/>
          <w:szCs w:val="24"/>
        </w:rPr>
      </w:pPr>
    </w:p>
    <w:p w14:paraId="25F6380E" w14:textId="0EBFA373" w:rsidR="0061564B" w:rsidRPr="00A56FAD" w:rsidRDefault="0061564B" w:rsidP="00F9075C">
      <w:pPr>
        <w:pStyle w:val="ListParagraph"/>
        <w:widowControl/>
        <w:ind w:left="720"/>
        <w:rPr>
          <w:rFonts w:eastAsia="Times New Roman"/>
          <w:sz w:val="24"/>
          <w:szCs w:val="24"/>
        </w:rPr>
      </w:pPr>
      <w:r w:rsidRPr="00A56FAD">
        <w:rPr>
          <w:rFonts w:eastAsia="Times New Roman"/>
          <w:sz w:val="24"/>
          <w:szCs w:val="24"/>
        </w:rPr>
        <w:t xml:space="preserve">The “present rate” for Chapter 3, Workpaper 1 of SDG&amp;E’s second revised direct testimony filed January 15, 2020 is January 1, 2020 effective rates. </w:t>
      </w:r>
    </w:p>
    <w:p w14:paraId="6524B48D" w14:textId="77777777" w:rsidR="00F04091" w:rsidRPr="00A56FAD" w:rsidRDefault="00F9075C" w:rsidP="0061564B">
      <w:pPr>
        <w:pStyle w:val="ListParagraph"/>
        <w:rPr>
          <w:sz w:val="24"/>
          <w:szCs w:val="24"/>
        </w:rPr>
      </w:pPr>
      <w:r w:rsidRPr="00A56FAD">
        <w:rPr>
          <w:sz w:val="24"/>
          <w:szCs w:val="24"/>
        </w:rPr>
        <w:tab/>
      </w:r>
    </w:p>
    <w:p w14:paraId="0AE0B698" w14:textId="1775B49A" w:rsidR="00F04091" w:rsidRPr="00A56FAD" w:rsidRDefault="00F04091" w:rsidP="0061564B">
      <w:pPr>
        <w:pStyle w:val="ListParagraph"/>
        <w:rPr>
          <w:sz w:val="24"/>
          <w:szCs w:val="24"/>
        </w:rPr>
      </w:pPr>
      <w:r w:rsidRPr="00A56FAD">
        <w:rPr>
          <w:sz w:val="24"/>
          <w:szCs w:val="24"/>
        </w:rPr>
        <w:tab/>
      </w:r>
      <w:r w:rsidR="0061564B" w:rsidRPr="00A56FAD">
        <w:rPr>
          <w:sz w:val="24"/>
          <w:szCs w:val="24"/>
        </w:rPr>
        <w:t xml:space="preserve">The “present rate” for Chapter 3, Workpaper 2 of SDG&amp;E’s second revised direct testimony </w:t>
      </w:r>
      <w:r w:rsidR="00A56FAD">
        <w:rPr>
          <w:sz w:val="24"/>
          <w:szCs w:val="24"/>
        </w:rPr>
        <w:tab/>
      </w:r>
      <w:r w:rsidR="0061564B" w:rsidRPr="00A56FAD">
        <w:rPr>
          <w:sz w:val="24"/>
          <w:szCs w:val="24"/>
        </w:rPr>
        <w:t>filed January 15, 2020 are the Year 1 “proposed rates” from Chapter 3, Workpaper 1.</w:t>
      </w:r>
    </w:p>
    <w:p w14:paraId="78E29DA5" w14:textId="77777777" w:rsidR="00E90971" w:rsidRPr="00A56FAD" w:rsidRDefault="00F04091" w:rsidP="0061564B">
      <w:pPr>
        <w:pStyle w:val="ListParagraph"/>
        <w:rPr>
          <w:sz w:val="24"/>
          <w:szCs w:val="24"/>
        </w:rPr>
      </w:pPr>
      <w:r w:rsidRPr="00A56FAD">
        <w:rPr>
          <w:sz w:val="24"/>
          <w:szCs w:val="24"/>
        </w:rPr>
        <w:tab/>
      </w:r>
    </w:p>
    <w:p w14:paraId="71D12A41" w14:textId="653F3108" w:rsidR="0061564B" w:rsidRPr="00A56FAD" w:rsidRDefault="00E90971" w:rsidP="0061564B">
      <w:pPr>
        <w:pStyle w:val="ListParagraph"/>
        <w:rPr>
          <w:sz w:val="24"/>
          <w:szCs w:val="24"/>
        </w:rPr>
      </w:pPr>
      <w:r w:rsidRPr="00A56FAD">
        <w:rPr>
          <w:sz w:val="24"/>
          <w:szCs w:val="24"/>
        </w:rPr>
        <w:tab/>
      </w:r>
      <w:r w:rsidR="0061564B" w:rsidRPr="00A56FAD">
        <w:rPr>
          <w:sz w:val="24"/>
          <w:szCs w:val="24"/>
        </w:rPr>
        <w:t xml:space="preserve">Workpaper 2 presents SDG&amp;E’s proposed Year 1 rates (“present”) vs. SDG&amp;E’s proposed Year </w:t>
      </w:r>
      <w:r w:rsidR="00A56FAD">
        <w:rPr>
          <w:sz w:val="24"/>
          <w:szCs w:val="24"/>
        </w:rPr>
        <w:tab/>
      </w:r>
      <w:r w:rsidR="0061564B" w:rsidRPr="00A56FAD">
        <w:rPr>
          <w:sz w:val="24"/>
          <w:szCs w:val="24"/>
        </w:rPr>
        <w:t>2 rates (“proposed”).</w:t>
      </w:r>
    </w:p>
    <w:p w14:paraId="6E5377FD" w14:textId="77777777" w:rsidR="0061564B" w:rsidRPr="00A56FAD" w:rsidRDefault="0061564B" w:rsidP="004B4023">
      <w:pPr>
        <w:ind w:firstLine="360"/>
        <w:rPr>
          <w:sz w:val="24"/>
          <w:szCs w:val="24"/>
        </w:rPr>
      </w:pPr>
    </w:p>
    <w:p w14:paraId="05CC516B" w14:textId="77777777" w:rsidR="004B4023" w:rsidRPr="00A56FAD" w:rsidRDefault="004B4023" w:rsidP="004B4023">
      <w:pPr>
        <w:ind w:firstLine="360"/>
        <w:rPr>
          <w:sz w:val="24"/>
          <w:szCs w:val="24"/>
        </w:rPr>
      </w:pPr>
    </w:p>
    <w:p w14:paraId="11A7FB12" w14:textId="66239DC9" w:rsidR="004E0899" w:rsidRPr="00A56FAD" w:rsidRDefault="004B4023" w:rsidP="004E0899">
      <w:pPr>
        <w:pStyle w:val="ListParagraph"/>
        <w:numPr>
          <w:ilvl w:val="0"/>
          <w:numId w:val="12"/>
        </w:numPr>
        <w:spacing w:after="120"/>
        <w:contextualSpacing/>
        <w:rPr>
          <w:sz w:val="24"/>
          <w:szCs w:val="24"/>
        </w:rPr>
      </w:pPr>
      <w:r w:rsidRPr="00A56FAD">
        <w:rPr>
          <w:sz w:val="24"/>
          <w:szCs w:val="24"/>
        </w:rPr>
        <w:t>Please clarify the authoritative source for all present rates, is it list on the website or a filed workpaper or attachment.</w:t>
      </w:r>
    </w:p>
    <w:p w14:paraId="24BBC1E8" w14:textId="77777777" w:rsidR="004E0899" w:rsidRPr="00A56FAD" w:rsidRDefault="004E0899" w:rsidP="004E0899">
      <w:pPr>
        <w:ind w:firstLine="360"/>
        <w:rPr>
          <w:sz w:val="24"/>
          <w:szCs w:val="24"/>
        </w:rPr>
      </w:pPr>
    </w:p>
    <w:p w14:paraId="520AB20E" w14:textId="2525AFB8" w:rsidR="004E0899" w:rsidRPr="00A56FAD" w:rsidRDefault="004E0899" w:rsidP="004E0899">
      <w:pPr>
        <w:ind w:firstLine="360"/>
        <w:rPr>
          <w:b/>
          <w:bCs/>
          <w:sz w:val="24"/>
          <w:szCs w:val="24"/>
        </w:rPr>
      </w:pPr>
      <w:r w:rsidRPr="00A56FAD">
        <w:rPr>
          <w:b/>
          <w:bCs/>
          <w:sz w:val="24"/>
          <w:szCs w:val="24"/>
        </w:rPr>
        <w:t>SDG&amp;E Response:</w:t>
      </w:r>
    </w:p>
    <w:p w14:paraId="31D2E05D" w14:textId="01F6244F" w:rsidR="00BE735E" w:rsidRPr="00A56FAD" w:rsidRDefault="00BE735E" w:rsidP="004E0899">
      <w:pPr>
        <w:ind w:firstLine="360"/>
        <w:rPr>
          <w:b/>
          <w:bCs/>
          <w:sz w:val="24"/>
          <w:szCs w:val="24"/>
        </w:rPr>
      </w:pPr>
    </w:p>
    <w:p w14:paraId="34F58AA5" w14:textId="6C9409FC" w:rsidR="00BE735E" w:rsidRDefault="00BE735E" w:rsidP="00BE735E">
      <w:pPr>
        <w:pStyle w:val="ListParagraph"/>
        <w:widowControl/>
        <w:ind w:left="720"/>
        <w:rPr>
          <w:rFonts w:eastAsia="Times New Roman"/>
          <w:sz w:val="24"/>
          <w:szCs w:val="24"/>
        </w:rPr>
      </w:pPr>
      <w:r w:rsidRPr="00A56FAD">
        <w:rPr>
          <w:rFonts w:eastAsia="Times New Roman"/>
          <w:sz w:val="24"/>
          <w:szCs w:val="24"/>
        </w:rPr>
        <w:t xml:space="preserve">SDG&amp;E implemented the “present” rates on January 1, 2020, per Advice Letter 3487-E, </w:t>
      </w:r>
      <w:r w:rsidRPr="00A56FAD">
        <w:rPr>
          <w:rFonts w:eastAsia="Times New Roman"/>
          <w:i/>
          <w:iCs/>
          <w:sz w:val="24"/>
          <w:szCs w:val="24"/>
        </w:rPr>
        <w:t>Consolidated Filing to Implement January 1, 2020 Electric Rates</w:t>
      </w:r>
      <w:r w:rsidR="00EF2358">
        <w:rPr>
          <w:rFonts w:eastAsia="Times New Roman"/>
          <w:sz w:val="24"/>
          <w:szCs w:val="24"/>
        </w:rPr>
        <w:t xml:space="preserve"> found at the link below:</w:t>
      </w:r>
    </w:p>
    <w:p w14:paraId="6FEAC675" w14:textId="479C10FA" w:rsidR="00412C9A" w:rsidRDefault="00016FEF" w:rsidP="00BE735E">
      <w:pPr>
        <w:pStyle w:val="ListParagraph"/>
        <w:widowControl/>
        <w:ind w:left="720"/>
        <w:rPr>
          <w:rFonts w:eastAsia="Times New Roman"/>
          <w:sz w:val="24"/>
          <w:szCs w:val="24"/>
        </w:rPr>
      </w:pPr>
      <w:hyperlink r:id="rId8" w:history="1">
        <w:r w:rsidR="00412C9A" w:rsidRPr="005223EB">
          <w:rPr>
            <w:rStyle w:val="Hyperlink"/>
            <w:rFonts w:eastAsia="Times New Roman"/>
            <w:sz w:val="24"/>
            <w:szCs w:val="24"/>
          </w:rPr>
          <w:t>http://regarchive.sdge.com/tm2/ssi/inc_elec_effective.html</w:t>
        </w:r>
      </w:hyperlink>
    </w:p>
    <w:p w14:paraId="38D9A9C3" w14:textId="77777777" w:rsidR="00412C9A" w:rsidRPr="00A56FAD" w:rsidRDefault="00412C9A" w:rsidP="00BE735E">
      <w:pPr>
        <w:pStyle w:val="ListParagraph"/>
        <w:widowControl/>
        <w:ind w:left="720"/>
        <w:rPr>
          <w:rFonts w:eastAsia="Times New Roman"/>
          <w:sz w:val="24"/>
          <w:szCs w:val="24"/>
        </w:rPr>
      </w:pPr>
    </w:p>
    <w:p w14:paraId="5ADB99FA" w14:textId="77777777" w:rsidR="00BE735E" w:rsidRPr="004B4023" w:rsidRDefault="00BE735E" w:rsidP="004E0899">
      <w:pPr>
        <w:ind w:firstLine="360"/>
        <w:rPr>
          <w:b/>
          <w:bCs/>
        </w:rPr>
      </w:pPr>
    </w:p>
    <w:p w14:paraId="515B98C2" w14:textId="1E15DFB7" w:rsidR="004E0899" w:rsidRDefault="004E0899" w:rsidP="004E0899">
      <w:pPr>
        <w:spacing w:after="120"/>
        <w:contextualSpacing/>
      </w:pPr>
    </w:p>
    <w:p w14:paraId="28D8A797" w14:textId="77777777" w:rsidR="004B4023" w:rsidRPr="000B4AA0" w:rsidRDefault="004B4023" w:rsidP="004B4023">
      <w:pPr>
        <w:ind w:right="297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sectPr w:rsidR="004B4023" w:rsidRPr="000B4AA0">
      <w:headerReference w:type="default" r:id="rId9"/>
      <w:footerReference w:type="default" r:id="rId10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A322" w14:textId="77777777" w:rsidR="000B09E0" w:rsidRDefault="000B09E0">
      <w:r>
        <w:separator/>
      </w:r>
    </w:p>
  </w:endnote>
  <w:endnote w:type="continuationSeparator" w:id="0">
    <w:p w14:paraId="1A6EBEC6" w14:textId="77777777" w:rsidR="000B09E0" w:rsidRDefault="000B09E0">
      <w:r>
        <w:continuationSeparator/>
      </w:r>
    </w:p>
  </w:endnote>
  <w:endnote w:type="continuationNotice" w:id="1">
    <w:p w14:paraId="0932F430" w14:textId="77777777" w:rsidR="000B09E0" w:rsidRDefault="000B0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75931" w14:textId="77777777" w:rsidR="000B09E0" w:rsidRDefault="000B09E0">
      <w:r>
        <w:separator/>
      </w:r>
    </w:p>
  </w:footnote>
  <w:footnote w:type="continuationSeparator" w:id="0">
    <w:p w14:paraId="15EFC56E" w14:textId="77777777" w:rsidR="000B09E0" w:rsidRDefault="000B09E0">
      <w:r>
        <w:continuationSeparator/>
      </w:r>
    </w:p>
  </w:footnote>
  <w:footnote w:type="continuationNotice" w:id="1">
    <w:p w14:paraId="063B6E22" w14:textId="77777777" w:rsidR="000B09E0" w:rsidRDefault="000B0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78E6E332" w:rsidR="009D6650" w:rsidRPr="00BB3B03" w:rsidRDefault="00120234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SBUA</w:t>
    </w:r>
    <w:r w:rsidR="009D6650" w:rsidRPr="00BB3B03">
      <w:rPr>
        <w:rFonts w:ascii="Times New Roman" w:hAnsi="Times New Roman" w:cs="Times New Roman"/>
        <w:b/>
      </w:rPr>
      <w:t xml:space="preserve"> DATA REQUEST</w:t>
    </w:r>
    <w:r w:rsidR="0067222F">
      <w:rPr>
        <w:rFonts w:ascii="Times New Roman" w:hAnsi="Times New Roman" w:cs="Times New Roman"/>
        <w:b/>
      </w:rPr>
      <w:t xml:space="preserve"> #02</w:t>
    </w:r>
    <w:r w:rsidR="004C05EA">
      <w:rPr>
        <w:rFonts w:ascii="Times New Roman" w:hAnsi="Times New Roman" w:cs="Times New Roman"/>
        <w:b/>
      </w:rPr>
      <w:t xml:space="preserve"> – SDG&amp;E RESPONSE</w:t>
    </w:r>
    <w:r w:rsidR="009D6650" w:rsidRPr="00BB3B03"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br/>
      <w:t>SDG&amp;</w:t>
    </w:r>
    <w:r w:rsidR="005033F8">
      <w:rPr>
        <w:rFonts w:ascii="Times New Roman" w:hAnsi="Times New Roman" w:cs="Times New Roman"/>
        <w:b/>
      </w:rPr>
      <w:t>E GRC PHASE 2</w:t>
    </w:r>
    <w:r w:rsidR="009D6650" w:rsidRPr="00BB3B03">
      <w:rPr>
        <w:rFonts w:ascii="Times New Roman" w:hAnsi="Times New Roman" w:cs="Times New Roman"/>
        <w:b/>
      </w:rPr>
      <w:t xml:space="preserve"> PROCEEDING</w:t>
    </w:r>
    <w:r w:rsidR="005033F8">
      <w:rPr>
        <w:rFonts w:ascii="Times New Roman" w:hAnsi="Times New Roman" w:cs="Times New Roman"/>
        <w:b/>
      </w:rPr>
      <w:t xml:space="preserve"> -</w:t>
    </w:r>
    <w:r w:rsidR="009D6650" w:rsidRPr="00BB3B03">
      <w:rPr>
        <w:rFonts w:ascii="Times New Roman" w:hAnsi="Times New Roman" w:cs="Times New Roman"/>
        <w:b/>
      </w:rPr>
      <w:t xml:space="preserve">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3D69F5">
      <w:rPr>
        <w:rFonts w:ascii="Times New Roman" w:hAnsi="Times New Roman" w:cs="Times New Roman"/>
        <w:b/>
      </w:rPr>
      <w:t>March 11, 2020</w:t>
    </w:r>
  </w:p>
  <w:p w14:paraId="46DCAB12" w14:textId="27EA687D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3D69F5">
      <w:rPr>
        <w:rFonts w:ascii="Times New Roman" w:hAnsi="Times New Roman" w:cs="Times New Roman"/>
        <w:b/>
      </w:rPr>
      <w:t>March</w:t>
    </w:r>
    <w:r w:rsidR="00120234">
      <w:rPr>
        <w:rFonts w:ascii="Times New Roman" w:hAnsi="Times New Roman" w:cs="Times New Roman"/>
        <w:b/>
      </w:rPr>
      <w:t xml:space="preserve"> </w:t>
    </w:r>
    <w:r w:rsidR="00EF2358">
      <w:rPr>
        <w:rFonts w:ascii="Times New Roman" w:hAnsi="Times New Roman" w:cs="Times New Roman"/>
        <w:b/>
      </w:rPr>
      <w:t>12</w:t>
    </w:r>
    <w:r w:rsidR="00F25E6E">
      <w:rPr>
        <w:rFonts w:ascii="Times New Roman" w:hAnsi="Times New Roman" w:cs="Times New Roman"/>
        <w:b/>
      </w:rPr>
      <w:t>, 20</w:t>
    </w:r>
    <w:r w:rsidR="003D69F5">
      <w:rPr>
        <w:rFonts w:ascii="Times New Roman" w:hAnsi="Times New Roman" w:cs="Times New Roman"/>
        <w:b/>
      </w:rPr>
      <w:t>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1E06547"/>
    <w:multiLevelType w:val="hybridMultilevel"/>
    <w:tmpl w:val="3CC6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A7A92"/>
    <w:multiLevelType w:val="hybridMultilevel"/>
    <w:tmpl w:val="1FD47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D4D"/>
    <w:multiLevelType w:val="hybridMultilevel"/>
    <w:tmpl w:val="AD8C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33A9"/>
    <w:rsid w:val="00015BD1"/>
    <w:rsid w:val="00016FEF"/>
    <w:rsid w:val="000249E4"/>
    <w:rsid w:val="000473F3"/>
    <w:rsid w:val="00090093"/>
    <w:rsid w:val="000932E2"/>
    <w:rsid w:val="000A6F05"/>
    <w:rsid w:val="000A716A"/>
    <w:rsid w:val="000B09E0"/>
    <w:rsid w:val="000B4AA0"/>
    <w:rsid w:val="000B710B"/>
    <w:rsid w:val="000D24BA"/>
    <w:rsid w:val="000D6ECD"/>
    <w:rsid w:val="000F3974"/>
    <w:rsid w:val="000F5557"/>
    <w:rsid w:val="000F6F65"/>
    <w:rsid w:val="00101D98"/>
    <w:rsid w:val="00104F5E"/>
    <w:rsid w:val="0010718F"/>
    <w:rsid w:val="00117124"/>
    <w:rsid w:val="00120234"/>
    <w:rsid w:val="00121E7C"/>
    <w:rsid w:val="00137417"/>
    <w:rsid w:val="00142C40"/>
    <w:rsid w:val="0014783D"/>
    <w:rsid w:val="00163795"/>
    <w:rsid w:val="00166C29"/>
    <w:rsid w:val="00167CF6"/>
    <w:rsid w:val="001729AE"/>
    <w:rsid w:val="00192F9B"/>
    <w:rsid w:val="001B6807"/>
    <w:rsid w:val="001D6CAB"/>
    <w:rsid w:val="001E73D1"/>
    <w:rsid w:val="001F1F3B"/>
    <w:rsid w:val="00227922"/>
    <w:rsid w:val="00227AD1"/>
    <w:rsid w:val="00230361"/>
    <w:rsid w:val="00242383"/>
    <w:rsid w:val="00247644"/>
    <w:rsid w:val="002540A5"/>
    <w:rsid w:val="00256561"/>
    <w:rsid w:val="00257835"/>
    <w:rsid w:val="00264F5F"/>
    <w:rsid w:val="0027631B"/>
    <w:rsid w:val="00294908"/>
    <w:rsid w:val="002A19BC"/>
    <w:rsid w:val="002A48B2"/>
    <w:rsid w:val="002B7723"/>
    <w:rsid w:val="002C3FC3"/>
    <w:rsid w:val="002C51C0"/>
    <w:rsid w:val="002F2139"/>
    <w:rsid w:val="002F4871"/>
    <w:rsid w:val="00317A8F"/>
    <w:rsid w:val="00320693"/>
    <w:rsid w:val="00322EA2"/>
    <w:rsid w:val="00331DCE"/>
    <w:rsid w:val="00360568"/>
    <w:rsid w:val="00362A8A"/>
    <w:rsid w:val="003639B8"/>
    <w:rsid w:val="003719EA"/>
    <w:rsid w:val="003920AA"/>
    <w:rsid w:val="003A6866"/>
    <w:rsid w:val="003B40AB"/>
    <w:rsid w:val="003B7BC2"/>
    <w:rsid w:val="003D0506"/>
    <w:rsid w:val="003D317D"/>
    <w:rsid w:val="003D69F5"/>
    <w:rsid w:val="003E1C2F"/>
    <w:rsid w:val="00404616"/>
    <w:rsid w:val="00412C9A"/>
    <w:rsid w:val="004178A0"/>
    <w:rsid w:val="00445522"/>
    <w:rsid w:val="004A0D4C"/>
    <w:rsid w:val="004B0621"/>
    <w:rsid w:val="004B4023"/>
    <w:rsid w:val="004C05EA"/>
    <w:rsid w:val="004D375A"/>
    <w:rsid w:val="004E0899"/>
    <w:rsid w:val="004E4E92"/>
    <w:rsid w:val="004F6A69"/>
    <w:rsid w:val="005033F8"/>
    <w:rsid w:val="0050650D"/>
    <w:rsid w:val="00542997"/>
    <w:rsid w:val="00584FC4"/>
    <w:rsid w:val="00593616"/>
    <w:rsid w:val="005A1B4A"/>
    <w:rsid w:val="005B5AF1"/>
    <w:rsid w:val="0061564B"/>
    <w:rsid w:val="00621321"/>
    <w:rsid w:val="00657F6E"/>
    <w:rsid w:val="006659B7"/>
    <w:rsid w:val="0067222F"/>
    <w:rsid w:val="00676426"/>
    <w:rsid w:val="00683DE9"/>
    <w:rsid w:val="0069799F"/>
    <w:rsid w:val="006A2A33"/>
    <w:rsid w:val="006A724E"/>
    <w:rsid w:val="006B7D74"/>
    <w:rsid w:val="006C46C9"/>
    <w:rsid w:val="006E073E"/>
    <w:rsid w:val="006F440F"/>
    <w:rsid w:val="00727C31"/>
    <w:rsid w:val="007449EF"/>
    <w:rsid w:val="0078262C"/>
    <w:rsid w:val="007876AA"/>
    <w:rsid w:val="00787AC5"/>
    <w:rsid w:val="007A7F06"/>
    <w:rsid w:val="007C3A48"/>
    <w:rsid w:val="007C5EF9"/>
    <w:rsid w:val="007D677E"/>
    <w:rsid w:val="007E4F06"/>
    <w:rsid w:val="007F0826"/>
    <w:rsid w:val="008113E5"/>
    <w:rsid w:val="00811904"/>
    <w:rsid w:val="008131FF"/>
    <w:rsid w:val="00817F06"/>
    <w:rsid w:val="008243E4"/>
    <w:rsid w:val="00844369"/>
    <w:rsid w:val="0085302F"/>
    <w:rsid w:val="00855C82"/>
    <w:rsid w:val="0086301C"/>
    <w:rsid w:val="0087248C"/>
    <w:rsid w:val="00883D24"/>
    <w:rsid w:val="008A7402"/>
    <w:rsid w:val="008C1929"/>
    <w:rsid w:val="008D0191"/>
    <w:rsid w:val="008F02E0"/>
    <w:rsid w:val="00907727"/>
    <w:rsid w:val="009146C4"/>
    <w:rsid w:val="00921C40"/>
    <w:rsid w:val="00922C0C"/>
    <w:rsid w:val="009274BB"/>
    <w:rsid w:val="009319FE"/>
    <w:rsid w:val="009412FB"/>
    <w:rsid w:val="00943820"/>
    <w:rsid w:val="00943B34"/>
    <w:rsid w:val="0097209E"/>
    <w:rsid w:val="00993F4E"/>
    <w:rsid w:val="009A740A"/>
    <w:rsid w:val="009B18B5"/>
    <w:rsid w:val="009B6AC0"/>
    <w:rsid w:val="009B7DCB"/>
    <w:rsid w:val="009D18E7"/>
    <w:rsid w:val="009D6650"/>
    <w:rsid w:val="009F790A"/>
    <w:rsid w:val="00A06D28"/>
    <w:rsid w:val="00A06EFD"/>
    <w:rsid w:val="00A20CBF"/>
    <w:rsid w:val="00A30EF2"/>
    <w:rsid w:val="00A479CD"/>
    <w:rsid w:val="00A52FCF"/>
    <w:rsid w:val="00A56FAD"/>
    <w:rsid w:val="00A90892"/>
    <w:rsid w:val="00A95F00"/>
    <w:rsid w:val="00AD7840"/>
    <w:rsid w:val="00AE1E1C"/>
    <w:rsid w:val="00AF59A2"/>
    <w:rsid w:val="00AF6700"/>
    <w:rsid w:val="00B05633"/>
    <w:rsid w:val="00B1392C"/>
    <w:rsid w:val="00B3116A"/>
    <w:rsid w:val="00B333AB"/>
    <w:rsid w:val="00B45304"/>
    <w:rsid w:val="00B603AB"/>
    <w:rsid w:val="00B64BDE"/>
    <w:rsid w:val="00B670B5"/>
    <w:rsid w:val="00B73736"/>
    <w:rsid w:val="00B754F4"/>
    <w:rsid w:val="00B97974"/>
    <w:rsid w:val="00BA7F23"/>
    <w:rsid w:val="00BB79A4"/>
    <w:rsid w:val="00BC35A8"/>
    <w:rsid w:val="00BD16C2"/>
    <w:rsid w:val="00BE2AA1"/>
    <w:rsid w:val="00BE735E"/>
    <w:rsid w:val="00C03810"/>
    <w:rsid w:val="00C2679D"/>
    <w:rsid w:val="00C42530"/>
    <w:rsid w:val="00C4753F"/>
    <w:rsid w:val="00C51609"/>
    <w:rsid w:val="00C56439"/>
    <w:rsid w:val="00C92602"/>
    <w:rsid w:val="00CA3F16"/>
    <w:rsid w:val="00CB269D"/>
    <w:rsid w:val="00CB7A9A"/>
    <w:rsid w:val="00CC5B87"/>
    <w:rsid w:val="00CE35CE"/>
    <w:rsid w:val="00D23A7A"/>
    <w:rsid w:val="00D26552"/>
    <w:rsid w:val="00D35420"/>
    <w:rsid w:val="00D51844"/>
    <w:rsid w:val="00D5475F"/>
    <w:rsid w:val="00D70CB3"/>
    <w:rsid w:val="00D9485E"/>
    <w:rsid w:val="00DA7DD9"/>
    <w:rsid w:val="00DB2529"/>
    <w:rsid w:val="00DF01A1"/>
    <w:rsid w:val="00E101F3"/>
    <w:rsid w:val="00E335B9"/>
    <w:rsid w:val="00E41516"/>
    <w:rsid w:val="00E44CE6"/>
    <w:rsid w:val="00E904AE"/>
    <w:rsid w:val="00E90971"/>
    <w:rsid w:val="00E97312"/>
    <w:rsid w:val="00EA1598"/>
    <w:rsid w:val="00EB7811"/>
    <w:rsid w:val="00ED1A8B"/>
    <w:rsid w:val="00ED442A"/>
    <w:rsid w:val="00EF0B14"/>
    <w:rsid w:val="00EF2358"/>
    <w:rsid w:val="00F04091"/>
    <w:rsid w:val="00F25E6E"/>
    <w:rsid w:val="00F5199D"/>
    <w:rsid w:val="00F51D3E"/>
    <w:rsid w:val="00F571D6"/>
    <w:rsid w:val="00F65911"/>
    <w:rsid w:val="00F86E79"/>
    <w:rsid w:val="00F9075C"/>
    <w:rsid w:val="00F926AF"/>
    <w:rsid w:val="00FA43C2"/>
    <w:rsid w:val="00FB4157"/>
    <w:rsid w:val="00FF39E4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F0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archive.sdge.com/tm2/ssi/inc_elec_effecti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CEB0-B9F5-4F9A-97DB-381DCD7F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2020-03-12T17:36:00Z</dcterms:created>
  <dcterms:modified xsi:type="dcterms:W3CDTF">2020-03-12T17:36:00Z</dcterms:modified>
</cp:coreProperties>
</file>