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54DC9" w14:textId="77777777" w:rsidR="006C46C9" w:rsidRPr="00013CDA" w:rsidRDefault="006C46C9" w:rsidP="00ED1A8B">
      <w:pPr>
        <w:pStyle w:val="Default"/>
        <w:rPr>
          <w:b/>
          <w:bCs/>
          <w:color w:val="auto"/>
        </w:rPr>
      </w:pPr>
    </w:p>
    <w:p w14:paraId="39C5F65B" w14:textId="77777777" w:rsidR="00F571D6" w:rsidRPr="00013CDA" w:rsidRDefault="00F571D6">
      <w:pPr>
        <w:spacing w:before="3" w:line="120" w:lineRule="exact"/>
        <w:rPr>
          <w:rFonts w:ascii="Times New Roman" w:hAnsi="Times New Roman" w:cs="Times New Roman"/>
          <w:sz w:val="24"/>
          <w:szCs w:val="24"/>
        </w:rPr>
      </w:pPr>
    </w:p>
    <w:p w14:paraId="7A88CEE8" w14:textId="5D04850F" w:rsidR="00F571D6" w:rsidRPr="00013CDA" w:rsidRDefault="00C03810">
      <w:pPr>
        <w:ind w:right="297"/>
        <w:jc w:val="center"/>
        <w:rPr>
          <w:rFonts w:ascii="Times New Roman" w:eastAsia="Times New Roman" w:hAnsi="Times New Roman" w:cs="Times New Roman"/>
          <w:b/>
          <w:bCs/>
          <w:sz w:val="24"/>
          <w:szCs w:val="24"/>
          <w:u w:val="thick" w:color="000000"/>
        </w:rPr>
      </w:pPr>
      <w:r w:rsidRPr="00013CDA">
        <w:rPr>
          <w:rFonts w:ascii="Times New Roman" w:eastAsia="Times New Roman" w:hAnsi="Times New Roman" w:cs="Times New Roman"/>
          <w:b/>
          <w:bCs/>
          <w:spacing w:val="-2"/>
          <w:sz w:val="24"/>
          <w:szCs w:val="24"/>
          <w:u w:val="thick" w:color="000000"/>
        </w:rPr>
        <w:t>DA</w:t>
      </w:r>
      <w:r w:rsidRPr="00013CDA">
        <w:rPr>
          <w:rFonts w:ascii="Times New Roman" w:eastAsia="Times New Roman" w:hAnsi="Times New Roman" w:cs="Times New Roman"/>
          <w:b/>
          <w:bCs/>
          <w:spacing w:val="-1"/>
          <w:sz w:val="24"/>
          <w:szCs w:val="24"/>
          <w:u w:val="thick" w:color="000000"/>
        </w:rPr>
        <w:t>T</w:t>
      </w:r>
      <w:r w:rsidRPr="00013CDA">
        <w:rPr>
          <w:rFonts w:ascii="Times New Roman" w:eastAsia="Times New Roman" w:hAnsi="Times New Roman" w:cs="Times New Roman"/>
          <w:b/>
          <w:bCs/>
          <w:sz w:val="24"/>
          <w:szCs w:val="24"/>
          <w:u w:val="thick" w:color="000000"/>
        </w:rPr>
        <w:t>A</w:t>
      </w:r>
      <w:r w:rsidRPr="00013CDA">
        <w:rPr>
          <w:rFonts w:ascii="Times New Roman" w:eastAsia="Times New Roman" w:hAnsi="Times New Roman" w:cs="Times New Roman"/>
          <w:b/>
          <w:bCs/>
          <w:spacing w:val="-2"/>
          <w:sz w:val="24"/>
          <w:szCs w:val="24"/>
          <w:u w:val="thick" w:color="000000"/>
        </w:rPr>
        <w:t xml:space="preserve"> R</w:t>
      </w:r>
      <w:r w:rsidRPr="00013CDA">
        <w:rPr>
          <w:rFonts w:ascii="Times New Roman" w:eastAsia="Times New Roman" w:hAnsi="Times New Roman" w:cs="Times New Roman"/>
          <w:b/>
          <w:bCs/>
          <w:spacing w:val="-1"/>
          <w:sz w:val="24"/>
          <w:szCs w:val="24"/>
          <w:u w:val="thick" w:color="000000"/>
        </w:rPr>
        <w:t>E</w:t>
      </w:r>
      <w:r w:rsidRPr="00013CDA">
        <w:rPr>
          <w:rFonts w:ascii="Times New Roman" w:eastAsia="Times New Roman" w:hAnsi="Times New Roman" w:cs="Times New Roman"/>
          <w:b/>
          <w:bCs/>
          <w:sz w:val="24"/>
          <w:szCs w:val="24"/>
          <w:u w:val="thick" w:color="000000"/>
        </w:rPr>
        <w:t>Q</w:t>
      </w:r>
      <w:r w:rsidRPr="00013CDA">
        <w:rPr>
          <w:rFonts w:ascii="Times New Roman" w:eastAsia="Times New Roman" w:hAnsi="Times New Roman" w:cs="Times New Roman"/>
          <w:b/>
          <w:bCs/>
          <w:spacing w:val="-2"/>
          <w:sz w:val="24"/>
          <w:szCs w:val="24"/>
          <w:u w:val="thick" w:color="000000"/>
        </w:rPr>
        <w:t>U</w:t>
      </w:r>
      <w:r w:rsidRPr="00013CDA">
        <w:rPr>
          <w:rFonts w:ascii="Times New Roman" w:eastAsia="Times New Roman" w:hAnsi="Times New Roman" w:cs="Times New Roman"/>
          <w:b/>
          <w:bCs/>
          <w:spacing w:val="-1"/>
          <w:sz w:val="24"/>
          <w:szCs w:val="24"/>
          <w:u w:val="thick" w:color="000000"/>
        </w:rPr>
        <w:t>E</w:t>
      </w:r>
      <w:r w:rsidRPr="00013CDA">
        <w:rPr>
          <w:rFonts w:ascii="Times New Roman" w:eastAsia="Times New Roman" w:hAnsi="Times New Roman" w:cs="Times New Roman"/>
          <w:b/>
          <w:bCs/>
          <w:sz w:val="24"/>
          <w:szCs w:val="24"/>
          <w:u w:val="thick" w:color="000000"/>
        </w:rPr>
        <w:t>ST</w:t>
      </w:r>
    </w:p>
    <w:p w14:paraId="063B9248" w14:textId="36678217" w:rsidR="00F65911" w:rsidRPr="00013CDA" w:rsidRDefault="00F65911" w:rsidP="00CB269D">
      <w:pPr>
        <w:widowControl/>
        <w:rPr>
          <w:rFonts w:ascii="Times New Roman" w:eastAsia="Times New Roman" w:hAnsi="Times New Roman" w:cs="Times New Roman"/>
          <w:sz w:val="24"/>
          <w:szCs w:val="24"/>
        </w:rPr>
      </w:pPr>
    </w:p>
    <w:p w14:paraId="3BF66D18" w14:textId="77C40928" w:rsidR="00F65911" w:rsidRPr="00013CDA" w:rsidRDefault="00F65911" w:rsidP="00CB269D">
      <w:pPr>
        <w:widowControl/>
        <w:rPr>
          <w:rFonts w:ascii="Times New Roman" w:eastAsia="Times New Roman" w:hAnsi="Times New Roman" w:cs="Times New Roman"/>
          <w:sz w:val="24"/>
          <w:szCs w:val="24"/>
        </w:rPr>
      </w:pPr>
    </w:p>
    <w:p w14:paraId="39B2A4AD"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1. Please provide all public and confidential workpapers supporting SDG&amp;E’s rebuttal</w:t>
      </w:r>
    </w:p>
    <w:p w14:paraId="1564493B"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testimony served on May 4, 2020. Please include all revenue allocation, rate design and</w:t>
      </w:r>
    </w:p>
    <w:p w14:paraId="435A21BE" w14:textId="5CCB5C3E"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streetlight rate models that support SDG&amp;E’s rebuttal testimony.</w:t>
      </w:r>
    </w:p>
    <w:p w14:paraId="009EA51F" w14:textId="61314DA2" w:rsidR="00FE1BF6" w:rsidRDefault="00FE1BF6" w:rsidP="00FE1BF6">
      <w:pPr>
        <w:widowControl/>
        <w:autoSpaceDE w:val="0"/>
        <w:autoSpaceDN w:val="0"/>
        <w:adjustRightInd w:val="0"/>
        <w:rPr>
          <w:rFonts w:ascii="TimesNewRomanPSMT" w:hAnsi="TimesNewRomanPSMT" w:cs="TimesNewRomanPSMT"/>
          <w:sz w:val="24"/>
          <w:szCs w:val="24"/>
        </w:rPr>
      </w:pPr>
    </w:p>
    <w:p w14:paraId="3B7C229C" w14:textId="1DA06639" w:rsidR="00FE1BF6" w:rsidRPr="0014082B" w:rsidRDefault="00FE1BF6" w:rsidP="00FE1BF6">
      <w:pPr>
        <w:widowControl/>
        <w:autoSpaceDE w:val="0"/>
        <w:autoSpaceDN w:val="0"/>
        <w:adjustRightInd w:val="0"/>
        <w:rPr>
          <w:rStyle w:val="Hyperlink"/>
          <w:rFonts w:ascii="TimesNewRomanPSMT" w:hAnsi="TimesNewRomanPSMT" w:cs="TimesNewRomanPSMT"/>
          <w:color w:val="auto"/>
          <w:sz w:val="24"/>
          <w:szCs w:val="24"/>
        </w:rPr>
      </w:pPr>
      <w:r w:rsidRPr="00FE1BF6">
        <w:rPr>
          <w:rFonts w:ascii="TimesNewRomanPSMT" w:hAnsi="TimesNewRomanPSMT" w:cs="TimesNewRomanPSMT"/>
          <w:b/>
          <w:bCs/>
          <w:sz w:val="24"/>
          <w:szCs w:val="24"/>
        </w:rPr>
        <w:t>SDG&amp;E Response:</w:t>
      </w:r>
      <w:r w:rsidR="00E43100">
        <w:rPr>
          <w:rFonts w:ascii="TimesNewRomanPSMT" w:hAnsi="TimesNewRomanPSMT" w:cs="TimesNewRomanPSMT"/>
          <w:b/>
          <w:bCs/>
          <w:sz w:val="24"/>
          <w:szCs w:val="24"/>
        </w:rPr>
        <w:t xml:space="preserve"> </w:t>
      </w:r>
      <w:r w:rsidR="00E04E7B">
        <w:rPr>
          <w:rFonts w:ascii="TimesNewRomanPSMT" w:hAnsi="TimesNewRomanPSMT" w:cs="TimesNewRomanPSMT"/>
          <w:sz w:val="24"/>
          <w:szCs w:val="24"/>
        </w:rPr>
        <w:t>Public w</w:t>
      </w:r>
      <w:r w:rsidR="00E43100">
        <w:rPr>
          <w:rFonts w:ascii="TimesNewRomanPSMT" w:hAnsi="TimesNewRomanPSMT" w:cs="TimesNewRomanPSMT"/>
          <w:sz w:val="24"/>
          <w:szCs w:val="24"/>
        </w:rPr>
        <w:t xml:space="preserve">orkpapers can be found </w:t>
      </w:r>
      <w:r w:rsidR="000A192B">
        <w:rPr>
          <w:rFonts w:ascii="TimesNewRomanPSMT" w:hAnsi="TimesNewRomanPSMT" w:cs="TimesNewRomanPSMT"/>
          <w:sz w:val="24"/>
          <w:szCs w:val="24"/>
        </w:rPr>
        <w:t>on SDG&amp;E’s website</w:t>
      </w:r>
      <w:r w:rsidR="00E04E7B">
        <w:rPr>
          <w:rFonts w:ascii="TimesNewRomanPSMT" w:hAnsi="TimesNewRomanPSMT" w:cs="TimesNewRomanPSMT"/>
          <w:sz w:val="24"/>
          <w:szCs w:val="24"/>
        </w:rPr>
        <w:t>, at the following link</w:t>
      </w:r>
      <w:r w:rsidR="000A192B">
        <w:rPr>
          <w:rFonts w:ascii="TimesNewRomanPSMT" w:hAnsi="TimesNewRomanPSMT" w:cs="TimesNewRomanPSMT"/>
          <w:sz w:val="24"/>
          <w:szCs w:val="24"/>
        </w:rPr>
        <w:t xml:space="preserve">: </w:t>
      </w:r>
      <w:r w:rsidR="00F51FDB" w:rsidRPr="00F51FDB">
        <w:rPr>
          <w:rFonts w:ascii="TimesNewRomanPSMT" w:hAnsi="TimesNewRomanPSMT" w:cs="TimesNewRomanPSMT"/>
          <w:sz w:val="24"/>
          <w:szCs w:val="24"/>
        </w:rPr>
        <w:t>https://www.sdge.com/rates-and-regulations/proceedings/2019-gr</w:t>
      </w:r>
      <w:r w:rsidR="00F51FDB" w:rsidRPr="0014082B">
        <w:rPr>
          <w:rFonts w:ascii="TimesNewRomanPSMT" w:hAnsi="TimesNewRomanPSMT" w:cs="TimesNewRomanPSMT"/>
          <w:sz w:val="24"/>
          <w:szCs w:val="24"/>
        </w:rPr>
        <w:t>c-phase2</w:t>
      </w:r>
      <w:r w:rsidR="00E04E7B" w:rsidRPr="0014082B">
        <w:rPr>
          <w:rStyle w:val="Hyperlink"/>
          <w:rFonts w:ascii="TimesNewRomanPSMT" w:hAnsi="TimesNewRomanPSMT" w:cs="TimesNewRomanPSMT"/>
          <w:color w:val="auto"/>
          <w:sz w:val="24"/>
          <w:szCs w:val="24"/>
        </w:rPr>
        <w:t xml:space="preserve">  </w:t>
      </w:r>
    </w:p>
    <w:p w14:paraId="168A7C83" w14:textId="77777777" w:rsidR="006B2655" w:rsidRDefault="006B2655" w:rsidP="00FE1BF6">
      <w:pPr>
        <w:widowControl/>
        <w:autoSpaceDE w:val="0"/>
        <w:autoSpaceDN w:val="0"/>
        <w:adjustRightInd w:val="0"/>
        <w:rPr>
          <w:rStyle w:val="Hyperlink"/>
          <w:rFonts w:ascii="TimesNewRomanPSMT" w:hAnsi="TimesNewRomanPSMT" w:cs="TimesNewRomanPSMT"/>
          <w:sz w:val="24"/>
          <w:szCs w:val="24"/>
        </w:rPr>
      </w:pPr>
    </w:p>
    <w:p w14:paraId="5C458D69" w14:textId="49B5679A" w:rsidR="00D913BE" w:rsidRPr="00F51FDB" w:rsidRDefault="00E04E7B" w:rsidP="00FE1BF6">
      <w:pPr>
        <w:widowControl/>
        <w:autoSpaceDE w:val="0"/>
        <w:autoSpaceDN w:val="0"/>
        <w:adjustRightInd w:val="0"/>
        <w:rPr>
          <w:rFonts w:ascii="TimesNewRomanPSMT" w:hAnsi="TimesNewRomanPSMT" w:cs="TimesNewRomanPSMT"/>
          <w:sz w:val="24"/>
          <w:szCs w:val="24"/>
        </w:rPr>
      </w:pPr>
      <w:r w:rsidRPr="00F51FDB">
        <w:rPr>
          <w:rStyle w:val="Hyperlink"/>
          <w:rFonts w:ascii="TimesNewRomanPSMT" w:hAnsi="TimesNewRomanPSMT" w:cs="TimesNewRomanPSMT"/>
          <w:color w:val="auto"/>
          <w:sz w:val="24"/>
          <w:szCs w:val="24"/>
          <w:u w:val="none"/>
        </w:rPr>
        <w:t xml:space="preserve">Confidential workpapers have been served to </w:t>
      </w:r>
      <w:r w:rsidR="00E26482" w:rsidRPr="00F51FDB">
        <w:rPr>
          <w:rStyle w:val="Hyperlink"/>
          <w:rFonts w:ascii="TimesNewRomanPSMT" w:hAnsi="TimesNewRomanPSMT" w:cs="TimesNewRomanPSMT"/>
          <w:color w:val="auto"/>
          <w:sz w:val="24"/>
          <w:szCs w:val="24"/>
          <w:u w:val="none"/>
        </w:rPr>
        <w:t xml:space="preserve">parties under signed non-disclosure agreements, on May 22, </w:t>
      </w:r>
      <w:r w:rsidR="002B02D7" w:rsidRPr="00F51FDB">
        <w:rPr>
          <w:rStyle w:val="Hyperlink"/>
          <w:rFonts w:ascii="TimesNewRomanPSMT" w:hAnsi="TimesNewRomanPSMT" w:cs="TimesNewRomanPSMT"/>
          <w:color w:val="auto"/>
          <w:sz w:val="24"/>
          <w:szCs w:val="24"/>
          <w:u w:val="none"/>
        </w:rPr>
        <w:t xml:space="preserve">2020.  </w:t>
      </w:r>
    </w:p>
    <w:p w14:paraId="749AEE4A" w14:textId="77777777" w:rsidR="00FE1BF6" w:rsidRDefault="00FE1BF6" w:rsidP="00FE1BF6">
      <w:pPr>
        <w:widowControl/>
        <w:autoSpaceDE w:val="0"/>
        <w:autoSpaceDN w:val="0"/>
        <w:adjustRightInd w:val="0"/>
        <w:rPr>
          <w:rFonts w:ascii="TimesNewRomanPSMT" w:hAnsi="TimesNewRomanPSMT" w:cs="TimesNewRomanPSMT"/>
          <w:sz w:val="24"/>
          <w:szCs w:val="24"/>
        </w:rPr>
      </w:pPr>
    </w:p>
    <w:p w14:paraId="73CD5089"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2. Please provide workpapers supporting witness Stein’s claim of an undercollection of $10</w:t>
      </w:r>
    </w:p>
    <w:p w14:paraId="269781CC"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million in 2019 attributed to schedule DG-R (see Stein rebuttal testimony, page JPS-25).</w:t>
      </w:r>
    </w:p>
    <w:p w14:paraId="1D5B237D" w14:textId="19445E8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Provide workpapers in Excel format with all links active and all formulae intact.</w:t>
      </w:r>
    </w:p>
    <w:p w14:paraId="6EEB0F0C" w14:textId="4AAD2D6E" w:rsidR="00FE1BF6" w:rsidRDefault="00FE1BF6" w:rsidP="00FE1BF6">
      <w:pPr>
        <w:widowControl/>
        <w:autoSpaceDE w:val="0"/>
        <w:autoSpaceDN w:val="0"/>
        <w:adjustRightInd w:val="0"/>
        <w:rPr>
          <w:rFonts w:ascii="TimesNewRomanPSMT" w:hAnsi="TimesNewRomanPSMT" w:cs="TimesNewRomanPSMT"/>
          <w:sz w:val="24"/>
          <w:szCs w:val="24"/>
        </w:rPr>
      </w:pPr>
    </w:p>
    <w:p w14:paraId="4598DC2B" w14:textId="3C8A650D" w:rsidR="00FE1BF6" w:rsidRDefault="00FE1BF6" w:rsidP="00FE1BF6">
      <w:pPr>
        <w:widowControl/>
        <w:autoSpaceDE w:val="0"/>
        <w:autoSpaceDN w:val="0"/>
        <w:adjustRightInd w:val="0"/>
        <w:rPr>
          <w:rFonts w:ascii="TimesNewRomanPSMT" w:hAnsi="TimesNewRomanPSMT" w:cs="TimesNewRomanPSMT"/>
          <w:sz w:val="24"/>
          <w:szCs w:val="24"/>
        </w:rPr>
      </w:pPr>
      <w:r w:rsidRPr="00FE1BF6">
        <w:rPr>
          <w:rFonts w:ascii="TimesNewRomanPSMT" w:hAnsi="TimesNewRomanPSMT" w:cs="TimesNewRomanPSMT"/>
          <w:b/>
          <w:bCs/>
          <w:sz w:val="24"/>
          <w:szCs w:val="24"/>
        </w:rPr>
        <w:t>SDG&amp;E Response:</w:t>
      </w:r>
      <w:r w:rsidR="00727677">
        <w:rPr>
          <w:rFonts w:ascii="TimesNewRomanPSMT" w:hAnsi="TimesNewRomanPSMT" w:cs="TimesNewRomanPSMT"/>
          <w:b/>
          <w:bCs/>
          <w:sz w:val="24"/>
          <w:szCs w:val="24"/>
        </w:rPr>
        <w:t xml:space="preserve"> </w:t>
      </w:r>
      <w:r w:rsidR="00727677">
        <w:rPr>
          <w:rFonts w:ascii="TimesNewRomanPSMT" w:hAnsi="TimesNewRomanPSMT" w:cs="TimesNewRomanPSMT"/>
          <w:sz w:val="24"/>
          <w:szCs w:val="24"/>
        </w:rPr>
        <w:t>SDG&amp;E</w:t>
      </w:r>
      <w:r w:rsidR="0063077D">
        <w:rPr>
          <w:rFonts w:ascii="TimesNewRomanPSMT" w:hAnsi="TimesNewRomanPSMT" w:cs="TimesNewRomanPSMT"/>
          <w:sz w:val="24"/>
          <w:szCs w:val="24"/>
        </w:rPr>
        <w:t xml:space="preserve">’s support for </w:t>
      </w:r>
      <w:r w:rsidR="003A2835">
        <w:rPr>
          <w:rFonts w:ascii="TimesNewRomanPSMT" w:hAnsi="TimesNewRomanPSMT" w:cs="TimesNewRomanPSMT"/>
          <w:sz w:val="24"/>
          <w:szCs w:val="24"/>
        </w:rPr>
        <w:t>this statement</w:t>
      </w:r>
      <w:r w:rsidR="00727677">
        <w:rPr>
          <w:rFonts w:ascii="TimesNewRomanPSMT" w:hAnsi="TimesNewRomanPSMT" w:cs="TimesNewRomanPSMT"/>
          <w:sz w:val="24"/>
          <w:szCs w:val="24"/>
        </w:rPr>
        <w:t xml:space="preserve"> has </w:t>
      </w:r>
      <w:r w:rsidR="00B32E40">
        <w:rPr>
          <w:rFonts w:ascii="TimesNewRomanPSMT" w:hAnsi="TimesNewRomanPSMT" w:cs="TimesNewRomanPSMT"/>
          <w:sz w:val="24"/>
          <w:szCs w:val="24"/>
        </w:rPr>
        <w:t xml:space="preserve">already </w:t>
      </w:r>
      <w:r w:rsidR="003A2835">
        <w:rPr>
          <w:rFonts w:ascii="TimesNewRomanPSMT" w:hAnsi="TimesNewRomanPSMT" w:cs="TimesNewRomanPSMT"/>
          <w:sz w:val="24"/>
          <w:szCs w:val="24"/>
        </w:rPr>
        <w:t xml:space="preserve">been provided to the City </w:t>
      </w:r>
      <w:r w:rsidR="00E43100">
        <w:rPr>
          <w:rFonts w:ascii="TimesNewRomanPSMT" w:hAnsi="TimesNewRomanPSMT" w:cs="TimesNewRomanPSMT"/>
          <w:sz w:val="24"/>
          <w:szCs w:val="24"/>
        </w:rPr>
        <w:t>as a follow up to Energy Division data request #ES3.</w:t>
      </w:r>
    </w:p>
    <w:p w14:paraId="7BC1E4CB" w14:textId="24537971" w:rsidR="00727677" w:rsidRPr="00727677" w:rsidRDefault="00727677" w:rsidP="00031002">
      <w:pPr>
        <w:widowControl/>
        <w:autoSpaceDE w:val="0"/>
        <w:autoSpaceDN w:val="0"/>
        <w:adjustRightInd w:val="0"/>
        <w:ind w:left="-360" w:firstLine="360"/>
        <w:rPr>
          <w:rFonts w:ascii="TimesNewRomanPSMT" w:hAnsi="TimesNewRomanPSMT" w:cs="TimesNewRomanPSMT"/>
          <w:sz w:val="24"/>
          <w:szCs w:val="24"/>
        </w:rPr>
      </w:pPr>
    </w:p>
    <w:p w14:paraId="4C6D249D"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3. Please update SDG&amp;E’s response to City of San Diego Data Request 1, Question 4 so</w:t>
      </w:r>
    </w:p>
    <w:p w14:paraId="12226957"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that the response is consistent with SDG&amp;E’s updated rate proposals from its rebuttal</w:t>
      </w:r>
    </w:p>
    <w:p w14:paraId="4D2FDAF6" w14:textId="14432555"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testimony.</w:t>
      </w:r>
    </w:p>
    <w:p w14:paraId="6EFBDAD5" w14:textId="4F071CFB" w:rsidR="00FE1BF6" w:rsidRDefault="00FE1BF6" w:rsidP="00FE1BF6">
      <w:pPr>
        <w:widowControl/>
        <w:autoSpaceDE w:val="0"/>
        <w:autoSpaceDN w:val="0"/>
        <w:adjustRightInd w:val="0"/>
        <w:rPr>
          <w:rFonts w:ascii="TimesNewRomanPSMT" w:hAnsi="TimesNewRomanPSMT" w:cs="TimesNewRomanPSMT"/>
          <w:sz w:val="24"/>
          <w:szCs w:val="24"/>
        </w:rPr>
      </w:pPr>
    </w:p>
    <w:p w14:paraId="456FFD98" w14:textId="65F6A95D" w:rsidR="00FE1BF6" w:rsidRPr="00C85595" w:rsidRDefault="00FE1BF6" w:rsidP="00FE1BF6">
      <w:pPr>
        <w:widowControl/>
        <w:autoSpaceDE w:val="0"/>
        <w:autoSpaceDN w:val="0"/>
        <w:adjustRightInd w:val="0"/>
        <w:rPr>
          <w:rFonts w:ascii="TimesNewRomanPSMT" w:hAnsi="TimesNewRomanPSMT" w:cs="TimesNewRomanPSMT"/>
          <w:sz w:val="24"/>
          <w:szCs w:val="24"/>
        </w:rPr>
      </w:pPr>
      <w:r w:rsidRPr="00FE1BF6">
        <w:rPr>
          <w:rFonts w:ascii="TimesNewRomanPSMT" w:hAnsi="TimesNewRomanPSMT" w:cs="TimesNewRomanPSMT"/>
          <w:b/>
          <w:bCs/>
          <w:sz w:val="24"/>
          <w:szCs w:val="24"/>
        </w:rPr>
        <w:t>SDG&amp;E Response:</w:t>
      </w:r>
      <w:r w:rsidR="00C85595">
        <w:rPr>
          <w:rFonts w:ascii="TimesNewRomanPSMT" w:hAnsi="TimesNewRomanPSMT" w:cs="TimesNewRomanPSMT"/>
          <w:b/>
          <w:bCs/>
          <w:sz w:val="24"/>
          <w:szCs w:val="24"/>
        </w:rPr>
        <w:t xml:space="preserve"> </w:t>
      </w:r>
      <w:r w:rsidR="005F7666">
        <w:rPr>
          <w:rFonts w:ascii="TimesNewRomanPSMT" w:hAnsi="TimesNewRomanPSMT" w:cs="TimesNewRomanPSMT"/>
          <w:sz w:val="24"/>
          <w:szCs w:val="24"/>
        </w:rPr>
        <w:t xml:space="preserve">SDG&amp;E </w:t>
      </w:r>
      <w:r w:rsidR="00615D4A">
        <w:rPr>
          <w:rFonts w:ascii="TimesNewRomanPSMT" w:hAnsi="TimesNewRomanPSMT" w:cs="TimesNewRomanPSMT"/>
          <w:sz w:val="24"/>
          <w:szCs w:val="24"/>
        </w:rPr>
        <w:t>will</w:t>
      </w:r>
      <w:r w:rsidR="00D41B76">
        <w:rPr>
          <w:rFonts w:ascii="TimesNewRomanPSMT" w:hAnsi="TimesNewRomanPSMT" w:cs="TimesNewRomanPSMT"/>
          <w:sz w:val="24"/>
          <w:szCs w:val="24"/>
        </w:rPr>
        <w:t xml:space="preserve"> provide </w:t>
      </w:r>
      <w:r w:rsidR="005F7666">
        <w:rPr>
          <w:rFonts w:ascii="TimesNewRomanPSMT" w:hAnsi="TimesNewRomanPSMT" w:cs="TimesNewRomanPSMT"/>
          <w:sz w:val="24"/>
          <w:szCs w:val="24"/>
        </w:rPr>
        <w:t>this confidential response to the Ci</w:t>
      </w:r>
      <w:r w:rsidR="00D41B76">
        <w:rPr>
          <w:rFonts w:ascii="TimesNewRomanPSMT" w:hAnsi="TimesNewRomanPSMT" w:cs="TimesNewRomanPSMT"/>
          <w:sz w:val="24"/>
          <w:szCs w:val="24"/>
        </w:rPr>
        <w:t>ty of San Diego</w:t>
      </w:r>
      <w:r w:rsidR="00E62441">
        <w:rPr>
          <w:rFonts w:ascii="TimesNewRomanPSMT" w:hAnsi="TimesNewRomanPSMT" w:cs="TimesNewRomanPSMT"/>
          <w:sz w:val="24"/>
          <w:szCs w:val="24"/>
        </w:rPr>
        <w:t xml:space="preserve"> </w:t>
      </w:r>
      <w:r w:rsidR="00615D4A">
        <w:rPr>
          <w:rFonts w:ascii="TimesNewRomanPSMT" w:hAnsi="TimesNewRomanPSMT" w:cs="TimesNewRomanPSMT"/>
          <w:sz w:val="24"/>
          <w:szCs w:val="24"/>
        </w:rPr>
        <w:t>in a separate email</w:t>
      </w:r>
      <w:r w:rsidR="00790E7A">
        <w:rPr>
          <w:rFonts w:ascii="TimesNewRomanPSMT" w:hAnsi="TimesNewRomanPSMT" w:cs="TimesNewRomanPSMT"/>
          <w:sz w:val="24"/>
          <w:szCs w:val="24"/>
        </w:rPr>
        <w:t>.</w:t>
      </w:r>
    </w:p>
    <w:p w14:paraId="22201FC8" w14:textId="77777777" w:rsidR="00FE1BF6" w:rsidRDefault="00FE1BF6" w:rsidP="00FE1BF6">
      <w:pPr>
        <w:widowControl/>
        <w:autoSpaceDE w:val="0"/>
        <w:autoSpaceDN w:val="0"/>
        <w:adjustRightInd w:val="0"/>
        <w:rPr>
          <w:rFonts w:ascii="TimesNewRomanPSMT" w:hAnsi="TimesNewRomanPSMT" w:cs="TimesNewRomanPSMT"/>
          <w:sz w:val="24"/>
          <w:szCs w:val="24"/>
        </w:rPr>
      </w:pPr>
    </w:p>
    <w:p w14:paraId="3FEFFD96"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4. Does Witness Stein have an estimate of the magnitude of the increased undercollection</w:t>
      </w:r>
    </w:p>
    <w:p w14:paraId="74E044BF"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associated with opening Schedule DG-R as proposed by SEIA witness Beach? If not,</w:t>
      </w:r>
    </w:p>
    <w:p w14:paraId="5ABA4ABF" w14:textId="2E29AA6F"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please so state. If so, please provide workpapers associated with any such estimate.</w:t>
      </w:r>
    </w:p>
    <w:p w14:paraId="0F7C4163" w14:textId="2CE53D5F" w:rsidR="00FE1BF6" w:rsidRDefault="00FE1BF6" w:rsidP="00FE1BF6">
      <w:pPr>
        <w:widowControl/>
        <w:autoSpaceDE w:val="0"/>
        <w:autoSpaceDN w:val="0"/>
        <w:adjustRightInd w:val="0"/>
        <w:rPr>
          <w:rFonts w:ascii="TimesNewRomanPSMT" w:hAnsi="TimesNewRomanPSMT" w:cs="TimesNewRomanPSMT"/>
          <w:sz w:val="24"/>
          <w:szCs w:val="24"/>
        </w:rPr>
      </w:pPr>
    </w:p>
    <w:p w14:paraId="7677192A" w14:textId="69F04769" w:rsidR="00FE1BF6" w:rsidRPr="00FE1BF6" w:rsidRDefault="00FE1BF6" w:rsidP="50404615">
      <w:pPr>
        <w:widowControl/>
        <w:autoSpaceDE w:val="0"/>
        <w:autoSpaceDN w:val="0"/>
        <w:adjustRightInd w:val="0"/>
        <w:rPr>
          <w:rFonts w:ascii="TimesNewRomanPSMT" w:hAnsi="TimesNewRomanPSMT" w:cs="TimesNewRomanPSMT"/>
          <w:sz w:val="24"/>
          <w:szCs w:val="24"/>
        </w:rPr>
      </w:pPr>
      <w:r w:rsidRPr="00FE1BF6">
        <w:rPr>
          <w:rFonts w:ascii="TimesNewRomanPSMT" w:hAnsi="TimesNewRomanPSMT" w:cs="TimesNewRomanPSMT"/>
          <w:b/>
          <w:bCs/>
          <w:sz w:val="24"/>
          <w:szCs w:val="24"/>
        </w:rPr>
        <w:t>SDG&amp;E Response:</w:t>
      </w:r>
      <w:r w:rsidR="11AA9680" w:rsidRPr="50404615">
        <w:rPr>
          <w:rFonts w:ascii="TimesNewRomanPSMT" w:hAnsi="TimesNewRomanPSMT" w:cs="TimesNewRomanPSMT"/>
          <w:b/>
          <w:bCs/>
          <w:sz w:val="24"/>
          <w:szCs w:val="24"/>
        </w:rPr>
        <w:t xml:space="preserve"> </w:t>
      </w:r>
    </w:p>
    <w:p w14:paraId="79BD17A2" w14:textId="77777777" w:rsidR="00C85595" w:rsidRDefault="00C85595" w:rsidP="00FE1BF6">
      <w:pPr>
        <w:widowControl/>
        <w:autoSpaceDE w:val="0"/>
        <w:autoSpaceDN w:val="0"/>
        <w:adjustRightInd w:val="0"/>
        <w:rPr>
          <w:rFonts w:ascii="TimesNewRomanPSMT" w:hAnsi="TimesNewRomanPSMT" w:cs="TimesNewRomanPSMT"/>
          <w:sz w:val="24"/>
          <w:szCs w:val="24"/>
        </w:rPr>
      </w:pPr>
    </w:p>
    <w:p w14:paraId="04C476D0" w14:textId="69139DFC" w:rsidR="00FE1BF6" w:rsidRPr="00C85595" w:rsidRDefault="11AA9680" w:rsidP="00FE1BF6">
      <w:pPr>
        <w:widowControl/>
        <w:autoSpaceDE w:val="0"/>
        <w:autoSpaceDN w:val="0"/>
        <w:adjustRightInd w:val="0"/>
        <w:rPr>
          <w:rFonts w:ascii="TimesNewRomanPSMT" w:hAnsi="TimesNewRomanPSMT" w:cs="TimesNewRomanPSMT"/>
          <w:sz w:val="24"/>
          <w:szCs w:val="24"/>
        </w:rPr>
      </w:pPr>
      <w:r w:rsidRPr="00C85595">
        <w:rPr>
          <w:rFonts w:ascii="TimesNewRomanPSMT" w:hAnsi="TimesNewRomanPSMT" w:cs="TimesNewRomanPSMT"/>
          <w:sz w:val="24"/>
          <w:szCs w:val="24"/>
        </w:rPr>
        <w:t xml:space="preserve">SDG&amp;E has not estimated the undercollection associated with opening Schedule DG-R as proposed by SEIA. </w:t>
      </w:r>
    </w:p>
    <w:p w14:paraId="290A21EE" w14:textId="77777777" w:rsidR="00FE1BF6" w:rsidRDefault="00FE1BF6" w:rsidP="00FE1BF6">
      <w:pPr>
        <w:widowControl/>
        <w:autoSpaceDE w:val="0"/>
        <w:autoSpaceDN w:val="0"/>
        <w:adjustRightInd w:val="0"/>
        <w:rPr>
          <w:rFonts w:ascii="TimesNewRomanPSMT" w:hAnsi="TimesNewRomanPSMT" w:cs="TimesNewRomanPSMT"/>
          <w:sz w:val="24"/>
          <w:szCs w:val="24"/>
        </w:rPr>
      </w:pPr>
    </w:p>
    <w:p w14:paraId="37D268DD"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5. Regarding witness Stein’s rebuttal testimony on page JPS-31:</w:t>
      </w:r>
    </w:p>
    <w:p w14:paraId="1E0DBA35"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 Confirm or deny: PG&amp;E and SCE have critical peak pricing programs.</w:t>
      </w:r>
    </w:p>
    <w:p w14:paraId="0FAD4784"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b. Confirm or deny: PG&amp;E and SCE have grandfathered TOU rates.</w:t>
      </w:r>
    </w:p>
    <w:p w14:paraId="059D58A4"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c. Confirm or deny: PG&amp;E and SCE do not have separate commodity tariffs as does</w:t>
      </w:r>
    </w:p>
    <w:p w14:paraId="005E3C36" w14:textId="74608410"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SDG&amp;E.</w:t>
      </w:r>
    </w:p>
    <w:p w14:paraId="35B73D78" w14:textId="51BDEE8C" w:rsidR="00FE1BF6" w:rsidRDefault="00FE1BF6" w:rsidP="00FE1BF6">
      <w:pPr>
        <w:widowControl/>
        <w:autoSpaceDE w:val="0"/>
        <w:autoSpaceDN w:val="0"/>
        <w:adjustRightInd w:val="0"/>
        <w:rPr>
          <w:rFonts w:ascii="TimesNewRomanPSMT" w:hAnsi="TimesNewRomanPSMT" w:cs="TimesNewRomanPSMT"/>
          <w:sz w:val="24"/>
          <w:szCs w:val="24"/>
        </w:rPr>
      </w:pPr>
    </w:p>
    <w:p w14:paraId="000ECAC1" w14:textId="77777777" w:rsidR="00FE1BF6" w:rsidRPr="00FE1BF6" w:rsidRDefault="00FE1BF6" w:rsidP="00FE1BF6">
      <w:pPr>
        <w:widowControl/>
        <w:autoSpaceDE w:val="0"/>
        <w:autoSpaceDN w:val="0"/>
        <w:adjustRightInd w:val="0"/>
        <w:rPr>
          <w:rFonts w:ascii="TimesNewRomanPSMT" w:hAnsi="TimesNewRomanPSMT" w:cs="TimesNewRomanPSMT"/>
          <w:b/>
          <w:bCs/>
          <w:sz w:val="24"/>
          <w:szCs w:val="24"/>
        </w:rPr>
      </w:pPr>
      <w:r w:rsidRPr="00FE1BF6">
        <w:rPr>
          <w:rFonts w:ascii="TimesNewRomanPSMT" w:hAnsi="TimesNewRomanPSMT" w:cs="TimesNewRomanPSMT"/>
          <w:b/>
          <w:bCs/>
          <w:sz w:val="24"/>
          <w:szCs w:val="24"/>
        </w:rPr>
        <w:t>SDG&amp;E Response:</w:t>
      </w:r>
    </w:p>
    <w:p w14:paraId="5692BB29" w14:textId="470268D2" w:rsidR="00DB23BE" w:rsidRDefault="00DB23BE" w:rsidP="00DB23BE">
      <w:pPr>
        <w:widowControl/>
        <w:autoSpaceDE w:val="0"/>
        <w:autoSpaceDN w:val="0"/>
        <w:adjustRightInd w:val="0"/>
        <w:rPr>
          <w:rFonts w:ascii="TimesNewRomanPSMT" w:hAnsi="TimesNewRomanPSMT" w:cs="TimesNewRomanPSMT"/>
          <w:sz w:val="24"/>
          <w:szCs w:val="24"/>
        </w:rPr>
      </w:pPr>
      <w:r w:rsidRPr="00790E7A">
        <w:rPr>
          <w:rFonts w:ascii="TimesNewRomanPSMT" w:hAnsi="TimesNewRomanPSMT" w:cs="TimesNewRomanPSMT"/>
          <w:sz w:val="24"/>
          <w:szCs w:val="24"/>
        </w:rPr>
        <w:lastRenderedPageBreak/>
        <w:t>SDG&amp;E objects to this request to the extent that it seeks information that is not within</w:t>
      </w:r>
      <w:r w:rsidR="00F9780E">
        <w:rPr>
          <w:rFonts w:ascii="TimesNewRomanPSMT" w:hAnsi="TimesNewRomanPSMT" w:cs="TimesNewRomanPSMT"/>
          <w:sz w:val="24"/>
          <w:szCs w:val="24"/>
        </w:rPr>
        <w:t xml:space="preserve"> </w:t>
      </w:r>
      <w:r w:rsidRPr="006565B3">
        <w:rPr>
          <w:rFonts w:ascii="TimesNewRomanPSMT" w:hAnsi="TimesNewRomanPSMT" w:cs="TimesNewRomanPSMT"/>
          <w:sz w:val="24"/>
          <w:szCs w:val="24"/>
        </w:rPr>
        <w:t>SDG&amp;E’s knowledge or control</w:t>
      </w:r>
      <w:r w:rsidR="00597F94">
        <w:rPr>
          <w:rFonts w:ascii="TimesNewRomanPSMT" w:hAnsi="TimesNewRomanPSMT" w:cs="TimesNewRomanPSMT"/>
          <w:sz w:val="24"/>
          <w:szCs w:val="24"/>
        </w:rPr>
        <w:t>,</w:t>
      </w:r>
      <w:r w:rsidR="00F9780E">
        <w:rPr>
          <w:rFonts w:ascii="TimesNewRomanPSMT" w:hAnsi="TimesNewRomanPSMT" w:cs="TimesNewRomanPSMT"/>
          <w:sz w:val="24"/>
          <w:szCs w:val="24"/>
        </w:rPr>
        <w:t xml:space="preserve"> is not within the scope of the proceeding, </w:t>
      </w:r>
      <w:r w:rsidR="00C67573">
        <w:rPr>
          <w:rFonts w:ascii="TimesNewRomanPSMT" w:hAnsi="TimesNewRomanPSMT" w:cs="TimesNewRomanPSMT"/>
          <w:sz w:val="24"/>
          <w:szCs w:val="24"/>
        </w:rPr>
        <w:t>and</w:t>
      </w:r>
      <w:r w:rsidR="00462D8A">
        <w:rPr>
          <w:rFonts w:ascii="TimesNewRomanPSMT" w:hAnsi="TimesNewRomanPSMT" w:cs="TimesNewRomanPSMT"/>
          <w:sz w:val="24"/>
          <w:szCs w:val="24"/>
        </w:rPr>
        <w:t>/or</w:t>
      </w:r>
      <w:r w:rsidR="00C67573">
        <w:rPr>
          <w:rFonts w:ascii="TimesNewRomanPSMT" w:hAnsi="TimesNewRomanPSMT" w:cs="TimesNewRomanPSMT"/>
          <w:sz w:val="24"/>
          <w:szCs w:val="24"/>
        </w:rPr>
        <w:t xml:space="preserve"> is publicly and equally available to </w:t>
      </w:r>
      <w:r w:rsidR="006C7199">
        <w:rPr>
          <w:rFonts w:ascii="TimesNewRomanPSMT" w:hAnsi="TimesNewRomanPSMT" w:cs="TimesNewRomanPSMT"/>
          <w:sz w:val="24"/>
          <w:szCs w:val="24"/>
        </w:rPr>
        <w:t xml:space="preserve">the City of San Diego.  </w:t>
      </w:r>
    </w:p>
    <w:p w14:paraId="2925E75D" w14:textId="77777777" w:rsidR="00FE1BF6" w:rsidRDefault="00FE1BF6" w:rsidP="00FE1BF6">
      <w:pPr>
        <w:widowControl/>
        <w:autoSpaceDE w:val="0"/>
        <w:autoSpaceDN w:val="0"/>
        <w:adjustRightInd w:val="0"/>
        <w:rPr>
          <w:rFonts w:ascii="TimesNewRomanPSMT" w:hAnsi="TimesNewRomanPSMT" w:cs="TimesNewRomanPSMT"/>
          <w:sz w:val="24"/>
          <w:szCs w:val="24"/>
        </w:rPr>
      </w:pPr>
    </w:p>
    <w:p w14:paraId="3A3892AC"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6. Please explain how SDG&amp;E developed the “San Diego Franchise Fee Differential</w:t>
      </w:r>
    </w:p>
    <w:p w14:paraId="275FAD06"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Percentage Factors” found in tab “Inputs” in SDG&amp;E’s electric rate design model. Please</w:t>
      </w:r>
    </w:p>
    <w:p w14:paraId="1C7D8D8F" w14:textId="528502A3"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provide all workpapers supporting the development of those factors.</w:t>
      </w:r>
    </w:p>
    <w:p w14:paraId="53C30DB8" w14:textId="7CF21F89" w:rsidR="00FE1BF6" w:rsidRDefault="00FE1BF6" w:rsidP="00FE1BF6">
      <w:pPr>
        <w:widowControl/>
        <w:autoSpaceDE w:val="0"/>
        <w:autoSpaceDN w:val="0"/>
        <w:adjustRightInd w:val="0"/>
        <w:rPr>
          <w:rFonts w:ascii="TimesNewRomanPSMT" w:hAnsi="TimesNewRomanPSMT" w:cs="TimesNewRomanPSMT"/>
          <w:sz w:val="24"/>
          <w:szCs w:val="24"/>
        </w:rPr>
      </w:pPr>
    </w:p>
    <w:p w14:paraId="6BC96B3D" w14:textId="35B4931D" w:rsidR="00FE1BF6" w:rsidRDefault="00FE1BF6" w:rsidP="00FE1BF6">
      <w:pPr>
        <w:widowControl/>
        <w:autoSpaceDE w:val="0"/>
        <w:autoSpaceDN w:val="0"/>
        <w:adjustRightInd w:val="0"/>
        <w:rPr>
          <w:rFonts w:ascii="TimesNewRomanPSMT" w:hAnsi="TimesNewRomanPSMT" w:cs="TimesNewRomanPSMT"/>
          <w:b/>
          <w:bCs/>
          <w:sz w:val="24"/>
          <w:szCs w:val="24"/>
        </w:rPr>
      </w:pPr>
      <w:r w:rsidRPr="00FE1BF6">
        <w:rPr>
          <w:rFonts w:ascii="TimesNewRomanPSMT" w:hAnsi="TimesNewRomanPSMT" w:cs="TimesNewRomanPSMT"/>
          <w:b/>
          <w:bCs/>
          <w:sz w:val="24"/>
          <w:szCs w:val="24"/>
        </w:rPr>
        <w:t>SDG&amp;E Response:</w:t>
      </w:r>
    </w:p>
    <w:p w14:paraId="6B7C8D3C" w14:textId="24431E80" w:rsidR="00B86B22" w:rsidRDefault="00B86B22" w:rsidP="00FE1BF6">
      <w:pPr>
        <w:widowControl/>
        <w:autoSpaceDE w:val="0"/>
        <w:autoSpaceDN w:val="0"/>
        <w:adjustRightInd w:val="0"/>
        <w:rPr>
          <w:rFonts w:ascii="TimesNewRomanPSMT" w:hAnsi="TimesNewRomanPSMT" w:cs="TimesNewRomanPSMT"/>
          <w:b/>
          <w:bCs/>
          <w:sz w:val="24"/>
          <w:szCs w:val="24"/>
        </w:rPr>
      </w:pPr>
    </w:p>
    <w:p w14:paraId="1B4479A1" w14:textId="3066CE8D" w:rsidR="00B86B22" w:rsidRPr="004D08A9" w:rsidRDefault="00B86B22" w:rsidP="00B86B22">
      <w:pPr>
        <w:spacing w:line="254" w:lineRule="auto"/>
        <w:rPr>
          <w:rFonts w:ascii="Times New Roman" w:hAnsi="Times New Roman" w:cs="Times New Roman"/>
          <w:sz w:val="24"/>
          <w:szCs w:val="24"/>
        </w:rPr>
      </w:pPr>
      <w:r w:rsidRPr="004D08A9">
        <w:rPr>
          <w:rFonts w:ascii="Times New Roman" w:hAnsi="Times New Roman" w:cs="Times New Roman"/>
          <w:sz w:val="24"/>
          <w:szCs w:val="24"/>
        </w:rPr>
        <w:t>SDG&amp;E objects to this request to the extent it seeks information regarding matters that are not relevant to and are not within the scope of</w:t>
      </w:r>
      <w:r>
        <w:rPr>
          <w:rFonts w:ascii="Times New Roman" w:hAnsi="Times New Roman" w:cs="Times New Roman"/>
          <w:sz w:val="24"/>
          <w:szCs w:val="24"/>
        </w:rPr>
        <w:t xml:space="preserve"> </w:t>
      </w:r>
      <w:r w:rsidRPr="004D08A9">
        <w:rPr>
          <w:rFonts w:ascii="Times New Roman" w:hAnsi="Times New Roman" w:cs="Times New Roman"/>
          <w:sz w:val="24"/>
          <w:szCs w:val="24"/>
        </w:rPr>
        <w:t xml:space="preserve">the proceeding.  </w:t>
      </w:r>
    </w:p>
    <w:p w14:paraId="2CFADC4C" w14:textId="77777777" w:rsidR="00B86B22" w:rsidRDefault="00B86B22" w:rsidP="00B86B22">
      <w:pPr>
        <w:spacing w:line="254" w:lineRule="auto"/>
        <w:rPr>
          <w:rFonts w:ascii="Times New Roman" w:hAnsi="Times New Roman" w:cs="Times New Roman"/>
          <w:sz w:val="24"/>
          <w:szCs w:val="24"/>
        </w:rPr>
      </w:pPr>
      <w:r>
        <w:rPr>
          <w:rFonts w:ascii="Times New Roman" w:hAnsi="Times New Roman" w:cs="Times New Roman"/>
          <w:sz w:val="24"/>
          <w:szCs w:val="24"/>
        </w:rPr>
        <w:tab/>
      </w:r>
    </w:p>
    <w:p w14:paraId="2EE21C0A" w14:textId="4F32F2C4" w:rsidR="00B86B22" w:rsidRPr="004D08A9" w:rsidRDefault="00B86B22" w:rsidP="00B86B22">
      <w:pPr>
        <w:spacing w:line="254" w:lineRule="auto"/>
        <w:rPr>
          <w:rFonts w:ascii="Times New Roman" w:hAnsi="Times New Roman" w:cs="Times New Roman"/>
          <w:sz w:val="24"/>
          <w:szCs w:val="24"/>
        </w:rPr>
      </w:pPr>
      <w:r w:rsidRPr="004D08A9">
        <w:rPr>
          <w:rFonts w:ascii="Times New Roman" w:hAnsi="Times New Roman" w:cs="Times New Roman"/>
          <w:sz w:val="24"/>
          <w:szCs w:val="24"/>
        </w:rPr>
        <w:t>Subject to and without waiving the foregoing objections, SDG&amp;E responds as follows:</w:t>
      </w:r>
      <w:r w:rsidR="006B62F6">
        <w:rPr>
          <w:rFonts w:ascii="Times New Roman" w:hAnsi="Times New Roman" w:cs="Times New Roman"/>
          <w:sz w:val="24"/>
          <w:szCs w:val="24"/>
        </w:rPr>
        <w:t xml:space="preserve"> </w:t>
      </w:r>
      <w:r w:rsidR="007312A4" w:rsidRPr="007312A4">
        <w:rPr>
          <w:rFonts w:ascii="Times New Roman" w:hAnsi="Times New Roman" w:cs="Times New Roman"/>
          <w:sz w:val="24"/>
          <w:szCs w:val="24"/>
        </w:rPr>
        <w:t>The San Diego Franchise Fee Differential Percentage Factors found in SDG&amp;E’s workpaper tab “Inputs” is used for the presentation of revenues SDG&amp;E expects to collect on behalf of the City of San Diego. The percentage factors are not used in the calculation of rates. The percentage amounts will vary from the one listed on SDG&amp;E’s tariffs (5.78%) as not all customers in SDG&amp;E’s service territory live in the City of San Diego</w:t>
      </w:r>
      <w:r w:rsidR="00965CEC">
        <w:rPr>
          <w:rFonts w:ascii="Times New Roman" w:hAnsi="Times New Roman" w:cs="Times New Roman"/>
          <w:sz w:val="24"/>
          <w:szCs w:val="24"/>
        </w:rPr>
        <w:t>,</w:t>
      </w:r>
      <w:r w:rsidR="007312A4" w:rsidRPr="007312A4">
        <w:rPr>
          <w:rFonts w:ascii="Times New Roman" w:hAnsi="Times New Roman" w:cs="Times New Roman"/>
          <w:sz w:val="24"/>
          <w:szCs w:val="24"/>
        </w:rPr>
        <w:t xml:space="preserve"> thus they are not charged the San Diego Franchise Fee Differential.</w:t>
      </w:r>
    </w:p>
    <w:p w14:paraId="3DF5D6F6" w14:textId="77777777" w:rsidR="00B86B22" w:rsidRPr="00FE1BF6" w:rsidRDefault="00B86B22" w:rsidP="00FE1BF6">
      <w:pPr>
        <w:widowControl/>
        <w:autoSpaceDE w:val="0"/>
        <w:autoSpaceDN w:val="0"/>
        <w:adjustRightInd w:val="0"/>
        <w:rPr>
          <w:rFonts w:ascii="TimesNewRomanPSMT" w:hAnsi="TimesNewRomanPSMT" w:cs="TimesNewRomanPSMT"/>
          <w:b/>
          <w:bCs/>
          <w:sz w:val="24"/>
          <w:szCs w:val="24"/>
        </w:rPr>
      </w:pPr>
    </w:p>
    <w:p w14:paraId="6FB0C6D9" w14:textId="77777777" w:rsidR="00FE1BF6" w:rsidRDefault="00FE1BF6" w:rsidP="00FE1BF6">
      <w:pPr>
        <w:widowControl/>
        <w:autoSpaceDE w:val="0"/>
        <w:autoSpaceDN w:val="0"/>
        <w:adjustRightInd w:val="0"/>
        <w:rPr>
          <w:rFonts w:ascii="TimesNewRomanPSMT" w:hAnsi="TimesNewRomanPSMT" w:cs="TimesNewRomanPSMT"/>
          <w:sz w:val="24"/>
          <w:szCs w:val="24"/>
        </w:rPr>
      </w:pPr>
    </w:p>
    <w:p w14:paraId="17AC5A47"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7. Please explain how the “San Diego Franchise Fee Differential Percentage Factors”</w:t>
      </w:r>
    </w:p>
    <w:p w14:paraId="4A101987"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mentioned in Question 6 relate to the 5.78% “Franchise Fee Differential” that SDG&amp;E</w:t>
      </w:r>
    </w:p>
    <w:p w14:paraId="66B031AC"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applies to each of its electric tariffs. Please provide a quantitative demonstration of how</w:t>
      </w:r>
    </w:p>
    <w:p w14:paraId="106E8754" w14:textId="2923FF78"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these relate to each other.</w:t>
      </w:r>
    </w:p>
    <w:p w14:paraId="650C5F41" w14:textId="26AF3774" w:rsidR="00FE1BF6" w:rsidRDefault="00FE1BF6" w:rsidP="00FE1BF6">
      <w:pPr>
        <w:widowControl/>
        <w:autoSpaceDE w:val="0"/>
        <w:autoSpaceDN w:val="0"/>
        <w:adjustRightInd w:val="0"/>
        <w:rPr>
          <w:rFonts w:ascii="TimesNewRomanPSMT" w:hAnsi="TimesNewRomanPSMT" w:cs="TimesNewRomanPSMT"/>
          <w:sz w:val="24"/>
          <w:szCs w:val="24"/>
        </w:rPr>
      </w:pPr>
    </w:p>
    <w:p w14:paraId="16932735" w14:textId="6B44C937" w:rsidR="00FE1BF6" w:rsidRDefault="00FE1BF6" w:rsidP="00FE1BF6">
      <w:pPr>
        <w:widowControl/>
        <w:autoSpaceDE w:val="0"/>
        <w:autoSpaceDN w:val="0"/>
        <w:adjustRightInd w:val="0"/>
        <w:rPr>
          <w:rFonts w:ascii="TimesNewRomanPSMT" w:hAnsi="TimesNewRomanPSMT" w:cs="TimesNewRomanPSMT"/>
          <w:b/>
          <w:bCs/>
          <w:sz w:val="24"/>
          <w:szCs w:val="24"/>
        </w:rPr>
      </w:pPr>
      <w:r w:rsidRPr="00FE1BF6">
        <w:rPr>
          <w:rFonts w:ascii="TimesNewRomanPSMT" w:hAnsi="TimesNewRomanPSMT" w:cs="TimesNewRomanPSMT"/>
          <w:b/>
          <w:bCs/>
          <w:sz w:val="24"/>
          <w:szCs w:val="24"/>
        </w:rPr>
        <w:t>SDG&amp;E Response:</w:t>
      </w:r>
    </w:p>
    <w:p w14:paraId="48E83C5D" w14:textId="10609F85" w:rsidR="001946E8" w:rsidRDefault="001946E8" w:rsidP="00FE1BF6">
      <w:pPr>
        <w:widowControl/>
        <w:autoSpaceDE w:val="0"/>
        <w:autoSpaceDN w:val="0"/>
        <w:adjustRightInd w:val="0"/>
        <w:rPr>
          <w:rFonts w:ascii="TimesNewRomanPSMT" w:hAnsi="TimesNewRomanPSMT" w:cs="TimesNewRomanPSMT"/>
          <w:b/>
          <w:bCs/>
          <w:sz w:val="24"/>
          <w:szCs w:val="24"/>
        </w:rPr>
      </w:pPr>
    </w:p>
    <w:p w14:paraId="1ECFC112" w14:textId="1EAC1632" w:rsidR="001946E8" w:rsidRPr="004D08A9" w:rsidRDefault="001946E8" w:rsidP="001946E8">
      <w:pPr>
        <w:spacing w:line="254" w:lineRule="auto"/>
        <w:rPr>
          <w:rFonts w:ascii="Times New Roman" w:hAnsi="Times New Roman" w:cs="Times New Roman"/>
          <w:sz w:val="24"/>
          <w:szCs w:val="24"/>
        </w:rPr>
      </w:pPr>
      <w:r w:rsidRPr="004D08A9">
        <w:rPr>
          <w:rFonts w:ascii="Times New Roman" w:hAnsi="Times New Roman" w:cs="Times New Roman"/>
          <w:sz w:val="24"/>
          <w:szCs w:val="24"/>
        </w:rPr>
        <w:t>SDG&amp;E objects to this request to the extent it seeks information regarding matters that are not relevant to and are not within the scope of</w:t>
      </w:r>
      <w:r>
        <w:rPr>
          <w:rFonts w:ascii="Times New Roman" w:hAnsi="Times New Roman" w:cs="Times New Roman"/>
          <w:sz w:val="24"/>
          <w:szCs w:val="24"/>
        </w:rPr>
        <w:t xml:space="preserve"> </w:t>
      </w:r>
      <w:r w:rsidRPr="004D08A9">
        <w:rPr>
          <w:rFonts w:ascii="Times New Roman" w:hAnsi="Times New Roman" w:cs="Times New Roman"/>
          <w:sz w:val="24"/>
          <w:szCs w:val="24"/>
        </w:rPr>
        <w:t xml:space="preserve">the proceeding.  </w:t>
      </w:r>
    </w:p>
    <w:p w14:paraId="4ADC4392" w14:textId="7F1915D9" w:rsidR="00953F02" w:rsidRDefault="00953F02" w:rsidP="001946E8">
      <w:pPr>
        <w:spacing w:line="254" w:lineRule="auto"/>
        <w:rPr>
          <w:rFonts w:ascii="Times New Roman" w:hAnsi="Times New Roman" w:cs="Times New Roman"/>
          <w:sz w:val="24"/>
          <w:szCs w:val="24"/>
        </w:rPr>
      </w:pPr>
    </w:p>
    <w:p w14:paraId="00680F8F" w14:textId="38724399" w:rsidR="00953F02" w:rsidRPr="004D08A9" w:rsidRDefault="00953F02" w:rsidP="001946E8">
      <w:pPr>
        <w:spacing w:line="254" w:lineRule="auto"/>
        <w:rPr>
          <w:rFonts w:ascii="Times New Roman" w:hAnsi="Times New Roman" w:cs="Times New Roman"/>
          <w:sz w:val="24"/>
          <w:szCs w:val="24"/>
        </w:rPr>
      </w:pPr>
      <w:r w:rsidRPr="004D08A9">
        <w:rPr>
          <w:rFonts w:ascii="Times New Roman" w:hAnsi="Times New Roman" w:cs="Times New Roman"/>
          <w:sz w:val="24"/>
          <w:szCs w:val="24"/>
        </w:rPr>
        <w:t>Subject to and without waiving the foregoing objections, SDG&amp;E responds as follows:</w:t>
      </w:r>
      <w:r>
        <w:rPr>
          <w:rFonts w:ascii="Times New Roman" w:hAnsi="Times New Roman" w:cs="Times New Roman"/>
          <w:sz w:val="24"/>
          <w:szCs w:val="24"/>
        </w:rPr>
        <w:t xml:space="preserve">  </w:t>
      </w:r>
      <w:r w:rsidR="006140DE" w:rsidRPr="006140DE">
        <w:rPr>
          <w:rFonts w:ascii="Times New Roman" w:hAnsi="Times New Roman" w:cs="Times New Roman"/>
          <w:sz w:val="24"/>
          <w:szCs w:val="24"/>
        </w:rPr>
        <w:t xml:space="preserve">Please see the response to Question 6. </w:t>
      </w:r>
      <w:r w:rsidR="001B389A">
        <w:rPr>
          <w:rFonts w:ascii="Times New Roman" w:hAnsi="Times New Roman" w:cs="Times New Roman"/>
          <w:sz w:val="24"/>
          <w:szCs w:val="24"/>
        </w:rPr>
        <w:t xml:space="preserve"> </w:t>
      </w:r>
      <w:r w:rsidR="006140DE" w:rsidRPr="006140DE">
        <w:rPr>
          <w:rFonts w:ascii="Times New Roman" w:hAnsi="Times New Roman" w:cs="Times New Roman"/>
          <w:sz w:val="24"/>
          <w:szCs w:val="24"/>
        </w:rPr>
        <w:t xml:space="preserve">Please also see SDG&amp;E’s approved Franchise Fee Differential via Advice Letter 1460-E. </w:t>
      </w:r>
      <w:r w:rsidR="006140DE" w:rsidRPr="0014082B">
        <w:rPr>
          <w:rFonts w:ascii="Times New Roman" w:hAnsi="Times New Roman" w:cs="Times New Roman"/>
          <w:sz w:val="24"/>
          <w:szCs w:val="24"/>
        </w:rPr>
        <w:t>http://regarchive.sdge.com/tm2/pdf/1460-E.pdf</w:t>
      </w:r>
      <w:r w:rsidR="006140DE">
        <w:rPr>
          <w:rFonts w:ascii="Times New Roman" w:hAnsi="Times New Roman" w:cs="Times New Roman"/>
          <w:sz w:val="24"/>
          <w:szCs w:val="24"/>
        </w:rPr>
        <w:t xml:space="preserve"> </w:t>
      </w:r>
    </w:p>
    <w:p w14:paraId="1E3C9E57" w14:textId="537A2FDC" w:rsidR="00FE1BF6" w:rsidRPr="00C85595" w:rsidRDefault="001946E8" w:rsidP="00C85595">
      <w:pPr>
        <w:spacing w:line="254" w:lineRule="auto"/>
        <w:rPr>
          <w:rFonts w:ascii="Times New Roman" w:hAnsi="Times New Roman" w:cs="Times New Roman"/>
          <w:sz w:val="24"/>
          <w:szCs w:val="24"/>
        </w:rPr>
      </w:pPr>
      <w:r>
        <w:rPr>
          <w:rFonts w:ascii="Times New Roman" w:hAnsi="Times New Roman" w:cs="Times New Roman"/>
          <w:sz w:val="24"/>
          <w:szCs w:val="24"/>
        </w:rPr>
        <w:tab/>
      </w:r>
    </w:p>
    <w:p w14:paraId="7B4A4DF2"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8. Please provide workpapers presenting the calculation of the Franchise Fee and</w:t>
      </w:r>
    </w:p>
    <w:p w14:paraId="6C9D3219" w14:textId="2653C731"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Uncollectible factor for electric used in this proceeding.</w:t>
      </w:r>
    </w:p>
    <w:p w14:paraId="770D5958" w14:textId="56298E29" w:rsidR="00FE1BF6" w:rsidRDefault="00FE1BF6" w:rsidP="00FE1BF6">
      <w:pPr>
        <w:widowControl/>
        <w:autoSpaceDE w:val="0"/>
        <w:autoSpaceDN w:val="0"/>
        <w:adjustRightInd w:val="0"/>
        <w:rPr>
          <w:rFonts w:ascii="TimesNewRomanPSMT" w:hAnsi="TimesNewRomanPSMT" w:cs="TimesNewRomanPSMT"/>
          <w:sz w:val="24"/>
          <w:szCs w:val="24"/>
        </w:rPr>
      </w:pPr>
    </w:p>
    <w:p w14:paraId="2700001B" w14:textId="65DAB4E4" w:rsidR="00FE1BF6" w:rsidRDefault="00FE1BF6" w:rsidP="00FE1BF6">
      <w:pPr>
        <w:widowControl/>
        <w:autoSpaceDE w:val="0"/>
        <w:autoSpaceDN w:val="0"/>
        <w:adjustRightInd w:val="0"/>
        <w:rPr>
          <w:rFonts w:ascii="TimesNewRomanPSMT" w:hAnsi="TimesNewRomanPSMT" w:cs="TimesNewRomanPSMT"/>
          <w:b/>
          <w:bCs/>
          <w:sz w:val="24"/>
          <w:szCs w:val="24"/>
        </w:rPr>
      </w:pPr>
      <w:r w:rsidRPr="00FE1BF6">
        <w:rPr>
          <w:rFonts w:ascii="TimesNewRomanPSMT" w:hAnsi="TimesNewRomanPSMT" w:cs="TimesNewRomanPSMT"/>
          <w:b/>
          <w:bCs/>
          <w:sz w:val="24"/>
          <w:szCs w:val="24"/>
        </w:rPr>
        <w:t>SDG&amp;E Response:</w:t>
      </w:r>
    </w:p>
    <w:p w14:paraId="125A7CC0" w14:textId="34709722" w:rsidR="00B2534D" w:rsidRDefault="00B2534D" w:rsidP="00FE1BF6">
      <w:pPr>
        <w:widowControl/>
        <w:autoSpaceDE w:val="0"/>
        <w:autoSpaceDN w:val="0"/>
        <w:adjustRightInd w:val="0"/>
        <w:rPr>
          <w:rFonts w:ascii="TimesNewRomanPSMT" w:hAnsi="TimesNewRomanPSMT" w:cs="TimesNewRomanPSMT"/>
          <w:b/>
          <w:bCs/>
          <w:sz w:val="24"/>
          <w:szCs w:val="24"/>
        </w:rPr>
      </w:pPr>
    </w:p>
    <w:p w14:paraId="108BD549" w14:textId="5AEA71C9" w:rsidR="00B2534D" w:rsidRPr="004D08A9" w:rsidRDefault="00B2534D" w:rsidP="00B2534D">
      <w:pPr>
        <w:spacing w:line="254" w:lineRule="auto"/>
        <w:rPr>
          <w:rFonts w:ascii="Times New Roman" w:hAnsi="Times New Roman" w:cs="Times New Roman"/>
          <w:sz w:val="24"/>
          <w:szCs w:val="24"/>
        </w:rPr>
      </w:pPr>
      <w:r w:rsidRPr="004D08A9">
        <w:rPr>
          <w:rFonts w:ascii="Times New Roman" w:hAnsi="Times New Roman" w:cs="Times New Roman"/>
          <w:sz w:val="24"/>
          <w:szCs w:val="24"/>
        </w:rPr>
        <w:t>SDG&amp;E objects to this request to the extent it seeks information regarding matters that are not relevant to and are not within the scope of</w:t>
      </w:r>
      <w:r>
        <w:rPr>
          <w:rFonts w:ascii="Times New Roman" w:hAnsi="Times New Roman" w:cs="Times New Roman"/>
          <w:sz w:val="24"/>
          <w:szCs w:val="24"/>
        </w:rPr>
        <w:t xml:space="preserve"> </w:t>
      </w:r>
      <w:r w:rsidRPr="004D08A9">
        <w:rPr>
          <w:rFonts w:ascii="Times New Roman" w:hAnsi="Times New Roman" w:cs="Times New Roman"/>
          <w:sz w:val="24"/>
          <w:szCs w:val="24"/>
        </w:rPr>
        <w:t xml:space="preserve">the proceeding.  </w:t>
      </w:r>
    </w:p>
    <w:p w14:paraId="3B1C75CD" w14:textId="77777777" w:rsidR="00B2534D" w:rsidRDefault="00B2534D" w:rsidP="00B2534D">
      <w:pPr>
        <w:spacing w:line="254" w:lineRule="auto"/>
        <w:rPr>
          <w:rFonts w:ascii="Times New Roman" w:hAnsi="Times New Roman" w:cs="Times New Roman"/>
          <w:sz w:val="24"/>
          <w:szCs w:val="24"/>
        </w:rPr>
      </w:pPr>
    </w:p>
    <w:p w14:paraId="1A347A3E" w14:textId="03634026" w:rsidR="00B2534D" w:rsidRPr="004D08A9" w:rsidRDefault="00B2534D" w:rsidP="00B2534D">
      <w:pPr>
        <w:spacing w:line="254" w:lineRule="auto"/>
        <w:rPr>
          <w:rFonts w:ascii="Times New Roman" w:hAnsi="Times New Roman" w:cs="Times New Roman"/>
          <w:sz w:val="24"/>
          <w:szCs w:val="24"/>
        </w:rPr>
      </w:pPr>
      <w:r w:rsidRPr="004D08A9">
        <w:rPr>
          <w:rFonts w:ascii="Times New Roman" w:hAnsi="Times New Roman" w:cs="Times New Roman"/>
          <w:sz w:val="24"/>
          <w:szCs w:val="24"/>
        </w:rPr>
        <w:t xml:space="preserve">Subject to and without waiving the foregoing objections, SDG&amp;E responds as follows:  </w:t>
      </w:r>
      <w:r>
        <w:rPr>
          <w:rFonts w:ascii="Times New Roman" w:hAnsi="Times New Roman" w:cs="Times New Roman"/>
          <w:sz w:val="24"/>
          <w:szCs w:val="24"/>
        </w:rPr>
        <w:t xml:space="preserve">Please see the </w:t>
      </w:r>
      <w:r>
        <w:rPr>
          <w:rFonts w:ascii="Times New Roman" w:hAnsi="Times New Roman" w:cs="Times New Roman"/>
          <w:sz w:val="24"/>
          <w:szCs w:val="24"/>
        </w:rPr>
        <w:lastRenderedPageBreak/>
        <w:t>embedded workpapers from SDG&amp;E’s GRC Phase 1.</w:t>
      </w:r>
      <w:r w:rsidR="4712D9F1" w:rsidRPr="16CBFF26">
        <w:rPr>
          <w:rFonts w:ascii="Times New Roman" w:hAnsi="Times New Roman" w:cs="Times New Roman"/>
          <w:sz w:val="24"/>
          <w:szCs w:val="24"/>
        </w:rPr>
        <w:t xml:space="preserve">  See Exhibits SDG&amp;E-35-2R, Section V</w:t>
      </w:r>
      <w:r w:rsidR="7A035415" w:rsidRPr="16CBFF26">
        <w:rPr>
          <w:rFonts w:ascii="Times New Roman" w:hAnsi="Times New Roman" w:cs="Times New Roman"/>
          <w:sz w:val="24"/>
          <w:szCs w:val="24"/>
        </w:rPr>
        <w:t>;</w:t>
      </w:r>
      <w:r w:rsidR="4712D9F1" w:rsidRPr="16CBFF26">
        <w:rPr>
          <w:rFonts w:ascii="Times New Roman" w:hAnsi="Times New Roman" w:cs="Times New Roman"/>
          <w:sz w:val="24"/>
          <w:szCs w:val="24"/>
        </w:rPr>
        <w:t xml:space="preserve"> SDG&amp;E-35-WP-2R, p. 26-27</w:t>
      </w:r>
      <w:r w:rsidR="10DE7AA0" w:rsidRPr="16CBFF26">
        <w:rPr>
          <w:rFonts w:ascii="Times New Roman" w:hAnsi="Times New Roman" w:cs="Times New Roman"/>
          <w:sz w:val="24"/>
          <w:szCs w:val="24"/>
        </w:rPr>
        <w:t xml:space="preserve"> and Exhibit SDG&amp;E-18, Section IV.</w:t>
      </w:r>
    </w:p>
    <w:p w14:paraId="5E62D4D5" w14:textId="77777777" w:rsidR="00B2534D" w:rsidRPr="00FE1BF6" w:rsidRDefault="00B2534D" w:rsidP="00FE1BF6">
      <w:pPr>
        <w:widowControl/>
        <w:autoSpaceDE w:val="0"/>
        <w:autoSpaceDN w:val="0"/>
        <w:adjustRightInd w:val="0"/>
        <w:rPr>
          <w:rFonts w:ascii="TimesNewRomanPSMT" w:hAnsi="TimesNewRomanPSMT" w:cs="TimesNewRomanPSMT"/>
          <w:b/>
          <w:bCs/>
          <w:sz w:val="24"/>
          <w:szCs w:val="24"/>
        </w:rPr>
      </w:pPr>
    </w:p>
    <w:p w14:paraId="133FAB37" w14:textId="068A6434" w:rsidR="00FE1BF6" w:rsidRDefault="00157531" w:rsidP="00FE1BF6">
      <w:pPr>
        <w:widowControl/>
        <w:autoSpaceDE w:val="0"/>
        <w:autoSpaceDN w:val="0"/>
        <w:adjustRightInd w:val="0"/>
        <w:rPr>
          <w:rFonts w:ascii="TimesNewRomanPSMT" w:hAnsi="TimesNewRomanPSMT" w:cs="TimesNewRomanPSMT"/>
          <w:sz w:val="24"/>
          <w:szCs w:val="24"/>
        </w:rPr>
      </w:pPr>
      <w:r>
        <w:rPr>
          <w:rFonts w:ascii="Times New Roman" w:hAnsi="Times New Roman" w:cs="Times New Roman"/>
          <w:sz w:val="24"/>
          <w:szCs w:val="24"/>
        </w:rPr>
        <w:object w:dxaOrig="1542" w:dyaOrig="999" w14:anchorId="75BE4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Acrobat.Document.11" ShapeID="_x0000_i1025" DrawAspect="Icon" ObjectID="_1651675571" r:id="rId12"/>
        </w:object>
      </w:r>
      <w:r w:rsidR="0090143F">
        <w:rPr>
          <w:rFonts w:ascii="Times New Roman" w:hAnsi="Times New Roman" w:cs="Times New Roman"/>
          <w:sz w:val="24"/>
          <w:szCs w:val="24"/>
        </w:rPr>
        <w:t xml:space="preserve"> </w:t>
      </w:r>
      <w:r w:rsidR="00D17D61">
        <w:rPr>
          <w:rFonts w:ascii="Times New Roman" w:hAnsi="Times New Roman" w:cs="Times New Roman"/>
          <w:sz w:val="24"/>
          <w:szCs w:val="24"/>
        </w:rPr>
        <w:object w:dxaOrig="1542" w:dyaOrig="999" w14:anchorId="734DA06D">
          <v:shape id="_x0000_i1026" type="#_x0000_t75" style="width:77.25pt;height:50.25pt" o:ole="">
            <v:imagedata r:id="rId13" o:title=""/>
          </v:shape>
          <o:OLEObject Type="Embed" ProgID="Acrobat.Document.11" ShapeID="_x0000_i1026" DrawAspect="Icon" ObjectID="_1651675572" r:id="rId14"/>
        </w:object>
      </w:r>
      <w:r w:rsidR="0090143F">
        <w:rPr>
          <w:rFonts w:ascii="Times New Roman" w:hAnsi="Times New Roman" w:cs="Times New Roman"/>
          <w:sz w:val="24"/>
          <w:szCs w:val="24"/>
        </w:rPr>
        <w:t xml:space="preserve"> </w:t>
      </w:r>
      <w:r w:rsidR="00A44162">
        <w:rPr>
          <w:rFonts w:ascii="Times New Roman" w:hAnsi="Times New Roman" w:cs="Times New Roman"/>
          <w:sz w:val="24"/>
          <w:szCs w:val="24"/>
        </w:rPr>
        <w:t xml:space="preserve">  </w:t>
      </w:r>
      <w:r w:rsidR="00D17D61">
        <w:rPr>
          <w:rFonts w:ascii="Times New Roman" w:hAnsi="Times New Roman" w:cs="Times New Roman"/>
          <w:sz w:val="24"/>
          <w:szCs w:val="24"/>
        </w:rPr>
        <w:object w:dxaOrig="1542" w:dyaOrig="999" w14:anchorId="575B173D">
          <v:shape id="_x0000_i1027" type="#_x0000_t75" style="width:77.25pt;height:50.25pt" o:ole="">
            <v:imagedata r:id="rId15" o:title=""/>
          </v:shape>
          <o:OLEObject Type="Embed" ProgID="Acrobat.Document.11" ShapeID="_x0000_i1027" DrawAspect="Icon" ObjectID="_1651675573" r:id="rId16"/>
        </w:object>
      </w:r>
    </w:p>
    <w:p w14:paraId="25CFDCE9" w14:textId="5E9D1B9F" w:rsidR="16CBFF26" w:rsidRDefault="16CBFF26" w:rsidP="16CBFF26">
      <w:pPr>
        <w:rPr>
          <w:rFonts w:ascii="TimesNewRomanPSMT" w:hAnsi="TimesNewRomanPSMT" w:cs="TimesNewRomanPSMT"/>
          <w:sz w:val="24"/>
          <w:szCs w:val="24"/>
        </w:rPr>
      </w:pPr>
    </w:p>
    <w:p w14:paraId="425737AF" w14:textId="77777777" w:rsidR="00FE1BF6" w:rsidRDefault="00FE1BF6" w:rsidP="00FE1BF6">
      <w:pPr>
        <w:widowControl/>
        <w:autoSpaceDE w:val="0"/>
        <w:autoSpaceDN w:val="0"/>
        <w:adjustRightInd w:val="0"/>
        <w:rPr>
          <w:rFonts w:ascii="TimesNewRomanPSMT" w:hAnsi="TimesNewRomanPSMT" w:cs="TimesNewRomanPSMT"/>
          <w:sz w:val="24"/>
          <w:szCs w:val="24"/>
        </w:rPr>
      </w:pPr>
    </w:p>
    <w:p w14:paraId="6597EC94"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9. Please provide workpapers presenting the calculation of the Franchise Fee Factor for</w:t>
      </w:r>
    </w:p>
    <w:p w14:paraId="105BE194"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electric of 3.4668% that SDG&amp;E proposed in A.17-10-007 (i.e., SDG&amp;E’s GRC Phase 1</w:t>
      </w:r>
    </w:p>
    <w:p w14:paraId="2FE9AF40" w14:textId="4610C2E1"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application).</w:t>
      </w:r>
    </w:p>
    <w:p w14:paraId="0C111EFD" w14:textId="07DE7CF2" w:rsidR="00FE1BF6" w:rsidRDefault="00FE1BF6" w:rsidP="00FE1BF6">
      <w:pPr>
        <w:widowControl/>
        <w:autoSpaceDE w:val="0"/>
        <w:autoSpaceDN w:val="0"/>
        <w:adjustRightInd w:val="0"/>
        <w:rPr>
          <w:rFonts w:ascii="TimesNewRomanPSMT" w:hAnsi="TimesNewRomanPSMT" w:cs="TimesNewRomanPSMT"/>
          <w:sz w:val="24"/>
          <w:szCs w:val="24"/>
        </w:rPr>
      </w:pPr>
    </w:p>
    <w:p w14:paraId="3FB4EDA9" w14:textId="35BCE805" w:rsidR="00FE1BF6" w:rsidRDefault="00FE1BF6" w:rsidP="00FE1BF6">
      <w:pPr>
        <w:widowControl/>
        <w:autoSpaceDE w:val="0"/>
        <w:autoSpaceDN w:val="0"/>
        <w:adjustRightInd w:val="0"/>
        <w:rPr>
          <w:rFonts w:ascii="TimesNewRomanPSMT" w:hAnsi="TimesNewRomanPSMT" w:cs="TimesNewRomanPSMT"/>
          <w:b/>
          <w:bCs/>
          <w:sz w:val="24"/>
          <w:szCs w:val="24"/>
        </w:rPr>
      </w:pPr>
      <w:r w:rsidRPr="00FE1BF6">
        <w:rPr>
          <w:rFonts w:ascii="TimesNewRomanPSMT" w:hAnsi="TimesNewRomanPSMT" w:cs="TimesNewRomanPSMT"/>
          <w:b/>
          <w:bCs/>
          <w:sz w:val="24"/>
          <w:szCs w:val="24"/>
        </w:rPr>
        <w:t>SDG&amp;E Response:</w:t>
      </w:r>
    </w:p>
    <w:p w14:paraId="2B1DD55E" w14:textId="328F50EA" w:rsidR="00B2534D" w:rsidRDefault="00B2534D" w:rsidP="00FE1BF6">
      <w:pPr>
        <w:widowControl/>
        <w:autoSpaceDE w:val="0"/>
        <w:autoSpaceDN w:val="0"/>
        <w:adjustRightInd w:val="0"/>
        <w:rPr>
          <w:rFonts w:ascii="TimesNewRomanPSMT" w:hAnsi="TimesNewRomanPSMT" w:cs="TimesNewRomanPSMT"/>
          <w:b/>
          <w:bCs/>
          <w:sz w:val="24"/>
          <w:szCs w:val="24"/>
        </w:rPr>
      </w:pPr>
    </w:p>
    <w:p w14:paraId="46A282A1" w14:textId="7220383C" w:rsidR="00B2534D" w:rsidRPr="004D08A9" w:rsidRDefault="00B2534D" w:rsidP="00B2534D">
      <w:pPr>
        <w:spacing w:line="254" w:lineRule="auto"/>
        <w:rPr>
          <w:rFonts w:ascii="Times New Roman" w:hAnsi="Times New Roman" w:cs="Times New Roman"/>
          <w:sz w:val="24"/>
          <w:szCs w:val="24"/>
        </w:rPr>
      </w:pPr>
      <w:r w:rsidRPr="004D08A9">
        <w:rPr>
          <w:rFonts w:ascii="Times New Roman" w:hAnsi="Times New Roman" w:cs="Times New Roman"/>
          <w:sz w:val="24"/>
          <w:szCs w:val="24"/>
        </w:rPr>
        <w:t>SDG&amp;E objects to this request to the extent it seeks information regarding matters that are not relevant to and are not within the scope of</w:t>
      </w:r>
      <w:r>
        <w:rPr>
          <w:rFonts w:ascii="Times New Roman" w:hAnsi="Times New Roman" w:cs="Times New Roman"/>
          <w:sz w:val="24"/>
          <w:szCs w:val="24"/>
        </w:rPr>
        <w:t xml:space="preserve"> </w:t>
      </w:r>
      <w:r w:rsidRPr="004D08A9">
        <w:rPr>
          <w:rFonts w:ascii="Times New Roman" w:hAnsi="Times New Roman" w:cs="Times New Roman"/>
          <w:sz w:val="24"/>
          <w:szCs w:val="24"/>
        </w:rPr>
        <w:t xml:space="preserve">the proceeding.  </w:t>
      </w:r>
    </w:p>
    <w:p w14:paraId="637A2856" w14:textId="77777777" w:rsidR="00B2534D" w:rsidRDefault="00B2534D" w:rsidP="00B2534D">
      <w:pPr>
        <w:spacing w:line="254" w:lineRule="auto"/>
        <w:rPr>
          <w:rFonts w:ascii="Times New Roman" w:hAnsi="Times New Roman" w:cs="Times New Roman"/>
          <w:sz w:val="24"/>
          <w:szCs w:val="24"/>
        </w:rPr>
      </w:pPr>
      <w:r>
        <w:rPr>
          <w:rFonts w:ascii="Times New Roman" w:hAnsi="Times New Roman" w:cs="Times New Roman"/>
          <w:sz w:val="24"/>
          <w:szCs w:val="24"/>
        </w:rPr>
        <w:tab/>
      </w:r>
    </w:p>
    <w:p w14:paraId="60BD7FAD" w14:textId="77847B18" w:rsidR="00CE76A9" w:rsidRDefault="00B2534D" w:rsidP="00CE76A9">
      <w:pPr>
        <w:rPr>
          <w:rFonts w:ascii="Times New Roman" w:hAnsi="Times New Roman" w:cs="Times New Roman"/>
          <w:sz w:val="24"/>
          <w:szCs w:val="24"/>
        </w:rPr>
      </w:pPr>
      <w:r w:rsidRPr="004D08A9">
        <w:rPr>
          <w:rFonts w:ascii="Times New Roman" w:hAnsi="Times New Roman" w:cs="Times New Roman"/>
          <w:sz w:val="24"/>
          <w:szCs w:val="24"/>
        </w:rPr>
        <w:t xml:space="preserve">Subject to and without waiving the foregoing objections, SDG&amp;E responds as follows: </w:t>
      </w:r>
      <w:r>
        <w:rPr>
          <w:rFonts w:ascii="Times New Roman" w:hAnsi="Times New Roman" w:cs="Times New Roman"/>
          <w:sz w:val="24"/>
          <w:szCs w:val="24"/>
        </w:rPr>
        <w:t>Please see the embedded workpapers from SDG&amp;E’s GRC Phase 1.</w:t>
      </w:r>
      <w:r w:rsidRPr="004D08A9">
        <w:rPr>
          <w:rFonts w:ascii="Times New Roman" w:hAnsi="Times New Roman" w:cs="Times New Roman"/>
          <w:sz w:val="24"/>
          <w:szCs w:val="24"/>
        </w:rPr>
        <w:t xml:space="preserve"> </w:t>
      </w:r>
      <w:r w:rsidR="00CE76A9">
        <w:rPr>
          <w:rFonts w:ascii="Times New Roman" w:hAnsi="Times New Roman" w:cs="Times New Roman"/>
          <w:sz w:val="24"/>
          <w:szCs w:val="24"/>
        </w:rPr>
        <w:t xml:space="preserve">See </w:t>
      </w:r>
      <w:r w:rsidR="00CE76A9" w:rsidRPr="00CE76A9">
        <w:rPr>
          <w:rFonts w:ascii="Times New Roman" w:hAnsi="Times New Roman" w:cs="Times New Roman"/>
          <w:sz w:val="24"/>
          <w:szCs w:val="24"/>
        </w:rPr>
        <w:t>Exhibits SDG&amp;E-35-2R, Section V, and SDG&amp;E-35-WP-2R, p. 26-27</w:t>
      </w:r>
      <w:r w:rsidR="00CE76A9">
        <w:rPr>
          <w:rFonts w:ascii="Times New Roman" w:hAnsi="Times New Roman" w:cs="Times New Roman"/>
          <w:sz w:val="24"/>
          <w:szCs w:val="24"/>
        </w:rPr>
        <w:t>.</w:t>
      </w:r>
    </w:p>
    <w:p w14:paraId="30735050" w14:textId="52DCEBFF" w:rsidR="00CE76A9" w:rsidRDefault="00CE76A9" w:rsidP="00CE76A9">
      <w:pPr>
        <w:rPr>
          <w:rFonts w:ascii="Times New Roman" w:hAnsi="Times New Roman" w:cs="Times New Roman"/>
          <w:sz w:val="24"/>
          <w:szCs w:val="24"/>
        </w:rPr>
      </w:pPr>
    </w:p>
    <w:p w14:paraId="005674CD" w14:textId="58ED46CB" w:rsidR="00CE76A9" w:rsidRPr="00CE76A9" w:rsidRDefault="00D17D61" w:rsidP="00CE76A9">
      <w:pPr>
        <w:rPr>
          <w:rFonts w:ascii="Times New Roman" w:hAnsi="Times New Roman" w:cs="Times New Roman"/>
          <w:sz w:val="24"/>
          <w:szCs w:val="24"/>
        </w:rPr>
      </w:pPr>
      <w:r>
        <w:rPr>
          <w:rFonts w:ascii="Times New Roman" w:hAnsi="Times New Roman" w:cs="Times New Roman"/>
          <w:sz w:val="24"/>
          <w:szCs w:val="24"/>
        </w:rPr>
        <w:object w:dxaOrig="1542" w:dyaOrig="999" w14:anchorId="1EAA0C76">
          <v:shape id="_x0000_i1028" type="#_x0000_t75" style="width:77.25pt;height:50.25pt" o:ole="">
            <v:imagedata r:id="rId13" o:title=""/>
          </v:shape>
          <o:OLEObject Type="Embed" ProgID="Acrobat.Document.11" ShapeID="_x0000_i1028" DrawAspect="Icon" ObjectID="_1651675574" r:id="rId17"/>
        </w:object>
      </w:r>
      <w:r w:rsidR="00CE76A9">
        <w:rPr>
          <w:rFonts w:ascii="Times New Roman" w:hAnsi="Times New Roman" w:cs="Times New Roman"/>
          <w:sz w:val="24"/>
          <w:szCs w:val="24"/>
        </w:rPr>
        <w:tab/>
      </w:r>
      <w:r w:rsidR="00CE76A9">
        <w:rPr>
          <w:rFonts w:ascii="Times New Roman" w:hAnsi="Times New Roman" w:cs="Times New Roman"/>
          <w:sz w:val="24"/>
          <w:szCs w:val="24"/>
        </w:rPr>
        <w:tab/>
      </w:r>
      <w:r w:rsidR="003557E6">
        <w:rPr>
          <w:rFonts w:ascii="Times New Roman" w:hAnsi="Times New Roman" w:cs="Times New Roman"/>
          <w:sz w:val="24"/>
          <w:szCs w:val="24"/>
        </w:rPr>
        <w:object w:dxaOrig="1542" w:dyaOrig="999" w14:anchorId="42244AA4">
          <v:shape id="_x0000_i1029" type="#_x0000_t75" style="width:77.25pt;height:50.25pt" o:ole="">
            <v:imagedata r:id="rId11" o:title=""/>
          </v:shape>
          <o:OLEObject Type="Embed" ProgID="Acrobat.Document.11" ShapeID="_x0000_i1029" DrawAspect="Icon" ObjectID="_1651675575" r:id="rId18"/>
        </w:object>
      </w:r>
    </w:p>
    <w:p w14:paraId="606A60E1" w14:textId="5FF9966D" w:rsidR="00B2534D" w:rsidRPr="004D08A9" w:rsidRDefault="00B2534D" w:rsidP="00B2534D">
      <w:pPr>
        <w:spacing w:line="254" w:lineRule="auto"/>
        <w:rPr>
          <w:rFonts w:ascii="Times New Roman" w:hAnsi="Times New Roman" w:cs="Times New Roman"/>
          <w:sz w:val="24"/>
          <w:szCs w:val="24"/>
        </w:rPr>
      </w:pPr>
    </w:p>
    <w:p w14:paraId="2721332C" w14:textId="77777777" w:rsidR="00FE1BF6" w:rsidRDefault="00FE1BF6" w:rsidP="00FE1BF6">
      <w:pPr>
        <w:widowControl/>
        <w:autoSpaceDE w:val="0"/>
        <w:autoSpaceDN w:val="0"/>
        <w:adjustRightInd w:val="0"/>
        <w:rPr>
          <w:rFonts w:ascii="TimesNewRomanPSMT" w:hAnsi="TimesNewRomanPSMT" w:cs="TimesNewRomanPSMT"/>
          <w:sz w:val="24"/>
          <w:szCs w:val="24"/>
        </w:rPr>
      </w:pPr>
    </w:p>
    <w:p w14:paraId="32F504D7"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10. For each year 2014 to 2018 inclusive, please state the average aggregate of franchise,</w:t>
      </w:r>
    </w:p>
    <w:p w14:paraId="7F21F03C" w14:textId="29AE959F"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general business license, or special taxes (including without limitation thereto, Utility</w:t>
      </w:r>
      <w:r w:rsidR="008E784C">
        <w:rPr>
          <w:rFonts w:ascii="TimesNewRomanPSMT" w:hAnsi="TimesNewRomanPSMT" w:cs="TimesNewRomanPSMT"/>
          <w:sz w:val="24"/>
          <w:szCs w:val="24"/>
        </w:rPr>
        <w:t xml:space="preserve"> </w:t>
      </w:r>
      <w:r>
        <w:rPr>
          <w:rFonts w:ascii="TimesNewRomanPSMT" w:hAnsi="TimesNewRomanPSMT" w:cs="TimesNewRomanPSMT"/>
          <w:sz w:val="24"/>
          <w:szCs w:val="24"/>
        </w:rPr>
        <w:t>Users Taxes) and/or fees placed upon SDG&amp;E by local governmental entities including</w:t>
      </w:r>
    </w:p>
    <w:p w14:paraId="540A34E4" w14:textId="29AEABE9"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the City of San Diego.</w:t>
      </w:r>
    </w:p>
    <w:p w14:paraId="2D05D77F" w14:textId="5428F269" w:rsidR="008E784C" w:rsidRDefault="008E784C" w:rsidP="00FE1BF6">
      <w:pPr>
        <w:widowControl/>
        <w:autoSpaceDE w:val="0"/>
        <w:autoSpaceDN w:val="0"/>
        <w:adjustRightInd w:val="0"/>
        <w:rPr>
          <w:rFonts w:ascii="TimesNewRomanPSMT" w:hAnsi="TimesNewRomanPSMT" w:cs="TimesNewRomanPSMT"/>
          <w:sz w:val="24"/>
          <w:szCs w:val="24"/>
        </w:rPr>
      </w:pPr>
    </w:p>
    <w:p w14:paraId="393CCDC6" w14:textId="0E9E2E2F" w:rsidR="008E784C" w:rsidRDefault="008E784C" w:rsidP="008E784C">
      <w:pPr>
        <w:widowControl/>
        <w:autoSpaceDE w:val="0"/>
        <w:autoSpaceDN w:val="0"/>
        <w:adjustRightInd w:val="0"/>
        <w:rPr>
          <w:rFonts w:ascii="TimesNewRomanPSMT" w:hAnsi="TimesNewRomanPSMT" w:cs="TimesNewRomanPSMT"/>
          <w:b/>
          <w:bCs/>
          <w:sz w:val="24"/>
          <w:szCs w:val="24"/>
        </w:rPr>
      </w:pPr>
      <w:r w:rsidRPr="00FE1BF6">
        <w:rPr>
          <w:rFonts w:ascii="TimesNewRomanPSMT" w:hAnsi="TimesNewRomanPSMT" w:cs="TimesNewRomanPSMT"/>
          <w:b/>
          <w:bCs/>
          <w:sz w:val="24"/>
          <w:szCs w:val="24"/>
        </w:rPr>
        <w:t>SDG&amp;E Response:</w:t>
      </w:r>
    </w:p>
    <w:p w14:paraId="655E8CC0" w14:textId="6CCFEBC1" w:rsidR="007B0548" w:rsidRDefault="007B0548" w:rsidP="008E784C">
      <w:pPr>
        <w:widowControl/>
        <w:autoSpaceDE w:val="0"/>
        <w:autoSpaceDN w:val="0"/>
        <w:adjustRightInd w:val="0"/>
        <w:rPr>
          <w:rFonts w:ascii="TimesNewRomanPSMT" w:hAnsi="TimesNewRomanPSMT" w:cs="TimesNewRomanPSMT"/>
          <w:b/>
          <w:bCs/>
          <w:sz w:val="24"/>
          <w:szCs w:val="24"/>
        </w:rPr>
      </w:pPr>
    </w:p>
    <w:p w14:paraId="724BEB85" w14:textId="63742C8A" w:rsidR="007B0548" w:rsidRPr="004D08A9" w:rsidRDefault="007B0548" w:rsidP="007B0548">
      <w:pPr>
        <w:spacing w:line="254" w:lineRule="auto"/>
        <w:rPr>
          <w:rFonts w:ascii="Times New Roman" w:hAnsi="Times New Roman" w:cs="Times New Roman"/>
          <w:sz w:val="24"/>
          <w:szCs w:val="24"/>
        </w:rPr>
      </w:pPr>
      <w:r w:rsidRPr="004D08A9">
        <w:rPr>
          <w:rFonts w:ascii="Times New Roman" w:hAnsi="Times New Roman" w:cs="Times New Roman"/>
          <w:sz w:val="24"/>
          <w:szCs w:val="24"/>
        </w:rPr>
        <w:t xml:space="preserve">SDG&amp;E objects to this request </w:t>
      </w:r>
      <w:r w:rsidR="008F6D58" w:rsidRPr="008F6D58">
        <w:rPr>
          <w:rFonts w:ascii="Times New Roman" w:hAnsi="Times New Roman" w:cs="Times New Roman"/>
          <w:sz w:val="24"/>
          <w:szCs w:val="24"/>
        </w:rPr>
        <w:t xml:space="preserve">pursuant to Rule 10.1 of the Commission’s Rules of Practice and Procedure, </w:t>
      </w:r>
      <w:r w:rsidR="008F6D58">
        <w:rPr>
          <w:rFonts w:ascii="Times New Roman" w:hAnsi="Times New Roman" w:cs="Times New Roman"/>
          <w:sz w:val="24"/>
          <w:szCs w:val="24"/>
        </w:rPr>
        <w:t xml:space="preserve">on the grounds that </w:t>
      </w:r>
      <w:r w:rsidRPr="004D08A9">
        <w:rPr>
          <w:rFonts w:ascii="Times New Roman" w:hAnsi="Times New Roman" w:cs="Times New Roman"/>
          <w:sz w:val="24"/>
          <w:szCs w:val="24"/>
        </w:rPr>
        <w:t>it seeks information regarding matters that are not relevant to and are not within the scope of</w:t>
      </w:r>
      <w:r>
        <w:rPr>
          <w:rFonts w:ascii="Times New Roman" w:hAnsi="Times New Roman" w:cs="Times New Roman"/>
          <w:sz w:val="24"/>
          <w:szCs w:val="24"/>
        </w:rPr>
        <w:t xml:space="preserve"> </w:t>
      </w:r>
      <w:r w:rsidRPr="004D08A9">
        <w:rPr>
          <w:rFonts w:ascii="Times New Roman" w:hAnsi="Times New Roman" w:cs="Times New Roman"/>
          <w:sz w:val="24"/>
          <w:szCs w:val="24"/>
        </w:rPr>
        <w:t>the proceeding</w:t>
      </w:r>
      <w:r w:rsidR="006536D3">
        <w:rPr>
          <w:rFonts w:ascii="Times New Roman" w:hAnsi="Times New Roman" w:cs="Times New Roman"/>
          <w:sz w:val="24"/>
          <w:szCs w:val="24"/>
        </w:rPr>
        <w:t xml:space="preserve"> and on grounds that </w:t>
      </w:r>
      <w:r w:rsidR="006536D3" w:rsidRPr="006536D3">
        <w:rPr>
          <w:rFonts w:ascii="Times New Roman" w:hAnsi="Times New Roman" w:cs="Times New Roman"/>
          <w:sz w:val="24"/>
          <w:szCs w:val="24"/>
        </w:rPr>
        <w:t>the burden, expense and intrusiveness of this request clearly outweigh the likelihood that the information sought will lead to the discovery of admissible evidence</w:t>
      </w:r>
      <w:r w:rsidRPr="004D08A9">
        <w:rPr>
          <w:rFonts w:ascii="Times New Roman" w:hAnsi="Times New Roman" w:cs="Times New Roman"/>
          <w:sz w:val="24"/>
          <w:szCs w:val="24"/>
        </w:rPr>
        <w:t xml:space="preserve">.  </w:t>
      </w:r>
    </w:p>
    <w:p w14:paraId="7F942B3E" w14:textId="77777777" w:rsidR="007B0548" w:rsidRDefault="007B0548" w:rsidP="008E784C">
      <w:pPr>
        <w:widowControl/>
        <w:autoSpaceDE w:val="0"/>
        <w:autoSpaceDN w:val="0"/>
        <w:adjustRightInd w:val="0"/>
        <w:rPr>
          <w:rFonts w:ascii="TimesNewRomanPSMT" w:hAnsi="TimesNewRomanPSMT" w:cs="TimesNewRomanPSMT"/>
          <w:b/>
          <w:bCs/>
          <w:sz w:val="24"/>
          <w:szCs w:val="24"/>
        </w:rPr>
      </w:pPr>
    </w:p>
    <w:p w14:paraId="69A34FE4" w14:textId="77777777" w:rsidR="008E784C" w:rsidRDefault="008E784C" w:rsidP="00FE1BF6">
      <w:pPr>
        <w:widowControl/>
        <w:autoSpaceDE w:val="0"/>
        <w:autoSpaceDN w:val="0"/>
        <w:adjustRightInd w:val="0"/>
        <w:rPr>
          <w:rFonts w:ascii="TimesNewRomanPSMT" w:hAnsi="TimesNewRomanPSMT" w:cs="TimesNewRomanPSMT"/>
          <w:sz w:val="24"/>
          <w:szCs w:val="24"/>
        </w:rPr>
      </w:pPr>
    </w:p>
    <w:p w14:paraId="269BFBDA"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11. For each year 2014 to 2018 inclusive, please state the average aggregate of franchise,</w:t>
      </w:r>
    </w:p>
    <w:p w14:paraId="491998AF"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general business license, or special taxes (including, without limitation thereto, Utility</w:t>
      </w:r>
    </w:p>
    <w:p w14:paraId="76035E24"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Users Taxes) and/or fees placed upon SDG&amp;E by local governmental entities excluding</w:t>
      </w:r>
    </w:p>
    <w:p w14:paraId="7A3F92D8" w14:textId="6CAEE6A4"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lastRenderedPageBreak/>
        <w:t>the City of San Diego.</w:t>
      </w:r>
    </w:p>
    <w:p w14:paraId="0CD306E2" w14:textId="16BBD5C2" w:rsidR="008E784C" w:rsidRDefault="008E784C" w:rsidP="00FE1BF6">
      <w:pPr>
        <w:widowControl/>
        <w:autoSpaceDE w:val="0"/>
        <w:autoSpaceDN w:val="0"/>
        <w:adjustRightInd w:val="0"/>
        <w:rPr>
          <w:rFonts w:ascii="TimesNewRomanPSMT" w:hAnsi="TimesNewRomanPSMT" w:cs="TimesNewRomanPSMT"/>
          <w:sz w:val="24"/>
          <w:szCs w:val="24"/>
        </w:rPr>
      </w:pPr>
    </w:p>
    <w:p w14:paraId="002947C1" w14:textId="77777777" w:rsidR="008E784C" w:rsidRPr="00FE1BF6" w:rsidRDefault="008E784C" w:rsidP="008E784C">
      <w:pPr>
        <w:widowControl/>
        <w:autoSpaceDE w:val="0"/>
        <w:autoSpaceDN w:val="0"/>
        <w:adjustRightInd w:val="0"/>
        <w:rPr>
          <w:rFonts w:ascii="TimesNewRomanPSMT" w:hAnsi="TimesNewRomanPSMT" w:cs="TimesNewRomanPSMT"/>
          <w:b/>
          <w:bCs/>
          <w:sz w:val="24"/>
          <w:szCs w:val="24"/>
        </w:rPr>
      </w:pPr>
      <w:r w:rsidRPr="00FE1BF6">
        <w:rPr>
          <w:rFonts w:ascii="TimesNewRomanPSMT" w:hAnsi="TimesNewRomanPSMT" w:cs="TimesNewRomanPSMT"/>
          <w:b/>
          <w:bCs/>
          <w:sz w:val="24"/>
          <w:szCs w:val="24"/>
        </w:rPr>
        <w:t>SDG&amp;E Response:</w:t>
      </w:r>
    </w:p>
    <w:p w14:paraId="188DA855" w14:textId="77777777" w:rsidR="007B0548" w:rsidRDefault="007B0548" w:rsidP="007B0548">
      <w:pPr>
        <w:spacing w:line="254" w:lineRule="auto"/>
        <w:rPr>
          <w:rFonts w:ascii="Times New Roman" w:hAnsi="Times New Roman" w:cs="Times New Roman"/>
          <w:sz w:val="24"/>
          <w:szCs w:val="24"/>
        </w:rPr>
      </w:pPr>
    </w:p>
    <w:p w14:paraId="27E8FFD0" w14:textId="3CBE8CAE" w:rsidR="007B0548" w:rsidRPr="004D08A9" w:rsidRDefault="007B0548" w:rsidP="007B0548">
      <w:pPr>
        <w:spacing w:line="254" w:lineRule="auto"/>
        <w:rPr>
          <w:rFonts w:ascii="Times New Roman" w:hAnsi="Times New Roman" w:cs="Times New Roman"/>
          <w:sz w:val="24"/>
          <w:szCs w:val="24"/>
        </w:rPr>
      </w:pPr>
      <w:r w:rsidRPr="004D08A9">
        <w:rPr>
          <w:rFonts w:ascii="Times New Roman" w:hAnsi="Times New Roman" w:cs="Times New Roman"/>
          <w:sz w:val="24"/>
          <w:szCs w:val="24"/>
        </w:rPr>
        <w:t>SDG&amp;E objects to this request</w:t>
      </w:r>
      <w:r w:rsidR="000D7002">
        <w:rPr>
          <w:rFonts w:ascii="Times New Roman" w:hAnsi="Times New Roman" w:cs="Times New Roman"/>
          <w:sz w:val="24"/>
          <w:szCs w:val="24"/>
        </w:rPr>
        <w:t xml:space="preserve"> </w:t>
      </w:r>
      <w:r w:rsidR="000D7002" w:rsidRPr="000D7002">
        <w:rPr>
          <w:rFonts w:ascii="Times New Roman" w:hAnsi="Times New Roman" w:cs="Times New Roman"/>
          <w:sz w:val="24"/>
          <w:szCs w:val="24"/>
        </w:rPr>
        <w:t xml:space="preserve">pursuant to Rule 10.1 of the Commission’s Rules of Practice and Procedure, on the grounds that </w:t>
      </w:r>
      <w:r w:rsidRPr="004D08A9">
        <w:rPr>
          <w:rFonts w:ascii="Times New Roman" w:hAnsi="Times New Roman" w:cs="Times New Roman"/>
          <w:sz w:val="24"/>
          <w:szCs w:val="24"/>
        </w:rPr>
        <w:t>it seeks information regarding matters that are not relevant to and are not within the scope of</w:t>
      </w:r>
      <w:r>
        <w:rPr>
          <w:rFonts w:ascii="Times New Roman" w:hAnsi="Times New Roman" w:cs="Times New Roman"/>
          <w:sz w:val="24"/>
          <w:szCs w:val="24"/>
        </w:rPr>
        <w:t xml:space="preserve"> </w:t>
      </w:r>
      <w:r w:rsidRPr="004D08A9">
        <w:rPr>
          <w:rFonts w:ascii="Times New Roman" w:hAnsi="Times New Roman" w:cs="Times New Roman"/>
          <w:sz w:val="24"/>
          <w:szCs w:val="24"/>
        </w:rPr>
        <w:t>the proceeding</w:t>
      </w:r>
      <w:r w:rsidR="00082A8D">
        <w:rPr>
          <w:rFonts w:ascii="Times New Roman" w:hAnsi="Times New Roman" w:cs="Times New Roman"/>
          <w:sz w:val="24"/>
          <w:szCs w:val="24"/>
        </w:rPr>
        <w:t>,</w:t>
      </w:r>
      <w:r w:rsidR="00A16983">
        <w:rPr>
          <w:rFonts w:ascii="Times New Roman" w:hAnsi="Times New Roman" w:cs="Times New Roman"/>
          <w:sz w:val="24"/>
          <w:szCs w:val="24"/>
        </w:rPr>
        <w:t xml:space="preserve"> </w:t>
      </w:r>
      <w:r w:rsidR="00082A8D">
        <w:rPr>
          <w:rFonts w:ascii="Times New Roman" w:hAnsi="Times New Roman" w:cs="Times New Roman"/>
          <w:sz w:val="24"/>
          <w:szCs w:val="24"/>
        </w:rPr>
        <w:t xml:space="preserve">and </w:t>
      </w:r>
      <w:r w:rsidR="006536D3">
        <w:rPr>
          <w:rFonts w:ascii="Times New Roman" w:hAnsi="Times New Roman" w:cs="Times New Roman"/>
          <w:sz w:val="24"/>
          <w:szCs w:val="24"/>
        </w:rPr>
        <w:t xml:space="preserve">on grounds that </w:t>
      </w:r>
      <w:r w:rsidR="00A16983" w:rsidRPr="00A16983">
        <w:rPr>
          <w:rFonts w:ascii="Times New Roman" w:hAnsi="Times New Roman" w:cs="Times New Roman"/>
          <w:sz w:val="24"/>
          <w:szCs w:val="24"/>
        </w:rPr>
        <w:t>the burden, expense and intrusiveness of this request clearly outweigh the likelihood that the information sought will lead to the discovery of admissible evidence</w:t>
      </w:r>
      <w:r w:rsidRPr="004D08A9">
        <w:rPr>
          <w:rFonts w:ascii="Times New Roman" w:hAnsi="Times New Roman" w:cs="Times New Roman"/>
          <w:sz w:val="24"/>
          <w:szCs w:val="24"/>
        </w:rPr>
        <w:t xml:space="preserve">.  </w:t>
      </w:r>
    </w:p>
    <w:p w14:paraId="1CBC5583" w14:textId="77777777" w:rsidR="008E784C" w:rsidRDefault="008E784C" w:rsidP="00FE1BF6">
      <w:pPr>
        <w:widowControl/>
        <w:autoSpaceDE w:val="0"/>
        <w:autoSpaceDN w:val="0"/>
        <w:adjustRightInd w:val="0"/>
        <w:rPr>
          <w:rFonts w:ascii="TimesNewRomanPSMT" w:hAnsi="TimesNewRomanPSMT" w:cs="TimesNewRomanPSMT"/>
          <w:sz w:val="24"/>
          <w:szCs w:val="24"/>
        </w:rPr>
      </w:pPr>
      <w:bookmarkStart w:id="0" w:name="_GoBack"/>
      <w:bookmarkEnd w:id="0"/>
    </w:p>
    <w:p w14:paraId="73F16DC3"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12. For each year from 2014 to 2018 inclusive, please provide the amount of electric</w:t>
      </w:r>
    </w:p>
    <w:p w14:paraId="100CD771"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franchise fees that SDG&amp;E has paid to each local governmental entity. In addition, please</w:t>
      </w:r>
    </w:p>
    <w:p w14:paraId="57B1B86E"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provide the data and computations supporting each calculation as well as the definitions</w:t>
      </w:r>
    </w:p>
    <w:p w14:paraId="57FD3E82"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of each data item used in the computations. Also state whether the franchise fee for each</w:t>
      </w:r>
    </w:p>
    <w:p w14:paraId="2953E64E"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local governmental entity is based on (1) the “Broughton Act” formula or (2) the “Percent</w:t>
      </w:r>
    </w:p>
    <w:p w14:paraId="12B71974" w14:textId="4AB25D54"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of Gross Receipts” formula.</w:t>
      </w:r>
    </w:p>
    <w:p w14:paraId="30034B3D" w14:textId="77777777" w:rsidR="007B0548" w:rsidRDefault="007B0548" w:rsidP="008E784C">
      <w:pPr>
        <w:widowControl/>
        <w:autoSpaceDE w:val="0"/>
        <w:autoSpaceDN w:val="0"/>
        <w:adjustRightInd w:val="0"/>
        <w:rPr>
          <w:rFonts w:ascii="TimesNewRomanPSMT" w:hAnsi="TimesNewRomanPSMT" w:cs="TimesNewRomanPSMT"/>
          <w:b/>
          <w:bCs/>
          <w:sz w:val="24"/>
          <w:szCs w:val="24"/>
        </w:rPr>
      </w:pPr>
    </w:p>
    <w:p w14:paraId="6F95902B" w14:textId="0C36DE85" w:rsidR="008E784C" w:rsidRDefault="008E784C" w:rsidP="008E784C">
      <w:pPr>
        <w:widowControl/>
        <w:autoSpaceDE w:val="0"/>
        <w:autoSpaceDN w:val="0"/>
        <w:adjustRightInd w:val="0"/>
        <w:rPr>
          <w:rFonts w:ascii="TimesNewRomanPSMT" w:hAnsi="TimesNewRomanPSMT" w:cs="TimesNewRomanPSMT"/>
          <w:b/>
          <w:bCs/>
          <w:sz w:val="24"/>
          <w:szCs w:val="24"/>
        </w:rPr>
      </w:pPr>
      <w:r w:rsidRPr="00FE1BF6">
        <w:rPr>
          <w:rFonts w:ascii="TimesNewRomanPSMT" w:hAnsi="TimesNewRomanPSMT" w:cs="TimesNewRomanPSMT"/>
          <w:b/>
          <w:bCs/>
          <w:sz w:val="24"/>
          <w:szCs w:val="24"/>
        </w:rPr>
        <w:t>SDG&amp;E Response:</w:t>
      </w:r>
    </w:p>
    <w:p w14:paraId="7C4C669E" w14:textId="77777777" w:rsidR="00651ED4" w:rsidRPr="00651ED4" w:rsidRDefault="00651ED4" w:rsidP="00651ED4">
      <w:pPr>
        <w:spacing w:line="254" w:lineRule="auto"/>
        <w:rPr>
          <w:rFonts w:ascii="Times New Roman" w:hAnsi="Times New Roman" w:cs="Times New Roman"/>
          <w:sz w:val="24"/>
          <w:szCs w:val="24"/>
        </w:rPr>
      </w:pPr>
    </w:p>
    <w:p w14:paraId="1A09C0A0" w14:textId="77777777" w:rsidR="00651ED4" w:rsidRPr="00651ED4" w:rsidRDefault="00651ED4" w:rsidP="00651ED4">
      <w:pPr>
        <w:spacing w:line="254" w:lineRule="auto"/>
        <w:rPr>
          <w:rFonts w:ascii="Times New Roman" w:hAnsi="Times New Roman" w:cs="Times New Roman"/>
          <w:sz w:val="24"/>
          <w:szCs w:val="24"/>
        </w:rPr>
      </w:pPr>
      <w:r w:rsidRPr="00651ED4">
        <w:rPr>
          <w:rFonts w:ascii="Times New Roman" w:hAnsi="Times New Roman" w:cs="Times New Roman"/>
          <w:sz w:val="24"/>
          <w:szCs w:val="24"/>
        </w:rPr>
        <w:t xml:space="preserve">SDG&amp;E objects to this request pursuant to Rule 10.1 of the Commission’s Rules of Practice and Procedure, on the grounds that it seeks information regarding matters that are not relevant to and are not within the scope of the proceeding, and on grounds that the burden, expense and intrusiveness of this request clearly outweigh the likelihood that the information sought will lead to the discovery of admissible evidence.  </w:t>
      </w:r>
    </w:p>
    <w:p w14:paraId="37B32B6C" w14:textId="77777777" w:rsidR="008E784C" w:rsidRDefault="008E784C" w:rsidP="00FE1BF6">
      <w:pPr>
        <w:widowControl/>
        <w:autoSpaceDE w:val="0"/>
        <w:autoSpaceDN w:val="0"/>
        <w:adjustRightInd w:val="0"/>
        <w:rPr>
          <w:rFonts w:ascii="TimesNewRomanPSMT" w:hAnsi="TimesNewRomanPSMT" w:cs="TimesNewRomanPSMT"/>
          <w:sz w:val="24"/>
          <w:szCs w:val="24"/>
        </w:rPr>
      </w:pPr>
    </w:p>
    <w:p w14:paraId="155825D3"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13. For each year 2014 to 2018 inclusive, please state the amount general business license, or</w:t>
      </w:r>
    </w:p>
    <w:p w14:paraId="71AFC958"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special taxes (including without limitation thereto, Utility Users Taxes) and/or fees</w:t>
      </w:r>
    </w:p>
    <w:p w14:paraId="7FCC2FEC" w14:textId="57C8BBD4"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SDG&amp;E has paid to local governmental entities including the City of San Diego.</w:t>
      </w:r>
    </w:p>
    <w:p w14:paraId="4ADA97BF" w14:textId="3EFC4B29" w:rsidR="008E784C" w:rsidRDefault="008E784C" w:rsidP="00FE1BF6">
      <w:pPr>
        <w:widowControl/>
        <w:autoSpaceDE w:val="0"/>
        <w:autoSpaceDN w:val="0"/>
        <w:adjustRightInd w:val="0"/>
        <w:rPr>
          <w:rFonts w:ascii="TimesNewRomanPSMT" w:hAnsi="TimesNewRomanPSMT" w:cs="TimesNewRomanPSMT"/>
          <w:sz w:val="24"/>
          <w:szCs w:val="24"/>
        </w:rPr>
      </w:pPr>
    </w:p>
    <w:p w14:paraId="04729C7B" w14:textId="4C84D13B" w:rsidR="008E784C" w:rsidRDefault="008E784C" w:rsidP="008E784C">
      <w:pPr>
        <w:widowControl/>
        <w:autoSpaceDE w:val="0"/>
        <w:autoSpaceDN w:val="0"/>
        <w:adjustRightInd w:val="0"/>
        <w:rPr>
          <w:rFonts w:ascii="TimesNewRomanPSMT" w:hAnsi="TimesNewRomanPSMT" w:cs="TimesNewRomanPSMT"/>
          <w:b/>
          <w:bCs/>
          <w:sz w:val="24"/>
          <w:szCs w:val="24"/>
        </w:rPr>
      </w:pPr>
      <w:r w:rsidRPr="00FE1BF6">
        <w:rPr>
          <w:rFonts w:ascii="TimesNewRomanPSMT" w:hAnsi="TimesNewRomanPSMT" w:cs="TimesNewRomanPSMT"/>
          <w:b/>
          <w:bCs/>
          <w:sz w:val="24"/>
          <w:szCs w:val="24"/>
        </w:rPr>
        <w:t>SDG&amp;E Response:</w:t>
      </w:r>
    </w:p>
    <w:p w14:paraId="69733DE1" w14:textId="77777777" w:rsidR="00B74274" w:rsidRPr="00B74274" w:rsidRDefault="00B74274" w:rsidP="00B74274">
      <w:pPr>
        <w:widowControl/>
        <w:autoSpaceDE w:val="0"/>
        <w:autoSpaceDN w:val="0"/>
        <w:adjustRightInd w:val="0"/>
        <w:rPr>
          <w:rFonts w:ascii="Times New Roman" w:hAnsi="Times New Roman" w:cs="Times New Roman"/>
          <w:sz w:val="24"/>
          <w:szCs w:val="24"/>
        </w:rPr>
      </w:pPr>
    </w:p>
    <w:p w14:paraId="0519E0DF" w14:textId="77777777" w:rsidR="00B74274" w:rsidRPr="00B74274" w:rsidRDefault="00B74274" w:rsidP="00B74274">
      <w:pPr>
        <w:widowControl/>
        <w:autoSpaceDE w:val="0"/>
        <w:autoSpaceDN w:val="0"/>
        <w:adjustRightInd w:val="0"/>
        <w:rPr>
          <w:rFonts w:ascii="Times New Roman" w:hAnsi="Times New Roman" w:cs="Times New Roman"/>
          <w:sz w:val="24"/>
          <w:szCs w:val="24"/>
        </w:rPr>
      </w:pPr>
      <w:r w:rsidRPr="00B74274">
        <w:rPr>
          <w:rFonts w:ascii="Times New Roman" w:hAnsi="Times New Roman" w:cs="Times New Roman"/>
          <w:sz w:val="24"/>
          <w:szCs w:val="24"/>
        </w:rPr>
        <w:t xml:space="preserve">SDG&amp;E objects to this request pursuant to Rule 10.1 of the Commission’s Rules of Practice and Procedure, on the grounds that it seeks information regarding matters that are not relevant to and are not within the scope of the proceeding, and on grounds that the burden, expense and intrusiveness of this request clearly outweigh the likelihood that the information sought will lead to the discovery of admissible evidence.  </w:t>
      </w:r>
    </w:p>
    <w:p w14:paraId="47A44833" w14:textId="77777777" w:rsidR="008E784C" w:rsidRDefault="008E784C" w:rsidP="00FE1BF6">
      <w:pPr>
        <w:widowControl/>
        <w:autoSpaceDE w:val="0"/>
        <w:autoSpaceDN w:val="0"/>
        <w:adjustRightInd w:val="0"/>
        <w:rPr>
          <w:rFonts w:ascii="TimesNewRomanPSMT" w:hAnsi="TimesNewRomanPSMT" w:cs="TimesNewRomanPSMT"/>
          <w:sz w:val="24"/>
          <w:szCs w:val="24"/>
        </w:rPr>
      </w:pPr>
    </w:p>
    <w:p w14:paraId="575773C8"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14. For each year from 2014 to 2018 inclusive, please provide the amount of electric</w:t>
      </w:r>
    </w:p>
    <w:p w14:paraId="5101B405"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franchise fees that customers of each local governmental entity have paid to SDG&amp;E</w:t>
      </w:r>
    </w:p>
    <w:p w14:paraId="49640107"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through rates. In addition, please provide the data and computations supporting each</w:t>
      </w:r>
    </w:p>
    <w:p w14:paraId="1C8841E3" w14:textId="3BE9C6E4"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calculation.</w:t>
      </w:r>
    </w:p>
    <w:p w14:paraId="127FF91D" w14:textId="528490AC" w:rsidR="008E784C" w:rsidRDefault="008E784C" w:rsidP="00FE1BF6">
      <w:pPr>
        <w:widowControl/>
        <w:autoSpaceDE w:val="0"/>
        <w:autoSpaceDN w:val="0"/>
        <w:adjustRightInd w:val="0"/>
        <w:rPr>
          <w:rFonts w:ascii="TimesNewRomanPSMT" w:hAnsi="TimesNewRomanPSMT" w:cs="TimesNewRomanPSMT"/>
          <w:sz w:val="24"/>
          <w:szCs w:val="24"/>
        </w:rPr>
      </w:pPr>
    </w:p>
    <w:p w14:paraId="00823AC6" w14:textId="4A6A4E85" w:rsidR="002C2D74" w:rsidRDefault="008E784C" w:rsidP="008E784C">
      <w:pPr>
        <w:widowControl/>
        <w:autoSpaceDE w:val="0"/>
        <w:autoSpaceDN w:val="0"/>
        <w:adjustRightInd w:val="0"/>
        <w:rPr>
          <w:rFonts w:ascii="TimesNewRomanPSMT" w:hAnsi="TimesNewRomanPSMT" w:cs="TimesNewRomanPSMT"/>
          <w:b/>
          <w:bCs/>
          <w:sz w:val="24"/>
          <w:szCs w:val="24"/>
        </w:rPr>
      </w:pPr>
      <w:r w:rsidRPr="00FE1BF6">
        <w:rPr>
          <w:rFonts w:ascii="TimesNewRomanPSMT" w:hAnsi="TimesNewRomanPSMT" w:cs="TimesNewRomanPSMT"/>
          <w:b/>
          <w:bCs/>
          <w:sz w:val="24"/>
          <w:szCs w:val="24"/>
        </w:rPr>
        <w:t>SDG&amp;E Response:</w:t>
      </w:r>
    </w:p>
    <w:p w14:paraId="73E36C61" w14:textId="76C1B148" w:rsidR="007B0548" w:rsidRDefault="007B0548" w:rsidP="008E784C">
      <w:pPr>
        <w:widowControl/>
        <w:autoSpaceDE w:val="0"/>
        <w:autoSpaceDN w:val="0"/>
        <w:adjustRightInd w:val="0"/>
        <w:rPr>
          <w:rFonts w:ascii="TimesNewRomanPSMT" w:hAnsi="TimesNewRomanPSMT" w:cs="TimesNewRomanPSMT"/>
          <w:b/>
          <w:bCs/>
          <w:sz w:val="24"/>
          <w:szCs w:val="24"/>
        </w:rPr>
      </w:pPr>
    </w:p>
    <w:p w14:paraId="6351A152" w14:textId="77777777" w:rsidR="00B74274" w:rsidRPr="00B74274" w:rsidRDefault="00B74274" w:rsidP="00B74274">
      <w:pPr>
        <w:widowControl/>
        <w:autoSpaceDE w:val="0"/>
        <w:autoSpaceDN w:val="0"/>
        <w:adjustRightInd w:val="0"/>
        <w:rPr>
          <w:rFonts w:ascii="Times New Roman" w:hAnsi="Times New Roman" w:cs="Times New Roman"/>
          <w:sz w:val="24"/>
          <w:szCs w:val="24"/>
        </w:rPr>
      </w:pPr>
      <w:r w:rsidRPr="00B74274">
        <w:rPr>
          <w:rFonts w:ascii="Times New Roman" w:hAnsi="Times New Roman" w:cs="Times New Roman"/>
          <w:sz w:val="24"/>
          <w:szCs w:val="24"/>
        </w:rPr>
        <w:lastRenderedPageBreak/>
        <w:t xml:space="preserve">SDG&amp;E objects to this request pursuant to Rule 10.1 of the Commission’s Rules of Practice and Procedure, on the grounds that it seeks information regarding matters that are not relevant to and are not within the scope of the proceeding, and on grounds that the burden, expense and intrusiveness of this request clearly outweigh the likelihood that the information sought will lead to the discovery of admissible evidence.  </w:t>
      </w:r>
    </w:p>
    <w:p w14:paraId="7FBB14A8" w14:textId="77777777" w:rsidR="007B0548" w:rsidRPr="00FE1BF6" w:rsidRDefault="007B0548" w:rsidP="008E784C">
      <w:pPr>
        <w:widowControl/>
        <w:autoSpaceDE w:val="0"/>
        <w:autoSpaceDN w:val="0"/>
        <w:adjustRightInd w:val="0"/>
        <w:rPr>
          <w:rFonts w:ascii="TimesNewRomanPSMT" w:hAnsi="TimesNewRomanPSMT" w:cs="TimesNewRomanPSMT"/>
          <w:b/>
          <w:bCs/>
          <w:sz w:val="24"/>
          <w:szCs w:val="24"/>
        </w:rPr>
      </w:pPr>
    </w:p>
    <w:p w14:paraId="2254930A" w14:textId="77777777" w:rsidR="008E784C" w:rsidRDefault="008E784C" w:rsidP="00FE1BF6">
      <w:pPr>
        <w:widowControl/>
        <w:autoSpaceDE w:val="0"/>
        <w:autoSpaceDN w:val="0"/>
        <w:adjustRightInd w:val="0"/>
        <w:rPr>
          <w:rFonts w:ascii="TimesNewRomanPSMT" w:hAnsi="TimesNewRomanPSMT" w:cs="TimesNewRomanPSMT"/>
          <w:sz w:val="24"/>
          <w:szCs w:val="24"/>
        </w:rPr>
      </w:pPr>
    </w:p>
    <w:p w14:paraId="32545ADC"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15. In SDG&amp;E’s GRC Phase 1, SDG&amp;E’s tax witness indicated that the Electric Franchise</w:t>
      </w:r>
    </w:p>
    <w:p w14:paraId="692E8901"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Fee factor was 3.4468%. Please provide all data supporting the development of this</w:t>
      </w:r>
    </w:p>
    <w:p w14:paraId="394AD876"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Franchise Fee factor. Does this factor include payments of surcharges, Utility Users</w:t>
      </w:r>
    </w:p>
    <w:p w14:paraId="075EEC54"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Taxes, general business licenses, or other special taxes paid to local governmental entities</w:t>
      </w:r>
    </w:p>
    <w:p w14:paraId="5F9D149A"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by SDG&amp;E? If so, please provide a list of all such payments to each city, county, or other</w:t>
      </w:r>
    </w:p>
    <w:p w14:paraId="282C39BA" w14:textId="77777777" w:rsidR="00FE1BF6" w:rsidRDefault="00FE1BF6" w:rsidP="00FE1BF6">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entity as well as the amounts paid annually to each of those entities for the years 2014-</w:t>
      </w:r>
    </w:p>
    <w:p w14:paraId="204543CC" w14:textId="4D711D37" w:rsidR="00E44CE6" w:rsidRDefault="00FE1BF6" w:rsidP="008E784C">
      <w:pPr>
        <w:widowControl/>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2018 inclusive. Also provide a definition for each factor used in these calculations (e.g,the specific definition of gross receipts for each entity).</w:t>
      </w:r>
    </w:p>
    <w:p w14:paraId="643E0A80" w14:textId="3B25B85A" w:rsidR="008E784C" w:rsidRDefault="008E784C" w:rsidP="008E784C">
      <w:pPr>
        <w:widowControl/>
        <w:autoSpaceDE w:val="0"/>
        <w:autoSpaceDN w:val="0"/>
        <w:adjustRightInd w:val="0"/>
        <w:rPr>
          <w:rFonts w:ascii="TimesNewRomanPSMT" w:hAnsi="TimesNewRomanPSMT" w:cs="TimesNewRomanPSMT"/>
          <w:sz w:val="24"/>
          <w:szCs w:val="24"/>
        </w:rPr>
      </w:pPr>
    </w:p>
    <w:p w14:paraId="6C81DFBC" w14:textId="76548749" w:rsidR="008E784C" w:rsidRDefault="008E784C" w:rsidP="008E784C">
      <w:pPr>
        <w:widowControl/>
        <w:autoSpaceDE w:val="0"/>
        <w:autoSpaceDN w:val="0"/>
        <w:adjustRightInd w:val="0"/>
        <w:rPr>
          <w:rFonts w:ascii="TimesNewRomanPSMT" w:hAnsi="TimesNewRomanPSMT" w:cs="TimesNewRomanPSMT"/>
          <w:b/>
          <w:bCs/>
          <w:sz w:val="24"/>
          <w:szCs w:val="24"/>
        </w:rPr>
      </w:pPr>
      <w:r w:rsidRPr="00FE1BF6">
        <w:rPr>
          <w:rFonts w:ascii="TimesNewRomanPSMT" w:hAnsi="TimesNewRomanPSMT" w:cs="TimesNewRomanPSMT"/>
          <w:b/>
          <w:bCs/>
          <w:sz w:val="24"/>
          <w:szCs w:val="24"/>
        </w:rPr>
        <w:t>SDG&amp;E Response:</w:t>
      </w:r>
    </w:p>
    <w:p w14:paraId="1BB330B2" w14:textId="77777777" w:rsidR="00B74274" w:rsidRPr="00B74274" w:rsidRDefault="00B74274" w:rsidP="00B74274">
      <w:pPr>
        <w:widowControl/>
        <w:autoSpaceDE w:val="0"/>
        <w:autoSpaceDN w:val="0"/>
        <w:adjustRightInd w:val="0"/>
        <w:rPr>
          <w:rFonts w:ascii="Times New Roman" w:hAnsi="Times New Roman" w:cs="Times New Roman"/>
          <w:sz w:val="24"/>
          <w:szCs w:val="24"/>
        </w:rPr>
      </w:pPr>
    </w:p>
    <w:p w14:paraId="445FDC81" w14:textId="77777777" w:rsidR="00B74274" w:rsidRPr="00B74274" w:rsidRDefault="00B74274" w:rsidP="00B74274">
      <w:pPr>
        <w:widowControl/>
        <w:autoSpaceDE w:val="0"/>
        <w:autoSpaceDN w:val="0"/>
        <w:adjustRightInd w:val="0"/>
        <w:rPr>
          <w:rFonts w:ascii="Times New Roman" w:hAnsi="Times New Roman" w:cs="Times New Roman"/>
          <w:sz w:val="24"/>
          <w:szCs w:val="24"/>
        </w:rPr>
      </w:pPr>
      <w:r w:rsidRPr="00B74274">
        <w:rPr>
          <w:rFonts w:ascii="Times New Roman" w:hAnsi="Times New Roman" w:cs="Times New Roman"/>
          <w:sz w:val="24"/>
          <w:szCs w:val="24"/>
        </w:rPr>
        <w:t xml:space="preserve">SDG&amp;E objects to this request pursuant to Rule 10.1 of the Commission’s Rules of Practice and Procedure, on the grounds that it seeks information regarding matters that are not relevant to and are not within the scope of the proceeding, and on grounds that the burden, expense and intrusiveness of this request clearly outweigh the likelihood that the information sought will lead to the discovery of admissible evidence.  </w:t>
      </w:r>
    </w:p>
    <w:p w14:paraId="311E2518" w14:textId="77777777" w:rsidR="008E784C" w:rsidRPr="008E784C" w:rsidRDefault="008E784C" w:rsidP="008E784C">
      <w:pPr>
        <w:widowControl/>
        <w:autoSpaceDE w:val="0"/>
        <w:autoSpaceDN w:val="0"/>
        <w:adjustRightInd w:val="0"/>
        <w:rPr>
          <w:rFonts w:ascii="TimesNewRomanPSMT" w:hAnsi="TimesNewRomanPSMT" w:cs="TimesNewRomanPSMT"/>
          <w:sz w:val="24"/>
          <w:szCs w:val="24"/>
        </w:rPr>
      </w:pPr>
    </w:p>
    <w:sectPr w:rsidR="008E784C" w:rsidRPr="008E784C">
      <w:headerReference w:type="default" r:id="rId19"/>
      <w:footerReference w:type="default" r:id="rId20"/>
      <w:pgSz w:w="12240" w:h="15840"/>
      <w:pgMar w:top="1480" w:right="1220" w:bottom="1140" w:left="1180" w:header="0"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774F2" w14:textId="77777777" w:rsidR="00A85C72" w:rsidRDefault="00A85C72">
      <w:r>
        <w:separator/>
      </w:r>
    </w:p>
  </w:endnote>
  <w:endnote w:type="continuationSeparator" w:id="0">
    <w:p w14:paraId="582E58C8" w14:textId="77777777" w:rsidR="00A85C72" w:rsidRDefault="00A85C72">
      <w:r>
        <w:continuationSeparator/>
      </w:r>
    </w:p>
  </w:endnote>
  <w:endnote w:type="continuationNotice" w:id="1">
    <w:p w14:paraId="70BF3599" w14:textId="77777777" w:rsidR="00A85C72" w:rsidRDefault="00A85C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332641"/>
      <w:docPartObj>
        <w:docPartGallery w:val="Page Numbers (Bottom of Page)"/>
        <w:docPartUnique/>
      </w:docPartObj>
    </w:sdtPr>
    <w:sdtEndPr>
      <w:rPr>
        <w:noProof/>
      </w:rPr>
    </w:sdtEndPr>
    <w:sdtContent>
      <w:p w14:paraId="3F6DD083" w14:textId="129CA02B" w:rsidR="00257835" w:rsidRDefault="00257835">
        <w:pPr>
          <w:pStyle w:val="Footer"/>
          <w:jc w:val="right"/>
        </w:pPr>
        <w:r>
          <w:fldChar w:fldCharType="begin"/>
        </w:r>
        <w:r>
          <w:instrText xml:space="preserve"> PAGE   \* MERGEFORMAT </w:instrText>
        </w:r>
        <w:r>
          <w:fldChar w:fldCharType="separate"/>
        </w:r>
        <w:r w:rsidR="00B670B5">
          <w:rPr>
            <w:noProof/>
          </w:rPr>
          <w:t>1</w:t>
        </w:r>
        <w:r>
          <w:rPr>
            <w:noProof/>
          </w:rPr>
          <w:fldChar w:fldCharType="end"/>
        </w:r>
      </w:p>
    </w:sdtContent>
  </w:sdt>
  <w:p w14:paraId="30DA468B" w14:textId="1C52C22D" w:rsidR="00257835" w:rsidRDefault="00257835">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DA4B3" w14:textId="77777777" w:rsidR="00A85C72" w:rsidRDefault="00A85C72">
      <w:r>
        <w:separator/>
      </w:r>
    </w:p>
  </w:footnote>
  <w:footnote w:type="continuationSeparator" w:id="0">
    <w:p w14:paraId="01A448E0" w14:textId="77777777" w:rsidR="00A85C72" w:rsidRDefault="00A85C72">
      <w:r>
        <w:continuationSeparator/>
      </w:r>
    </w:p>
  </w:footnote>
  <w:footnote w:type="continuationNotice" w:id="1">
    <w:p w14:paraId="232A8507" w14:textId="77777777" w:rsidR="00A85C72" w:rsidRDefault="00A85C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6C1B7" w14:textId="77777777" w:rsidR="00257835" w:rsidRDefault="00257835" w:rsidP="00E904AE">
    <w:pPr>
      <w:pStyle w:val="Default"/>
      <w:jc w:val="center"/>
      <w:rPr>
        <w:b/>
        <w:bCs/>
        <w:sz w:val="23"/>
        <w:szCs w:val="23"/>
      </w:rPr>
    </w:pPr>
    <w:r>
      <w:rPr>
        <w:b/>
        <w:bCs/>
        <w:sz w:val="23"/>
        <w:szCs w:val="23"/>
      </w:rPr>
      <w:softHyphen/>
    </w:r>
    <w:r>
      <w:rPr>
        <w:b/>
        <w:bCs/>
        <w:sz w:val="23"/>
        <w:szCs w:val="23"/>
      </w:rPr>
      <w:softHyphen/>
    </w:r>
    <w:r>
      <w:rPr>
        <w:b/>
        <w:bCs/>
        <w:sz w:val="23"/>
        <w:szCs w:val="23"/>
      </w:rPr>
      <w:softHyphen/>
    </w:r>
    <w:r>
      <w:rPr>
        <w:b/>
        <w:bCs/>
        <w:sz w:val="23"/>
        <w:szCs w:val="23"/>
      </w:rPr>
      <w:softHyphen/>
    </w:r>
    <w:r>
      <w:rPr>
        <w:b/>
        <w:bCs/>
        <w:sz w:val="23"/>
        <w:szCs w:val="23"/>
      </w:rPr>
      <w:softHyphen/>
    </w:r>
    <w:r>
      <w:rPr>
        <w:b/>
        <w:bCs/>
        <w:sz w:val="23"/>
        <w:szCs w:val="23"/>
      </w:rPr>
      <w:softHyphen/>
    </w:r>
  </w:p>
  <w:p w14:paraId="66AAF096" w14:textId="205C60D3" w:rsidR="009D6650" w:rsidRPr="00BB3B03" w:rsidRDefault="001E10BF" w:rsidP="009D6650">
    <w:pPr>
      <w:pStyle w:val="ListParagraph"/>
      <w:jc w:val="center"/>
      <w:rPr>
        <w:rFonts w:ascii="Times New Roman" w:hAnsi="Times New Roman" w:cs="Times New Roman"/>
        <w:b/>
      </w:rPr>
    </w:pPr>
    <w:r>
      <w:rPr>
        <w:rFonts w:ascii="Times New Roman" w:hAnsi="Times New Roman" w:cs="Times New Roman"/>
        <w:b/>
      </w:rPr>
      <w:t>City of San Diego</w:t>
    </w:r>
    <w:r w:rsidR="009D6650" w:rsidRPr="00BB3B03">
      <w:rPr>
        <w:rFonts w:ascii="Times New Roman" w:hAnsi="Times New Roman" w:cs="Times New Roman"/>
        <w:b/>
      </w:rPr>
      <w:t xml:space="preserve"> </w:t>
    </w:r>
    <w:r w:rsidR="009D6650" w:rsidRPr="00BB3B03">
      <w:rPr>
        <w:rFonts w:ascii="Times New Roman" w:hAnsi="Times New Roman" w:cs="Times New Roman"/>
        <w:b/>
      </w:rPr>
      <w:br/>
    </w:r>
    <w:r w:rsidR="007B13CE">
      <w:rPr>
        <w:rFonts w:ascii="Times New Roman" w:hAnsi="Times New Roman" w:cs="Times New Roman"/>
        <w:b/>
      </w:rPr>
      <w:t xml:space="preserve">Data Request </w:t>
    </w:r>
    <w:r w:rsidR="006A724E">
      <w:rPr>
        <w:rFonts w:ascii="Times New Roman" w:hAnsi="Times New Roman" w:cs="Times New Roman"/>
        <w:b/>
      </w:rPr>
      <w:t>#0</w:t>
    </w:r>
    <w:r w:rsidR="00572481">
      <w:rPr>
        <w:rFonts w:ascii="Times New Roman" w:hAnsi="Times New Roman" w:cs="Times New Roman"/>
        <w:b/>
      </w:rPr>
      <w:t>6</w:t>
    </w:r>
    <w:r w:rsidR="009D6650" w:rsidRPr="00BB3B03">
      <w:rPr>
        <w:rFonts w:ascii="Times New Roman" w:hAnsi="Times New Roman" w:cs="Times New Roman"/>
        <w:b/>
      </w:rPr>
      <w:br/>
      <w:t>SDG&amp;E PHASE 2 GRC PROCEEDING A.1</w:t>
    </w:r>
    <w:r>
      <w:rPr>
        <w:rFonts w:ascii="Times New Roman" w:hAnsi="Times New Roman" w:cs="Times New Roman"/>
        <w:b/>
      </w:rPr>
      <w:t>9-03-002</w:t>
    </w:r>
    <w:r w:rsidR="009D6650" w:rsidRPr="00BB3B03">
      <w:rPr>
        <w:rFonts w:ascii="Times New Roman" w:hAnsi="Times New Roman" w:cs="Times New Roman"/>
        <w:b/>
      </w:rPr>
      <w:br/>
      <w:t xml:space="preserve">DATE RECEIVED: </w:t>
    </w:r>
    <w:r w:rsidR="00572481">
      <w:rPr>
        <w:rFonts w:ascii="Times New Roman" w:hAnsi="Times New Roman" w:cs="Times New Roman"/>
        <w:b/>
      </w:rPr>
      <w:t>May</w:t>
    </w:r>
    <w:r w:rsidR="00D53A10">
      <w:rPr>
        <w:rFonts w:ascii="Times New Roman" w:hAnsi="Times New Roman" w:cs="Times New Roman"/>
        <w:b/>
      </w:rPr>
      <w:t xml:space="preserve"> </w:t>
    </w:r>
    <w:r w:rsidR="00572481">
      <w:rPr>
        <w:rFonts w:ascii="Times New Roman" w:hAnsi="Times New Roman" w:cs="Times New Roman"/>
        <w:b/>
      </w:rPr>
      <w:t>8</w:t>
    </w:r>
    <w:r w:rsidR="00D53A10">
      <w:rPr>
        <w:rFonts w:ascii="Times New Roman" w:hAnsi="Times New Roman" w:cs="Times New Roman"/>
        <w:b/>
      </w:rPr>
      <w:t>, 2020</w:t>
    </w:r>
  </w:p>
  <w:p w14:paraId="46DCAB12" w14:textId="35DB0EDE" w:rsidR="009D6650" w:rsidRPr="00BB3B03" w:rsidRDefault="009D6650" w:rsidP="009D6650">
    <w:pPr>
      <w:pStyle w:val="ListParagraph"/>
      <w:jc w:val="center"/>
      <w:rPr>
        <w:rFonts w:ascii="Times New Roman" w:hAnsi="Times New Roman" w:cs="Times New Roman"/>
        <w:b/>
      </w:rPr>
    </w:pPr>
    <w:r w:rsidRPr="00BB3B03">
      <w:rPr>
        <w:rFonts w:ascii="Times New Roman" w:hAnsi="Times New Roman" w:cs="Times New Roman"/>
        <w:b/>
      </w:rPr>
      <w:t>DATE RESPONDED:</w:t>
    </w:r>
    <w:r>
      <w:rPr>
        <w:rFonts w:ascii="Times New Roman" w:hAnsi="Times New Roman" w:cs="Times New Roman"/>
        <w:b/>
      </w:rPr>
      <w:t xml:space="preserve"> </w:t>
    </w:r>
    <w:r w:rsidR="00A33E7F">
      <w:rPr>
        <w:rFonts w:ascii="Times New Roman" w:hAnsi="Times New Roman" w:cs="Times New Roman"/>
        <w:b/>
      </w:rPr>
      <w:t>Ma</w:t>
    </w:r>
    <w:r w:rsidR="00572481">
      <w:rPr>
        <w:rFonts w:ascii="Times New Roman" w:hAnsi="Times New Roman" w:cs="Times New Roman"/>
        <w:b/>
      </w:rPr>
      <w:t xml:space="preserve">y </w:t>
    </w:r>
    <w:r w:rsidR="00A33E7F">
      <w:rPr>
        <w:rFonts w:ascii="Times New Roman" w:hAnsi="Times New Roman" w:cs="Times New Roman"/>
        <w:b/>
      </w:rPr>
      <w:t>2</w:t>
    </w:r>
    <w:r w:rsidR="00572481">
      <w:rPr>
        <w:rFonts w:ascii="Times New Roman" w:hAnsi="Times New Roman" w:cs="Times New Roman"/>
        <w:b/>
      </w:rPr>
      <w:t>2</w:t>
    </w:r>
    <w:r w:rsidR="0098087F">
      <w:rPr>
        <w:rFonts w:ascii="Times New Roman" w:hAnsi="Times New Roman" w:cs="Times New Roman"/>
        <w:b/>
      </w:rPr>
      <w:t>, 20</w:t>
    </w:r>
    <w:r w:rsidR="00A33E7F">
      <w:rPr>
        <w:rFonts w:ascii="Times New Roman" w:hAnsi="Times New Roman" w:cs="Times New Roman"/>
        <w:b/>
      </w:rPr>
      <w:t>20</w:t>
    </w:r>
  </w:p>
  <w:p w14:paraId="25BD10E8" w14:textId="77777777" w:rsidR="00257835" w:rsidRDefault="00257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F23AF5"/>
    <w:multiLevelType w:val="hybridMultilevel"/>
    <w:tmpl w:val="63CCEB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A37B54"/>
    <w:multiLevelType w:val="hybridMultilevel"/>
    <w:tmpl w:val="776E54E4"/>
    <w:lvl w:ilvl="0" w:tplc="0409000F">
      <w:start w:val="1"/>
      <w:numFmt w:val="decimal"/>
      <w:lvlText w:val="%1."/>
      <w:lvlJc w:val="left"/>
      <w:pPr>
        <w:ind w:left="720" w:hanging="360"/>
      </w:pPr>
      <w:rPr>
        <w:rFonts w:hint="default"/>
      </w:rPr>
    </w:lvl>
    <w:lvl w:ilvl="1" w:tplc="23A01ED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14B33"/>
    <w:multiLevelType w:val="hybridMultilevel"/>
    <w:tmpl w:val="6EDC76D8"/>
    <w:lvl w:ilvl="0" w:tplc="93F2304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57065E"/>
    <w:multiLevelType w:val="hybridMultilevel"/>
    <w:tmpl w:val="03A4FD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6031FB0"/>
    <w:multiLevelType w:val="multilevel"/>
    <w:tmpl w:val="BE92842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15:restartNumberingAfterBreak="0">
    <w:nsid w:val="1E682277"/>
    <w:multiLevelType w:val="hybridMultilevel"/>
    <w:tmpl w:val="06B00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249464B"/>
    <w:multiLevelType w:val="hybridMultilevel"/>
    <w:tmpl w:val="858265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A307B6"/>
    <w:multiLevelType w:val="hybridMultilevel"/>
    <w:tmpl w:val="16EA4DB4"/>
    <w:lvl w:ilvl="0" w:tplc="546045B2">
      <w:start w:val="1"/>
      <w:numFmt w:val="upperLetter"/>
      <w:lvlText w:val="%1."/>
      <w:lvlJc w:val="left"/>
      <w:pPr>
        <w:ind w:hanging="361"/>
      </w:pPr>
      <w:rPr>
        <w:rFonts w:ascii="Times New Roman" w:eastAsia="Times New Roman" w:hAnsi="Times New Roman" w:hint="default"/>
        <w:spacing w:val="-1"/>
        <w:sz w:val="22"/>
        <w:szCs w:val="22"/>
      </w:rPr>
    </w:lvl>
    <w:lvl w:ilvl="1" w:tplc="3948D4D2">
      <w:start w:val="1"/>
      <w:numFmt w:val="decimal"/>
      <w:lvlText w:val="%2."/>
      <w:lvlJc w:val="left"/>
      <w:pPr>
        <w:ind w:hanging="360"/>
      </w:pPr>
      <w:rPr>
        <w:rFonts w:ascii="Times New Roman" w:eastAsia="Times New Roman" w:hAnsi="Times New Roman" w:hint="default"/>
        <w:sz w:val="24"/>
        <w:szCs w:val="24"/>
      </w:rPr>
    </w:lvl>
    <w:lvl w:ilvl="2" w:tplc="F53ED514">
      <w:start w:val="1"/>
      <w:numFmt w:val="lowerLetter"/>
      <w:lvlText w:val="%3."/>
      <w:lvlJc w:val="left"/>
      <w:pPr>
        <w:ind w:hanging="360"/>
        <w:jc w:val="right"/>
      </w:pPr>
      <w:rPr>
        <w:rFonts w:ascii="Times New Roman" w:eastAsia="Times New Roman" w:hAnsi="Times New Roman" w:hint="default"/>
        <w:spacing w:val="-1"/>
        <w:sz w:val="24"/>
        <w:szCs w:val="24"/>
      </w:rPr>
    </w:lvl>
    <w:lvl w:ilvl="3" w:tplc="E480AD78">
      <w:start w:val="1"/>
      <w:numFmt w:val="lowerRoman"/>
      <w:lvlText w:val="%4."/>
      <w:lvlJc w:val="left"/>
      <w:pPr>
        <w:ind w:hanging="308"/>
        <w:jc w:val="right"/>
      </w:pPr>
      <w:rPr>
        <w:rFonts w:ascii="Times New Roman" w:eastAsia="Times New Roman" w:hAnsi="Times New Roman" w:hint="default"/>
        <w:sz w:val="24"/>
        <w:szCs w:val="24"/>
      </w:rPr>
    </w:lvl>
    <w:lvl w:ilvl="4" w:tplc="81F621A4">
      <w:start w:val="1"/>
      <w:numFmt w:val="bullet"/>
      <w:lvlText w:val="•"/>
      <w:lvlJc w:val="left"/>
      <w:rPr>
        <w:rFonts w:hint="default"/>
      </w:rPr>
    </w:lvl>
    <w:lvl w:ilvl="5" w:tplc="EA229F24">
      <w:start w:val="1"/>
      <w:numFmt w:val="bullet"/>
      <w:lvlText w:val="•"/>
      <w:lvlJc w:val="left"/>
      <w:rPr>
        <w:rFonts w:hint="default"/>
      </w:rPr>
    </w:lvl>
    <w:lvl w:ilvl="6" w:tplc="ACE2DC56">
      <w:start w:val="1"/>
      <w:numFmt w:val="bullet"/>
      <w:lvlText w:val="•"/>
      <w:lvlJc w:val="left"/>
      <w:rPr>
        <w:rFonts w:hint="default"/>
      </w:rPr>
    </w:lvl>
    <w:lvl w:ilvl="7" w:tplc="898C3E08">
      <w:start w:val="1"/>
      <w:numFmt w:val="bullet"/>
      <w:lvlText w:val="•"/>
      <w:lvlJc w:val="left"/>
      <w:rPr>
        <w:rFonts w:hint="default"/>
      </w:rPr>
    </w:lvl>
    <w:lvl w:ilvl="8" w:tplc="37D2C976">
      <w:start w:val="1"/>
      <w:numFmt w:val="bullet"/>
      <w:lvlText w:val="•"/>
      <w:lvlJc w:val="left"/>
      <w:rPr>
        <w:rFonts w:hint="default"/>
      </w:rPr>
    </w:lvl>
  </w:abstractNum>
  <w:abstractNum w:abstractNumId="8" w15:restartNumberingAfterBreak="0">
    <w:nsid w:val="437532E9"/>
    <w:multiLevelType w:val="hybridMultilevel"/>
    <w:tmpl w:val="97ECC1BC"/>
    <w:lvl w:ilvl="0" w:tplc="BE741D7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8D23A83"/>
    <w:multiLevelType w:val="hybridMultilevel"/>
    <w:tmpl w:val="1040D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0256D6"/>
    <w:multiLevelType w:val="hybridMultilevel"/>
    <w:tmpl w:val="F110A1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BBF5984"/>
    <w:multiLevelType w:val="hybridMultilevel"/>
    <w:tmpl w:val="A8206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9"/>
  </w:num>
  <w:num w:numId="8">
    <w:abstractNumId w:val="1"/>
  </w:num>
  <w:num w:numId="9">
    <w:abstractNumId w:val="11"/>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1D6"/>
    <w:rsid w:val="000133A9"/>
    <w:rsid w:val="00013543"/>
    <w:rsid w:val="00013CDA"/>
    <w:rsid w:val="00015BD1"/>
    <w:rsid w:val="00022535"/>
    <w:rsid w:val="000249E4"/>
    <w:rsid w:val="00031002"/>
    <w:rsid w:val="000473F3"/>
    <w:rsid w:val="00082A8D"/>
    <w:rsid w:val="00090093"/>
    <w:rsid w:val="000932E2"/>
    <w:rsid w:val="00095685"/>
    <w:rsid w:val="000A192B"/>
    <w:rsid w:val="000A6F05"/>
    <w:rsid w:val="000B710B"/>
    <w:rsid w:val="000D24BA"/>
    <w:rsid w:val="000D6B74"/>
    <w:rsid w:val="000D6ECD"/>
    <w:rsid w:val="000D7002"/>
    <w:rsid w:val="000F5557"/>
    <w:rsid w:val="000F604B"/>
    <w:rsid w:val="000F6F65"/>
    <w:rsid w:val="00101D98"/>
    <w:rsid w:val="00104F5E"/>
    <w:rsid w:val="0010718F"/>
    <w:rsid w:val="00117124"/>
    <w:rsid w:val="00121E7C"/>
    <w:rsid w:val="00137417"/>
    <w:rsid w:val="0014082B"/>
    <w:rsid w:val="00142C40"/>
    <w:rsid w:val="0014783D"/>
    <w:rsid w:val="00157531"/>
    <w:rsid w:val="00163795"/>
    <w:rsid w:val="00166C29"/>
    <w:rsid w:val="00167CF6"/>
    <w:rsid w:val="001729AE"/>
    <w:rsid w:val="00182A00"/>
    <w:rsid w:val="00192F9B"/>
    <w:rsid w:val="001946E8"/>
    <w:rsid w:val="001B389A"/>
    <w:rsid w:val="001B416E"/>
    <w:rsid w:val="001B4C04"/>
    <w:rsid w:val="001B6807"/>
    <w:rsid w:val="001E10BF"/>
    <w:rsid w:val="001E73D1"/>
    <w:rsid w:val="001F1F3B"/>
    <w:rsid w:val="00227922"/>
    <w:rsid w:val="00227AD1"/>
    <w:rsid w:val="00230361"/>
    <w:rsid w:val="00242383"/>
    <w:rsid w:val="00243180"/>
    <w:rsid w:val="00247644"/>
    <w:rsid w:val="002540A5"/>
    <w:rsid w:val="00256561"/>
    <w:rsid w:val="00257835"/>
    <w:rsid w:val="00263166"/>
    <w:rsid w:val="00264F5F"/>
    <w:rsid w:val="0027631B"/>
    <w:rsid w:val="00294908"/>
    <w:rsid w:val="0029766B"/>
    <w:rsid w:val="002A19BC"/>
    <w:rsid w:val="002A48B2"/>
    <w:rsid w:val="002B02D7"/>
    <w:rsid w:val="002B7723"/>
    <w:rsid w:val="002C2D74"/>
    <w:rsid w:val="002C3FC3"/>
    <w:rsid w:val="002C51C0"/>
    <w:rsid w:val="002F2139"/>
    <w:rsid w:val="002F4871"/>
    <w:rsid w:val="002F7516"/>
    <w:rsid w:val="00305540"/>
    <w:rsid w:val="00317A8F"/>
    <w:rsid w:val="00320693"/>
    <w:rsid w:val="00322EA2"/>
    <w:rsid w:val="00331DCE"/>
    <w:rsid w:val="00332BC1"/>
    <w:rsid w:val="003557E6"/>
    <w:rsid w:val="00360568"/>
    <w:rsid w:val="00362A8A"/>
    <w:rsid w:val="003719EA"/>
    <w:rsid w:val="00381E4B"/>
    <w:rsid w:val="003920AA"/>
    <w:rsid w:val="003A2835"/>
    <w:rsid w:val="003A6866"/>
    <w:rsid w:val="003A744D"/>
    <w:rsid w:val="003B40AB"/>
    <w:rsid w:val="003B7BC2"/>
    <w:rsid w:val="003C54CA"/>
    <w:rsid w:val="003D0506"/>
    <w:rsid w:val="003D317D"/>
    <w:rsid w:val="003E1C2F"/>
    <w:rsid w:val="00404616"/>
    <w:rsid w:val="004178A0"/>
    <w:rsid w:val="00445522"/>
    <w:rsid w:val="00462D8A"/>
    <w:rsid w:val="004A0D4C"/>
    <w:rsid w:val="004A6332"/>
    <w:rsid w:val="004B0621"/>
    <w:rsid w:val="004B0E2E"/>
    <w:rsid w:val="004D375A"/>
    <w:rsid w:val="004F6A69"/>
    <w:rsid w:val="0050650D"/>
    <w:rsid w:val="00542997"/>
    <w:rsid w:val="005502ED"/>
    <w:rsid w:val="00572481"/>
    <w:rsid w:val="00572B03"/>
    <w:rsid w:val="00575A91"/>
    <w:rsid w:val="0057765C"/>
    <w:rsid w:val="0058369F"/>
    <w:rsid w:val="00584FC4"/>
    <w:rsid w:val="00593616"/>
    <w:rsid w:val="00593DFE"/>
    <w:rsid w:val="00596B50"/>
    <w:rsid w:val="00597F94"/>
    <w:rsid w:val="005B5AF1"/>
    <w:rsid w:val="005B624C"/>
    <w:rsid w:val="005F2718"/>
    <w:rsid w:val="005F7666"/>
    <w:rsid w:val="006140DE"/>
    <w:rsid w:val="00615D4A"/>
    <w:rsid w:val="00621321"/>
    <w:rsid w:val="0063077D"/>
    <w:rsid w:val="006418AA"/>
    <w:rsid w:val="00651ED4"/>
    <w:rsid w:val="006536D3"/>
    <w:rsid w:val="006565B3"/>
    <w:rsid w:val="00657F6E"/>
    <w:rsid w:val="006659B7"/>
    <w:rsid w:val="00676426"/>
    <w:rsid w:val="00683DE9"/>
    <w:rsid w:val="0069799F"/>
    <w:rsid w:val="006A2A33"/>
    <w:rsid w:val="006A724E"/>
    <w:rsid w:val="006B2655"/>
    <w:rsid w:val="006B62F6"/>
    <w:rsid w:val="006B7D74"/>
    <w:rsid w:val="006C46C9"/>
    <w:rsid w:val="006C7199"/>
    <w:rsid w:val="006E073E"/>
    <w:rsid w:val="006F440F"/>
    <w:rsid w:val="00712A36"/>
    <w:rsid w:val="00727677"/>
    <w:rsid w:val="00727C31"/>
    <w:rsid w:val="007312A4"/>
    <w:rsid w:val="007449EF"/>
    <w:rsid w:val="0078262C"/>
    <w:rsid w:val="007876AA"/>
    <w:rsid w:val="00787AC5"/>
    <w:rsid w:val="00790E7A"/>
    <w:rsid w:val="007A7F06"/>
    <w:rsid w:val="007B0548"/>
    <w:rsid w:val="007B13CE"/>
    <w:rsid w:val="007C3A48"/>
    <w:rsid w:val="007C5EF9"/>
    <w:rsid w:val="007C63CD"/>
    <w:rsid w:val="007D677E"/>
    <w:rsid w:val="007E4F06"/>
    <w:rsid w:val="007F0826"/>
    <w:rsid w:val="008113E5"/>
    <w:rsid w:val="00811904"/>
    <w:rsid w:val="008131FF"/>
    <w:rsid w:val="00817F06"/>
    <w:rsid w:val="008243E4"/>
    <w:rsid w:val="00840DBE"/>
    <w:rsid w:val="00842BF6"/>
    <w:rsid w:val="00843E64"/>
    <w:rsid w:val="00844369"/>
    <w:rsid w:val="0085302F"/>
    <w:rsid w:val="00855C82"/>
    <w:rsid w:val="0087248C"/>
    <w:rsid w:val="00883D24"/>
    <w:rsid w:val="008A71E2"/>
    <w:rsid w:val="008A7402"/>
    <w:rsid w:val="008C1929"/>
    <w:rsid w:val="008D0191"/>
    <w:rsid w:val="008D6AAB"/>
    <w:rsid w:val="008E784C"/>
    <w:rsid w:val="008F02E0"/>
    <w:rsid w:val="008F6D58"/>
    <w:rsid w:val="0090143F"/>
    <w:rsid w:val="00907727"/>
    <w:rsid w:val="009146C4"/>
    <w:rsid w:val="00921C40"/>
    <w:rsid w:val="00922C0C"/>
    <w:rsid w:val="009274BB"/>
    <w:rsid w:val="009319FE"/>
    <w:rsid w:val="009412FB"/>
    <w:rsid w:val="00943820"/>
    <w:rsid w:val="00943B34"/>
    <w:rsid w:val="00953F02"/>
    <w:rsid w:val="00965CEC"/>
    <w:rsid w:val="0097209E"/>
    <w:rsid w:val="00975DB7"/>
    <w:rsid w:val="0098087F"/>
    <w:rsid w:val="00993F4E"/>
    <w:rsid w:val="009A0B4B"/>
    <w:rsid w:val="009A740A"/>
    <w:rsid w:val="009B18B5"/>
    <w:rsid w:val="009B6AC0"/>
    <w:rsid w:val="009B7DCB"/>
    <w:rsid w:val="009D18E7"/>
    <w:rsid w:val="009D6650"/>
    <w:rsid w:val="009F790A"/>
    <w:rsid w:val="00A06D28"/>
    <w:rsid w:val="00A06EFD"/>
    <w:rsid w:val="00A16983"/>
    <w:rsid w:val="00A20CBF"/>
    <w:rsid w:val="00A30EF2"/>
    <w:rsid w:val="00A33E7F"/>
    <w:rsid w:val="00A44162"/>
    <w:rsid w:val="00A479CD"/>
    <w:rsid w:val="00A52FCF"/>
    <w:rsid w:val="00A83C22"/>
    <w:rsid w:val="00A85C72"/>
    <w:rsid w:val="00A90892"/>
    <w:rsid w:val="00A95F00"/>
    <w:rsid w:val="00AA42EE"/>
    <w:rsid w:val="00AD7840"/>
    <w:rsid w:val="00AE1E1C"/>
    <w:rsid w:val="00AE6093"/>
    <w:rsid w:val="00AF59A2"/>
    <w:rsid w:val="00AF6700"/>
    <w:rsid w:val="00B04B26"/>
    <w:rsid w:val="00B05633"/>
    <w:rsid w:val="00B1392C"/>
    <w:rsid w:val="00B1512F"/>
    <w:rsid w:val="00B1590B"/>
    <w:rsid w:val="00B2534D"/>
    <w:rsid w:val="00B3116A"/>
    <w:rsid w:val="00B32E40"/>
    <w:rsid w:val="00B333AB"/>
    <w:rsid w:val="00B410EA"/>
    <w:rsid w:val="00B45304"/>
    <w:rsid w:val="00B546C8"/>
    <w:rsid w:val="00B603AB"/>
    <w:rsid w:val="00B64BDE"/>
    <w:rsid w:val="00B664EB"/>
    <w:rsid w:val="00B670B5"/>
    <w:rsid w:val="00B73736"/>
    <w:rsid w:val="00B74274"/>
    <w:rsid w:val="00B74872"/>
    <w:rsid w:val="00B754F4"/>
    <w:rsid w:val="00B80019"/>
    <w:rsid w:val="00B86B22"/>
    <w:rsid w:val="00B976D6"/>
    <w:rsid w:val="00B97974"/>
    <w:rsid w:val="00BA7F23"/>
    <w:rsid w:val="00BB6725"/>
    <w:rsid w:val="00BB79A4"/>
    <w:rsid w:val="00BC35A8"/>
    <w:rsid w:val="00BD16C2"/>
    <w:rsid w:val="00BE2AA1"/>
    <w:rsid w:val="00C03810"/>
    <w:rsid w:val="00C03FD6"/>
    <w:rsid w:val="00C128EC"/>
    <w:rsid w:val="00C13AD0"/>
    <w:rsid w:val="00C2679D"/>
    <w:rsid w:val="00C67573"/>
    <w:rsid w:val="00C85595"/>
    <w:rsid w:val="00C92602"/>
    <w:rsid w:val="00CA3F16"/>
    <w:rsid w:val="00CB269D"/>
    <w:rsid w:val="00CB7A9A"/>
    <w:rsid w:val="00CC5B87"/>
    <w:rsid w:val="00CE35CE"/>
    <w:rsid w:val="00CE76A9"/>
    <w:rsid w:val="00D16368"/>
    <w:rsid w:val="00D17D61"/>
    <w:rsid w:val="00D23A7A"/>
    <w:rsid w:val="00D26552"/>
    <w:rsid w:val="00D35420"/>
    <w:rsid w:val="00D41B76"/>
    <w:rsid w:val="00D43AED"/>
    <w:rsid w:val="00D4511E"/>
    <w:rsid w:val="00D51844"/>
    <w:rsid w:val="00D53A10"/>
    <w:rsid w:val="00D5475F"/>
    <w:rsid w:val="00D70CB3"/>
    <w:rsid w:val="00D913BE"/>
    <w:rsid w:val="00D9485E"/>
    <w:rsid w:val="00DA7DD9"/>
    <w:rsid w:val="00DB23BE"/>
    <w:rsid w:val="00DB2529"/>
    <w:rsid w:val="00E04E7B"/>
    <w:rsid w:val="00E101F3"/>
    <w:rsid w:val="00E17CD2"/>
    <w:rsid w:val="00E26482"/>
    <w:rsid w:val="00E335B9"/>
    <w:rsid w:val="00E41516"/>
    <w:rsid w:val="00E43100"/>
    <w:rsid w:val="00E44CE6"/>
    <w:rsid w:val="00E62441"/>
    <w:rsid w:val="00E904AE"/>
    <w:rsid w:val="00E948DC"/>
    <w:rsid w:val="00E97312"/>
    <w:rsid w:val="00EA1598"/>
    <w:rsid w:val="00EA7E72"/>
    <w:rsid w:val="00EB7811"/>
    <w:rsid w:val="00EC12CA"/>
    <w:rsid w:val="00ED1A8B"/>
    <w:rsid w:val="00ED442A"/>
    <w:rsid w:val="00EF0B14"/>
    <w:rsid w:val="00F211D9"/>
    <w:rsid w:val="00F218F1"/>
    <w:rsid w:val="00F23210"/>
    <w:rsid w:val="00F32E98"/>
    <w:rsid w:val="00F5199D"/>
    <w:rsid w:val="00F51D3E"/>
    <w:rsid w:val="00F51FDB"/>
    <w:rsid w:val="00F571D6"/>
    <w:rsid w:val="00F579A1"/>
    <w:rsid w:val="00F65911"/>
    <w:rsid w:val="00F73A8D"/>
    <w:rsid w:val="00F86E79"/>
    <w:rsid w:val="00F926AF"/>
    <w:rsid w:val="00F9780E"/>
    <w:rsid w:val="00FA43C2"/>
    <w:rsid w:val="00FB4157"/>
    <w:rsid w:val="00FB4F79"/>
    <w:rsid w:val="00FB6F4F"/>
    <w:rsid w:val="00FE1BF6"/>
    <w:rsid w:val="00FF39E4"/>
    <w:rsid w:val="00FF69D4"/>
    <w:rsid w:val="00FF7179"/>
    <w:rsid w:val="0430B0D8"/>
    <w:rsid w:val="0F0D11BF"/>
    <w:rsid w:val="10DE7AA0"/>
    <w:rsid w:val="11AA9680"/>
    <w:rsid w:val="16CBFF26"/>
    <w:rsid w:val="31E2049E"/>
    <w:rsid w:val="3D7BAA70"/>
    <w:rsid w:val="3DD5457C"/>
    <w:rsid w:val="4712D9F1"/>
    <w:rsid w:val="4BADD071"/>
    <w:rsid w:val="50404615"/>
    <w:rsid w:val="53795330"/>
    <w:rsid w:val="70303646"/>
    <w:rsid w:val="7A035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6F7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style>
  <w:style w:type="paragraph" w:styleId="Heading1">
    <w:name w:val="heading 1"/>
    <w:basedOn w:val="Normal"/>
    <w:uiPriority w:val="1"/>
    <w:qFormat/>
    <w:pPr>
      <w:ind w:left="116"/>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736"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customStyle="1" w:styleId="Default">
    <w:name w:val="Default"/>
    <w:rsid w:val="006C46C9"/>
    <w:pPr>
      <w:widowControl/>
      <w:autoSpaceDE w:val="0"/>
      <w:autoSpaceDN w:val="0"/>
      <w:adjustRightInd w:val="0"/>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E904AE"/>
    <w:pPr>
      <w:tabs>
        <w:tab w:val="center" w:pos="4680"/>
        <w:tab w:val="right" w:pos="9360"/>
      </w:tabs>
    </w:pPr>
  </w:style>
  <w:style w:type="character" w:customStyle="1" w:styleId="HeaderChar">
    <w:name w:val="Header Char"/>
    <w:basedOn w:val="DefaultParagraphFont"/>
    <w:link w:val="Header"/>
    <w:uiPriority w:val="99"/>
    <w:rsid w:val="00E904AE"/>
  </w:style>
  <w:style w:type="paragraph" w:styleId="Footer">
    <w:name w:val="footer"/>
    <w:basedOn w:val="Normal"/>
    <w:link w:val="FooterChar"/>
    <w:uiPriority w:val="99"/>
    <w:unhideWhenUsed/>
    <w:rsid w:val="00E904AE"/>
    <w:pPr>
      <w:tabs>
        <w:tab w:val="center" w:pos="4680"/>
        <w:tab w:val="right" w:pos="9360"/>
      </w:tabs>
    </w:pPr>
  </w:style>
  <w:style w:type="character" w:customStyle="1" w:styleId="FooterChar">
    <w:name w:val="Footer Char"/>
    <w:basedOn w:val="DefaultParagraphFont"/>
    <w:link w:val="Footer"/>
    <w:uiPriority w:val="99"/>
    <w:rsid w:val="00E904AE"/>
  </w:style>
  <w:style w:type="table" w:styleId="TableGrid">
    <w:name w:val="Table Grid"/>
    <w:basedOn w:val="TableNormal"/>
    <w:uiPriority w:val="39"/>
    <w:rsid w:val="002F4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0CB3"/>
    <w:rPr>
      <w:color w:val="0000FF" w:themeColor="hyperlink"/>
      <w:u w:val="single"/>
    </w:rPr>
  </w:style>
  <w:style w:type="character" w:styleId="Mention">
    <w:name w:val="Mention"/>
    <w:basedOn w:val="DefaultParagraphFont"/>
    <w:uiPriority w:val="99"/>
    <w:semiHidden/>
    <w:unhideWhenUsed/>
    <w:rsid w:val="00D70CB3"/>
    <w:rPr>
      <w:color w:val="2B579A"/>
      <w:shd w:val="clear" w:color="auto" w:fill="E6E6E6"/>
    </w:rPr>
  </w:style>
  <w:style w:type="character" w:styleId="CommentReference">
    <w:name w:val="annotation reference"/>
    <w:basedOn w:val="DefaultParagraphFont"/>
    <w:uiPriority w:val="99"/>
    <w:semiHidden/>
    <w:unhideWhenUsed/>
    <w:rsid w:val="003D317D"/>
    <w:rPr>
      <w:sz w:val="16"/>
      <w:szCs w:val="16"/>
    </w:rPr>
  </w:style>
  <w:style w:type="paragraph" w:styleId="CommentText">
    <w:name w:val="annotation text"/>
    <w:basedOn w:val="Normal"/>
    <w:link w:val="CommentTextChar"/>
    <w:uiPriority w:val="99"/>
    <w:semiHidden/>
    <w:unhideWhenUsed/>
    <w:rsid w:val="003D317D"/>
    <w:rPr>
      <w:sz w:val="20"/>
      <w:szCs w:val="20"/>
    </w:rPr>
  </w:style>
  <w:style w:type="character" w:customStyle="1" w:styleId="CommentTextChar">
    <w:name w:val="Comment Text Char"/>
    <w:basedOn w:val="DefaultParagraphFont"/>
    <w:link w:val="CommentText"/>
    <w:uiPriority w:val="99"/>
    <w:semiHidden/>
    <w:rsid w:val="003D317D"/>
    <w:rPr>
      <w:sz w:val="20"/>
      <w:szCs w:val="20"/>
    </w:rPr>
  </w:style>
  <w:style w:type="paragraph" w:styleId="CommentSubject">
    <w:name w:val="annotation subject"/>
    <w:basedOn w:val="CommentText"/>
    <w:next w:val="CommentText"/>
    <w:link w:val="CommentSubjectChar"/>
    <w:uiPriority w:val="99"/>
    <w:semiHidden/>
    <w:unhideWhenUsed/>
    <w:rsid w:val="003D317D"/>
    <w:rPr>
      <w:b/>
      <w:bCs/>
    </w:rPr>
  </w:style>
  <w:style w:type="character" w:customStyle="1" w:styleId="CommentSubjectChar">
    <w:name w:val="Comment Subject Char"/>
    <w:basedOn w:val="CommentTextChar"/>
    <w:link w:val="CommentSubject"/>
    <w:uiPriority w:val="99"/>
    <w:semiHidden/>
    <w:rsid w:val="003D317D"/>
    <w:rPr>
      <w:b/>
      <w:bCs/>
      <w:sz w:val="20"/>
      <w:szCs w:val="20"/>
    </w:rPr>
  </w:style>
  <w:style w:type="paragraph" w:styleId="BalloonText">
    <w:name w:val="Balloon Text"/>
    <w:basedOn w:val="Normal"/>
    <w:link w:val="BalloonTextChar"/>
    <w:uiPriority w:val="99"/>
    <w:semiHidden/>
    <w:unhideWhenUsed/>
    <w:rsid w:val="003D3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17D"/>
    <w:rPr>
      <w:rFonts w:ascii="Segoe UI" w:hAnsi="Segoe UI" w:cs="Segoe UI"/>
      <w:sz w:val="18"/>
      <w:szCs w:val="18"/>
    </w:rPr>
  </w:style>
  <w:style w:type="paragraph" w:styleId="FootnoteText">
    <w:name w:val="footnote text"/>
    <w:basedOn w:val="Normal"/>
    <w:link w:val="FootnoteTextChar"/>
    <w:uiPriority w:val="99"/>
    <w:semiHidden/>
    <w:unhideWhenUsed/>
    <w:rsid w:val="00B1392C"/>
    <w:rPr>
      <w:sz w:val="20"/>
      <w:szCs w:val="20"/>
    </w:rPr>
  </w:style>
  <w:style w:type="character" w:customStyle="1" w:styleId="FootnoteTextChar">
    <w:name w:val="Footnote Text Char"/>
    <w:basedOn w:val="DefaultParagraphFont"/>
    <w:link w:val="FootnoteText"/>
    <w:uiPriority w:val="99"/>
    <w:semiHidden/>
    <w:rsid w:val="00B1392C"/>
    <w:rPr>
      <w:sz w:val="20"/>
      <w:szCs w:val="20"/>
    </w:rPr>
  </w:style>
  <w:style w:type="character" w:styleId="FootnoteReference">
    <w:name w:val="footnote reference"/>
    <w:basedOn w:val="DefaultParagraphFont"/>
    <w:uiPriority w:val="99"/>
    <w:semiHidden/>
    <w:unhideWhenUsed/>
    <w:rsid w:val="00B1392C"/>
    <w:rPr>
      <w:vertAlign w:val="superscript"/>
    </w:rPr>
  </w:style>
  <w:style w:type="paragraph" w:styleId="Revision">
    <w:name w:val="Revision"/>
    <w:hidden/>
    <w:uiPriority w:val="99"/>
    <w:semiHidden/>
    <w:rsid w:val="0014783D"/>
    <w:pPr>
      <w:widowControl/>
    </w:pPr>
  </w:style>
  <w:style w:type="character" w:styleId="UnresolvedMention">
    <w:name w:val="Unresolved Mention"/>
    <w:basedOn w:val="DefaultParagraphFont"/>
    <w:uiPriority w:val="99"/>
    <w:semiHidden/>
    <w:unhideWhenUsed/>
    <w:rsid w:val="00090093"/>
    <w:rPr>
      <w:color w:val="808080"/>
      <w:shd w:val="clear" w:color="auto" w:fill="E6E6E6"/>
    </w:rPr>
  </w:style>
  <w:style w:type="character" w:styleId="FollowedHyperlink">
    <w:name w:val="FollowedHyperlink"/>
    <w:basedOn w:val="DefaultParagraphFont"/>
    <w:uiPriority w:val="99"/>
    <w:semiHidden/>
    <w:unhideWhenUsed/>
    <w:rsid w:val="005F27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867208">
      <w:bodyDiv w:val="1"/>
      <w:marLeft w:val="0"/>
      <w:marRight w:val="0"/>
      <w:marTop w:val="0"/>
      <w:marBottom w:val="0"/>
      <w:divBdr>
        <w:top w:val="none" w:sz="0" w:space="0" w:color="auto"/>
        <w:left w:val="none" w:sz="0" w:space="0" w:color="auto"/>
        <w:bottom w:val="none" w:sz="0" w:space="0" w:color="auto"/>
        <w:right w:val="none" w:sz="0" w:space="0" w:color="auto"/>
      </w:divBdr>
    </w:div>
    <w:div w:id="299116133">
      <w:bodyDiv w:val="1"/>
      <w:marLeft w:val="0"/>
      <w:marRight w:val="0"/>
      <w:marTop w:val="0"/>
      <w:marBottom w:val="0"/>
      <w:divBdr>
        <w:top w:val="none" w:sz="0" w:space="0" w:color="auto"/>
        <w:left w:val="none" w:sz="0" w:space="0" w:color="auto"/>
        <w:bottom w:val="none" w:sz="0" w:space="0" w:color="auto"/>
        <w:right w:val="none" w:sz="0" w:space="0" w:color="auto"/>
      </w:divBdr>
    </w:div>
    <w:div w:id="510293559">
      <w:bodyDiv w:val="1"/>
      <w:marLeft w:val="0"/>
      <w:marRight w:val="0"/>
      <w:marTop w:val="0"/>
      <w:marBottom w:val="0"/>
      <w:divBdr>
        <w:top w:val="none" w:sz="0" w:space="0" w:color="auto"/>
        <w:left w:val="none" w:sz="0" w:space="0" w:color="auto"/>
        <w:bottom w:val="none" w:sz="0" w:space="0" w:color="auto"/>
        <w:right w:val="none" w:sz="0" w:space="0" w:color="auto"/>
      </w:divBdr>
    </w:div>
    <w:div w:id="580911572">
      <w:bodyDiv w:val="1"/>
      <w:marLeft w:val="0"/>
      <w:marRight w:val="0"/>
      <w:marTop w:val="0"/>
      <w:marBottom w:val="0"/>
      <w:divBdr>
        <w:top w:val="none" w:sz="0" w:space="0" w:color="auto"/>
        <w:left w:val="none" w:sz="0" w:space="0" w:color="auto"/>
        <w:bottom w:val="none" w:sz="0" w:space="0" w:color="auto"/>
        <w:right w:val="none" w:sz="0" w:space="0" w:color="auto"/>
      </w:divBdr>
    </w:div>
    <w:div w:id="632056213">
      <w:bodyDiv w:val="1"/>
      <w:marLeft w:val="0"/>
      <w:marRight w:val="0"/>
      <w:marTop w:val="0"/>
      <w:marBottom w:val="0"/>
      <w:divBdr>
        <w:top w:val="none" w:sz="0" w:space="0" w:color="auto"/>
        <w:left w:val="none" w:sz="0" w:space="0" w:color="auto"/>
        <w:bottom w:val="none" w:sz="0" w:space="0" w:color="auto"/>
        <w:right w:val="none" w:sz="0" w:space="0" w:color="auto"/>
      </w:divBdr>
    </w:div>
    <w:div w:id="692339133">
      <w:bodyDiv w:val="1"/>
      <w:marLeft w:val="0"/>
      <w:marRight w:val="0"/>
      <w:marTop w:val="0"/>
      <w:marBottom w:val="0"/>
      <w:divBdr>
        <w:top w:val="none" w:sz="0" w:space="0" w:color="auto"/>
        <w:left w:val="none" w:sz="0" w:space="0" w:color="auto"/>
        <w:bottom w:val="none" w:sz="0" w:space="0" w:color="auto"/>
        <w:right w:val="none" w:sz="0" w:space="0" w:color="auto"/>
      </w:divBdr>
    </w:div>
    <w:div w:id="702898025">
      <w:bodyDiv w:val="1"/>
      <w:marLeft w:val="0"/>
      <w:marRight w:val="0"/>
      <w:marTop w:val="0"/>
      <w:marBottom w:val="0"/>
      <w:divBdr>
        <w:top w:val="none" w:sz="0" w:space="0" w:color="auto"/>
        <w:left w:val="none" w:sz="0" w:space="0" w:color="auto"/>
        <w:bottom w:val="none" w:sz="0" w:space="0" w:color="auto"/>
        <w:right w:val="none" w:sz="0" w:space="0" w:color="auto"/>
      </w:divBdr>
    </w:div>
    <w:div w:id="884489216">
      <w:bodyDiv w:val="1"/>
      <w:marLeft w:val="0"/>
      <w:marRight w:val="0"/>
      <w:marTop w:val="0"/>
      <w:marBottom w:val="0"/>
      <w:divBdr>
        <w:top w:val="none" w:sz="0" w:space="0" w:color="auto"/>
        <w:left w:val="none" w:sz="0" w:space="0" w:color="auto"/>
        <w:bottom w:val="none" w:sz="0" w:space="0" w:color="auto"/>
        <w:right w:val="none" w:sz="0" w:space="0" w:color="auto"/>
      </w:divBdr>
    </w:div>
    <w:div w:id="955865238">
      <w:bodyDiv w:val="1"/>
      <w:marLeft w:val="0"/>
      <w:marRight w:val="0"/>
      <w:marTop w:val="0"/>
      <w:marBottom w:val="0"/>
      <w:divBdr>
        <w:top w:val="none" w:sz="0" w:space="0" w:color="auto"/>
        <w:left w:val="none" w:sz="0" w:space="0" w:color="auto"/>
        <w:bottom w:val="none" w:sz="0" w:space="0" w:color="auto"/>
        <w:right w:val="none" w:sz="0" w:space="0" w:color="auto"/>
      </w:divBdr>
    </w:div>
    <w:div w:id="1052540690">
      <w:bodyDiv w:val="1"/>
      <w:marLeft w:val="0"/>
      <w:marRight w:val="0"/>
      <w:marTop w:val="0"/>
      <w:marBottom w:val="0"/>
      <w:divBdr>
        <w:top w:val="none" w:sz="0" w:space="0" w:color="auto"/>
        <w:left w:val="none" w:sz="0" w:space="0" w:color="auto"/>
        <w:bottom w:val="none" w:sz="0" w:space="0" w:color="auto"/>
        <w:right w:val="none" w:sz="0" w:space="0" w:color="auto"/>
      </w:divBdr>
    </w:div>
    <w:div w:id="1213423900">
      <w:bodyDiv w:val="1"/>
      <w:marLeft w:val="0"/>
      <w:marRight w:val="0"/>
      <w:marTop w:val="0"/>
      <w:marBottom w:val="0"/>
      <w:divBdr>
        <w:top w:val="none" w:sz="0" w:space="0" w:color="auto"/>
        <w:left w:val="none" w:sz="0" w:space="0" w:color="auto"/>
        <w:bottom w:val="none" w:sz="0" w:space="0" w:color="auto"/>
        <w:right w:val="none" w:sz="0" w:space="0" w:color="auto"/>
      </w:divBdr>
    </w:div>
    <w:div w:id="1374430312">
      <w:bodyDiv w:val="1"/>
      <w:marLeft w:val="0"/>
      <w:marRight w:val="0"/>
      <w:marTop w:val="0"/>
      <w:marBottom w:val="0"/>
      <w:divBdr>
        <w:top w:val="none" w:sz="0" w:space="0" w:color="auto"/>
        <w:left w:val="none" w:sz="0" w:space="0" w:color="auto"/>
        <w:bottom w:val="none" w:sz="0" w:space="0" w:color="auto"/>
        <w:right w:val="none" w:sz="0" w:space="0" w:color="auto"/>
      </w:divBdr>
    </w:div>
    <w:div w:id="1414742247">
      <w:bodyDiv w:val="1"/>
      <w:marLeft w:val="0"/>
      <w:marRight w:val="0"/>
      <w:marTop w:val="0"/>
      <w:marBottom w:val="0"/>
      <w:divBdr>
        <w:top w:val="none" w:sz="0" w:space="0" w:color="auto"/>
        <w:left w:val="none" w:sz="0" w:space="0" w:color="auto"/>
        <w:bottom w:val="none" w:sz="0" w:space="0" w:color="auto"/>
        <w:right w:val="none" w:sz="0" w:space="0" w:color="auto"/>
      </w:divBdr>
    </w:div>
    <w:div w:id="1900087460">
      <w:bodyDiv w:val="1"/>
      <w:marLeft w:val="0"/>
      <w:marRight w:val="0"/>
      <w:marTop w:val="0"/>
      <w:marBottom w:val="0"/>
      <w:divBdr>
        <w:top w:val="none" w:sz="0" w:space="0" w:color="auto"/>
        <w:left w:val="none" w:sz="0" w:space="0" w:color="auto"/>
        <w:bottom w:val="none" w:sz="0" w:space="0" w:color="auto"/>
        <w:right w:val="none" w:sz="0" w:space="0" w:color="auto"/>
      </w:divBdr>
    </w:div>
    <w:div w:id="1969165291">
      <w:bodyDiv w:val="1"/>
      <w:marLeft w:val="0"/>
      <w:marRight w:val="0"/>
      <w:marTop w:val="0"/>
      <w:marBottom w:val="0"/>
      <w:divBdr>
        <w:top w:val="none" w:sz="0" w:space="0" w:color="auto"/>
        <w:left w:val="none" w:sz="0" w:space="0" w:color="auto"/>
        <w:bottom w:val="none" w:sz="0" w:space="0" w:color="auto"/>
        <w:right w:val="none" w:sz="0" w:space="0" w:color="auto"/>
      </w:divBdr>
    </w:div>
    <w:div w:id="2053963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63026AED46D945B715A532DC9858DA" ma:contentTypeVersion="10" ma:contentTypeDescription="Create a new document." ma:contentTypeScope="" ma:versionID="37a333c03cc028cc5d6acfa39430ef35">
  <xsd:schema xmlns:xsd="http://www.w3.org/2001/XMLSchema" xmlns:xs="http://www.w3.org/2001/XMLSchema" xmlns:p="http://schemas.microsoft.com/office/2006/metadata/properties" xmlns:ns3="e718818b-85ba-4fc2-a5d9-794799541639" targetNamespace="http://schemas.microsoft.com/office/2006/metadata/properties" ma:root="true" ma:fieldsID="8cbbe7e7bc727cfc995e6f9c82e38638" ns3:_="">
    <xsd:import namespace="e718818b-85ba-4fc2-a5d9-794799541639"/>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18818b-85ba-4fc2-a5d9-7947995416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441B6-5A9E-4162-90A6-85D158A665DB}">
  <ds:schemaRefs>
    <ds:schemaRef ds:uri="http://schemas.microsoft.com/office/2006/documentManagement/types"/>
    <ds:schemaRef ds:uri="http://purl.org/dc/elements/1.1/"/>
    <ds:schemaRef ds:uri="http://schemas.microsoft.com/office/2006/metadata/properties"/>
    <ds:schemaRef ds:uri="e718818b-85ba-4fc2-a5d9-794799541639"/>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33450EEE-53DD-4959-82D9-157AF23E2954}">
  <ds:schemaRefs>
    <ds:schemaRef ds:uri="http://schemas.microsoft.com/sharepoint/v3/contenttype/forms"/>
  </ds:schemaRefs>
</ds:datastoreItem>
</file>

<file path=customXml/itemProps3.xml><?xml version="1.0" encoding="utf-8"?>
<ds:datastoreItem xmlns:ds="http://schemas.openxmlformats.org/officeDocument/2006/customXml" ds:itemID="{232D6D56-53D8-4C0D-B9DF-1E57F0E9B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18818b-85ba-4fc2-a5d9-794799541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BE6139-40F2-4517-810C-BDBD8AB7C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1504</Words>
  <Characters>8574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2020-05-22T21:49:00Z</dcterms:created>
  <dcterms:modified xsi:type="dcterms:W3CDTF">2020-05-23T00:59:00Z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0x0101006963026AED46D945B715A532DC9858DA</vt:lpwstr>
  </property>
</Properties>
</file>