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What criteria does SDG&amp;E use to determine eligibility for the interim demand charge discount? </w:t>
      </w:r>
      <w:r w:rsidR="00E53767">
        <w:rPr>
          <w:bCs/>
          <w:sz w:val="24"/>
          <w:szCs w:val="24"/>
        </w:rPr>
        <w:br/>
      </w:r>
      <w:r w:rsidR="00E53767">
        <w:rPr>
          <w:bCs/>
          <w:sz w:val="24"/>
          <w:szCs w:val="24"/>
        </w:rPr>
        <w:br/>
      </w:r>
      <w:r w:rsidR="008C6D7F">
        <w:rPr>
          <w:b/>
          <w:bCs/>
          <w:sz w:val="24"/>
          <w:szCs w:val="24"/>
        </w:rPr>
        <w:t xml:space="preserve">SDG&amp;E response: </w:t>
      </w:r>
      <w:r w:rsidR="00E53767">
        <w:rPr>
          <w:bCs/>
          <w:sz w:val="24"/>
          <w:szCs w:val="24"/>
        </w:rPr>
        <w:t xml:space="preserve">SDG&amp;E proposes that </w:t>
      </w:r>
      <w:r w:rsidR="00DD1433">
        <w:rPr>
          <w:bCs/>
          <w:sz w:val="24"/>
          <w:szCs w:val="24"/>
        </w:rPr>
        <w:t>separately-metered DCFC and MD/HD EV charging be eligible for the interim demand charge discount.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How will SDG&amp;E validate that customers are eligible for the interim demand charge discount?</w:t>
      </w:r>
      <w:r w:rsidR="00DD1433">
        <w:rPr>
          <w:bCs/>
          <w:sz w:val="24"/>
          <w:szCs w:val="24"/>
        </w:rPr>
        <w:br/>
      </w:r>
      <w:r w:rsidR="00DD1433">
        <w:rPr>
          <w:bCs/>
          <w:sz w:val="24"/>
          <w:szCs w:val="24"/>
        </w:rPr>
        <w:br/>
      </w:r>
      <w:r w:rsidR="008C6D7F">
        <w:rPr>
          <w:b/>
          <w:bCs/>
          <w:sz w:val="24"/>
          <w:szCs w:val="24"/>
        </w:rPr>
        <w:t xml:space="preserve">SDG&amp;E response: </w:t>
      </w:r>
      <w:r w:rsidR="00DD1433">
        <w:rPr>
          <w:bCs/>
          <w:sz w:val="24"/>
          <w:szCs w:val="24"/>
        </w:rPr>
        <w:t>Customers who receive the interim demand charge discount will</w:t>
      </w:r>
      <w:r w:rsidR="00B32120">
        <w:rPr>
          <w:bCs/>
          <w:sz w:val="24"/>
          <w:szCs w:val="24"/>
        </w:rPr>
        <w:t xml:space="preserve"> be required</w:t>
      </w:r>
      <w:r w:rsidR="00DD1433">
        <w:rPr>
          <w:bCs/>
          <w:sz w:val="24"/>
          <w:szCs w:val="24"/>
        </w:rPr>
        <w:t xml:space="preserve"> to sign an affidavit </w:t>
      </w:r>
      <w:r w:rsidR="00C84BA5">
        <w:rPr>
          <w:bCs/>
          <w:sz w:val="24"/>
          <w:szCs w:val="24"/>
        </w:rPr>
        <w:t xml:space="preserve">or other form of confirmation </w:t>
      </w:r>
      <w:r w:rsidR="00711748">
        <w:rPr>
          <w:bCs/>
          <w:sz w:val="24"/>
          <w:szCs w:val="24"/>
        </w:rPr>
        <w:t>verifying</w:t>
      </w:r>
      <w:r w:rsidR="002C1E3E">
        <w:rPr>
          <w:bCs/>
          <w:sz w:val="24"/>
          <w:szCs w:val="24"/>
        </w:rPr>
        <w:t xml:space="preserve"> their eligibility. 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Regarding SDG&amp;E’s proposed interim demand charge discount:</w:t>
      </w:r>
    </w:p>
    <w:p w:rsidR="002C1E3E" w:rsidRPr="002C1E3E" w:rsidRDefault="00BD64B7" w:rsidP="002C1E3E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any workpapers supporting SDG&amp;E’s interim demand charge discount.</w:t>
      </w:r>
      <w:r w:rsidR="002C1E3E">
        <w:rPr>
          <w:bCs/>
          <w:sz w:val="24"/>
          <w:szCs w:val="24"/>
        </w:rPr>
        <w:br/>
      </w:r>
      <w:r w:rsidR="002C1E3E">
        <w:rPr>
          <w:bCs/>
          <w:sz w:val="24"/>
          <w:szCs w:val="24"/>
        </w:rPr>
        <w:br/>
      </w:r>
      <w:r w:rsidR="008C6D7F">
        <w:rPr>
          <w:b/>
          <w:bCs/>
          <w:sz w:val="24"/>
          <w:szCs w:val="24"/>
        </w:rPr>
        <w:t xml:space="preserve">SDG&amp;E response: </w:t>
      </w:r>
      <w:r w:rsidR="002C1E3E">
        <w:rPr>
          <w:bCs/>
          <w:sz w:val="24"/>
          <w:szCs w:val="24"/>
        </w:rPr>
        <w:t>N/A.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Has SDG&amp;E estimated the magnitude of the potential revenue shortfall associated with the interim discount?  What assumptions does SDG&amp;E use to estimate the size of the revenue shortfall?</w:t>
      </w:r>
      <w:r w:rsidR="002C1E3E">
        <w:rPr>
          <w:bCs/>
          <w:sz w:val="24"/>
          <w:szCs w:val="24"/>
        </w:rPr>
        <w:br/>
      </w:r>
      <w:r w:rsidR="002C1E3E">
        <w:rPr>
          <w:bCs/>
          <w:sz w:val="24"/>
          <w:szCs w:val="24"/>
        </w:rPr>
        <w:br/>
      </w:r>
      <w:r w:rsidR="008C6D7F">
        <w:rPr>
          <w:b/>
          <w:bCs/>
          <w:sz w:val="24"/>
          <w:szCs w:val="24"/>
        </w:rPr>
        <w:t xml:space="preserve">SDG&amp;E response: </w:t>
      </w:r>
      <w:r w:rsidR="00482106">
        <w:rPr>
          <w:bCs/>
          <w:sz w:val="24"/>
          <w:szCs w:val="24"/>
        </w:rPr>
        <w:t xml:space="preserve">The revenue shortfall associated with the interim discount, </w:t>
      </w:r>
      <w:r w:rsidR="0016533F">
        <w:rPr>
          <w:bCs/>
          <w:sz w:val="24"/>
          <w:szCs w:val="24"/>
        </w:rPr>
        <w:t xml:space="preserve">as defined as the revenue SDG&amp;E would have earned from customers receiving the discount on their un-discounted rate, </w:t>
      </w:r>
      <w:r w:rsidR="003169ED">
        <w:rPr>
          <w:bCs/>
          <w:sz w:val="24"/>
          <w:szCs w:val="24"/>
        </w:rPr>
        <w:t xml:space="preserve">will depend on customer uptake of the EV-HP rate, their usage patterns, and EV adoption scenarios. </w:t>
      </w:r>
      <w:r w:rsidR="003F7C58">
        <w:rPr>
          <w:bCs/>
          <w:sz w:val="24"/>
          <w:szCs w:val="24"/>
        </w:rPr>
        <w:t>SDG&amp;E did not estimate this revenue shortfall due to uncertain</w:t>
      </w:r>
      <w:r w:rsidR="00805DBF">
        <w:rPr>
          <w:bCs/>
          <w:sz w:val="24"/>
          <w:szCs w:val="24"/>
        </w:rPr>
        <w:t>ty around these factors.</w:t>
      </w:r>
      <w:r w:rsidR="000C4CBE">
        <w:rPr>
          <w:bCs/>
          <w:sz w:val="24"/>
          <w:szCs w:val="24"/>
        </w:rPr>
        <w:br/>
      </w:r>
      <w:r w:rsidR="000C4CBE">
        <w:rPr>
          <w:bCs/>
          <w:sz w:val="24"/>
          <w:szCs w:val="24"/>
        </w:rPr>
        <w:br/>
      </w:r>
      <w:r w:rsidR="000C4CBE" w:rsidRPr="000C4CBE">
        <w:rPr>
          <w:bCs/>
          <w:sz w:val="24"/>
          <w:szCs w:val="24"/>
        </w:rPr>
        <w:t>SDG&amp;E will track revenue shortfalls associated with the</w:t>
      </w:r>
      <w:r w:rsidR="000C4CBE">
        <w:rPr>
          <w:bCs/>
          <w:sz w:val="24"/>
          <w:szCs w:val="24"/>
        </w:rPr>
        <w:t xml:space="preserve"> interim discount </w:t>
      </w:r>
      <w:r w:rsidR="000C4CBE" w:rsidRPr="000C4CBE">
        <w:rPr>
          <w:bCs/>
          <w:sz w:val="24"/>
          <w:szCs w:val="24"/>
        </w:rPr>
        <w:t>through the proposed EV-HP Incentive Balancing Account.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any projections of EV customer growth over the interim period used in projecting the scope of the interim discount.</w:t>
      </w:r>
    </w:p>
    <w:p w:rsidR="00A249D3" w:rsidRDefault="008C6D7F" w:rsidP="00A249D3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SDG&amp;E response: </w:t>
      </w:r>
      <w:r w:rsidR="00A249D3">
        <w:rPr>
          <w:bCs/>
          <w:sz w:val="24"/>
          <w:szCs w:val="24"/>
        </w:rPr>
        <w:t>SDG&amp;E did not perform these projections.</w:t>
      </w:r>
    </w:p>
    <w:p w:rsidR="00BD64B7" w:rsidRPr="006E6F56" w:rsidRDefault="00BD64B7" w:rsidP="00297039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297039">
        <w:rPr>
          <w:sz w:val="24"/>
          <w:szCs w:val="24"/>
        </w:rPr>
        <w:t xml:space="preserve">How quickly does SDG&amp;E anticipate it can implement the proposed interim demand charge discount were the Commission to authorize it to do so? </w:t>
      </w:r>
      <w:r w:rsidR="00A249D3">
        <w:rPr>
          <w:bCs/>
          <w:sz w:val="24"/>
          <w:szCs w:val="24"/>
        </w:rPr>
        <w:br/>
      </w:r>
      <w:r w:rsidR="00A249D3">
        <w:rPr>
          <w:bCs/>
          <w:sz w:val="24"/>
          <w:szCs w:val="24"/>
        </w:rPr>
        <w:br/>
      </w:r>
      <w:r w:rsidR="008C6D7F">
        <w:rPr>
          <w:b/>
          <w:bCs/>
          <w:sz w:val="24"/>
          <w:szCs w:val="24"/>
        </w:rPr>
        <w:t xml:space="preserve">SDG&amp;E response: </w:t>
      </w:r>
      <w:r w:rsidR="00A249D3" w:rsidRPr="00297039">
        <w:rPr>
          <w:sz w:val="24"/>
          <w:szCs w:val="24"/>
        </w:rPr>
        <w:t xml:space="preserve">SDG&amp;E anticipates that it can implement the proposed </w:t>
      </w:r>
      <w:r w:rsidR="00A249D3" w:rsidRPr="00297039">
        <w:rPr>
          <w:sz w:val="24"/>
          <w:szCs w:val="24"/>
        </w:rPr>
        <w:lastRenderedPageBreak/>
        <w:t xml:space="preserve">interim demand charge discount </w:t>
      </w:r>
      <w:r w:rsidR="6C9F283A" w:rsidRPr="00297039">
        <w:rPr>
          <w:sz w:val="24"/>
          <w:szCs w:val="24"/>
        </w:rPr>
        <w:t>one to three months</w:t>
      </w:r>
      <w:r w:rsidR="009D0A19" w:rsidRPr="006E6F56">
        <w:rPr>
          <w:sz w:val="24"/>
          <w:szCs w:val="24"/>
        </w:rPr>
        <w:t xml:space="preserve"> after receiving Commission authorization to do so.</w:t>
      </w:r>
    </w:p>
    <w:p w:rsidR="008124D4" w:rsidRPr="008124D4" w:rsidRDefault="00BD64B7" w:rsidP="008124D4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Does SDG&amp;E intend to migrate customers receiving the interim discount from its current general service rate to EV-HP when the rate becomes available?  </w:t>
      </w:r>
      <w:r w:rsidR="00B04D2A">
        <w:rPr>
          <w:bCs/>
          <w:sz w:val="24"/>
          <w:szCs w:val="24"/>
        </w:rPr>
        <w:br/>
      </w:r>
      <w:r w:rsidR="00B04D2A">
        <w:rPr>
          <w:bCs/>
          <w:sz w:val="24"/>
          <w:szCs w:val="24"/>
        </w:rPr>
        <w:br/>
      </w:r>
      <w:r w:rsidR="00B04D2A">
        <w:rPr>
          <w:b/>
          <w:bCs/>
          <w:sz w:val="24"/>
          <w:szCs w:val="24"/>
        </w:rPr>
        <w:t xml:space="preserve">SDG&amp;E response: </w:t>
      </w:r>
      <w:r w:rsidR="00B04D2A" w:rsidRPr="00B04D2A">
        <w:rPr>
          <w:bCs/>
          <w:sz w:val="24"/>
          <w:szCs w:val="24"/>
        </w:rPr>
        <w:t>SDG&amp;E does not plan</w:t>
      </w:r>
      <w:r w:rsidR="00B04D2A">
        <w:rPr>
          <w:bCs/>
          <w:sz w:val="24"/>
          <w:szCs w:val="24"/>
        </w:rPr>
        <w:t xml:space="preserve"> to migrate customers </w:t>
      </w:r>
      <w:r w:rsidR="00A91861">
        <w:rPr>
          <w:bCs/>
          <w:sz w:val="24"/>
          <w:szCs w:val="24"/>
        </w:rPr>
        <w:t>receiving</w:t>
      </w:r>
      <w:r w:rsidR="00B04D2A">
        <w:rPr>
          <w:bCs/>
          <w:sz w:val="24"/>
          <w:szCs w:val="24"/>
        </w:rPr>
        <w:t xml:space="preserve"> the interim discount </w:t>
      </w:r>
      <w:r w:rsidR="00A91861">
        <w:rPr>
          <w:bCs/>
          <w:sz w:val="24"/>
          <w:szCs w:val="24"/>
        </w:rPr>
        <w:t xml:space="preserve">from their current rate to EV-HP when the rate becomes available, as EV-HP is </w:t>
      </w:r>
      <w:r w:rsidR="00387CA2">
        <w:rPr>
          <w:bCs/>
          <w:sz w:val="24"/>
          <w:szCs w:val="24"/>
        </w:rPr>
        <w:t xml:space="preserve">proposed as </w:t>
      </w:r>
      <w:r w:rsidR="00A91861">
        <w:rPr>
          <w:bCs/>
          <w:sz w:val="24"/>
          <w:szCs w:val="24"/>
        </w:rPr>
        <w:t>an optional rate that some customers may not</w:t>
      </w:r>
      <w:r w:rsidR="009A591E">
        <w:rPr>
          <w:bCs/>
          <w:sz w:val="24"/>
          <w:szCs w:val="24"/>
        </w:rPr>
        <w:t xml:space="preserve"> wish</w:t>
      </w:r>
      <w:r w:rsidR="00A91861">
        <w:rPr>
          <w:bCs/>
          <w:sz w:val="24"/>
          <w:szCs w:val="24"/>
        </w:rPr>
        <w:t xml:space="preserve"> to enroll in</w:t>
      </w:r>
      <w:r w:rsidR="008124D4">
        <w:rPr>
          <w:bCs/>
          <w:sz w:val="24"/>
          <w:szCs w:val="24"/>
        </w:rPr>
        <w:t>.</w:t>
      </w:r>
      <w:r w:rsidR="00895E24">
        <w:rPr>
          <w:bCs/>
          <w:sz w:val="24"/>
          <w:szCs w:val="24"/>
        </w:rPr>
        <w:t xml:space="preserve"> The interim disc</w:t>
      </w:r>
      <w:r w:rsidR="002545FB">
        <w:rPr>
          <w:bCs/>
          <w:sz w:val="24"/>
          <w:szCs w:val="24"/>
        </w:rPr>
        <w:t xml:space="preserve">ount will be eliminated six months after the EV-HP rate is opened to customer enrollment. </w:t>
      </w:r>
    </w:p>
    <w:p w:rsidR="00BD64B7" w:rsidRPr="00B04D2A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yes, what is SDG&amp;E’s migration plan?  </w:t>
      </w:r>
      <w:r w:rsidR="00B04D2A">
        <w:rPr>
          <w:bCs/>
          <w:sz w:val="24"/>
          <w:szCs w:val="24"/>
        </w:rPr>
        <w:br/>
      </w:r>
      <w:r w:rsidR="00B04D2A">
        <w:rPr>
          <w:bCs/>
          <w:sz w:val="24"/>
          <w:szCs w:val="24"/>
        </w:rPr>
        <w:br/>
      </w:r>
      <w:r w:rsidR="00B04D2A">
        <w:rPr>
          <w:b/>
          <w:bCs/>
          <w:sz w:val="24"/>
          <w:szCs w:val="24"/>
        </w:rPr>
        <w:t xml:space="preserve">SDG&amp;E response: </w:t>
      </w:r>
      <w:r w:rsidR="00B04D2A">
        <w:rPr>
          <w:bCs/>
          <w:sz w:val="24"/>
          <w:szCs w:val="24"/>
        </w:rPr>
        <w:t>N/A</w:t>
      </w:r>
      <w:r w:rsidR="00F24D59">
        <w:rPr>
          <w:bCs/>
          <w:sz w:val="24"/>
          <w:szCs w:val="24"/>
        </w:rPr>
        <w:t>.</w:t>
      </w:r>
      <w:r w:rsidR="00B04D2A" w:rsidRPr="00B04D2A">
        <w:rPr>
          <w:bCs/>
          <w:sz w:val="24"/>
          <w:szCs w:val="24"/>
        </w:rPr>
        <w:t xml:space="preserve"> 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If yes, will customers be notified of the migration and given an opportunity to choose other rate options?</w:t>
      </w:r>
      <w:r w:rsidR="00A91861">
        <w:rPr>
          <w:bCs/>
          <w:sz w:val="24"/>
          <w:szCs w:val="24"/>
        </w:rPr>
        <w:br/>
      </w:r>
      <w:r w:rsidR="00A91861">
        <w:rPr>
          <w:bCs/>
          <w:sz w:val="24"/>
          <w:szCs w:val="24"/>
        </w:rPr>
        <w:br/>
      </w:r>
      <w:r w:rsidR="00A91861">
        <w:rPr>
          <w:b/>
          <w:bCs/>
          <w:sz w:val="24"/>
          <w:szCs w:val="24"/>
        </w:rPr>
        <w:t xml:space="preserve">SDG&amp;E response: </w:t>
      </w:r>
      <w:r w:rsidR="002545FB">
        <w:rPr>
          <w:bCs/>
          <w:sz w:val="24"/>
          <w:szCs w:val="24"/>
        </w:rPr>
        <w:t>Yes, customers receiving the interim discount will be notified that the interim discount will be eliminated six months after the EV-HP rate is opened to customer enrollment and given the opportunity to choose other rate options.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Would there be incremental costs involved in migrating customers from a general service rate receiving the interim discount to EV-HP?  If yes, please quantify.</w:t>
      </w:r>
      <w:r w:rsidR="00A91861">
        <w:rPr>
          <w:bCs/>
          <w:sz w:val="24"/>
          <w:szCs w:val="24"/>
        </w:rPr>
        <w:br/>
      </w:r>
      <w:r w:rsidR="00A91861">
        <w:rPr>
          <w:bCs/>
          <w:sz w:val="24"/>
          <w:szCs w:val="24"/>
        </w:rPr>
        <w:br/>
      </w:r>
      <w:r w:rsidR="00A91861">
        <w:rPr>
          <w:b/>
          <w:bCs/>
          <w:sz w:val="24"/>
          <w:szCs w:val="24"/>
        </w:rPr>
        <w:t xml:space="preserve">SDG&amp;E response: </w:t>
      </w:r>
      <w:r w:rsidR="00C16A5F">
        <w:rPr>
          <w:bCs/>
          <w:sz w:val="24"/>
          <w:szCs w:val="24"/>
        </w:rPr>
        <w:t>No, there will be no incremental costs as SDG&amp;E does not propose to migrate customers to the EV-HP rate.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any analysis and results of research conducted by SDG&amp;E that supports the interim demand charge discount. SDG&amp;E’s response should answer but not be limited to answering the following sub-questions: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any quantitative or qualitative research showing whether the proposed interim rate discount supports incremental EV adoption.</w:t>
      </w:r>
      <w:r w:rsidR="00A75740">
        <w:rPr>
          <w:bCs/>
          <w:sz w:val="24"/>
          <w:szCs w:val="24"/>
        </w:rPr>
        <w:br/>
      </w:r>
      <w:r w:rsidR="00A75740">
        <w:rPr>
          <w:bCs/>
          <w:sz w:val="24"/>
          <w:szCs w:val="24"/>
        </w:rPr>
        <w:br/>
      </w:r>
      <w:r w:rsidR="00A75740" w:rsidRPr="00E61889">
        <w:rPr>
          <w:b/>
          <w:bCs/>
          <w:sz w:val="24"/>
          <w:szCs w:val="24"/>
        </w:rPr>
        <w:t>SDG&amp;E response:</w:t>
      </w:r>
      <w:r w:rsidR="00297039">
        <w:rPr>
          <w:b/>
          <w:bCs/>
          <w:sz w:val="24"/>
          <w:szCs w:val="24"/>
        </w:rPr>
        <w:t xml:space="preserve"> </w:t>
      </w:r>
      <w:r w:rsidR="00605B60">
        <w:rPr>
          <w:bCs/>
          <w:sz w:val="24"/>
          <w:szCs w:val="24"/>
        </w:rPr>
        <w:t>Without the interim demand charge discount, we estimate that customer</w:t>
      </w:r>
      <w:r w:rsidR="00872974">
        <w:rPr>
          <w:bCs/>
          <w:sz w:val="24"/>
          <w:szCs w:val="24"/>
        </w:rPr>
        <w:t>s</w:t>
      </w:r>
      <w:r w:rsidR="00605B60">
        <w:rPr>
          <w:bCs/>
          <w:sz w:val="24"/>
          <w:szCs w:val="24"/>
        </w:rPr>
        <w:t xml:space="preserve">’ electricity costs </w:t>
      </w:r>
      <w:r w:rsidR="00872974">
        <w:rPr>
          <w:bCs/>
          <w:sz w:val="24"/>
          <w:szCs w:val="24"/>
        </w:rPr>
        <w:t>on current rates can</w:t>
      </w:r>
      <w:r w:rsidR="00605B60">
        <w:rPr>
          <w:bCs/>
          <w:sz w:val="24"/>
          <w:szCs w:val="24"/>
        </w:rPr>
        <w:t xml:space="preserve"> be higher than a carbon fuel as illustrated in Chapter 3. Offering an interim demand charge discount </w:t>
      </w:r>
      <w:r w:rsidR="006A75D4">
        <w:rPr>
          <w:bCs/>
          <w:sz w:val="24"/>
          <w:szCs w:val="24"/>
        </w:rPr>
        <w:t xml:space="preserve">increases the opportunity to utilize electricity as a fuel </w:t>
      </w:r>
      <w:r w:rsidR="00502B5A">
        <w:rPr>
          <w:bCs/>
          <w:sz w:val="24"/>
          <w:szCs w:val="24"/>
        </w:rPr>
        <w:t xml:space="preserve">at a more competitive </w:t>
      </w:r>
      <w:r w:rsidR="006A75D4">
        <w:rPr>
          <w:bCs/>
          <w:sz w:val="24"/>
          <w:szCs w:val="24"/>
        </w:rPr>
        <w:t xml:space="preserve">cost </w:t>
      </w:r>
      <w:r w:rsidR="00502B5A">
        <w:rPr>
          <w:bCs/>
          <w:sz w:val="24"/>
          <w:szCs w:val="24"/>
        </w:rPr>
        <w:t xml:space="preserve">as compared to </w:t>
      </w:r>
      <w:r w:rsidR="00D56192">
        <w:rPr>
          <w:bCs/>
          <w:sz w:val="24"/>
          <w:szCs w:val="24"/>
        </w:rPr>
        <w:t xml:space="preserve">carbon fuel operation. </w:t>
      </w:r>
      <w:r w:rsidR="009A4911">
        <w:rPr>
          <w:bCs/>
          <w:sz w:val="24"/>
          <w:szCs w:val="24"/>
        </w:rPr>
        <w:t xml:space="preserve">Competitive </w:t>
      </w:r>
      <w:r w:rsidR="00D56192">
        <w:rPr>
          <w:bCs/>
          <w:sz w:val="24"/>
          <w:szCs w:val="24"/>
        </w:rPr>
        <w:t xml:space="preserve">costs for </w:t>
      </w:r>
      <w:r w:rsidR="00564FA5">
        <w:rPr>
          <w:bCs/>
          <w:sz w:val="24"/>
          <w:szCs w:val="24"/>
        </w:rPr>
        <w:t xml:space="preserve">electricity as a </w:t>
      </w:r>
      <w:r w:rsidR="00D56192">
        <w:rPr>
          <w:bCs/>
          <w:sz w:val="24"/>
          <w:szCs w:val="24"/>
        </w:rPr>
        <w:t>fuel is stated as a benefit of operating an EV by the CEC</w:t>
      </w:r>
      <w:r w:rsidR="00D56192">
        <w:rPr>
          <w:rStyle w:val="FootnoteReference"/>
          <w:bCs/>
          <w:sz w:val="24"/>
          <w:szCs w:val="24"/>
        </w:rPr>
        <w:footnoteReference w:id="2"/>
      </w:r>
      <w:r w:rsidR="00D56192">
        <w:rPr>
          <w:bCs/>
          <w:sz w:val="24"/>
          <w:szCs w:val="24"/>
        </w:rPr>
        <w:t xml:space="preserve"> and the Department of Energy</w:t>
      </w:r>
      <w:r w:rsidR="00D56192">
        <w:rPr>
          <w:rStyle w:val="FootnoteReference"/>
          <w:bCs/>
          <w:sz w:val="24"/>
          <w:szCs w:val="24"/>
        </w:rPr>
        <w:footnoteReference w:id="3"/>
      </w:r>
      <w:r w:rsidR="00D56192">
        <w:rPr>
          <w:bCs/>
          <w:sz w:val="24"/>
          <w:szCs w:val="24"/>
        </w:rPr>
        <w:t>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Has SDG&amp;E considered that possible delays in the Commission Decision may shorten the interval of the interim time period between program approval and rollout of the EV-HP?   </w:t>
      </w:r>
    </w:p>
    <w:p w:rsidR="00D26F73" w:rsidRPr="00D26F73" w:rsidRDefault="00D26F73" w:rsidP="00D26F73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SDG&amp;E response: </w:t>
      </w:r>
      <w:r>
        <w:rPr>
          <w:bCs/>
          <w:sz w:val="24"/>
          <w:szCs w:val="24"/>
        </w:rPr>
        <w:t xml:space="preserve">Yes, </w:t>
      </w:r>
      <w:r w:rsidR="00F4483C">
        <w:rPr>
          <w:bCs/>
          <w:sz w:val="24"/>
          <w:szCs w:val="24"/>
        </w:rPr>
        <w:t xml:space="preserve">SDG&amp;E has considered that delays in the Commission Decision may shorten the interval of the interim time period. If the interim demand charge </w:t>
      </w:r>
      <w:r w:rsidR="0080308D">
        <w:rPr>
          <w:bCs/>
          <w:sz w:val="24"/>
          <w:szCs w:val="24"/>
        </w:rPr>
        <w:t>discount is approved later than December 2019 then the revenue required to fund the manual billing process for applying the interim demand charge discount</w:t>
      </w:r>
      <w:r w:rsidR="00467889">
        <w:rPr>
          <w:bCs/>
          <w:sz w:val="24"/>
          <w:szCs w:val="24"/>
        </w:rPr>
        <w:t xml:space="preserve"> may</w:t>
      </w:r>
      <w:r w:rsidR="0080308D">
        <w:rPr>
          <w:bCs/>
          <w:sz w:val="24"/>
          <w:szCs w:val="24"/>
        </w:rPr>
        <w:t xml:space="preserve"> be reduced</w:t>
      </w:r>
      <w:r w:rsidR="00C64C81">
        <w:rPr>
          <w:bCs/>
          <w:sz w:val="24"/>
          <w:szCs w:val="24"/>
        </w:rPr>
        <w:t xml:space="preserve"> to account for the duration between interim rate approval and the new EV-HP rate becoming available</w:t>
      </w:r>
      <w:r w:rsidR="0080308D">
        <w:rPr>
          <w:bCs/>
          <w:sz w:val="24"/>
          <w:szCs w:val="24"/>
        </w:rPr>
        <w:t>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What would SDG&amp;E consider the minimum duration threshold for the interim demand discount?  For example, if the Commission were to authorize the interim demand charge discount in December of 2020, would SDG&amp;E still intend to implement the discount?</w:t>
      </w:r>
    </w:p>
    <w:p w:rsidR="0080308D" w:rsidRDefault="0080308D" w:rsidP="0080308D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 w:rsidRPr="001C4C9E">
        <w:rPr>
          <w:b/>
          <w:bCs/>
          <w:sz w:val="24"/>
          <w:szCs w:val="24"/>
        </w:rPr>
        <w:t>SDG&amp;E response:</w:t>
      </w:r>
      <w:r>
        <w:rPr>
          <w:bCs/>
          <w:sz w:val="24"/>
          <w:szCs w:val="24"/>
        </w:rPr>
        <w:t xml:space="preserve"> Yes, </w:t>
      </w:r>
      <w:r w:rsidR="001C4C9E">
        <w:rPr>
          <w:bCs/>
          <w:sz w:val="24"/>
          <w:szCs w:val="24"/>
        </w:rPr>
        <w:t xml:space="preserve">if the Commission </w:t>
      </w:r>
      <w:r w:rsidR="00A13133">
        <w:rPr>
          <w:bCs/>
          <w:sz w:val="24"/>
          <w:szCs w:val="24"/>
        </w:rPr>
        <w:t>decision is overly delayed we would have to consider not moving forward with the interim discount.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Has SDG&amp;E evaluated whether the switch from the interim discount to the EV-HP may cause customer confusion.  How does SDG&amp;E propose to alleviate any potential customer confusion?</w:t>
      </w:r>
    </w:p>
    <w:p w:rsidR="00E73991" w:rsidRPr="00E73991" w:rsidRDefault="00E73991" w:rsidP="00E73991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SDG&amp;E response: </w:t>
      </w:r>
      <w:r w:rsidR="005B5BB1">
        <w:rPr>
          <w:bCs/>
          <w:sz w:val="24"/>
          <w:szCs w:val="24"/>
        </w:rPr>
        <w:t>T</w:t>
      </w:r>
      <w:r w:rsidR="002F61AC">
        <w:rPr>
          <w:bCs/>
          <w:sz w:val="24"/>
          <w:szCs w:val="24"/>
        </w:rPr>
        <w:t xml:space="preserve">he </w:t>
      </w:r>
      <w:r w:rsidR="005B5BB1">
        <w:rPr>
          <w:bCs/>
          <w:sz w:val="24"/>
          <w:szCs w:val="24"/>
        </w:rPr>
        <w:t xml:space="preserve">DCFC and MD/HD EV </w:t>
      </w:r>
      <w:r w:rsidR="002F61AC">
        <w:rPr>
          <w:bCs/>
          <w:sz w:val="24"/>
          <w:szCs w:val="24"/>
        </w:rPr>
        <w:t xml:space="preserve">customers receiving the discount </w:t>
      </w:r>
      <w:r w:rsidR="005B5BB1">
        <w:rPr>
          <w:bCs/>
          <w:sz w:val="24"/>
          <w:szCs w:val="24"/>
        </w:rPr>
        <w:t>are likely to be</w:t>
      </w:r>
      <w:r w:rsidR="006C58F5">
        <w:rPr>
          <w:bCs/>
          <w:sz w:val="24"/>
          <w:szCs w:val="24"/>
        </w:rPr>
        <w:t xml:space="preserve"> a small set of customers as the market is still nascent and</w:t>
      </w:r>
      <w:r w:rsidR="005B5BB1">
        <w:rPr>
          <w:bCs/>
          <w:sz w:val="24"/>
          <w:szCs w:val="24"/>
        </w:rPr>
        <w:t xml:space="preserve"> </w:t>
      </w:r>
      <w:r w:rsidR="006C58F5">
        <w:rPr>
          <w:bCs/>
          <w:sz w:val="24"/>
          <w:szCs w:val="24"/>
        </w:rPr>
        <w:t xml:space="preserve">they </w:t>
      </w:r>
      <w:r w:rsidR="002F61AC">
        <w:rPr>
          <w:bCs/>
          <w:sz w:val="24"/>
          <w:szCs w:val="24"/>
        </w:rPr>
        <w:t>will</w:t>
      </w:r>
      <w:r w:rsidR="00995457">
        <w:rPr>
          <w:bCs/>
          <w:sz w:val="24"/>
          <w:szCs w:val="24"/>
        </w:rPr>
        <w:t xml:space="preserve"> typically</w:t>
      </w:r>
      <w:r w:rsidR="002F61AC">
        <w:rPr>
          <w:bCs/>
          <w:sz w:val="24"/>
          <w:szCs w:val="24"/>
        </w:rPr>
        <w:t xml:space="preserve"> have assigned Account Executives. </w:t>
      </w:r>
      <w:r>
        <w:rPr>
          <w:bCs/>
          <w:sz w:val="24"/>
          <w:szCs w:val="24"/>
        </w:rPr>
        <w:t xml:space="preserve">SDG&amp;E will work with customers receiving the interim discount </w:t>
      </w:r>
      <w:r w:rsidR="002F61AC">
        <w:rPr>
          <w:bCs/>
          <w:sz w:val="24"/>
          <w:szCs w:val="24"/>
        </w:rPr>
        <w:t xml:space="preserve">in order to help them understand the interim discount and new EV-HP rate. 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provide any analysis and results of research conducted by SDG&amp;E that supports that the phased-out discount to the subscription charge on the EV-HP rate will incent </w:t>
      </w:r>
      <w:proofErr w:type="gramStart"/>
      <w:r>
        <w:rPr>
          <w:bCs/>
          <w:sz w:val="24"/>
          <w:szCs w:val="24"/>
        </w:rPr>
        <w:t>additional  EV</w:t>
      </w:r>
      <w:proofErr w:type="gramEnd"/>
      <w:r>
        <w:rPr>
          <w:bCs/>
          <w:sz w:val="24"/>
          <w:szCs w:val="24"/>
        </w:rPr>
        <w:t xml:space="preserve"> adoption compared to an EV-HP rate without the phased-out discount. SDG&amp;E’s response should answer but not be limited to answering the following sub-questions: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Provide any analysis or research SDG&amp;E performed to support that a phased-out discount structure incents early EV adoption.</w:t>
      </w:r>
      <w:r w:rsidR="001A3065">
        <w:rPr>
          <w:bCs/>
          <w:sz w:val="24"/>
          <w:szCs w:val="24"/>
        </w:rPr>
        <w:br/>
      </w:r>
      <w:r w:rsidR="001A3065">
        <w:rPr>
          <w:bCs/>
          <w:sz w:val="24"/>
          <w:szCs w:val="24"/>
        </w:rPr>
        <w:br/>
      </w:r>
      <w:r w:rsidR="001A3065">
        <w:rPr>
          <w:b/>
          <w:bCs/>
          <w:sz w:val="24"/>
          <w:szCs w:val="24"/>
        </w:rPr>
        <w:t xml:space="preserve">SDG&amp;E response: </w:t>
      </w:r>
      <w:r w:rsidR="00D56192">
        <w:rPr>
          <w:bCs/>
          <w:sz w:val="24"/>
          <w:szCs w:val="24"/>
        </w:rPr>
        <w:t>SDG&amp;E did not perform an analysis to determine the extent that a discount will incent early EV adoption but believes that a cheaper operating cost will incent adoption while that cheaper cost is available</w:t>
      </w:r>
      <w:r w:rsidR="001A3065">
        <w:rPr>
          <w:bCs/>
          <w:sz w:val="24"/>
          <w:szCs w:val="24"/>
        </w:rPr>
        <w:t>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In four out of five of SDG&amp;E’s use cases, SDG&amp;E’s phase-out discount increases estimated savings from 40-48% to 53-62%.</w:t>
      </w:r>
      <w:r>
        <w:rPr>
          <w:rStyle w:val="FootnoteReference"/>
          <w:bCs/>
          <w:sz w:val="24"/>
          <w:szCs w:val="24"/>
        </w:rPr>
        <w:footnoteReference w:id="4"/>
      </w:r>
      <w:r>
        <w:rPr>
          <w:bCs/>
          <w:sz w:val="24"/>
          <w:szCs w:val="24"/>
        </w:rPr>
        <w:t xml:space="preserve"> Please provide any analysis showing that a discount of 53-62% will incent greater EV adoption than 40-48%.</w:t>
      </w:r>
      <w:r w:rsidR="001A3065">
        <w:rPr>
          <w:bCs/>
          <w:sz w:val="24"/>
          <w:szCs w:val="24"/>
        </w:rPr>
        <w:br/>
      </w:r>
      <w:r w:rsidR="001A3065">
        <w:rPr>
          <w:bCs/>
          <w:sz w:val="24"/>
          <w:szCs w:val="24"/>
        </w:rPr>
        <w:br/>
      </w:r>
      <w:r w:rsidR="001A3065">
        <w:rPr>
          <w:b/>
          <w:bCs/>
          <w:sz w:val="24"/>
          <w:szCs w:val="24"/>
        </w:rPr>
        <w:t xml:space="preserve">SDG&amp;E response: </w:t>
      </w:r>
      <w:r w:rsidR="001A3065">
        <w:rPr>
          <w:bCs/>
          <w:sz w:val="24"/>
          <w:szCs w:val="24"/>
        </w:rPr>
        <w:t>SDG&amp;E did not perform this analysis.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explain how sites with both Level 2 (L2) and DCFC chargers, or sites with both light-duty and MD/HD EVs would be eligible for the EV-HP rate.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Would such sites be eligible for the EV-HP rate?</w:t>
      </w:r>
    </w:p>
    <w:p w:rsidR="00E302BA" w:rsidRPr="00E302BA" w:rsidRDefault="00E302BA" w:rsidP="00E302BA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SDG&amp;E response: </w:t>
      </w:r>
      <w:r>
        <w:rPr>
          <w:bCs/>
          <w:sz w:val="24"/>
          <w:szCs w:val="24"/>
        </w:rPr>
        <w:t xml:space="preserve">Yes, a separately-metered EV charging site with both L2 and DCFCs located behind the same meter would be eligible for the EV-HP rate. Similarly, a separately-metered site charging MD/HD EVs as well as light-duty EVs </w:t>
      </w:r>
      <w:r w:rsidR="0050132A">
        <w:rPr>
          <w:bCs/>
          <w:sz w:val="24"/>
          <w:szCs w:val="24"/>
        </w:rPr>
        <w:t xml:space="preserve">as part of their fleet </w:t>
      </w:r>
      <w:r>
        <w:rPr>
          <w:bCs/>
          <w:sz w:val="24"/>
          <w:szCs w:val="24"/>
        </w:rPr>
        <w:t>would also be eligible for the EV-HP rate.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Would such sites need to meter any DCFC and MD/HD chargers separately from the L2 and non-DCFC light-duty chargers to be eligible for the EV-HP rate?</w:t>
      </w:r>
    </w:p>
    <w:p w:rsidR="00E302BA" w:rsidRPr="00E302BA" w:rsidRDefault="00E302BA" w:rsidP="00E302BA">
      <w:pPr>
        <w:autoSpaceDE w:val="0"/>
        <w:autoSpaceDN w:val="0"/>
        <w:adjustRightInd w:val="0"/>
        <w:spacing w:after="240"/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SDG&amp;E response: </w:t>
      </w:r>
      <w:r>
        <w:rPr>
          <w:bCs/>
          <w:sz w:val="24"/>
          <w:szCs w:val="24"/>
        </w:rPr>
        <w:t xml:space="preserve">No, such sites would not need to </w:t>
      </w:r>
      <w:r w:rsidR="00120DE0">
        <w:rPr>
          <w:bCs/>
          <w:sz w:val="24"/>
          <w:szCs w:val="24"/>
        </w:rPr>
        <w:t>meter DCFC and MD/HD EV chargers separately from L2 and non-DCFC light-duty chargers to be eligible for the EV-HP rate.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explain how SDG&amp;E will validate that customers use EV-HP separate meters only for DCFC and MD/HD EV-related loads.</w:t>
      </w:r>
      <w:r w:rsidR="00120DE0">
        <w:rPr>
          <w:bCs/>
          <w:sz w:val="24"/>
          <w:szCs w:val="24"/>
        </w:rPr>
        <w:br/>
      </w:r>
      <w:r w:rsidR="00120DE0">
        <w:rPr>
          <w:bCs/>
          <w:sz w:val="24"/>
          <w:szCs w:val="24"/>
        </w:rPr>
        <w:br/>
      </w:r>
      <w:r w:rsidR="00120DE0">
        <w:rPr>
          <w:b/>
          <w:bCs/>
          <w:sz w:val="24"/>
          <w:szCs w:val="24"/>
        </w:rPr>
        <w:t xml:space="preserve">SDG&amp;E response: </w:t>
      </w:r>
      <w:r w:rsidR="00120DE0">
        <w:rPr>
          <w:bCs/>
          <w:sz w:val="24"/>
          <w:szCs w:val="24"/>
        </w:rPr>
        <w:t xml:space="preserve">SDG&amp;E will require that customers enrolling in the EV-HP rate sign an affidavit </w:t>
      </w:r>
      <w:r w:rsidR="009142B4">
        <w:rPr>
          <w:bCs/>
          <w:sz w:val="24"/>
          <w:szCs w:val="24"/>
        </w:rPr>
        <w:t xml:space="preserve">or other form of confirmation </w:t>
      </w:r>
      <w:r w:rsidR="00120DE0">
        <w:rPr>
          <w:bCs/>
          <w:sz w:val="24"/>
          <w:szCs w:val="24"/>
        </w:rPr>
        <w:t xml:space="preserve">affirming that </w:t>
      </w:r>
      <w:r w:rsidR="003F32C4">
        <w:rPr>
          <w:bCs/>
          <w:sz w:val="24"/>
          <w:szCs w:val="24"/>
        </w:rPr>
        <w:t>the meter only serves EV load and includes at least one DCFC or MD/HD EVs.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state all time-of-use (TOU) rates that all MUDs within SDG&amp;E’s service territory are eligible for (i.e. excluding program-specific rates).</w:t>
      </w:r>
      <w:r w:rsidR="007120BE">
        <w:rPr>
          <w:bCs/>
          <w:sz w:val="24"/>
          <w:szCs w:val="24"/>
        </w:rPr>
        <w:br/>
      </w:r>
      <w:r w:rsidR="007120BE">
        <w:rPr>
          <w:bCs/>
          <w:sz w:val="24"/>
          <w:szCs w:val="24"/>
        </w:rPr>
        <w:br/>
      </w:r>
      <w:r w:rsidR="007120BE" w:rsidRPr="00877364">
        <w:rPr>
          <w:b/>
          <w:bCs/>
          <w:sz w:val="24"/>
          <w:szCs w:val="24"/>
        </w:rPr>
        <w:t>SDG&amp;E response:</w:t>
      </w:r>
      <w:r w:rsidR="00C4438B" w:rsidRPr="00877364">
        <w:rPr>
          <w:b/>
          <w:bCs/>
          <w:sz w:val="24"/>
          <w:szCs w:val="24"/>
        </w:rPr>
        <w:t xml:space="preserve"> </w:t>
      </w:r>
      <w:r w:rsidR="00C4438B" w:rsidRPr="00877364">
        <w:rPr>
          <w:bCs/>
          <w:sz w:val="24"/>
          <w:szCs w:val="24"/>
        </w:rPr>
        <w:t>If</w:t>
      </w:r>
      <w:r w:rsidR="00C4438B">
        <w:rPr>
          <w:bCs/>
          <w:sz w:val="24"/>
          <w:szCs w:val="24"/>
        </w:rPr>
        <w:t xml:space="preserve"> the above question refers to </w:t>
      </w:r>
      <w:r w:rsidR="00FB0C94">
        <w:rPr>
          <w:bCs/>
          <w:sz w:val="24"/>
          <w:szCs w:val="24"/>
        </w:rPr>
        <w:t xml:space="preserve">rates that </w:t>
      </w:r>
      <w:r w:rsidR="00FE4920">
        <w:rPr>
          <w:bCs/>
          <w:sz w:val="24"/>
          <w:szCs w:val="24"/>
        </w:rPr>
        <w:t xml:space="preserve">EV charging equipment located at MUDs can be served on, the following commercial and industrial </w:t>
      </w:r>
      <w:r w:rsidR="00EB7CF0">
        <w:rPr>
          <w:bCs/>
          <w:sz w:val="24"/>
          <w:szCs w:val="24"/>
        </w:rPr>
        <w:t xml:space="preserve">Utility Distribution Company (UDC) </w:t>
      </w:r>
      <w:r w:rsidR="00FE4920">
        <w:rPr>
          <w:bCs/>
          <w:sz w:val="24"/>
          <w:szCs w:val="24"/>
        </w:rPr>
        <w:t>rates are available</w:t>
      </w:r>
      <w:r w:rsidR="00877364">
        <w:rPr>
          <w:bCs/>
          <w:sz w:val="24"/>
          <w:szCs w:val="24"/>
        </w:rPr>
        <w:t>, though subject to applicability criteria</w:t>
      </w:r>
      <w:r w:rsidR="00FE4920">
        <w:rPr>
          <w:bCs/>
          <w:sz w:val="24"/>
          <w:szCs w:val="24"/>
        </w:rPr>
        <w:t>:</w:t>
      </w:r>
    </w:p>
    <w:p w:rsidR="00FE4920" w:rsidRDefault="0068410E" w:rsidP="00D657CB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TOU-A</w:t>
      </w:r>
    </w:p>
    <w:p w:rsidR="0068410E" w:rsidRDefault="0068410E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TOU-A2</w:t>
      </w:r>
    </w:p>
    <w:p w:rsidR="0068410E" w:rsidRDefault="0068410E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TOU-A3</w:t>
      </w:r>
    </w:p>
    <w:p w:rsidR="0068410E" w:rsidRDefault="00835D56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TOU-M</w:t>
      </w:r>
    </w:p>
    <w:p w:rsidR="00835D56" w:rsidRDefault="00835D56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AL-TOU</w:t>
      </w:r>
    </w:p>
    <w:p w:rsidR="00835D56" w:rsidRDefault="00835D56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AL-TOU2</w:t>
      </w:r>
    </w:p>
    <w:p w:rsidR="00D57954" w:rsidRDefault="00D57954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DG-R</w:t>
      </w:r>
    </w:p>
    <w:p w:rsidR="00D57954" w:rsidRDefault="00D57954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A6-TOU</w:t>
      </w:r>
    </w:p>
    <w:p w:rsidR="00300025" w:rsidRDefault="00F72140" w:rsidP="00E61889">
      <w:pPr>
        <w:autoSpaceDE w:val="0"/>
        <w:autoSpaceDN w:val="0"/>
        <w:adjustRightInd w:val="0"/>
        <w:spacing w:after="24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Chargers located at deeded parking spots at MUDs may be served on residential EV </w:t>
      </w:r>
      <w:r w:rsidR="00A53DBD">
        <w:rPr>
          <w:bCs/>
          <w:sz w:val="24"/>
          <w:szCs w:val="24"/>
        </w:rPr>
        <w:t>rates (e.g. EV-TOU) depending on the layout of the specific site.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an order of magnitude estimate of the number of EV MD/HDs currently in SDG&amp;E’s service territory.</w:t>
      </w:r>
      <w:r w:rsidR="007120BE">
        <w:rPr>
          <w:bCs/>
          <w:sz w:val="24"/>
          <w:szCs w:val="24"/>
        </w:rPr>
        <w:br/>
      </w:r>
      <w:r w:rsidR="007120BE">
        <w:rPr>
          <w:bCs/>
          <w:sz w:val="24"/>
          <w:szCs w:val="24"/>
        </w:rPr>
        <w:br/>
      </w:r>
      <w:r w:rsidR="007120BE" w:rsidRPr="00E61889">
        <w:rPr>
          <w:b/>
          <w:bCs/>
          <w:sz w:val="24"/>
          <w:szCs w:val="24"/>
        </w:rPr>
        <w:t>SDG&amp;E response:</w:t>
      </w:r>
      <w:r w:rsidR="008A07DD">
        <w:rPr>
          <w:b/>
          <w:bCs/>
          <w:sz w:val="24"/>
          <w:szCs w:val="24"/>
        </w:rPr>
        <w:t xml:space="preserve"> </w:t>
      </w:r>
      <w:r w:rsidR="00716978">
        <w:rPr>
          <w:bCs/>
          <w:sz w:val="24"/>
          <w:szCs w:val="24"/>
        </w:rPr>
        <w:t>Data from the 201</w:t>
      </w:r>
      <w:r w:rsidR="00CE290D">
        <w:rPr>
          <w:bCs/>
          <w:sz w:val="24"/>
          <w:szCs w:val="24"/>
        </w:rPr>
        <w:t>7</w:t>
      </w:r>
      <w:r w:rsidR="00716978">
        <w:rPr>
          <w:bCs/>
          <w:sz w:val="24"/>
          <w:szCs w:val="24"/>
        </w:rPr>
        <w:t xml:space="preserve"> </w:t>
      </w:r>
      <w:r w:rsidR="00F87663">
        <w:rPr>
          <w:bCs/>
          <w:sz w:val="24"/>
          <w:szCs w:val="24"/>
        </w:rPr>
        <w:t xml:space="preserve">CARB </w:t>
      </w:r>
      <w:r w:rsidR="00F87663" w:rsidRPr="00F87663">
        <w:rPr>
          <w:bCs/>
          <w:sz w:val="24"/>
          <w:szCs w:val="24"/>
        </w:rPr>
        <w:t>Mobile Source Emissions Inventory</w:t>
      </w:r>
      <w:r w:rsidR="00F87663">
        <w:rPr>
          <w:bCs/>
          <w:sz w:val="24"/>
          <w:szCs w:val="24"/>
        </w:rPr>
        <w:t xml:space="preserve"> </w:t>
      </w:r>
      <w:r w:rsidR="00A7096F">
        <w:rPr>
          <w:bCs/>
          <w:sz w:val="24"/>
          <w:szCs w:val="24"/>
        </w:rPr>
        <w:t>estimates</w:t>
      </w:r>
      <w:r w:rsidR="00F82025">
        <w:rPr>
          <w:bCs/>
          <w:sz w:val="24"/>
          <w:szCs w:val="24"/>
        </w:rPr>
        <w:t xml:space="preserve"> that</w:t>
      </w:r>
      <w:r w:rsidR="00AA54EE">
        <w:rPr>
          <w:bCs/>
          <w:sz w:val="24"/>
          <w:szCs w:val="24"/>
        </w:rPr>
        <w:t xml:space="preserve"> as of 2019</w:t>
      </w:r>
      <w:r w:rsidR="00F82025">
        <w:rPr>
          <w:bCs/>
          <w:sz w:val="24"/>
          <w:szCs w:val="24"/>
        </w:rPr>
        <w:t xml:space="preserve"> there are </w:t>
      </w:r>
      <w:r w:rsidR="0086272F">
        <w:rPr>
          <w:bCs/>
          <w:sz w:val="24"/>
          <w:szCs w:val="24"/>
        </w:rPr>
        <w:t>approximately</w:t>
      </w:r>
      <w:r w:rsidR="00AA54EE">
        <w:rPr>
          <w:bCs/>
          <w:sz w:val="24"/>
          <w:szCs w:val="24"/>
        </w:rPr>
        <w:t>337</w:t>
      </w:r>
      <w:r w:rsidR="00F82025">
        <w:rPr>
          <w:bCs/>
          <w:sz w:val="24"/>
          <w:szCs w:val="24"/>
        </w:rPr>
        <w:t xml:space="preserve"> electric Class 2-8 vehicles in San Diego County, which roughly aligns with SDG&amp;E service territory.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provide an annual, order of magnitude </w:t>
      </w:r>
      <w:proofErr w:type="gramStart"/>
      <w:r>
        <w:rPr>
          <w:bCs/>
          <w:sz w:val="24"/>
          <w:szCs w:val="24"/>
        </w:rPr>
        <w:t>estimate</w:t>
      </w:r>
      <w:proofErr w:type="gramEnd"/>
      <w:r>
        <w:rPr>
          <w:bCs/>
          <w:sz w:val="24"/>
          <w:szCs w:val="24"/>
        </w:rPr>
        <w:t xml:space="preserve"> of the MD/HD EV adoption within SDG&amp;E’s service territory from 2019-2030. In this estimate, exclude any adoption attributable to SDG&amp;E’s proposed A.18-01-012 MD/HD program. </w:t>
      </w:r>
      <w:r w:rsidR="007120BE">
        <w:rPr>
          <w:bCs/>
          <w:sz w:val="24"/>
          <w:szCs w:val="24"/>
        </w:rPr>
        <w:br/>
      </w:r>
      <w:r w:rsidR="007120BE">
        <w:rPr>
          <w:bCs/>
          <w:sz w:val="24"/>
          <w:szCs w:val="24"/>
        </w:rPr>
        <w:br/>
      </w:r>
      <w:r w:rsidR="007120BE" w:rsidRPr="00E61889">
        <w:rPr>
          <w:b/>
          <w:bCs/>
          <w:sz w:val="24"/>
          <w:szCs w:val="24"/>
        </w:rPr>
        <w:t>SDG&amp;E response:</w:t>
      </w:r>
      <w:r w:rsidR="003346F1">
        <w:rPr>
          <w:b/>
          <w:bCs/>
          <w:sz w:val="24"/>
          <w:szCs w:val="24"/>
        </w:rPr>
        <w:t xml:space="preserve"> </w:t>
      </w:r>
      <w:r w:rsidR="00460209">
        <w:rPr>
          <w:bCs/>
          <w:sz w:val="24"/>
          <w:szCs w:val="24"/>
        </w:rPr>
        <w:t xml:space="preserve">MD/HD EV adoption is a nascent market, and </w:t>
      </w:r>
      <w:r w:rsidR="000F0F1A">
        <w:rPr>
          <w:bCs/>
          <w:sz w:val="24"/>
          <w:szCs w:val="24"/>
        </w:rPr>
        <w:t>SDG&amp;E has not prepared an estimate of likely MD/HD EV adoption from 2019-2030.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the analysis requested in Q.10 is unavailable, provide any available forecast of EV adoption and load growth within SDG&amp;E’s service territory for at least 10 years. If available, please also provide 5 years of historical data. </w:t>
      </w:r>
      <w:r w:rsidR="007120BE">
        <w:rPr>
          <w:bCs/>
          <w:sz w:val="24"/>
          <w:szCs w:val="24"/>
        </w:rPr>
        <w:br/>
      </w:r>
      <w:r w:rsidR="007120BE">
        <w:rPr>
          <w:bCs/>
          <w:sz w:val="24"/>
          <w:szCs w:val="24"/>
        </w:rPr>
        <w:br/>
      </w:r>
      <w:r w:rsidR="007120BE" w:rsidRPr="00E61889">
        <w:rPr>
          <w:b/>
          <w:bCs/>
          <w:sz w:val="24"/>
          <w:szCs w:val="24"/>
        </w:rPr>
        <w:t>SDG&amp;E response:</w:t>
      </w:r>
      <w:r w:rsidR="00937DC3">
        <w:rPr>
          <w:b/>
          <w:bCs/>
          <w:sz w:val="24"/>
          <w:szCs w:val="24"/>
        </w:rPr>
        <w:t xml:space="preserve"> </w:t>
      </w:r>
      <w:r w:rsidR="00C76DAF">
        <w:rPr>
          <w:bCs/>
          <w:sz w:val="24"/>
          <w:szCs w:val="24"/>
        </w:rPr>
        <w:t xml:space="preserve">The </w:t>
      </w:r>
      <w:r w:rsidR="00472FBF">
        <w:rPr>
          <w:bCs/>
          <w:sz w:val="24"/>
          <w:szCs w:val="24"/>
        </w:rPr>
        <w:t xml:space="preserve">California Energy Commission </w:t>
      </w:r>
      <w:r w:rsidR="00C76DAF">
        <w:rPr>
          <w:bCs/>
          <w:sz w:val="24"/>
          <w:szCs w:val="24"/>
        </w:rPr>
        <w:t>2018</w:t>
      </w:r>
      <w:r w:rsidR="00355CBD">
        <w:rPr>
          <w:bCs/>
          <w:sz w:val="24"/>
          <w:szCs w:val="24"/>
        </w:rPr>
        <w:t xml:space="preserve"> </w:t>
      </w:r>
      <w:r w:rsidR="00355CBD" w:rsidRPr="00355CBD">
        <w:rPr>
          <w:bCs/>
          <w:sz w:val="24"/>
          <w:szCs w:val="24"/>
        </w:rPr>
        <w:t xml:space="preserve">California Energy Demand Updated </w:t>
      </w:r>
      <w:r w:rsidR="00577A7A">
        <w:rPr>
          <w:bCs/>
          <w:sz w:val="24"/>
          <w:szCs w:val="24"/>
        </w:rPr>
        <w:t xml:space="preserve">(CEDU) </w:t>
      </w:r>
      <w:r w:rsidR="00355CBD" w:rsidRPr="00355CBD">
        <w:rPr>
          <w:bCs/>
          <w:sz w:val="24"/>
          <w:szCs w:val="24"/>
        </w:rPr>
        <w:t>Forecast</w:t>
      </w:r>
      <w:r w:rsidR="00355CBD">
        <w:rPr>
          <w:bCs/>
          <w:sz w:val="24"/>
          <w:szCs w:val="24"/>
        </w:rPr>
        <w:t xml:space="preserve"> </w:t>
      </w:r>
      <w:r w:rsidR="00824EE9">
        <w:rPr>
          <w:bCs/>
          <w:sz w:val="24"/>
          <w:szCs w:val="24"/>
        </w:rPr>
        <w:t xml:space="preserve">mid-case light-duty EV forecast </w:t>
      </w:r>
      <w:r w:rsidR="001418F5">
        <w:rPr>
          <w:bCs/>
          <w:sz w:val="24"/>
          <w:szCs w:val="24"/>
        </w:rPr>
        <w:t xml:space="preserve">shows </w:t>
      </w:r>
      <w:r w:rsidR="008B5E4E">
        <w:rPr>
          <w:bCs/>
          <w:sz w:val="24"/>
          <w:szCs w:val="24"/>
        </w:rPr>
        <w:t xml:space="preserve">approximately </w:t>
      </w:r>
      <w:r w:rsidR="001418F5">
        <w:rPr>
          <w:bCs/>
          <w:sz w:val="24"/>
          <w:szCs w:val="24"/>
        </w:rPr>
        <w:t>318,000 plug-in electric vehicles in SDG&amp;E service territory in 2030.</w:t>
      </w:r>
      <w:r w:rsidR="00577A7A">
        <w:rPr>
          <w:bCs/>
          <w:sz w:val="24"/>
          <w:szCs w:val="24"/>
        </w:rPr>
        <w:t xml:space="preserve"> Hourly load forecasts in the CEDU are </w:t>
      </w:r>
      <w:r w:rsidR="00E45AFF">
        <w:rPr>
          <w:bCs/>
          <w:sz w:val="24"/>
          <w:szCs w:val="24"/>
        </w:rPr>
        <w:t xml:space="preserve">available here: </w:t>
      </w:r>
      <w:hyperlink r:id="rId11" w:history="1">
        <w:r w:rsidR="00644E81" w:rsidRPr="005F498B">
          <w:rPr>
            <w:rStyle w:val="Hyperlink"/>
            <w:bCs/>
            <w:sz w:val="24"/>
            <w:szCs w:val="24"/>
          </w:rPr>
          <w:t>https://ww2.energy.ca.gov/2018_energypolicy/documents/cedu_2018-2030/2018_demandforecast.php</w:t>
        </w:r>
      </w:hyperlink>
      <w:r w:rsidR="00644E81">
        <w:rPr>
          <w:bCs/>
          <w:sz w:val="24"/>
          <w:szCs w:val="24"/>
        </w:rPr>
        <w:t xml:space="preserve"> 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provide SDG&amp;E’s target for the number of customers that will subscribe to the EV-HP rate. If available, provide SDG&amp;E’s annual target number for each of the years 2021-2030.</w:t>
      </w:r>
      <w:r w:rsidR="000C7F38">
        <w:rPr>
          <w:bCs/>
          <w:sz w:val="24"/>
          <w:szCs w:val="24"/>
        </w:rPr>
        <w:br/>
      </w:r>
      <w:r w:rsidR="000C7F38">
        <w:rPr>
          <w:bCs/>
          <w:sz w:val="24"/>
          <w:szCs w:val="24"/>
        </w:rPr>
        <w:br/>
      </w:r>
      <w:r w:rsidR="000C7F38">
        <w:rPr>
          <w:b/>
          <w:bCs/>
          <w:sz w:val="24"/>
          <w:szCs w:val="24"/>
        </w:rPr>
        <w:t xml:space="preserve">SDG&amp;E response: </w:t>
      </w:r>
      <w:r w:rsidR="000C7F38">
        <w:rPr>
          <w:bCs/>
          <w:sz w:val="24"/>
          <w:szCs w:val="24"/>
        </w:rPr>
        <w:t>SDG&amp;E d</w:t>
      </w:r>
      <w:r w:rsidR="00BE5DD4">
        <w:rPr>
          <w:bCs/>
          <w:sz w:val="24"/>
          <w:szCs w:val="24"/>
        </w:rPr>
        <w:t xml:space="preserve">oes not have annual target </w:t>
      </w:r>
      <w:r w:rsidR="005B1DED">
        <w:rPr>
          <w:bCs/>
          <w:sz w:val="24"/>
          <w:szCs w:val="24"/>
        </w:rPr>
        <w:t>enrollment numbers for the EV-HP rate.</w:t>
      </w:r>
      <w:r w:rsidR="000C7F38">
        <w:rPr>
          <w:bCs/>
          <w:sz w:val="24"/>
          <w:szCs w:val="24"/>
        </w:rPr>
        <w:t xml:space="preserve"> 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state whether the DCFC and MD/HD EV charging loads, both current and projected future loads, are included in SDG&amp;E’s A.19-03-002 load forecast.  If they are, please identify the workpapers in A.19-03-002.</w:t>
      </w:r>
      <w:r w:rsidR="005B1DED">
        <w:rPr>
          <w:bCs/>
          <w:sz w:val="24"/>
          <w:szCs w:val="24"/>
        </w:rPr>
        <w:br/>
      </w:r>
      <w:r w:rsidR="005B1DED">
        <w:rPr>
          <w:bCs/>
          <w:sz w:val="24"/>
          <w:szCs w:val="24"/>
        </w:rPr>
        <w:br/>
      </w:r>
      <w:r w:rsidR="005B1DED" w:rsidRPr="00AF194F">
        <w:rPr>
          <w:b/>
          <w:bCs/>
          <w:sz w:val="24"/>
          <w:szCs w:val="24"/>
        </w:rPr>
        <w:t>SDG&amp;E response:</w:t>
      </w:r>
      <w:r w:rsidR="00D548FD" w:rsidRPr="00AF194F">
        <w:rPr>
          <w:b/>
          <w:bCs/>
          <w:sz w:val="24"/>
          <w:szCs w:val="24"/>
        </w:rPr>
        <w:t xml:space="preserve"> </w:t>
      </w:r>
      <w:r w:rsidR="00AB4A12" w:rsidRPr="00AB4A12">
        <w:rPr>
          <w:bCs/>
          <w:sz w:val="24"/>
          <w:szCs w:val="24"/>
        </w:rPr>
        <w:t>SDG&amp;E A.19-03-002 used load forecasts from the California Energy Commission 2018 Integrated Energy Policy Report (IEPR). The 2018 IEPR incorporated light-duty EV load forecasts but did not include MD/HD EV load. Workpapers from SDG&amp;E A.19-03-002 that used the load forecast from the California Energy Commission’s 2018 IEPR report can be found at the following link: https://www.sdge.com/rates-and-regulations/proceedings/2019-grc-phase2 (Please see “Workpapers” and “Chapter 4” in the files labeled “Ch_4_Attachment A Sales Forecast_Public.xlsx”)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Regarding any potential revenue shortfalls associated with the EV-HP rate:</w:t>
      </w:r>
    </w:p>
    <w:p w:rsidR="00A22807" w:rsidRDefault="00BD64B7" w:rsidP="00A2280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 w:rsidRPr="00A22807">
        <w:rPr>
          <w:bCs/>
          <w:sz w:val="24"/>
          <w:szCs w:val="24"/>
        </w:rPr>
        <w:t xml:space="preserve">Please provide SDG&amp;E’s projections for any revenue shortfalls associated with the proposed EV-HP rate.  Include active workpapers which show the derivation of these projections. </w:t>
      </w:r>
      <w:r w:rsidR="00E71A4F" w:rsidRPr="00A22807">
        <w:rPr>
          <w:bCs/>
          <w:sz w:val="24"/>
          <w:szCs w:val="24"/>
        </w:rPr>
        <w:br/>
      </w:r>
      <w:r w:rsidR="00E71A4F" w:rsidRPr="00A22807">
        <w:rPr>
          <w:bCs/>
          <w:sz w:val="24"/>
          <w:szCs w:val="24"/>
        </w:rPr>
        <w:br/>
      </w:r>
      <w:r w:rsidR="00E71A4F" w:rsidRPr="00A22807">
        <w:rPr>
          <w:b/>
          <w:bCs/>
          <w:sz w:val="24"/>
          <w:szCs w:val="24"/>
        </w:rPr>
        <w:t>SDG&amp;E response:</w:t>
      </w:r>
      <w:r w:rsidR="001B7583" w:rsidRPr="00A22807">
        <w:rPr>
          <w:b/>
          <w:bCs/>
          <w:sz w:val="24"/>
          <w:szCs w:val="24"/>
        </w:rPr>
        <w:t xml:space="preserve"> </w:t>
      </w:r>
      <w:r w:rsidR="00A22807">
        <w:rPr>
          <w:bCs/>
          <w:sz w:val="24"/>
          <w:szCs w:val="24"/>
        </w:rPr>
        <w:t xml:space="preserve">The revenue shortfall associated with the EV-HP </w:t>
      </w:r>
      <w:r w:rsidR="001621AE">
        <w:rPr>
          <w:bCs/>
          <w:sz w:val="24"/>
          <w:szCs w:val="24"/>
        </w:rPr>
        <w:t>subscription charge discount</w:t>
      </w:r>
      <w:r w:rsidR="00A22807">
        <w:rPr>
          <w:bCs/>
          <w:sz w:val="24"/>
          <w:szCs w:val="24"/>
        </w:rPr>
        <w:t xml:space="preserve"> will depend on customer uptake of the </w:t>
      </w:r>
      <w:r w:rsidR="003169ED">
        <w:rPr>
          <w:bCs/>
          <w:sz w:val="24"/>
          <w:szCs w:val="24"/>
        </w:rPr>
        <w:t>EV-HP rate,</w:t>
      </w:r>
      <w:r w:rsidR="00A22807">
        <w:rPr>
          <w:bCs/>
          <w:sz w:val="24"/>
          <w:szCs w:val="24"/>
        </w:rPr>
        <w:t xml:space="preserve"> their usage patterns</w:t>
      </w:r>
      <w:r w:rsidR="003169ED">
        <w:rPr>
          <w:bCs/>
          <w:sz w:val="24"/>
          <w:szCs w:val="24"/>
        </w:rPr>
        <w:t>, and EV adoption scenarios</w:t>
      </w:r>
      <w:r w:rsidR="00A22807">
        <w:rPr>
          <w:bCs/>
          <w:sz w:val="24"/>
          <w:szCs w:val="24"/>
        </w:rPr>
        <w:t>. SDG&amp;E did not estimate this revenue shortfall due to uncertainty around these factors.</w:t>
      </w:r>
      <w:r w:rsidR="00E666F0">
        <w:rPr>
          <w:bCs/>
          <w:sz w:val="24"/>
          <w:szCs w:val="24"/>
        </w:rPr>
        <w:br/>
      </w:r>
      <w:r w:rsidR="00E666F0">
        <w:rPr>
          <w:bCs/>
          <w:sz w:val="24"/>
          <w:szCs w:val="24"/>
        </w:rPr>
        <w:br/>
        <w:t xml:space="preserve">SDG&amp;E did not </w:t>
      </w:r>
      <w:r w:rsidR="00C05F71">
        <w:rPr>
          <w:bCs/>
          <w:sz w:val="24"/>
          <w:szCs w:val="24"/>
        </w:rPr>
        <w:t xml:space="preserve">estimate revenue shortfall </w:t>
      </w:r>
      <w:r w:rsidR="004E2339">
        <w:rPr>
          <w:bCs/>
          <w:sz w:val="24"/>
          <w:szCs w:val="24"/>
        </w:rPr>
        <w:t xml:space="preserve">associated with the EV-HP rate, as defined as revenue SDG&amp;E would have earned from customers who opt for the EV-HP rate as compared to the existing rates these customers otherwise would have taken service on, </w:t>
      </w:r>
      <w:r w:rsidR="009F43E1">
        <w:rPr>
          <w:bCs/>
          <w:sz w:val="24"/>
          <w:szCs w:val="24"/>
        </w:rPr>
        <w:t>since</w:t>
      </w:r>
      <w:r w:rsidR="004E2339">
        <w:rPr>
          <w:bCs/>
          <w:sz w:val="24"/>
          <w:szCs w:val="24"/>
        </w:rPr>
        <w:t xml:space="preserve"> </w:t>
      </w:r>
      <w:r w:rsidR="00B0111C">
        <w:rPr>
          <w:bCs/>
          <w:sz w:val="24"/>
          <w:szCs w:val="24"/>
        </w:rPr>
        <w:t>EV-HP customers are expected to primarily be new load and uncertainty around these future customer’s load characteristics and which existing rates these customers would have taken service on</w:t>
      </w:r>
      <w:r w:rsidR="003B1ECC">
        <w:rPr>
          <w:bCs/>
          <w:sz w:val="24"/>
          <w:szCs w:val="24"/>
        </w:rPr>
        <w:t>,</w:t>
      </w:r>
      <w:r w:rsidR="00B0111C">
        <w:rPr>
          <w:bCs/>
          <w:sz w:val="24"/>
          <w:szCs w:val="24"/>
        </w:rPr>
        <w:t xml:space="preserve"> if at all.</w:t>
      </w:r>
    </w:p>
    <w:p w:rsidR="00BD64B7" w:rsidRPr="00A22807" w:rsidRDefault="00BD64B7" w:rsidP="00822D6D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 w:rsidRPr="00A22807">
        <w:rPr>
          <w:bCs/>
          <w:sz w:val="24"/>
          <w:szCs w:val="24"/>
        </w:rPr>
        <w:t>How is SDG&amp;E proposing to recover potential revenue shortfalls?</w:t>
      </w:r>
      <w:r w:rsidR="00E71A4F" w:rsidRPr="00A22807">
        <w:rPr>
          <w:bCs/>
          <w:sz w:val="24"/>
          <w:szCs w:val="24"/>
        </w:rPr>
        <w:br/>
      </w:r>
      <w:r w:rsidR="00E71A4F" w:rsidRPr="00A22807">
        <w:rPr>
          <w:bCs/>
          <w:sz w:val="24"/>
          <w:szCs w:val="24"/>
        </w:rPr>
        <w:br/>
      </w:r>
      <w:r w:rsidR="00E71A4F" w:rsidRPr="000945D9">
        <w:rPr>
          <w:b/>
          <w:bCs/>
          <w:sz w:val="24"/>
          <w:szCs w:val="24"/>
        </w:rPr>
        <w:t>SDG&amp;E response:</w:t>
      </w:r>
      <w:r w:rsidR="008A132F">
        <w:rPr>
          <w:b/>
          <w:bCs/>
          <w:sz w:val="24"/>
          <w:szCs w:val="24"/>
        </w:rPr>
        <w:t xml:space="preserve"> </w:t>
      </w:r>
      <w:r w:rsidR="008A132F">
        <w:rPr>
          <w:bCs/>
          <w:sz w:val="24"/>
          <w:szCs w:val="24"/>
        </w:rPr>
        <w:t>SDG&amp;E proposes to recover revenue shortfalls associated with the EV-HP subscription charge discount through PPP charges.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How does SDG&amp;E propose to monitor revenue shortfalls from the EV-HP rate?</w:t>
      </w:r>
      <w:r w:rsidR="00E71A4F">
        <w:rPr>
          <w:bCs/>
          <w:sz w:val="24"/>
          <w:szCs w:val="24"/>
        </w:rPr>
        <w:br/>
      </w:r>
      <w:r w:rsidR="00E71A4F">
        <w:rPr>
          <w:bCs/>
          <w:sz w:val="24"/>
          <w:szCs w:val="24"/>
        </w:rPr>
        <w:br/>
      </w:r>
      <w:r w:rsidR="00E71A4F" w:rsidRPr="00706788">
        <w:rPr>
          <w:b/>
          <w:bCs/>
          <w:sz w:val="24"/>
          <w:szCs w:val="24"/>
        </w:rPr>
        <w:t>SDG&amp;E response:</w:t>
      </w:r>
      <w:r w:rsidR="00D35628">
        <w:rPr>
          <w:bCs/>
          <w:sz w:val="24"/>
          <w:szCs w:val="24"/>
        </w:rPr>
        <w:t xml:space="preserve"> </w:t>
      </w:r>
      <w:r w:rsidR="00A32D35">
        <w:rPr>
          <w:bCs/>
          <w:sz w:val="24"/>
          <w:szCs w:val="24"/>
        </w:rPr>
        <w:t xml:space="preserve">SDG&amp;E will track revenue shortfalls associated with the EV-HP subscription charge discount through the </w:t>
      </w:r>
      <w:r w:rsidR="00E30545">
        <w:rPr>
          <w:bCs/>
          <w:sz w:val="24"/>
          <w:szCs w:val="24"/>
        </w:rPr>
        <w:t xml:space="preserve">proposed </w:t>
      </w:r>
      <w:r w:rsidR="00E30545" w:rsidRPr="00E30545">
        <w:rPr>
          <w:bCs/>
          <w:sz w:val="24"/>
          <w:szCs w:val="24"/>
        </w:rPr>
        <w:t>EV-HP Incentive Balancing Account</w:t>
      </w:r>
      <w:r w:rsidR="00E30545">
        <w:rPr>
          <w:bCs/>
          <w:sz w:val="24"/>
          <w:szCs w:val="24"/>
        </w:rPr>
        <w:t>.</w:t>
      </w:r>
    </w:p>
    <w:p w:rsidR="00BD64B7" w:rsidRDefault="00BD64B7" w:rsidP="00BD64B7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Please confirm that SDG&amp;E is not proposing any incremental funding for marketing, education, and outreach (ME&amp;O) for either the EV-HP or for the interim existing rate discount.</w:t>
      </w:r>
      <w:r w:rsidR="001B7583">
        <w:rPr>
          <w:bCs/>
          <w:sz w:val="24"/>
          <w:szCs w:val="24"/>
        </w:rPr>
        <w:br/>
      </w:r>
      <w:r w:rsidR="001B7583">
        <w:rPr>
          <w:bCs/>
          <w:sz w:val="24"/>
          <w:szCs w:val="24"/>
        </w:rPr>
        <w:br/>
      </w:r>
      <w:r w:rsidR="001B7583">
        <w:rPr>
          <w:b/>
          <w:bCs/>
          <w:sz w:val="24"/>
          <w:szCs w:val="24"/>
        </w:rPr>
        <w:t xml:space="preserve">SDG&amp;E response: </w:t>
      </w:r>
      <w:r w:rsidR="001B7583">
        <w:rPr>
          <w:bCs/>
          <w:sz w:val="24"/>
          <w:szCs w:val="24"/>
        </w:rPr>
        <w:t xml:space="preserve">SDG&amp;E is not proposing any incremental funding ME&amp;O for either the EV-HP rate or the interim existing rate discount. SDG&amp;E plans to education customers about the EV-HP rate and interim discount through existing </w:t>
      </w:r>
      <w:r w:rsidR="00A1155B">
        <w:rPr>
          <w:bCs/>
          <w:sz w:val="24"/>
          <w:szCs w:val="24"/>
        </w:rPr>
        <w:t xml:space="preserve">ME&amp;O programs for the MD/HD Program and through </w:t>
      </w:r>
      <w:r w:rsidR="00EF158B">
        <w:rPr>
          <w:bCs/>
          <w:sz w:val="24"/>
          <w:szCs w:val="24"/>
        </w:rPr>
        <w:t xml:space="preserve">customer Account Executives. 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If SDG&amp;E is proposing an ME&amp;O with incremental funding, please state the source and amount of funding for both the EV-HP ME&amp;O, as well as for the interim existing rate discount ME&amp;O.</w:t>
      </w:r>
      <w:r w:rsidR="00EF158B">
        <w:rPr>
          <w:bCs/>
          <w:sz w:val="24"/>
          <w:szCs w:val="24"/>
        </w:rPr>
        <w:br/>
      </w:r>
      <w:r w:rsidR="00EF158B">
        <w:rPr>
          <w:bCs/>
          <w:sz w:val="24"/>
          <w:szCs w:val="24"/>
        </w:rPr>
        <w:br/>
      </w:r>
      <w:r w:rsidR="00EF158B">
        <w:rPr>
          <w:b/>
          <w:bCs/>
          <w:sz w:val="24"/>
          <w:szCs w:val="24"/>
        </w:rPr>
        <w:t xml:space="preserve">SDG&amp;E response: </w:t>
      </w:r>
      <w:r w:rsidR="00EF158B">
        <w:rPr>
          <w:bCs/>
          <w:sz w:val="24"/>
          <w:szCs w:val="24"/>
        </w:rPr>
        <w:t>N/A.</w:t>
      </w:r>
    </w:p>
    <w:p w:rsidR="00BD64B7" w:rsidRDefault="00BD64B7" w:rsidP="00BD64B7">
      <w:pPr>
        <w:numPr>
          <w:ilvl w:val="1"/>
          <w:numId w:val="1"/>
        </w:numPr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If SDG&amp;E is proposing an ME&amp;O program, please elaborate on the extent of ME&amp;O SDG&amp;E will conduct for both the EV-HP, as well as for the interim existing rate discount.</w:t>
      </w:r>
      <w:r w:rsidR="00EF158B">
        <w:rPr>
          <w:bCs/>
          <w:sz w:val="24"/>
          <w:szCs w:val="24"/>
        </w:rPr>
        <w:br/>
      </w:r>
      <w:r w:rsidR="00EF158B">
        <w:rPr>
          <w:bCs/>
          <w:sz w:val="24"/>
          <w:szCs w:val="24"/>
        </w:rPr>
        <w:br/>
      </w:r>
      <w:r w:rsidR="00EF158B">
        <w:rPr>
          <w:b/>
          <w:bCs/>
          <w:sz w:val="24"/>
          <w:szCs w:val="24"/>
        </w:rPr>
        <w:t xml:space="preserve">SDG&amp;E response: </w:t>
      </w:r>
      <w:r w:rsidR="00EF158B">
        <w:rPr>
          <w:bCs/>
          <w:sz w:val="24"/>
          <w:szCs w:val="24"/>
        </w:rPr>
        <w:t>N/A.</w:t>
      </w:r>
    </w:p>
    <w:p w:rsidR="00822D6D" w:rsidRPr="00BD64B7" w:rsidRDefault="00BD64B7" w:rsidP="00E61889">
      <w:pPr>
        <w:autoSpaceDE w:val="0"/>
        <w:autoSpaceDN w:val="0"/>
        <w:adjustRightInd w:val="0"/>
      </w:pPr>
      <w:r>
        <w:rPr>
          <w:b/>
          <w:bCs/>
          <w:sz w:val="24"/>
          <w:szCs w:val="24"/>
        </w:rPr>
        <w:t>END OF REQUEST</w:t>
      </w:r>
    </w:p>
    <w:sectPr w:rsidR="00822D6D" w:rsidRPr="00BD64B7" w:rsidSect="0029703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548" w:rsidRDefault="002A0548" w:rsidP="00D53FF2">
      <w:r>
        <w:separator/>
      </w:r>
    </w:p>
  </w:endnote>
  <w:endnote w:type="continuationSeparator" w:id="0">
    <w:p w:rsidR="002A0548" w:rsidRDefault="002A0548" w:rsidP="00D53FF2">
      <w:r>
        <w:continuationSeparator/>
      </w:r>
    </w:p>
  </w:endnote>
  <w:endnote w:type="continuationNotice" w:id="1">
    <w:p w:rsidR="002A0548" w:rsidRDefault="002A0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YCZGQ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548" w:rsidRDefault="002A0548" w:rsidP="00D53FF2">
      <w:r>
        <w:separator/>
      </w:r>
    </w:p>
  </w:footnote>
  <w:footnote w:type="continuationSeparator" w:id="0">
    <w:p w:rsidR="002A0548" w:rsidRDefault="002A0548" w:rsidP="00D53FF2">
      <w:r>
        <w:continuationSeparator/>
      </w:r>
    </w:p>
  </w:footnote>
  <w:footnote w:type="continuationNotice" w:id="1">
    <w:p w:rsidR="002A0548" w:rsidRDefault="002A0548"/>
  </w:footnote>
  <w:footnote w:id="2">
    <w:p w:rsidR="00D56192" w:rsidRDefault="00D561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C4B8F">
        <w:rPr>
          <w:i/>
        </w:rPr>
        <w:t xml:space="preserve">See </w:t>
      </w:r>
      <w:r w:rsidR="008C4B8F">
        <w:t xml:space="preserve">California Energy Commission, </w:t>
      </w:r>
      <w:r w:rsidR="005278ED">
        <w:t xml:space="preserve">“Electric Vehicles &amp; Charging Infrastructure,” </w:t>
      </w:r>
      <w:r w:rsidR="005278ED">
        <w:rPr>
          <w:i/>
        </w:rPr>
        <w:t>at</w:t>
      </w:r>
      <w:r w:rsidR="008C4B8F">
        <w:t xml:space="preserve"> </w:t>
      </w:r>
      <w:hyperlink r:id="rId1" w:history="1">
        <w:r w:rsidR="008C4B8F" w:rsidRPr="00D657CB">
          <w:rPr>
            <w:rStyle w:val="Hyperlink"/>
          </w:rPr>
          <w:t>https://ww2.energy.ca.gov/transportation/altfueltech/electric.html</w:t>
        </w:r>
      </w:hyperlink>
    </w:p>
  </w:footnote>
  <w:footnote w:id="3">
    <w:p w:rsidR="00D56192" w:rsidRDefault="00D561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278ED">
        <w:rPr>
          <w:i/>
        </w:rPr>
        <w:t xml:space="preserve">See </w:t>
      </w:r>
      <w:r w:rsidR="00DA688C">
        <w:t xml:space="preserve">US Department of Energy Office of Energy Efficiency &amp; Renewable Energy, “Savings on Fuel and Vehicle Costs,” </w:t>
      </w:r>
      <w:r w:rsidR="00DA688C">
        <w:rPr>
          <w:i/>
        </w:rPr>
        <w:t>at</w:t>
      </w:r>
      <w:r w:rsidR="005278ED">
        <w:t xml:space="preserve"> </w:t>
      </w:r>
      <w:hyperlink r:id="rId2" w:history="1">
        <w:r w:rsidR="005278ED" w:rsidRPr="00D657CB">
          <w:rPr>
            <w:rStyle w:val="Hyperlink"/>
          </w:rPr>
          <w:t>https://www.energy.gov/eere/electricvehicles/saving-fuel-and-vehicle-costs</w:t>
        </w:r>
      </w:hyperlink>
    </w:p>
  </w:footnote>
  <w:footnote w:id="4">
    <w:p w:rsidR="00BD64B7" w:rsidRDefault="00BD64B7" w:rsidP="00BD64B7">
      <w:pPr>
        <w:pStyle w:val="FootnoteText"/>
      </w:pPr>
      <w:r>
        <w:rPr>
          <w:rStyle w:val="FootnoteReference"/>
        </w:rPr>
        <w:footnoteRef/>
      </w:r>
      <w:r>
        <w:t xml:space="preserve"> SDG&amp;E Testimony Ch. 3, pp. PK-3 to PK-9.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F2" w:rsidRPr="00D53FF2" w:rsidRDefault="00426ECC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>
      <w:rPr>
        <w:rFonts w:asciiTheme="minorHAnsi" w:hAnsiTheme="minorHAnsi" w:cstheme="minorHAnsi"/>
        <w:b/>
        <w:bCs/>
        <w:sz w:val="23"/>
        <w:szCs w:val="23"/>
      </w:rPr>
      <w:t>Cal PA</w:t>
    </w:r>
    <w:r w:rsidR="00D53FF2" w:rsidRPr="00D53FF2">
      <w:rPr>
        <w:rFonts w:asciiTheme="minorHAnsi" w:hAnsiTheme="minorHAnsi" w:cstheme="minorHAnsi"/>
        <w:b/>
        <w:bCs/>
        <w:sz w:val="23"/>
        <w:szCs w:val="23"/>
      </w:rPr>
      <w:t xml:space="preserve"> DATA REQUEST </w:t>
    </w:r>
  </w:p>
  <w:p w:rsidR="00D53FF2" w:rsidRPr="00D53FF2" w:rsidRDefault="00426ECC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>
      <w:rPr>
        <w:rFonts w:asciiTheme="minorHAnsi" w:hAnsiTheme="minorHAnsi" w:cstheme="minorHAnsi"/>
        <w:b/>
        <w:bCs/>
        <w:sz w:val="23"/>
        <w:szCs w:val="23"/>
      </w:rPr>
      <w:t>Cal PA</w:t>
    </w:r>
    <w:r w:rsidR="00D53FF2" w:rsidRPr="00D53FF2">
      <w:rPr>
        <w:rFonts w:asciiTheme="minorHAnsi" w:hAnsiTheme="minorHAnsi" w:cstheme="minorHAnsi"/>
        <w:b/>
        <w:bCs/>
        <w:sz w:val="23"/>
        <w:szCs w:val="23"/>
      </w:rPr>
      <w:t>-SDG&amp;E-DR-0</w:t>
    </w:r>
    <w:r w:rsidR="00C1330A">
      <w:rPr>
        <w:rFonts w:asciiTheme="minorHAnsi" w:hAnsiTheme="minorHAnsi" w:cstheme="minorHAnsi"/>
        <w:b/>
        <w:bCs/>
        <w:sz w:val="23"/>
        <w:szCs w:val="23"/>
      </w:rPr>
      <w:t>3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>Application for Approval of Electric Vehicle High Power Charging Rate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 xml:space="preserve">SDG&amp;E RESPONSE 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 xml:space="preserve">DATE RECEIVED: </w:t>
    </w:r>
    <w:r w:rsidR="00F761A7">
      <w:rPr>
        <w:rFonts w:asciiTheme="minorHAnsi" w:hAnsiTheme="minorHAnsi" w:cstheme="minorHAnsi"/>
        <w:b/>
        <w:bCs/>
        <w:sz w:val="23"/>
        <w:szCs w:val="23"/>
      </w:rPr>
      <w:t xml:space="preserve">August </w:t>
    </w:r>
    <w:r w:rsidR="00C1330A">
      <w:rPr>
        <w:rFonts w:asciiTheme="minorHAnsi" w:hAnsiTheme="minorHAnsi" w:cstheme="minorHAnsi"/>
        <w:b/>
        <w:bCs/>
        <w:sz w:val="23"/>
        <w:szCs w:val="23"/>
      </w:rPr>
      <w:t>9</w:t>
    </w:r>
    <w:r w:rsidRPr="00D53FF2">
      <w:rPr>
        <w:rFonts w:asciiTheme="minorHAnsi" w:hAnsiTheme="minorHAnsi" w:cstheme="minorHAnsi"/>
        <w:b/>
        <w:bCs/>
        <w:sz w:val="23"/>
        <w:szCs w:val="23"/>
      </w:rPr>
      <w:t xml:space="preserve">, 2019 </w:t>
    </w:r>
  </w:p>
  <w:p w:rsidR="00D53FF2" w:rsidRPr="005732D3" w:rsidRDefault="00D53FF2" w:rsidP="00D53FF2">
    <w:pPr>
      <w:pStyle w:val="Default"/>
      <w:jc w:val="center"/>
      <w:rPr>
        <w:rFonts w:asciiTheme="minorHAnsi" w:hAnsiTheme="minorHAnsi" w:cstheme="minorHAnsi"/>
        <w:b/>
        <w:bCs/>
        <w:color w:val="auto"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 xml:space="preserve">DATE RESPONDED: </w:t>
    </w:r>
    <w:r w:rsidR="00A957F6" w:rsidRPr="005732D3">
      <w:rPr>
        <w:rFonts w:asciiTheme="minorHAnsi" w:hAnsiTheme="minorHAnsi" w:cstheme="minorHAnsi"/>
        <w:b/>
        <w:bCs/>
        <w:color w:val="auto"/>
        <w:sz w:val="23"/>
        <w:szCs w:val="23"/>
      </w:rPr>
      <w:t xml:space="preserve">August </w:t>
    </w:r>
    <w:r w:rsidR="00C30DEA" w:rsidRPr="005732D3">
      <w:rPr>
        <w:rFonts w:asciiTheme="minorHAnsi" w:hAnsiTheme="minorHAnsi" w:cstheme="minorHAnsi"/>
        <w:b/>
        <w:bCs/>
        <w:color w:val="auto"/>
        <w:sz w:val="23"/>
        <w:szCs w:val="23"/>
      </w:rPr>
      <w:t>2</w:t>
    </w:r>
    <w:r w:rsidR="002B670A">
      <w:rPr>
        <w:rFonts w:asciiTheme="minorHAnsi" w:hAnsiTheme="minorHAnsi" w:cstheme="minorHAnsi"/>
        <w:b/>
        <w:bCs/>
        <w:color w:val="auto"/>
        <w:sz w:val="23"/>
        <w:szCs w:val="23"/>
      </w:rPr>
      <w:t>1</w:t>
    </w:r>
    <w:r w:rsidRPr="005732D3">
      <w:rPr>
        <w:rFonts w:asciiTheme="minorHAnsi" w:hAnsiTheme="minorHAnsi" w:cstheme="minorHAnsi"/>
        <w:b/>
        <w:bCs/>
        <w:color w:val="auto"/>
        <w:sz w:val="23"/>
        <w:szCs w:val="23"/>
      </w:rPr>
      <w:t>, 2019</w:t>
    </w:r>
  </w:p>
  <w:p w:rsidR="00D53FF2" w:rsidRDefault="00D53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078"/>
    <w:multiLevelType w:val="hybridMultilevel"/>
    <w:tmpl w:val="325E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0EF"/>
    <w:multiLevelType w:val="hybridMultilevel"/>
    <w:tmpl w:val="6B0E7DE4"/>
    <w:lvl w:ilvl="0" w:tplc="368AA08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796A"/>
    <w:multiLevelType w:val="hybridMultilevel"/>
    <w:tmpl w:val="F49EE6A2"/>
    <w:lvl w:ilvl="0" w:tplc="2EE8C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F2"/>
    <w:rsid w:val="00001351"/>
    <w:rsid w:val="00030F37"/>
    <w:rsid w:val="00043A47"/>
    <w:rsid w:val="00065395"/>
    <w:rsid w:val="00075088"/>
    <w:rsid w:val="00085E2F"/>
    <w:rsid w:val="000945D9"/>
    <w:rsid w:val="000A4989"/>
    <w:rsid w:val="000B1AF6"/>
    <w:rsid w:val="000C40FC"/>
    <w:rsid w:val="000C4CBE"/>
    <w:rsid w:val="000C7F38"/>
    <w:rsid w:val="000F0F1A"/>
    <w:rsid w:val="00120DE0"/>
    <w:rsid w:val="00140BB6"/>
    <w:rsid w:val="001418F5"/>
    <w:rsid w:val="00141EEA"/>
    <w:rsid w:val="0015225E"/>
    <w:rsid w:val="00154F72"/>
    <w:rsid w:val="001621AE"/>
    <w:rsid w:val="0016533F"/>
    <w:rsid w:val="001A3065"/>
    <w:rsid w:val="001B0911"/>
    <w:rsid w:val="001B7583"/>
    <w:rsid w:val="001C3927"/>
    <w:rsid w:val="001C4C9E"/>
    <w:rsid w:val="002039CD"/>
    <w:rsid w:val="002100DF"/>
    <w:rsid w:val="00237DE8"/>
    <w:rsid w:val="0024268E"/>
    <w:rsid w:val="00247138"/>
    <w:rsid w:val="00252809"/>
    <w:rsid w:val="002545FB"/>
    <w:rsid w:val="00297039"/>
    <w:rsid w:val="002A010F"/>
    <w:rsid w:val="002A0548"/>
    <w:rsid w:val="002B670A"/>
    <w:rsid w:val="002C1E3E"/>
    <w:rsid w:val="002C2B03"/>
    <w:rsid w:val="002D6F18"/>
    <w:rsid w:val="002E2C65"/>
    <w:rsid w:val="002F61AC"/>
    <w:rsid w:val="00300025"/>
    <w:rsid w:val="00307AC6"/>
    <w:rsid w:val="003169ED"/>
    <w:rsid w:val="003346F1"/>
    <w:rsid w:val="00335E7F"/>
    <w:rsid w:val="00345237"/>
    <w:rsid w:val="00347B5E"/>
    <w:rsid w:val="00351ABC"/>
    <w:rsid w:val="00355CBD"/>
    <w:rsid w:val="00371E1A"/>
    <w:rsid w:val="00387CA2"/>
    <w:rsid w:val="003B1ECC"/>
    <w:rsid w:val="003C4135"/>
    <w:rsid w:val="003D4479"/>
    <w:rsid w:val="003F32C4"/>
    <w:rsid w:val="003F7C58"/>
    <w:rsid w:val="004033A7"/>
    <w:rsid w:val="00412CF2"/>
    <w:rsid w:val="00416D88"/>
    <w:rsid w:val="004216C2"/>
    <w:rsid w:val="00424A41"/>
    <w:rsid w:val="00426ECC"/>
    <w:rsid w:val="00452C5B"/>
    <w:rsid w:val="00460209"/>
    <w:rsid w:val="00461ACA"/>
    <w:rsid w:val="00467889"/>
    <w:rsid w:val="00472F30"/>
    <w:rsid w:val="00472FBF"/>
    <w:rsid w:val="00482106"/>
    <w:rsid w:val="004878FC"/>
    <w:rsid w:val="004C2533"/>
    <w:rsid w:val="004D38A6"/>
    <w:rsid w:val="004D5F03"/>
    <w:rsid w:val="004D601F"/>
    <w:rsid w:val="004E2339"/>
    <w:rsid w:val="0050132A"/>
    <w:rsid w:val="00502B5A"/>
    <w:rsid w:val="005278ED"/>
    <w:rsid w:val="00540FED"/>
    <w:rsid w:val="00564FA5"/>
    <w:rsid w:val="005732D3"/>
    <w:rsid w:val="00577A7A"/>
    <w:rsid w:val="00584CB6"/>
    <w:rsid w:val="005A082C"/>
    <w:rsid w:val="005B083E"/>
    <w:rsid w:val="005B1DED"/>
    <w:rsid w:val="005B5BB1"/>
    <w:rsid w:val="005C380E"/>
    <w:rsid w:val="005E30B2"/>
    <w:rsid w:val="005E63B8"/>
    <w:rsid w:val="005F154E"/>
    <w:rsid w:val="00605B60"/>
    <w:rsid w:val="00614954"/>
    <w:rsid w:val="00644E81"/>
    <w:rsid w:val="00656F53"/>
    <w:rsid w:val="006602EA"/>
    <w:rsid w:val="00674B7B"/>
    <w:rsid w:val="0068410E"/>
    <w:rsid w:val="006938FD"/>
    <w:rsid w:val="006A5057"/>
    <w:rsid w:val="006A75D4"/>
    <w:rsid w:val="006C58F5"/>
    <w:rsid w:val="006D0FCA"/>
    <w:rsid w:val="006E147E"/>
    <w:rsid w:val="006E6F56"/>
    <w:rsid w:val="006F2392"/>
    <w:rsid w:val="006F575C"/>
    <w:rsid w:val="00706788"/>
    <w:rsid w:val="00711748"/>
    <w:rsid w:val="007120BE"/>
    <w:rsid w:val="00716978"/>
    <w:rsid w:val="007257A6"/>
    <w:rsid w:val="00727B62"/>
    <w:rsid w:val="00741BC7"/>
    <w:rsid w:val="00757988"/>
    <w:rsid w:val="00763822"/>
    <w:rsid w:val="007857A2"/>
    <w:rsid w:val="007961A8"/>
    <w:rsid w:val="007E2CDC"/>
    <w:rsid w:val="007E7653"/>
    <w:rsid w:val="00802EEF"/>
    <w:rsid w:val="0080308D"/>
    <w:rsid w:val="00805DBF"/>
    <w:rsid w:val="008124D4"/>
    <w:rsid w:val="00822D6D"/>
    <w:rsid w:val="00824EE9"/>
    <w:rsid w:val="00825FD5"/>
    <w:rsid w:val="00830095"/>
    <w:rsid w:val="00835D56"/>
    <w:rsid w:val="0086272F"/>
    <w:rsid w:val="00872974"/>
    <w:rsid w:val="00877364"/>
    <w:rsid w:val="00895E24"/>
    <w:rsid w:val="008A07DD"/>
    <w:rsid w:val="008A132F"/>
    <w:rsid w:val="008A603C"/>
    <w:rsid w:val="008B5E4E"/>
    <w:rsid w:val="008B7D18"/>
    <w:rsid w:val="008C4B8F"/>
    <w:rsid w:val="008C6D7F"/>
    <w:rsid w:val="008D06C8"/>
    <w:rsid w:val="008F4159"/>
    <w:rsid w:val="00912BE3"/>
    <w:rsid w:val="009142B4"/>
    <w:rsid w:val="00937DC3"/>
    <w:rsid w:val="00960552"/>
    <w:rsid w:val="0096510A"/>
    <w:rsid w:val="00990206"/>
    <w:rsid w:val="00993A4D"/>
    <w:rsid w:val="00995457"/>
    <w:rsid w:val="009A4911"/>
    <w:rsid w:val="009A591E"/>
    <w:rsid w:val="009C759A"/>
    <w:rsid w:val="009C76D7"/>
    <w:rsid w:val="009D0A19"/>
    <w:rsid w:val="009D1D43"/>
    <w:rsid w:val="009E2E2C"/>
    <w:rsid w:val="009E3358"/>
    <w:rsid w:val="009F1AD4"/>
    <w:rsid w:val="009F3708"/>
    <w:rsid w:val="009F43E1"/>
    <w:rsid w:val="009F44B1"/>
    <w:rsid w:val="00A1155B"/>
    <w:rsid w:val="00A13133"/>
    <w:rsid w:val="00A2217E"/>
    <w:rsid w:val="00A22807"/>
    <w:rsid w:val="00A249D3"/>
    <w:rsid w:val="00A31E2C"/>
    <w:rsid w:val="00A32D35"/>
    <w:rsid w:val="00A53D2A"/>
    <w:rsid w:val="00A53DBD"/>
    <w:rsid w:val="00A562CD"/>
    <w:rsid w:val="00A7096F"/>
    <w:rsid w:val="00A75689"/>
    <w:rsid w:val="00A75740"/>
    <w:rsid w:val="00A85FEA"/>
    <w:rsid w:val="00A91668"/>
    <w:rsid w:val="00A91861"/>
    <w:rsid w:val="00A957F6"/>
    <w:rsid w:val="00AA4957"/>
    <w:rsid w:val="00AA54EE"/>
    <w:rsid w:val="00AB4A12"/>
    <w:rsid w:val="00AB7B32"/>
    <w:rsid w:val="00AD12EE"/>
    <w:rsid w:val="00AF194F"/>
    <w:rsid w:val="00B0111C"/>
    <w:rsid w:val="00B04D2A"/>
    <w:rsid w:val="00B14651"/>
    <w:rsid w:val="00B22C7D"/>
    <w:rsid w:val="00B2417C"/>
    <w:rsid w:val="00B32120"/>
    <w:rsid w:val="00B93316"/>
    <w:rsid w:val="00B976DB"/>
    <w:rsid w:val="00BA5302"/>
    <w:rsid w:val="00BB1D4A"/>
    <w:rsid w:val="00BC2ADB"/>
    <w:rsid w:val="00BC586A"/>
    <w:rsid w:val="00BD64B7"/>
    <w:rsid w:val="00BE0643"/>
    <w:rsid w:val="00BE5DD4"/>
    <w:rsid w:val="00C05F71"/>
    <w:rsid w:val="00C07660"/>
    <w:rsid w:val="00C07EC0"/>
    <w:rsid w:val="00C1330A"/>
    <w:rsid w:val="00C15D1A"/>
    <w:rsid w:val="00C16A5F"/>
    <w:rsid w:val="00C23185"/>
    <w:rsid w:val="00C30DEA"/>
    <w:rsid w:val="00C4438B"/>
    <w:rsid w:val="00C62ED3"/>
    <w:rsid w:val="00C64C81"/>
    <w:rsid w:val="00C76DAF"/>
    <w:rsid w:val="00C778FF"/>
    <w:rsid w:val="00C84BA5"/>
    <w:rsid w:val="00C85176"/>
    <w:rsid w:val="00C87031"/>
    <w:rsid w:val="00C976BD"/>
    <w:rsid w:val="00CB72CA"/>
    <w:rsid w:val="00CE290D"/>
    <w:rsid w:val="00D14F0B"/>
    <w:rsid w:val="00D14F76"/>
    <w:rsid w:val="00D17B54"/>
    <w:rsid w:val="00D26ADA"/>
    <w:rsid w:val="00D26F73"/>
    <w:rsid w:val="00D27F6D"/>
    <w:rsid w:val="00D35628"/>
    <w:rsid w:val="00D418E3"/>
    <w:rsid w:val="00D43650"/>
    <w:rsid w:val="00D53FF2"/>
    <w:rsid w:val="00D548FD"/>
    <w:rsid w:val="00D5527D"/>
    <w:rsid w:val="00D56192"/>
    <w:rsid w:val="00D57954"/>
    <w:rsid w:val="00D62184"/>
    <w:rsid w:val="00D64180"/>
    <w:rsid w:val="00D646B4"/>
    <w:rsid w:val="00D657CB"/>
    <w:rsid w:val="00D9005B"/>
    <w:rsid w:val="00D92F85"/>
    <w:rsid w:val="00DA254D"/>
    <w:rsid w:val="00DA688C"/>
    <w:rsid w:val="00DB6134"/>
    <w:rsid w:val="00DD1433"/>
    <w:rsid w:val="00E14199"/>
    <w:rsid w:val="00E302BA"/>
    <w:rsid w:val="00E30545"/>
    <w:rsid w:val="00E45AFF"/>
    <w:rsid w:val="00E53767"/>
    <w:rsid w:val="00E539CA"/>
    <w:rsid w:val="00E61889"/>
    <w:rsid w:val="00E644EE"/>
    <w:rsid w:val="00E65F6A"/>
    <w:rsid w:val="00E666F0"/>
    <w:rsid w:val="00E71A4F"/>
    <w:rsid w:val="00E73991"/>
    <w:rsid w:val="00E75118"/>
    <w:rsid w:val="00EB7CF0"/>
    <w:rsid w:val="00ED5E84"/>
    <w:rsid w:val="00EE6877"/>
    <w:rsid w:val="00EF158B"/>
    <w:rsid w:val="00F24444"/>
    <w:rsid w:val="00F24D59"/>
    <w:rsid w:val="00F30E37"/>
    <w:rsid w:val="00F330F9"/>
    <w:rsid w:val="00F4483C"/>
    <w:rsid w:val="00F57396"/>
    <w:rsid w:val="00F658AD"/>
    <w:rsid w:val="00F71ECE"/>
    <w:rsid w:val="00F72140"/>
    <w:rsid w:val="00F75C03"/>
    <w:rsid w:val="00F761A7"/>
    <w:rsid w:val="00F82025"/>
    <w:rsid w:val="00F862B2"/>
    <w:rsid w:val="00F87663"/>
    <w:rsid w:val="00F93F41"/>
    <w:rsid w:val="00FB0C94"/>
    <w:rsid w:val="00FC6FE5"/>
    <w:rsid w:val="00FE4920"/>
    <w:rsid w:val="00FF0092"/>
    <w:rsid w:val="6C9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5AB5"/>
  <w15:chartTrackingRefBased/>
  <w15:docId w15:val="{61CE5405-BBB7-4424-B7E1-7E94FCA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FF2"/>
  </w:style>
  <w:style w:type="paragraph" w:styleId="Footer">
    <w:name w:val="footer"/>
    <w:basedOn w:val="Normal"/>
    <w:link w:val="FooterChar"/>
    <w:uiPriority w:val="99"/>
    <w:unhideWhenUsed/>
    <w:rsid w:val="00D53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FF2"/>
  </w:style>
  <w:style w:type="paragraph" w:customStyle="1" w:styleId="Default">
    <w:name w:val="Default"/>
    <w:rsid w:val="00D53FF2"/>
    <w:pPr>
      <w:widowControl w:val="0"/>
      <w:autoSpaceDE w:val="0"/>
      <w:autoSpaceDN w:val="0"/>
      <w:adjustRightInd w:val="0"/>
      <w:spacing w:after="0" w:line="240" w:lineRule="auto"/>
    </w:pPr>
    <w:rPr>
      <w:rFonts w:ascii="TYCZGQ+TimesNewRomanPS-BoldMT" w:eastAsiaTheme="minorEastAsia" w:hAnsi="TYCZGQ+TimesNewRomanPS-BoldMT" w:cs="TYCZGQ+TimesNewRomanPS-Bold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F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7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26ECC"/>
  </w:style>
  <w:style w:type="character" w:customStyle="1" w:styleId="FootnoteTextChar">
    <w:name w:val="Footnote Text Char"/>
    <w:basedOn w:val="DefaultParagraphFont"/>
    <w:link w:val="FootnoteText"/>
    <w:semiHidden/>
    <w:rsid w:val="00426EC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426E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B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5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D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D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D1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5A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1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2.energy.ca.gov/2018_energypolicy/documents/cedu_2018-2030/2018_demandforecast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ergy.gov/eere/electricvehicles/saving-fuel-and-vehicle-costs" TargetMode="External"/><Relationship Id="rId1" Type="http://schemas.openxmlformats.org/officeDocument/2006/relationships/hyperlink" Target="https://ww2.energy.ca.gov/transportation/altfueltech/electr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plementation_x0020_Doc_x0020_Type xmlns="3a0c425c-8a18-4bcd-b07b-a947f609ef0c" xsi:nil="true"/>
    <Program_x0020_Status xmlns="3a0c425c-8a18-4bcd-b07b-a947f609ef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Implementation Document" ma:contentTypeID="0x0101008B4F2DB291FA834AAD1649D0731F078000EE61C334B45E324B895C0FB32EAA5A2C" ma:contentTypeVersion="5" ma:contentTypeDescription="" ma:contentTypeScope="" ma:versionID="77e4ed242de32c1a037f09ff594606b2">
  <xsd:schema xmlns:xsd="http://www.w3.org/2001/XMLSchema" xmlns:xs="http://www.w3.org/2001/XMLSchema" xmlns:p="http://schemas.microsoft.com/office/2006/metadata/properties" xmlns:ns2="3a0c425c-8a18-4bcd-b07b-a947f609ef0c" targetNamespace="http://schemas.microsoft.com/office/2006/metadata/properties" ma:root="true" ma:fieldsID="5d0a768a2849ae8f95df7f8780a6f8ae" ns2:_="">
    <xsd:import namespace="3a0c425c-8a18-4bcd-b07b-a947f609ef0c"/>
    <xsd:element name="properties">
      <xsd:complexType>
        <xsd:sequence>
          <xsd:element name="documentManagement">
            <xsd:complexType>
              <xsd:all>
                <xsd:element ref="ns2:Implementation_x0020_Doc_x0020_Type" minOccurs="0"/>
                <xsd:element ref="ns2:Program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425c-8a18-4bcd-b07b-a947f609ef0c" elementFormDefault="qualified">
    <xsd:import namespace="http://schemas.microsoft.com/office/2006/documentManagement/types"/>
    <xsd:import namespace="http://schemas.microsoft.com/office/infopath/2007/PartnerControls"/>
    <xsd:element name="Implementation_x0020_Doc_x0020_Type" ma:index="8" nillable="true" ma:displayName="Implementation Doc Type" ma:format="Dropdown" ma:internalName="Implementation_x0020_Doc_x0020_Type">
      <xsd:simpleType>
        <xsd:restriction base="dms:Choice">
          <xsd:enumeration value="Regulatory"/>
          <xsd:enumeration value="Financials"/>
          <xsd:enumeration value="Schedules"/>
          <xsd:enumeration value="Contract"/>
          <xsd:enumeration value="Supply Management"/>
          <xsd:enumeration value="Data Collection/Analysis"/>
          <xsd:enumeration value="Customer Doc"/>
        </xsd:restriction>
      </xsd:simpleType>
    </xsd:element>
    <xsd:element name="Program_x0020_Status" ma:index="9" nillable="true" ma:displayName="Program Status" ma:format="Dropdown" ma:indexed="true" ma:internalName="Program_x0020_Status">
      <xsd:simpleType>
        <xsd:restriction base="dms:Choice">
          <xsd:enumeration value="Approved"/>
          <xsd:enumeration value="Potential/Pending"/>
          <xsd:enumeration value="Not Approved"/>
          <xsd:enumeration value="Comple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D8CF-31AD-4774-8C7B-7178C85F0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B8B8-5B69-4D12-AAD8-6FDBDA027684}">
  <ds:schemaRefs>
    <ds:schemaRef ds:uri="http://schemas.microsoft.com/office/2006/metadata/properties"/>
    <ds:schemaRef ds:uri="http://schemas.microsoft.com/office/infopath/2007/PartnerControls"/>
    <ds:schemaRef ds:uri="3a0c425c-8a18-4bcd-b07b-a947f609ef0c"/>
  </ds:schemaRefs>
</ds:datastoreItem>
</file>

<file path=customXml/itemProps3.xml><?xml version="1.0" encoding="utf-8"?>
<ds:datastoreItem xmlns:ds="http://schemas.openxmlformats.org/officeDocument/2006/customXml" ds:itemID="{7D339013-70E9-43CE-8183-9FA2655ED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425c-8a18-4bcd-b07b-a947f609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7F4E4-539B-4D32-B7D4-2FBDCDCF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Links>
    <vt:vector size="12" baseType="variant"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https://www.energy.gov/eere/electricvehicles/saving-fuel-and-vehicle-costs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https://ww2.energy.ca.gov/transportation/altfueltech/electric.html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Kinports, Dean A.</dc:creator>
  <cp:keywords/>
  <dc:description/>
  <cp:lastModifiedBy>Kinports, Dean A.</cp:lastModifiedBy>
  <cp:revision>2</cp:revision>
  <dcterms:created xsi:type="dcterms:W3CDTF">2019-08-21T21:34:00Z</dcterms:created>
  <dcterms:modified xsi:type="dcterms:W3CDTF">2019-08-21T21:34:00Z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0x0101008B4F2DB291FA834AAD1649D0731F078000EE61C334B45E324B895C0FB32EAA5A2C</vt:lpwstr>
  </property>
</Properties>
</file>