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CA" w:rsidRPr="00A920CA" w:rsidRDefault="00A920CA">
      <w:pPr>
        <w:pStyle w:val="Body"/>
        <w:jc w:val="center"/>
        <w:outlineLvl w:val="0"/>
        <w:rPr>
          <w:rFonts w:hAnsi="Times New Roman" w:cs="Times New Roman"/>
        </w:rPr>
      </w:pPr>
      <w:bookmarkStart w:id="0" w:name="_GoBack"/>
      <w:bookmarkEnd w:id="0"/>
      <w:r>
        <w:t xml:space="preserve">152 FERC </w:t>
      </w:r>
      <w:r w:rsidR="00277792">
        <w:rPr>
          <w:rFonts w:hAnsi="Times New Roman" w:cs="Times New Roman"/>
        </w:rPr>
        <w:t>¶ 61,233</w:t>
      </w:r>
    </w:p>
    <w:p w:rsidR="004D1844" w:rsidRDefault="004A4880">
      <w:pPr>
        <w:pStyle w:val="Body"/>
        <w:jc w:val="center"/>
        <w:outlineLvl w:val="0"/>
      </w:pPr>
      <w:r>
        <w:t>UNITED STATES OF AMERICA</w:t>
      </w:r>
    </w:p>
    <w:p w:rsidR="004D1844" w:rsidRDefault="004A4880">
      <w:pPr>
        <w:pStyle w:val="Body"/>
        <w:jc w:val="center"/>
      </w:pPr>
      <w:r>
        <w:t>FEDERAL ENERGY REGULATORY COMMISSION</w:t>
      </w:r>
    </w:p>
    <w:p w:rsidR="00A920CA" w:rsidRDefault="00A920CA">
      <w:pPr>
        <w:pStyle w:val="Body"/>
        <w:jc w:val="center"/>
      </w:pPr>
    </w:p>
    <w:p w:rsidR="00A920CA" w:rsidRDefault="00A920CA">
      <w:pPr>
        <w:pStyle w:val="Body"/>
        <w:jc w:val="center"/>
      </w:pPr>
    </w:p>
    <w:p w:rsidR="00A920CA" w:rsidRPr="00A920CA" w:rsidRDefault="00A920CA" w:rsidP="00A920CA">
      <w:pPr>
        <w:pStyle w:val="Body"/>
        <w:widowControl/>
        <w:rPr>
          <w:rFonts w:hAnsi="Times New Roman" w:cs="Times New Roman"/>
        </w:rPr>
      </w:pPr>
      <w:r w:rsidRPr="00A920CA">
        <w:rPr>
          <w:rFonts w:hAnsi="Times New Roman" w:cs="Times New Roman"/>
        </w:rPr>
        <w:t>Before Commissioners:  Norman C. Bay, Chairman;</w:t>
      </w:r>
    </w:p>
    <w:p w:rsidR="00A920CA" w:rsidRPr="00A920CA" w:rsidRDefault="00A920CA" w:rsidP="00A920CA">
      <w:pPr>
        <w:pStyle w:val="Body"/>
        <w:widowControl/>
        <w:rPr>
          <w:rFonts w:hAnsi="Times New Roman" w:cs="Times New Roman"/>
        </w:rPr>
      </w:pPr>
      <w:r w:rsidRPr="00A920CA">
        <w:rPr>
          <w:rFonts w:hAnsi="Times New Roman" w:cs="Times New Roman"/>
        </w:rPr>
        <w:t xml:space="preserve">                                        Philip D. Moeller, Cheryl A. </w:t>
      </w:r>
      <w:proofErr w:type="spellStart"/>
      <w:r w:rsidRPr="00A920CA">
        <w:rPr>
          <w:rFonts w:hAnsi="Times New Roman" w:cs="Times New Roman"/>
        </w:rPr>
        <w:t>LaFleur</w:t>
      </w:r>
      <w:proofErr w:type="spellEnd"/>
      <w:r w:rsidRPr="00A920CA">
        <w:rPr>
          <w:rFonts w:hAnsi="Times New Roman" w:cs="Times New Roman"/>
        </w:rPr>
        <w:t>,</w:t>
      </w:r>
    </w:p>
    <w:p w:rsidR="00A920CA" w:rsidRDefault="00A920CA" w:rsidP="00A920CA">
      <w:pPr>
        <w:pStyle w:val="Body"/>
        <w:widowControl/>
      </w:pPr>
      <w:r w:rsidRPr="00A920CA">
        <w:rPr>
          <w:rFonts w:hAnsi="Times New Roman" w:cs="Times New Roman"/>
        </w:rPr>
        <w:t xml:space="preserve">                                        Tony </w:t>
      </w:r>
      <w:proofErr w:type="gramStart"/>
      <w:r w:rsidRPr="00A920CA">
        <w:rPr>
          <w:rFonts w:hAnsi="Times New Roman" w:cs="Times New Roman"/>
        </w:rPr>
        <w:t>Clark,</w:t>
      </w:r>
      <w:proofErr w:type="gramEnd"/>
      <w:r w:rsidRPr="00A920CA">
        <w:rPr>
          <w:rFonts w:hAnsi="Times New Roman" w:cs="Times New Roman"/>
        </w:rPr>
        <w:t xml:space="preserve"> and Colette D. Honorable.</w:t>
      </w:r>
    </w:p>
    <w:p w:rsidR="00A920CA" w:rsidRDefault="00A920CA">
      <w:pPr>
        <w:pStyle w:val="Body"/>
        <w:jc w:val="center"/>
      </w:pPr>
    </w:p>
    <w:p w:rsidR="004D1844" w:rsidRDefault="004D1844">
      <w:pPr>
        <w:pStyle w:val="Body"/>
        <w:ind w:left="1440" w:hanging="1440"/>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31"/>
        <w:gridCol w:w="1535"/>
        <w:gridCol w:w="1894"/>
      </w:tblGrid>
      <w:tr w:rsidR="004D1844">
        <w:trPr>
          <w:trHeight w:val="309"/>
        </w:trPr>
        <w:tc>
          <w:tcPr>
            <w:tcW w:w="5931" w:type="dxa"/>
            <w:tcBorders>
              <w:top w:val="nil"/>
              <w:left w:val="nil"/>
              <w:bottom w:val="nil"/>
              <w:right w:val="nil"/>
            </w:tcBorders>
            <w:shd w:val="clear" w:color="auto" w:fill="auto"/>
            <w:tcMar>
              <w:top w:w="80" w:type="dxa"/>
              <w:left w:w="80" w:type="dxa"/>
              <w:bottom w:w="80" w:type="dxa"/>
              <w:right w:w="80" w:type="dxa"/>
            </w:tcMar>
          </w:tcPr>
          <w:p w:rsidR="004D1844" w:rsidRDefault="004A4880">
            <w:pPr>
              <w:pStyle w:val="Body"/>
            </w:pPr>
            <w:r>
              <w:t>San Diego Gas &amp; Electric Company</w:t>
            </w:r>
          </w:p>
        </w:tc>
        <w:tc>
          <w:tcPr>
            <w:tcW w:w="1535" w:type="dxa"/>
            <w:tcBorders>
              <w:top w:val="nil"/>
              <w:left w:val="nil"/>
              <w:bottom w:val="nil"/>
              <w:right w:val="nil"/>
            </w:tcBorders>
            <w:shd w:val="clear" w:color="auto" w:fill="auto"/>
            <w:tcMar>
              <w:top w:w="80" w:type="dxa"/>
              <w:left w:w="80" w:type="dxa"/>
              <w:bottom w:w="80" w:type="dxa"/>
              <w:right w:w="80" w:type="dxa"/>
            </w:tcMar>
          </w:tcPr>
          <w:p w:rsidR="004D1844" w:rsidRDefault="004A4880">
            <w:pPr>
              <w:pStyle w:val="Body"/>
              <w:tabs>
                <w:tab w:val="left" w:pos="720"/>
                <w:tab w:val="left" w:pos="1440"/>
                <w:tab w:val="left" w:pos="2880"/>
                <w:tab w:val="left" w:pos="4320"/>
                <w:tab w:val="left" w:pos="5040"/>
                <w:tab w:val="left" w:pos="5760"/>
                <w:tab w:val="left" w:pos="6480"/>
                <w:tab w:val="left" w:pos="7200"/>
              </w:tabs>
              <w:jc w:val="right"/>
            </w:pPr>
            <w:r>
              <w:t>Docket No.</w:t>
            </w:r>
          </w:p>
        </w:tc>
        <w:tc>
          <w:tcPr>
            <w:tcW w:w="1894" w:type="dxa"/>
            <w:tcBorders>
              <w:top w:val="nil"/>
              <w:left w:val="nil"/>
              <w:bottom w:val="nil"/>
              <w:right w:val="nil"/>
            </w:tcBorders>
            <w:shd w:val="clear" w:color="auto" w:fill="auto"/>
            <w:tcMar>
              <w:top w:w="80" w:type="dxa"/>
              <w:left w:w="80" w:type="dxa"/>
              <w:bottom w:w="80" w:type="dxa"/>
              <w:right w:w="80" w:type="dxa"/>
            </w:tcMar>
          </w:tcPr>
          <w:p w:rsidR="004D1844" w:rsidRDefault="004A4880" w:rsidP="00A920CA">
            <w:pPr>
              <w:pStyle w:val="Body"/>
              <w:tabs>
                <w:tab w:val="left" w:pos="720"/>
                <w:tab w:val="left" w:pos="1440"/>
                <w:tab w:val="left" w:pos="2880"/>
                <w:tab w:val="left" w:pos="4320"/>
                <w:tab w:val="left" w:pos="5040"/>
                <w:tab w:val="left" w:pos="5760"/>
                <w:tab w:val="left" w:pos="6480"/>
                <w:tab w:val="left" w:pos="7200"/>
              </w:tabs>
              <w:ind w:hanging="104"/>
            </w:pPr>
            <w:r>
              <w:t>ER15-553-000</w:t>
            </w:r>
          </w:p>
        </w:tc>
      </w:tr>
    </w:tbl>
    <w:p w:rsidR="004D1844" w:rsidRDefault="004D1844">
      <w:pPr>
        <w:pStyle w:val="Body"/>
      </w:pPr>
    </w:p>
    <w:p w:rsidR="00A920CA" w:rsidRDefault="00A920CA">
      <w:pPr>
        <w:pStyle w:val="Body"/>
      </w:pPr>
    </w:p>
    <w:p w:rsidR="004D1844" w:rsidRDefault="004A4880">
      <w:pPr>
        <w:pStyle w:val="Body"/>
        <w:jc w:val="center"/>
        <w:outlineLvl w:val="0"/>
      </w:pPr>
      <w:r>
        <w:t>ORDER ON INFORMATIONAL FILING</w:t>
      </w:r>
    </w:p>
    <w:p w:rsidR="004D1844" w:rsidRDefault="004D1844">
      <w:pPr>
        <w:pStyle w:val="Body"/>
        <w:jc w:val="center"/>
      </w:pPr>
    </w:p>
    <w:p w:rsidR="004D1844" w:rsidRDefault="00A920CA" w:rsidP="00A920CA">
      <w:pPr>
        <w:pStyle w:val="FERCparanumber"/>
        <w:spacing w:after="0"/>
        <w:jc w:val="center"/>
      </w:pPr>
      <w:r w:rsidRPr="00A920CA">
        <w:t>(Issued September 25, 2015)</w:t>
      </w:r>
    </w:p>
    <w:p w:rsidR="00A920CA" w:rsidRPr="00A920CA" w:rsidRDefault="00A920CA" w:rsidP="00A920CA">
      <w:pPr>
        <w:pStyle w:val="FERCparanumber"/>
        <w:spacing w:after="0"/>
      </w:pPr>
    </w:p>
    <w:p w:rsidR="004D1844" w:rsidRDefault="004A4880" w:rsidP="0090225A">
      <w:pPr>
        <w:pStyle w:val="FERCparanumber"/>
        <w:numPr>
          <w:ilvl w:val="0"/>
          <w:numId w:val="3"/>
        </w:numPr>
        <w:tabs>
          <w:tab w:val="clear" w:pos="720"/>
          <w:tab w:val="left" w:pos="0"/>
        </w:tabs>
      </w:pPr>
      <w:r>
        <w:rPr>
          <w:rFonts w:eastAsia="Arial Unicode MS" w:hAnsi="Arial Unicode MS" w:cs="Arial Unicode MS"/>
        </w:rPr>
        <w:t>In this order, the Commission accepts San Diego Gas &amp; Electric Company</w:t>
      </w:r>
      <w:r>
        <w:rPr>
          <w:rFonts w:ascii="Arial Unicode MS" w:eastAsia="Arial Unicode MS" w:cs="Arial Unicode MS"/>
        </w:rPr>
        <w:t>’</w:t>
      </w:r>
      <w:r>
        <w:rPr>
          <w:rFonts w:eastAsia="Arial Unicode MS" w:hAnsi="Arial Unicode MS" w:cs="Arial Unicode MS"/>
        </w:rPr>
        <w:t>s (SDG&amp;E) second annual informational filing (Cycle 2) made under its Fourth Transmission Owner Formula Rate (TO4 or TO4 Formula Rate), effective January 1, 2015.</w:t>
      </w:r>
      <w:r>
        <w:rPr>
          <w:rFonts w:ascii="Times New Roman Bold" w:eastAsia="Times New Roman Bold" w:hAnsi="Times New Roman Bold" w:cs="Times New Roman Bold"/>
          <w:vertAlign w:val="superscript"/>
        </w:rPr>
        <w:footnoteReference w:id="2"/>
      </w:r>
      <w:r>
        <w:rPr>
          <w:rFonts w:eastAsia="Arial Unicode MS" w:hAnsi="Arial Unicode MS" w:cs="Arial Unicode MS"/>
        </w:rPr>
        <w:t xml:space="preserve">  The Commission also directs SDG&amp;E to file an informational report within </w:t>
      </w:r>
      <w:r w:rsidR="00CF6AF2">
        <w:rPr>
          <w:rFonts w:eastAsia="Arial Unicode MS" w:hAnsi="Arial Unicode MS" w:cs="Arial Unicode MS"/>
        </w:rPr>
        <w:t xml:space="preserve">      </w:t>
      </w:r>
      <w:r>
        <w:rPr>
          <w:rFonts w:eastAsia="Arial Unicode MS" w:hAnsi="Arial Unicode MS" w:cs="Arial Unicode MS"/>
        </w:rPr>
        <w:t>30 days of the date of this order, as described herein.</w:t>
      </w:r>
    </w:p>
    <w:p w:rsidR="004D1844" w:rsidRDefault="004A4880" w:rsidP="0090225A">
      <w:pPr>
        <w:pStyle w:val="FERCparanumber"/>
        <w:numPr>
          <w:ilvl w:val="0"/>
          <w:numId w:val="3"/>
        </w:numPr>
        <w:tabs>
          <w:tab w:val="clear" w:pos="720"/>
          <w:tab w:val="left" w:pos="0"/>
        </w:tabs>
      </w:pPr>
      <w:r>
        <w:rPr>
          <w:rFonts w:eastAsia="Arial Unicode MS" w:hAnsi="Arial Unicode MS" w:cs="Arial Unicode MS"/>
        </w:rPr>
        <w:t>SDG&amp;E</w:t>
      </w:r>
      <w:r>
        <w:rPr>
          <w:rFonts w:ascii="Arial Unicode MS" w:eastAsia="Arial Unicode MS" w:cs="Arial Unicode MS"/>
        </w:rPr>
        <w:t>’</w:t>
      </w:r>
      <w:r>
        <w:rPr>
          <w:rFonts w:eastAsia="Arial Unicode MS" w:hAnsi="Arial Unicode MS" w:cs="Arial Unicode MS"/>
        </w:rPr>
        <w:t>s TO4 Formula Rate was determined as part of a settlement (Settlement)</w:t>
      </w:r>
      <w:r>
        <w:rPr>
          <w:rFonts w:ascii="Times New Roman Bold" w:eastAsia="Times New Roman Bold" w:hAnsi="Times New Roman Bold" w:cs="Times New Roman Bold"/>
          <w:vertAlign w:val="superscript"/>
        </w:rPr>
        <w:footnoteReference w:id="3"/>
      </w:r>
      <w:r>
        <w:rPr>
          <w:rFonts w:eastAsia="Arial Unicode MS" w:hAnsi="Arial Unicode MS" w:cs="Arial Unicode MS"/>
        </w:rPr>
        <w:t xml:space="preserve"> approved by the Commission on May 27, 2014.</w:t>
      </w:r>
      <w:r>
        <w:rPr>
          <w:rFonts w:ascii="Times New Roman Bold"/>
          <w:vertAlign w:val="superscript"/>
        </w:rPr>
        <w:t xml:space="preserve"> </w:t>
      </w:r>
      <w:r>
        <w:rPr>
          <w:rFonts w:ascii="Times New Roman Bold" w:eastAsia="Times New Roman Bold" w:hAnsi="Times New Roman Bold" w:cs="Times New Roman Bold"/>
          <w:vertAlign w:val="superscript"/>
        </w:rPr>
        <w:footnoteReference w:id="4"/>
      </w:r>
      <w:r>
        <w:rPr>
          <w:rFonts w:eastAsia="Arial Unicode MS" w:hAnsi="Arial Unicode MS" w:cs="Arial Unicode MS"/>
        </w:rPr>
        <w:t xml:space="preserve">  The Settlement requires, among other things, that SDG&amp;E submit annual informational filings to the Commission showing the base transmission revenue requirements in effect for the succeeding calendar year.</w:t>
      </w:r>
      <w:r>
        <w:rPr>
          <w:rFonts w:ascii="Times New Roman Bold" w:eastAsia="Times New Roman Bold" w:hAnsi="Times New Roman Bold" w:cs="Times New Roman Bold"/>
          <w:vertAlign w:val="superscript"/>
        </w:rPr>
        <w:footnoteReference w:id="5"/>
      </w:r>
      <w:r>
        <w:rPr>
          <w:rFonts w:eastAsia="Arial Unicode MS" w:hAnsi="Arial Unicode MS" w:cs="Arial Unicode MS"/>
        </w:rPr>
        <w:t xml:space="preserve">  In </w:t>
      </w:r>
      <w:r>
        <w:rPr>
          <w:rFonts w:eastAsia="Arial Unicode MS" w:hAnsi="Arial Unicode MS" w:cs="Arial Unicode MS"/>
        </w:rPr>
        <w:lastRenderedPageBreak/>
        <w:t>addition, any party to the Settlement may challenge the justness and reasonableness of SDG&amp;E</w:t>
      </w:r>
      <w:r>
        <w:rPr>
          <w:rFonts w:ascii="Arial Unicode MS" w:eastAsia="Arial Unicode MS" w:cs="Arial Unicode MS"/>
        </w:rPr>
        <w:t>’</w:t>
      </w:r>
      <w:r>
        <w:rPr>
          <w:rFonts w:eastAsia="Arial Unicode MS" w:hAnsi="Arial Unicode MS" w:cs="Arial Unicode MS"/>
        </w:rPr>
        <w:t>s implementation of the TO4 Formula Rate,</w:t>
      </w:r>
      <w:r>
        <w:rPr>
          <w:rFonts w:ascii="Times New Roman Bold" w:eastAsia="Times New Roman Bold" w:hAnsi="Times New Roman Bold" w:cs="Times New Roman Bold"/>
          <w:vertAlign w:val="superscript"/>
        </w:rPr>
        <w:footnoteReference w:id="6"/>
      </w:r>
      <w:r>
        <w:rPr>
          <w:rFonts w:eastAsia="Arial Unicode MS" w:hAnsi="Arial Unicode MS" w:cs="Arial Unicode MS"/>
        </w:rPr>
        <w:t xml:space="preserve"> but not the formula itself.</w:t>
      </w:r>
      <w:r>
        <w:rPr>
          <w:rFonts w:ascii="Times New Roman Bold" w:eastAsia="Times New Roman Bold" w:hAnsi="Times New Roman Bold" w:cs="Times New Roman Bold"/>
          <w:vertAlign w:val="superscript"/>
        </w:rPr>
        <w:footnoteReference w:id="7"/>
      </w:r>
      <w:r>
        <w:rPr>
          <w:rFonts w:eastAsia="Arial Unicode MS" w:hAnsi="Arial Unicode MS" w:cs="Arial Unicode MS"/>
        </w:rPr>
        <w:t xml:space="preserve">  </w:t>
      </w:r>
    </w:p>
    <w:p w:rsidR="004D1844" w:rsidRDefault="004A4880">
      <w:pPr>
        <w:pStyle w:val="Heading"/>
        <w:numPr>
          <w:ilvl w:val="0"/>
          <w:numId w:val="6"/>
        </w:numPr>
      </w:pPr>
      <w:r>
        <w:t>SDG&amp;E</w:t>
      </w:r>
      <w:r>
        <w:rPr>
          <w:rFonts w:hAnsi="Times New Roman Bold"/>
          <w:lang w:val="fr-FR"/>
        </w:rPr>
        <w:t>’</w:t>
      </w:r>
      <w:r>
        <w:t>s Cycle 2 Filing</w:t>
      </w:r>
    </w:p>
    <w:p w:rsidR="004D1844" w:rsidRDefault="004A4880" w:rsidP="0090225A">
      <w:pPr>
        <w:pStyle w:val="FERCparanumber"/>
        <w:numPr>
          <w:ilvl w:val="0"/>
          <w:numId w:val="3"/>
        </w:numPr>
        <w:tabs>
          <w:tab w:val="clear" w:pos="720"/>
          <w:tab w:val="left" w:pos="0"/>
        </w:tabs>
      </w:pPr>
      <w:r>
        <w:rPr>
          <w:rFonts w:eastAsia="Arial Unicode MS" w:hAnsi="Arial Unicode MS" w:cs="Arial Unicode MS"/>
        </w:rPr>
        <w:t>SDG&amp;E states that its TO4 Cycle 2 formula rate includes a revised base transmission revenue requirement reflecting the following components:  (1) prior year revenue requirement for the 12-month period ending December 31, 2013; (2) forecast capital addition revenue requirement for a 24-month period covering 2014 and 2015, ending December 31, 2015; (3) true-up of actual costs from September 1, 2013 through December 1, 2013; and (4) final true-up for the 17-month period from April 1, 2012 through August 31, 2013.  However, due to a recent audit performed by the Commission</w:t>
      </w:r>
      <w:r>
        <w:rPr>
          <w:rFonts w:ascii="Arial Unicode MS" w:eastAsia="Arial Unicode MS" w:cs="Arial Unicode MS"/>
        </w:rPr>
        <w:t>’</w:t>
      </w:r>
      <w:r>
        <w:rPr>
          <w:rFonts w:eastAsia="Arial Unicode MS" w:hAnsi="Arial Unicode MS" w:cs="Arial Unicode MS"/>
        </w:rPr>
        <w:t>s staff, SDG&amp;E states that some of these costs will change, requiring retroactive and prospective accounting adjustments.</w:t>
      </w:r>
      <w:r>
        <w:rPr>
          <w:rFonts w:ascii="Times New Roman Bold" w:eastAsia="Times New Roman Bold" w:hAnsi="Times New Roman Bold" w:cs="Times New Roman Bold"/>
          <w:vertAlign w:val="superscript"/>
        </w:rPr>
        <w:footnoteReference w:id="8"/>
      </w:r>
      <w:r>
        <w:rPr>
          <w:rFonts w:eastAsia="Arial Unicode MS" w:hAnsi="Arial Unicode MS" w:cs="Arial Unicode MS"/>
        </w:rPr>
        <w:t xml:space="preserve"> </w:t>
      </w:r>
    </w:p>
    <w:p w:rsidR="004D1844" w:rsidRDefault="004A4880" w:rsidP="0090225A">
      <w:pPr>
        <w:pStyle w:val="FERCparanumber"/>
        <w:numPr>
          <w:ilvl w:val="0"/>
          <w:numId w:val="3"/>
        </w:numPr>
        <w:tabs>
          <w:tab w:val="clear" w:pos="720"/>
          <w:tab w:val="left" w:pos="0"/>
        </w:tabs>
      </w:pPr>
      <w:r>
        <w:rPr>
          <w:rFonts w:eastAsia="Arial Unicode MS" w:hAnsi="Arial Unicode MS" w:cs="Arial Unicode MS"/>
        </w:rPr>
        <w:t xml:space="preserve">Under the TO4 Formula Rate, the Cycle 2 base transmission revenue requirement for wholesale customers of the California Independent System Operator Corporation (CAISO) is $809.3 million, based upon total gross load of 20,876 </w:t>
      </w:r>
      <w:proofErr w:type="spellStart"/>
      <w:r>
        <w:rPr>
          <w:rFonts w:eastAsia="Arial Unicode MS" w:hAnsi="Arial Unicode MS" w:cs="Arial Unicode MS"/>
        </w:rPr>
        <w:t>Gwhs</w:t>
      </w:r>
      <w:proofErr w:type="spellEnd"/>
      <w:r>
        <w:rPr>
          <w:rFonts w:eastAsia="Arial Unicode MS" w:hAnsi="Arial Unicode MS" w:cs="Arial Unicode MS"/>
        </w:rPr>
        <w:t xml:space="preserve">, for an overall unit rate of $38.77/ </w:t>
      </w:r>
      <w:proofErr w:type="spellStart"/>
      <w:r>
        <w:rPr>
          <w:rFonts w:eastAsia="Arial Unicode MS" w:hAnsi="Arial Unicode MS" w:cs="Arial Unicode MS"/>
        </w:rPr>
        <w:t>Mwhs</w:t>
      </w:r>
      <w:proofErr w:type="spellEnd"/>
      <w:r>
        <w:rPr>
          <w:rFonts w:eastAsia="Arial Unicode MS" w:hAnsi="Arial Unicode MS" w:cs="Arial Unicode MS"/>
        </w:rPr>
        <w:t>.  SDG&amp;E states that this is a 54.93 percent increase over the Cycle 1 revenue requirement.</w:t>
      </w:r>
      <w:r>
        <w:rPr>
          <w:rFonts w:ascii="Times New Roman Bold" w:eastAsia="Times New Roman Bold" w:hAnsi="Times New Roman Bold" w:cs="Times New Roman Bold"/>
          <w:vertAlign w:val="superscript"/>
        </w:rPr>
        <w:footnoteReference w:id="9"/>
      </w:r>
      <w:r>
        <w:rPr>
          <w:rFonts w:eastAsia="Arial Unicode MS" w:hAnsi="Arial Unicode MS" w:cs="Arial Unicode MS"/>
        </w:rPr>
        <w:t xml:space="preserve">  The Cycle 2 base transmission revenue requirement for retail end-use customers is $560.9 million or a 32.97 percent increase for the rate effective period.</w:t>
      </w:r>
      <w:r>
        <w:rPr>
          <w:rFonts w:ascii="Times New Roman Bold" w:eastAsia="Times New Roman Bold" w:hAnsi="Times New Roman Bold" w:cs="Times New Roman Bold"/>
          <w:vertAlign w:val="superscript"/>
        </w:rPr>
        <w:footnoteReference w:id="10"/>
      </w:r>
      <w:r>
        <w:rPr>
          <w:rFonts w:eastAsia="Arial Unicode MS" w:hAnsi="Arial Unicode MS" w:cs="Arial Unicode MS"/>
        </w:rPr>
        <w:t xml:space="preserve">  SDG&amp;E states that the increase in transmission rates is due to various reasons, such as the inclusion of recorded costs of the Sunrise Powerlink transmission project in the 2013 Base Period, certain wildfire damage-related costs, and transmission plant additions forecasted for 2014 and 2015.</w:t>
      </w:r>
      <w:r>
        <w:rPr>
          <w:rFonts w:ascii="Times New Roman Bold"/>
          <w:vertAlign w:val="superscript"/>
        </w:rPr>
        <w:t xml:space="preserve"> </w:t>
      </w:r>
      <w:r>
        <w:rPr>
          <w:rFonts w:ascii="Times New Roman Bold" w:eastAsia="Times New Roman Bold" w:hAnsi="Times New Roman Bold" w:cs="Times New Roman Bold"/>
          <w:vertAlign w:val="superscript"/>
        </w:rPr>
        <w:footnoteReference w:id="11"/>
      </w:r>
      <w:r>
        <w:rPr>
          <w:rFonts w:eastAsia="Arial Unicode MS" w:hAnsi="Arial Unicode MS" w:cs="Arial Unicode MS"/>
        </w:rPr>
        <w:t xml:space="preserve">  The Cycle 2 base transmission revenue </w:t>
      </w:r>
      <w:r>
        <w:rPr>
          <w:rFonts w:eastAsia="Arial Unicode MS" w:hAnsi="Arial Unicode MS" w:cs="Arial Unicode MS"/>
        </w:rPr>
        <w:lastRenderedPageBreak/>
        <w:t>requirement will remain in effect for the Rate Effective Period, which is January 1, 2015 through December 31, 2015.</w:t>
      </w:r>
      <w:r>
        <w:rPr>
          <w:rFonts w:ascii="Times New Roman Bold" w:eastAsia="Times New Roman Bold" w:hAnsi="Times New Roman Bold" w:cs="Times New Roman Bold"/>
          <w:vertAlign w:val="superscript"/>
        </w:rPr>
        <w:footnoteReference w:id="12"/>
      </w:r>
    </w:p>
    <w:p w:rsidR="004D1844" w:rsidRDefault="004A4880">
      <w:pPr>
        <w:pStyle w:val="Heading"/>
        <w:numPr>
          <w:ilvl w:val="0"/>
          <w:numId w:val="6"/>
        </w:numPr>
      </w:pPr>
      <w:r>
        <w:t>Notice of Filings and Responsive Pleadings</w:t>
      </w:r>
    </w:p>
    <w:p w:rsidR="004D1844" w:rsidRDefault="004A4880" w:rsidP="0090225A">
      <w:pPr>
        <w:pStyle w:val="FERCparanumber"/>
        <w:numPr>
          <w:ilvl w:val="0"/>
          <w:numId w:val="3"/>
        </w:numPr>
        <w:tabs>
          <w:tab w:val="clear" w:pos="720"/>
          <w:tab w:val="left" w:pos="0"/>
        </w:tabs>
      </w:pPr>
      <w:r>
        <w:rPr>
          <w:rFonts w:eastAsia="Arial Unicode MS" w:hAnsi="Arial Unicode MS" w:cs="Arial Unicode MS"/>
        </w:rPr>
        <w:t>Notice of SDG&amp;E</w:t>
      </w:r>
      <w:r>
        <w:rPr>
          <w:rFonts w:ascii="Arial Unicode MS" w:eastAsia="Arial Unicode MS" w:cs="Arial Unicode MS"/>
        </w:rPr>
        <w:t>’</w:t>
      </w:r>
      <w:r>
        <w:rPr>
          <w:rFonts w:eastAsia="Arial Unicode MS" w:hAnsi="Arial Unicode MS" w:cs="Arial Unicode MS"/>
        </w:rPr>
        <w:t xml:space="preserve">s Cycle 2 filing was published in the </w:t>
      </w:r>
      <w:r>
        <w:rPr>
          <w:rFonts w:eastAsia="Arial Unicode MS" w:hAnsi="Arial Unicode MS" w:cs="Arial Unicode MS"/>
          <w:i/>
          <w:iCs/>
        </w:rPr>
        <w:t>Federal Register</w:t>
      </w:r>
      <w:r>
        <w:rPr>
          <w:rFonts w:eastAsia="Arial Unicode MS" w:hAnsi="Arial Unicode MS" w:cs="Arial Unicode MS"/>
        </w:rPr>
        <w:t>, 79 Fed. Reg. 73,059 (2014), with interventions and protests due on or before December 22, 2014.  Timely motions to intervene were filed by Six Cities,</w:t>
      </w:r>
      <w:r>
        <w:rPr>
          <w:rFonts w:ascii="Times New Roman Bold" w:eastAsia="Times New Roman Bold" w:hAnsi="Times New Roman Bold" w:cs="Times New Roman Bold"/>
          <w:vertAlign w:val="superscript"/>
        </w:rPr>
        <w:footnoteReference w:id="13"/>
      </w:r>
      <w:r>
        <w:rPr>
          <w:rFonts w:eastAsia="Arial Unicode MS" w:hAnsi="Arial Unicode MS" w:cs="Arial Unicode MS"/>
        </w:rPr>
        <w:t xml:space="preserve"> Modesto Irrigation District, Northern California Power Agency, California Department of Water Resources State Water Project, and Transmission Agency of Northern California.  On December 18, 2014, the M-S-R Public Power Agency and the City of Santa Clara, California </w:t>
      </w:r>
      <w:r w:rsidR="00CF6AF2">
        <w:rPr>
          <w:rFonts w:eastAsia="Arial Unicode MS" w:hAnsi="Arial Unicode MS" w:cs="Arial Unicode MS"/>
        </w:rPr>
        <w:br/>
      </w:r>
      <w:r>
        <w:rPr>
          <w:rFonts w:eastAsia="Arial Unicode MS" w:hAnsi="Arial Unicode MS" w:cs="Arial Unicode MS"/>
        </w:rPr>
        <w:t>(M-S-R/SVP) jointly filed a motion to intervene and comment, and on December 22, 2014, the California Public Utilities Commission (CPUC) filed a notice of intervention and comment.  In response, on December 31, 2014, SDG&amp;E filed an answer to the CPUC</w:t>
      </w:r>
      <w:r>
        <w:rPr>
          <w:rFonts w:ascii="Arial Unicode MS" w:eastAsia="Arial Unicode MS" w:cs="Arial Unicode MS"/>
        </w:rPr>
        <w:t>’</w:t>
      </w:r>
      <w:r>
        <w:rPr>
          <w:rFonts w:eastAsia="Arial Unicode MS" w:hAnsi="Arial Unicode MS" w:cs="Arial Unicode MS"/>
        </w:rPr>
        <w:t>s comments, and subsequently, the CPUC filed an answer to SDG&amp;E</w:t>
      </w:r>
      <w:r>
        <w:rPr>
          <w:rFonts w:ascii="Arial Unicode MS" w:eastAsia="Arial Unicode MS" w:cs="Arial Unicode MS"/>
        </w:rPr>
        <w:t>’</w:t>
      </w:r>
      <w:r>
        <w:rPr>
          <w:rFonts w:eastAsia="Arial Unicode MS" w:hAnsi="Arial Unicode MS" w:cs="Arial Unicode MS"/>
        </w:rPr>
        <w:t>s answer.  Also, on December 29, 2014, SDG&amp;E filed an answer in response to the comments jointly filed by M-S-R/SPV.</w:t>
      </w:r>
    </w:p>
    <w:p w:rsidR="004D1844" w:rsidRDefault="004A4880" w:rsidP="0090225A">
      <w:pPr>
        <w:pStyle w:val="FERCparanumber"/>
        <w:numPr>
          <w:ilvl w:val="0"/>
          <w:numId w:val="3"/>
        </w:numPr>
        <w:tabs>
          <w:tab w:val="clear" w:pos="720"/>
          <w:tab w:val="left" w:pos="0"/>
        </w:tabs>
      </w:pPr>
      <w:r>
        <w:rPr>
          <w:rFonts w:eastAsia="Arial Unicode MS" w:hAnsi="Arial Unicode MS" w:cs="Arial Unicode MS"/>
        </w:rPr>
        <w:t>On August 21, 2015, Commission staff issued a deficiency letter informing SDG&amp;E that additional information was needed to process the filing.  On August 26, 2015, SDG&amp;E filed its response to the deficiency letter (Deficiency Response). No party filed comments following SDG&amp;E</w:t>
      </w:r>
      <w:r>
        <w:rPr>
          <w:rFonts w:ascii="Arial Unicode MS" w:eastAsia="Arial Unicode MS" w:cs="Arial Unicode MS"/>
        </w:rPr>
        <w:t>’</w:t>
      </w:r>
      <w:r>
        <w:rPr>
          <w:rFonts w:eastAsia="Arial Unicode MS" w:hAnsi="Arial Unicode MS" w:cs="Arial Unicode MS"/>
        </w:rPr>
        <w:t xml:space="preserve">s response. </w:t>
      </w:r>
    </w:p>
    <w:p w:rsidR="004D1844" w:rsidRDefault="004A4880">
      <w:pPr>
        <w:pStyle w:val="Heading"/>
        <w:numPr>
          <w:ilvl w:val="0"/>
          <w:numId w:val="6"/>
        </w:numPr>
      </w:pPr>
      <w:r>
        <w:t>Procedural Matters</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Pursuant to Rule 214 of the Commission</w:t>
      </w:r>
      <w:r>
        <w:rPr>
          <w:rFonts w:ascii="Arial Unicode MS" w:eastAsia="Arial Unicode MS" w:cs="Arial Unicode MS"/>
        </w:rPr>
        <w:t>’</w:t>
      </w:r>
      <w:r>
        <w:rPr>
          <w:rFonts w:eastAsia="Arial Unicode MS" w:hAnsi="Arial Unicode MS" w:cs="Arial Unicode MS"/>
        </w:rPr>
        <w:t xml:space="preserve">s Rules of Practice and Procedure, </w:t>
      </w:r>
      <w:r w:rsidR="00CF6AF2">
        <w:rPr>
          <w:rFonts w:eastAsia="Arial Unicode MS" w:hAnsi="Arial Unicode MS" w:cs="Arial Unicode MS"/>
        </w:rPr>
        <w:br/>
      </w:r>
      <w:r>
        <w:rPr>
          <w:rFonts w:eastAsia="Arial Unicode MS" w:hAnsi="Arial Unicode MS" w:cs="Arial Unicode MS"/>
        </w:rPr>
        <w:t xml:space="preserve">18 C.F.R.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385.214 (2014), the notice of intervention and timely, unopposed motions to intervene serve to make the entities that filed them parties to this proceeding.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Rule 213(a</w:t>
      </w:r>
      <w:proofErr w:type="gramStart"/>
      <w:r>
        <w:rPr>
          <w:rFonts w:eastAsia="Arial Unicode MS" w:hAnsi="Arial Unicode MS" w:cs="Arial Unicode MS"/>
        </w:rPr>
        <w:t>)(</w:t>
      </w:r>
      <w:proofErr w:type="gramEnd"/>
      <w:r>
        <w:rPr>
          <w:rFonts w:eastAsia="Arial Unicode MS" w:hAnsi="Arial Unicode MS" w:cs="Arial Unicode MS"/>
        </w:rPr>
        <w:t xml:space="preserve">2) of the Commission's Rules of Practice and Procedure, 18 C.F.R. </w:t>
      </w:r>
      <w:r w:rsidR="00CF6AF2">
        <w:rPr>
          <w:rFonts w:eastAsia="Arial Unicode MS" w:hAnsi="Arial Unicode MS" w:cs="Arial Unicode MS"/>
        </w:rPr>
        <w:br/>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385.213(a)(2) (2014), prohibits an answer to a protest or an answer unless otherwise ordered by the decisional authority.  We will accept SDG&amp;E's and the CPUC</w:t>
      </w:r>
      <w:r>
        <w:rPr>
          <w:rFonts w:ascii="Arial Unicode MS" w:eastAsia="Arial Unicode MS" w:cs="Arial Unicode MS"/>
        </w:rPr>
        <w:t>’</w:t>
      </w:r>
      <w:r>
        <w:rPr>
          <w:rFonts w:eastAsia="Arial Unicode MS" w:hAnsi="Arial Unicode MS" w:cs="Arial Unicode MS"/>
        </w:rPr>
        <w:t>s answers because they have provided information that assisted us in our decision-making process.</w:t>
      </w:r>
    </w:p>
    <w:p w:rsidR="004D1844" w:rsidRPr="00A920CA" w:rsidRDefault="004A4880" w:rsidP="00B71292">
      <w:pPr>
        <w:pStyle w:val="Heading"/>
        <w:tabs>
          <w:tab w:val="left" w:pos="1440"/>
          <w:tab w:val="left" w:pos="1620"/>
        </w:tabs>
        <w:ind w:firstLine="0"/>
        <w:rPr>
          <w:u w:val="none"/>
        </w:rPr>
      </w:pPr>
      <w:r w:rsidRPr="00A920CA">
        <w:rPr>
          <w:u w:val="none"/>
        </w:rPr>
        <w:lastRenderedPageBreak/>
        <w:t>A.</w:t>
      </w:r>
      <w:r w:rsidRPr="00A920CA">
        <w:rPr>
          <w:u w:val="none"/>
        </w:rPr>
        <w:tab/>
      </w:r>
      <w:r w:rsidRPr="00A920CA">
        <w:t>Comments and Protests</w:t>
      </w:r>
    </w:p>
    <w:p w:rsidR="00341683" w:rsidRPr="00341683" w:rsidRDefault="004A4880" w:rsidP="00283D2F">
      <w:pPr>
        <w:pStyle w:val="FERCparanumber"/>
        <w:numPr>
          <w:ilvl w:val="0"/>
          <w:numId w:val="3"/>
        </w:numPr>
        <w:tabs>
          <w:tab w:val="clear" w:pos="720"/>
          <w:tab w:val="left" w:pos="0"/>
        </w:tabs>
      </w:pPr>
      <w:r>
        <w:rPr>
          <w:rFonts w:eastAsia="Arial Unicode MS" w:hAnsi="Arial Unicode MS" w:cs="Arial Unicode MS"/>
        </w:rPr>
        <w:t>In its comments, M-S-R/SVP states that any person may challenge SDG&amp;E</w:t>
      </w:r>
      <w:r>
        <w:rPr>
          <w:rFonts w:ascii="Arial Unicode MS" w:eastAsia="Arial Unicode MS" w:cs="Arial Unicode MS"/>
        </w:rPr>
        <w:t>’</w:t>
      </w:r>
      <w:r>
        <w:rPr>
          <w:rFonts w:eastAsia="Arial Unicode MS" w:hAnsi="Arial Unicode MS" w:cs="Arial Unicode MS"/>
        </w:rPr>
        <w:t xml:space="preserve">s implementation of the TO4 Formula under certain circumstances, such as to determine </w:t>
      </w:r>
      <w:r>
        <w:rPr>
          <w:rFonts w:ascii="Arial Unicode MS" w:eastAsia="Arial Unicode MS" w:cs="Arial Unicode MS"/>
        </w:rPr>
        <w:t>“</w:t>
      </w:r>
      <w:r>
        <w:rPr>
          <w:rFonts w:eastAsia="Arial Unicode MS" w:hAnsi="Arial Unicode MS" w:cs="Arial Unicode MS"/>
        </w:rPr>
        <w:t xml:space="preserve">whether the costs to be recovered through the base transmission revenue requirement have been accurately stated, properly recorded and accounted for pursuant to applicable </w:t>
      </w:r>
      <w:r w:rsidR="00341683">
        <w:rPr>
          <w:rFonts w:eastAsia="Arial Unicode MS" w:hAnsi="Arial Unicode MS" w:cs="Arial Unicode MS"/>
        </w:rPr>
        <w:br/>
      </w:r>
    </w:p>
    <w:p w:rsidR="004D1844" w:rsidRDefault="004A4880" w:rsidP="00341683">
      <w:pPr>
        <w:pStyle w:val="FERCparanumber"/>
        <w:tabs>
          <w:tab w:val="clear" w:pos="720"/>
          <w:tab w:val="left" w:pos="0"/>
        </w:tabs>
      </w:pPr>
      <w:r>
        <w:rPr>
          <w:rFonts w:eastAsia="Arial Unicode MS" w:hAnsi="Arial Unicode MS" w:cs="Arial Unicode MS"/>
        </w:rPr>
        <w:t>FERC accounting rules</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14"/>
      </w:r>
      <w:r>
        <w:rPr>
          <w:rFonts w:eastAsia="Arial Unicode MS" w:hAnsi="Arial Unicode MS" w:cs="Arial Unicode MS"/>
        </w:rPr>
        <w:t xml:space="preserve">  M-S-R/SVP states that on June 10, 2014, the Commission issued an audit report in Docket No. FA12-8, finding deficiencies with SDG&amp;E</w:t>
      </w:r>
      <w:r>
        <w:rPr>
          <w:rFonts w:ascii="Arial Unicode MS" w:eastAsia="Arial Unicode MS" w:cs="Arial Unicode MS"/>
        </w:rPr>
        <w:t>’</w:t>
      </w:r>
      <w:r>
        <w:rPr>
          <w:rFonts w:eastAsia="Arial Unicode MS" w:hAnsi="Arial Unicode MS" w:cs="Arial Unicode MS"/>
        </w:rPr>
        <w:t>s accounting practices.</w:t>
      </w:r>
      <w:r>
        <w:rPr>
          <w:rFonts w:ascii="Times New Roman Bold" w:eastAsia="Times New Roman Bold" w:hAnsi="Times New Roman Bold" w:cs="Times New Roman Bold"/>
          <w:vertAlign w:val="superscript"/>
        </w:rPr>
        <w:footnoteReference w:id="15"/>
      </w:r>
      <w:r>
        <w:rPr>
          <w:rFonts w:eastAsia="Arial Unicode MS" w:hAnsi="Arial Unicode MS" w:cs="Arial Unicode MS"/>
        </w:rPr>
        <w:t xml:space="preserve">  Specifically, according to M-S-R/SVP, the audit report found that SDG&amp;E misclassified the non-labor </w:t>
      </w:r>
      <w:r>
        <w:rPr>
          <w:rFonts w:ascii="Arial Unicode MS" w:eastAsia="Arial Unicode MS" w:cs="Arial Unicode MS"/>
        </w:rPr>
        <w:t>“</w:t>
      </w:r>
      <w:r>
        <w:rPr>
          <w:rFonts w:eastAsia="Arial Unicode MS" w:hAnsi="Arial Unicode MS" w:cs="Arial Unicode MS"/>
        </w:rPr>
        <w:t>A&amp;G department</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costs, miscalculated the </w:t>
      </w:r>
      <w:r>
        <w:rPr>
          <w:rFonts w:ascii="Arial Unicode MS" w:eastAsia="Arial Unicode MS" w:cs="Arial Unicode MS"/>
        </w:rPr>
        <w:t>“</w:t>
      </w:r>
      <w:r>
        <w:rPr>
          <w:rFonts w:eastAsia="Arial Unicode MS" w:hAnsi="Arial Unicode MS" w:cs="Arial Unicode MS"/>
        </w:rPr>
        <w:t>AFUDC accrual calculation,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and that SDG&amp;E inappropriately assigned indirect expenses from its information technology department to various accounts.</w:t>
      </w:r>
      <w:r>
        <w:rPr>
          <w:rFonts w:ascii="Times New Roman Bold" w:eastAsia="Times New Roman Bold" w:hAnsi="Times New Roman Bold" w:cs="Times New Roman Bold"/>
          <w:vertAlign w:val="superscript"/>
        </w:rPr>
        <w:footnoteReference w:id="16"/>
      </w:r>
      <w:r>
        <w:rPr>
          <w:rFonts w:eastAsia="Arial Unicode MS" w:hAnsi="Arial Unicode MS" w:cs="Arial Unicode MS"/>
        </w:rPr>
        <w:t xml:space="preserve">   M-S-R/SVP asserts that these findings suggest the costs in the Cycle 2 filing are not properly recorded and accounted for pursuant to applicable Commission-approved accounting rules.  Thus, M-S-R/SVP requests that the Commission direct SDG&amp;E to make a compliance filing detailing how the accounting adjustments will alter the costs used in the Cycle 2 filing.</w:t>
      </w:r>
      <w:r>
        <w:rPr>
          <w:rFonts w:ascii="Times New Roman Bold" w:eastAsia="Times New Roman Bold" w:hAnsi="Times New Roman Bold" w:cs="Times New Roman Bold"/>
          <w:vertAlign w:val="superscript"/>
        </w:rPr>
        <w:footnoteReference w:id="17"/>
      </w:r>
    </w:p>
    <w:p w:rsidR="004D1844" w:rsidRDefault="004A4880" w:rsidP="00283D2F">
      <w:pPr>
        <w:pStyle w:val="FERCparanumber"/>
        <w:numPr>
          <w:ilvl w:val="0"/>
          <w:numId w:val="3"/>
        </w:numPr>
        <w:tabs>
          <w:tab w:val="clear" w:pos="720"/>
        </w:tabs>
      </w:pPr>
      <w:r>
        <w:rPr>
          <w:rFonts w:eastAsia="Arial Unicode MS" w:hAnsi="Arial Unicode MS" w:cs="Arial Unicode MS"/>
        </w:rPr>
        <w:t>In its comments, the CPUC argues that SDG&amp;E</w:t>
      </w:r>
      <w:r>
        <w:rPr>
          <w:rFonts w:ascii="Arial Unicode MS" w:eastAsia="Arial Unicode MS" w:cs="Arial Unicode MS"/>
        </w:rPr>
        <w:t>’</w:t>
      </w:r>
      <w:r>
        <w:rPr>
          <w:rFonts w:eastAsia="Arial Unicode MS" w:hAnsi="Arial Unicode MS" w:cs="Arial Unicode MS"/>
        </w:rPr>
        <w:t xml:space="preserve">s proposed transmission addition for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should be suspended.  The CPUC explains that pursuant to the Settlement reached in SDG&amp;E</w:t>
      </w:r>
      <w:r>
        <w:rPr>
          <w:rFonts w:ascii="Arial Unicode MS" w:eastAsia="Arial Unicode MS" w:cs="Arial Unicode MS"/>
        </w:rPr>
        <w:t>’</w:t>
      </w:r>
      <w:r>
        <w:rPr>
          <w:rFonts w:eastAsia="Arial Unicode MS" w:hAnsi="Arial Unicode MS" w:cs="Arial Unicode MS"/>
        </w:rPr>
        <w:t>s TO4 Formula Rate proceeding in Docket No. ER13-941-000, SDG&amp;E and the CPUC jointly selected an independent engineer to review the need for and costs of new transmission facilities that SDG&amp;E proposes to include in its base transmission revenue requirement.</w:t>
      </w:r>
      <w:r>
        <w:rPr>
          <w:rFonts w:ascii="Times New Roman Bold" w:eastAsia="Times New Roman Bold" w:hAnsi="Times New Roman Bold" w:cs="Times New Roman Bold"/>
          <w:vertAlign w:val="superscript"/>
        </w:rPr>
        <w:footnoteReference w:id="18"/>
      </w:r>
      <w:r>
        <w:rPr>
          <w:rFonts w:eastAsia="Arial Unicode MS" w:hAnsi="Arial Unicode MS" w:cs="Arial Unicode MS"/>
        </w:rPr>
        <w:t xml:space="preserve">  According to the CPUC, the reviewing engineer recommended that SDG&amp;E proceed with seven projects, alter five projects, and defer four projects, including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The CPUC states that the reviewing engineer recommended that SDG&amp;E defer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until a stronger need is demonstrated, or the associated congestion that the project is estimated to mitigate, justifies the cost of the project, which is $37,187,000 million.  Further, the </w:t>
      </w:r>
      <w:r>
        <w:rPr>
          <w:rFonts w:eastAsia="Arial Unicode MS" w:hAnsi="Arial Unicode MS" w:cs="Arial Unicode MS"/>
        </w:rPr>
        <w:lastRenderedPageBreak/>
        <w:t xml:space="preserve">CPUC adds, the reviewing engineer explained that in the past, SDG&amp;E mitigated the transmission issue driving the need for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with operating solutions, such as changing generation dispatch.</w:t>
      </w:r>
      <w:r>
        <w:rPr>
          <w:rFonts w:ascii="Times New Roman Bold" w:eastAsia="Times New Roman Bold" w:hAnsi="Times New Roman Bold" w:cs="Times New Roman Bold"/>
          <w:vertAlign w:val="superscript"/>
        </w:rPr>
        <w:footnoteReference w:id="19"/>
      </w:r>
      <w:r>
        <w:rPr>
          <w:rFonts w:eastAsia="Arial Unicode MS" w:hAnsi="Arial Unicode MS" w:cs="Arial Unicode MS"/>
        </w:rPr>
        <w:t xml:space="preserve">  Thus, the CPUC argues, SDG&amp;E</w:t>
      </w:r>
      <w:r>
        <w:rPr>
          <w:rFonts w:ascii="Arial Unicode MS" w:eastAsia="Arial Unicode MS" w:cs="Arial Unicode MS"/>
        </w:rPr>
        <w:t>’</w:t>
      </w:r>
      <w:r>
        <w:rPr>
          <w:rFonts w:eastAsia="Arial Unicode MS" w:hAnsi="Arial Unicode MS" w:cs="Arial Unicode MS"/>
        </w:rPr>
        <w:t xml:space="preserve">s decision to proceed with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is imprudent and that including the project in rates would result in unjust and unreasonable rates, regardless of the fact that CAISO approved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in its transmission planning process in 2012.</w:t>
      </w:r>
      <w:r>
        <w:rPr>
          <w:rFonts w:ascii="Times New Roman Bold" w:eastAsia="Times New Roman Bold" w:hAnsi="Times New Roman Bold" w:cs="Times New Roman Bold"/>
          <w:vertAlign w:val="superscript"/>
        </w:rPr>
        <w:footnoteReference w:id="20"/>
      </w:r>
      <w:r>
        <w:rPr>
          <w:rFonts w:eastAsia="Arial Unicode MS" w:hAnsi="Arial Unicode MS" w:cs="Arial Unicode MS"/>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In regards to the costs associated with the 2007 wildfires, the CPUC asserts that SDG&amp;E</w:t>
      </w:r>
      <w:r>
        <w:rPr>
          <w:rFonts w:ascii="Arial Unicode MS" w:eastAsia="Arial Unicode MS" w:cs="Arial Unicode MS"/>
        </w:rPr>
        <w:t>’</w:t>
      </w:r>
      <w:r>
        <w:rPr>
          <w:rFonts w:eastAsia="Arial Unicode MS" w:hAnsi="Arial Unicode MS" w:cs="Arial Unicode MS"/>
        </w:rPr>
        <w:t>s filing does not clearly articulate the amount of costs that it seeks to recover in its rates.</w:t>
      </w:r>
      <w:r>
        <w:rPr>
          <w:rFonts w:ascii="Times New Roman Bold" w:eastAsia="Times New Roman Bold" w:hAnsi="Times New Roman Bold" w:cs="Times New Roman Bold"/>
          <w:vertAlign w:val="superscript"/>
        </w:rPr>
        <w:footnoteReference w:id="21"/>
      </w:r>
      <w:r>
        <w:rPr>
          <w:rFonts w:eastAsia="Arial Unicode MS" w:hAnsi="Arial Unicode MS" w:cs="Arial Unicode MS"/>
        </w:rPr>
        <w:t xml:space="preserve">  Specifically, the CPUC asserts that SDG&amp;E reflects the wildfire costs in various volumes, under various accounts, and during multiple timeframes, making it difficult for the CPUC to discern how much of such costs SDG&amp;E is seeking to recover from ratepayers.</w:t>
      </w:r>
      <w:r>
        <w:rPr>
          <w:rFonts w:ascii="Times New Roman Bold" w:eastAsia="Times New Roman Bold" w:hAnsi="Times New Roman Bold" w:cs="Times New Roman Bold"/>
          <w:vertAlign w:val="superscript"/>
        </w:rPr>
        <w:footnoteReference w:id="22"/>
      </w:r>
      <w:r>
        <w:rPr>
          <w:rFonts w:eastAsia="Arial Unicode MS" w:hAnsi="Arial Unicode MS" w:cs="Arial Unicode MS"/>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In addition, the CPUC requests that the Commission hold in abeyance the recovery of the 2007 wildfire costs in the instant filing until after the United States Court of Appeals for the Ninth Circuit issues a decision on the CPUC</w:t>
      </w:r>
      <w:r>
        <w:rPr>
          <w:rFonts w:ascii="Arial Unicode MS" w:eastAsia="Arial Unicode MS" w:cs="Arial Unicode MS"/>
        </w:rPr>
        <w:t>’</w:t>
      </w:r>
      <w:r>
        <w:rPr>
          <w:rFonts w:eastAsia="Arial Unicode MS" w:hAnsi="Arial Unicode MS" w:cs="Arial Unicode MS"/>
        </w:rPr>
        <w:t>s appeal of related Commission orders.</w:t>
      </w:r>
      <w:r>
        <w:rPr>
          <w:rFonts w:ascii="Times New Roman Bold" w:eastAsia="Times New Roman Bold" w:hAnsi="Times New Roman Bold" w:cs="Times New Roman Bold"/>
          <w:vertAlign w:val="superscript"/>
        </w:rPr>
        <w:footnoteReference w:id="23"/>
      </w:r>
      <w:r>
        <w:rPr>
          <w:rFonts w:eastAsia="Arial Unicode MS" w:hAnsi="Arial Unicode MS" w:cs="Arial Unicode MS"/>
        </w:rPr>
        <w:t xml:space="preserve">  The CPUC explains that in the Commission</w:t>
      </w:r>
      <w:r>
        <w:rPr>
          <w:rFonts w:ascii="Arial Unicode MS" w:eastAsia="Arial Unicode MS" w:cs="Arial Unicode MS"/>
        </w:rPr>
        <w:t>’</w:t>
      </w:r>
      <w:r>
        <w:rPr>
          <w:rFonts w:eastAsia="Arial Unicode MS" w:hAnsi="Arial Unicode MS" w:cs="Arial Unicode MS"/>
        </w:rPr>
        <w:t>s proceeding on the TO4 Cycle 1 filing, it requested that the Commission hold in abeyance the consideration of the 2007 wildfire costs until after it reviews SDG&amp;E</w:t>
      </w:r>
      <w:r>
        <w:rPr>
          <w:rFonts w:ascii="Arial Unicode MS" w:eastAsia="Arial Unicode MS" w:cs="Arial Unicode MS"/>
        </w:rPr>
        <w:t>’</w:t>
      </w:r>
      <w:r>
        <w:rPr>
          <w:rFonts w:eastAsia="Arial Unicode MS" w:hAnsi="Arial Unicode MS" w:cs="Arial Unicode MS"/>
        </w:rPr>
        <w:t>s prospective request for retail rate recovery.  According to the CPUC, reviewing the 2007 wildfire costs in this order is necessary to allow it to maintain its ability to act as an impartial decision-maker.</w:t>
      </w:r>
      <w:r>
        <w:rPr>
          <w:rFonts w:ascii="Times New Roman Bold" w:eastAsia="Times New Roman Bold" w:hAnsi="Times New Roman Bold" w:cs="Times New Roman Bold"/>
          <w:vertAlign w:val="superscript"/>
        </w:rPr>
        <w:footnoteReference w:id="24"/>
      </w:r>
      <w:r>
        <w:rPr>
          <w:rFonts w:eastAsia="Arial Unicode MS" w:hAnsi="Arial Unicode MS" w:cs="Arial Unicode MS"/>
        </w:rPr>
        <w:t xml:space="preserve">  The CPUC states that after the Commission denied its motions, it appealed those decisions to the Ninth Circuit.  Similarly, because SDG&amp;E seeks cost recovery of the 2007 wildfire </w:t>
      </w:r>
      <w:r>
        <w:rPr>
          <w:rFonts w:eastAsia="Arial Unicode MS" w:hAnsi="Arial Unicode MS" w:cs="Arial Unicode MS"/>
        </w:rPr>
        <w:lastRenderedPageBreak/>
        <w:t>costs instant proceeding, the CPUC argues that to preserve its ability to remain impartial, the recovery of such costs should be held in abeyance.</w:t>
      </w:r>
      <w:r>
        <w:rPr>
          <w:rFonts w:ascii="Times New Roman Bold" w:eastAsia="Times New Roman Bold" w:hAnsi="Times New Roman Bold" w:cs="Times New Roman Bold"/>
          <w:vertAlign w:val="superscript"/>
        </w:rPr>
        <w:footnoteReference w:id="25"/>
      </w:r>
      <w:r>
        <w:rPr>
          <w:rFonts w:eastAsia="Arial Unicode MS" w:hAnsi="Arial Unicode MS" w:cs="Arial Unicode MS"/>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Further, the CPUC states that if its appeal is successful before the Ninth Circuit, the Commission should follow the Ninth Circuit</w:t>
      </w:r>
      <w:r>
        <w:rPr>
          <w:rFonts w:ascii="Arial Unicode MS" w:eastAsia="Arial Unicode MS" w:cs="Arial Unicode MS"/>
        </w:rPr>
        <w:t>’</w:t>
      </w:r>
      <w:r>
        <w:rPr>
          <w:rFonts w:eastAsia="Arial Unicode MS" w:hAnsi="Arial Unicode MS" w:cs="Arial Unicode MS"/>
        </w:rPr>
        <w:t xml:space="preserve">s remand instructions in both the </w:t>
      </w:r>
      <w:r w:rsidR="00BE3D1C">
        <w:rPr>
          <w:rFonts w:eastAsia="Arial Unicode MS" w:hAnsi="Arial Unicode MS" w:cs="Arial Unicode MS"/>
        </w:rPr>
        <w:br/>
      </w:r>
      <w:r>
        <w:rPr>
          <w:rFonts w:eastAsia="Arial Unicode MS" w:hAnsi="Arial Unicode MS" w:cs="Arial Unicode MS"/>
        </w:rPr>
        <w:t>TO4 Cycle 1 proceeding and the instant proceeding.</w:t>
      </w:r>
      <w:r>
        <w:rPr>
          <w:rFonts w:ascii="Times New Roman Bold" w:eastAsia="Times New Roman Bold" w:hAnsi="Times New Roman Bold" w:cs="Times New Roman Bold"/>
          <w:vertAlign w:val="superscript"/>
        </w:rPr>
        <w:footnoteReference w:id="26"/>
      </w:r>
      <w:r>
        <w:rPr>
          <w:rFonts w:eastAsia="Arial Unicode MS" w:hAnsi="Arial Unicode MS" w:cs="Arial Unicode MS"/>
        </w:rPr>
        <w:t xml:space="preserve">  The CPUC states that this approach would promote judicial economy and efficiency because the parties will not re-litigate the same issues first before the Commission and then possibly again before the Ninth Circuit.  In addition, according to the CPUC, abeyance will not prejudice SDG&amp;E, as the wildfire costs will accrue interest.  Similarly, the CPUC asserts, abeyance will not prejudice ratepayers if the costs are collected subject to refund and accrue interest.  In addition, the CPUC asserts that holding this proceeding in abeyance will improve its ability to represent ratepayer interests before the Commission, and allow for the cooperative federalism contemplated by Congress.</w:t>
      </w:r>
      <w:r>
        <w:rPr>
          <w:rFonts w:ascii="Times New Roman Bold" w:eastAsia="Times New Roman Bold" w:hAnsi="Times New Roman Bold" w:cs="Times New Roman Bold"/>
          <w:vertAlign w:val="superscript"/>
        </w:rPr>
        <w:footnoteReference w:id="27"/>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Lastly, the CPUC states that SDG&amp;E still has not filed an application at the CPUC for retail rate recovery of its 2007 wildfire costs.  The CPUC states that while SDG&amp;E has unilateral control over whether it will request retail rate recovery of such costs, it anticipates that SDG&amp;E will eventually make such request because SDG&amp;E stated that it would do so in a filing with the Securities and Exchange Commission.</w:t>
      </w:r>
      <w:r>
        <w:rPr>
          <w:rFonts w:ascii="Times New Roman Bold" w:eastAsia="Times New Roman Bold" w:hAnsi="Times New Roman Bold" w:cs="Times New Roman Bold"/>
          <w:vertAlign w:val="superscript"/>
        </w:rPr>
        <w:footnoteReference w:id="28"/>
      </w:r>
      <w:r>
        <w:rPr>
          <w:rFonts w:eastAsia="Arial Unicode MS" w:hAnsi="Arial Unicode MS" w:cs="Arial Unicode MS"/>
        </w:rPr>
        <w:t xml:space="preserve"> </w:t>
      </w:r>
    </w:p>
    <w:p w:rsidR="004D1844" w:rsidRPr="00B71292" w:rsidRDefault="004A4880" w:rsidP="00B71292">
      <w:pPr>
        <w:pStyle w:val="Heading2"/>
        <w:tabs>
          <w:tab w:val="clear" w:pos="1008"/>
          <w:tab w:val="left" w:pos="720"/>
          <w:tab w:val="left" w:pos="1440"/>
        </w:tabs>
        <w:ind w:left="720" w:firstLine="0"/>
        <w:rPr>
          <w:u w:val="none"/>
        </w:rPr>
      </w:pPr>
      <w:r w:rsidRPr="00B71292">
        <w:rPr>
          <w:u w:val="none"/>
        </w:rPr>
        <w:t>B.</w:t>
      </w:r>
      <w:r w:rsidRPr="00B71292">
        <w:rPr>
          <w:u w:val="none"/>
        </w:rPr>
        <w:tab/>
      </w:r>
      <w:r w:rsidRPr="00B71292">
        <w:t>SDG&amp;E</w:t>
      </w:r>
      <w:r w:rsidRPr="00B71292">
        <w:rPr>
          <w:rFonts w:hAnsi="Times New Roman Bold"/>
          <w:lang w:val="fr-FR"/>
        </w:rPr>
        <w:t>’</w:t>
      </w:r>
      <w:r w:rsidRPr="00B71292">
        <w:t>s Answers to the Protests</w:t>
      </w:r>
      <w:r w:rsidRPr="00B71292">
        <w:rPr>
          <w:u w:val="none"/>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SDG&amp;E requests that the Commission deny M-S-R/SVP</w:t>
      </w:r>
      <w:r>
        <w:rPr>
          <w:rFonts w:ascii="Arial Unicode MS" w:eastAsia="Arial Unicode MS" w:cs="Arial Unicode MS"/>
        </w:rPr>
        <w:t>’</w:t>
      </w:r>
      <w:r>
        <w:rPr>
          <w:rFonts w:eastAsia="Arial Unicode MS" w:hAnsi="Arial Unicode MS" w:cs="Arial Unicode MS"/>
        </w:rPr>
        <w:t>s request that it make a compliance filing demonstrating that the Cycle 2 filing complies with the findings in the June 2014 Audit Report.</w:t>
      </w:r>
      <w:r>
        <w:rPr>
          <w:rFonts w:ascii="Times New Roman Bold" w:eastAsia="Times New Roman Bold" w:hAnsi="Times New Roman Bold" w:cs="Times New Roman Bold"/>
          <w:vertAlign w:val="superscript"/>
        </w:rPr>
        <w:footnoteReference w:id="29"/>
      </w:r>
      <w:r>
        <w:rPr>
          <w:rFonts w:eastAsia="Arial Unicode MS" w:hAnsi="Arial Unicode MS" w:cs="Arial Unicode MS"/>
        </w:rPr>
        <w:t xml:space="preserve">  SDG&amp;E asserts that such a filing is premature because SDG&amp;E is working on the adjustments, which it agreed to provide in detail to the Commission on May 15, 2015.</w:t>
      </w:r>
      <w:r>
        <w:rPr>
          <w:rFonts w:ascii="Times New Roman Bold" w:eastAsia="Times New Roman Bold" w:hAnsi="Times New Roman Bold" w:cs="Times New Roman Bold"/>
          <w:vertAlign w:val="superscript"/>
        </w:rPr>
        <w:footnoteReference w:id="30"/>
      </w:r>
      <w:r>
        <w:rPr>
          <w:rFonts w:eastAsia="Arial Unicode MS" w:hAnsi="Arial Unicode MS" w:cs="Arial Unicode MS"/>
        </w:rPr>
        <w:t xml:space="preserve">  In addition, SDG&amp;E explains, the audit adjustments will be reflected in its 2014 FERC Form 1, which is used to compile the Cycle 3 filing; </w:t>
      </w:r>
      <w:r>
        <w:rPr>
          <w:rFonts w:eastAsia="Arial Unicode MS" w:hAnsi="Arial Unicode MS" w:cs="Arial Unicode MS"/>
        </w:rPr>
        <w:lastRenderedPageBreak/>
        <w:t>therefore, SDG&amp;E states, the adjustments will be reflected in the Cycle 3 filing, rather than the Cycle 2 filing.</w:t>
      </w:r>
      <w:r>
        <w:rPr>
          <w:rFonts w:ascii="Times New Roman Bold" w:eastAsia="Times New Roman Bold" w:hAnsi="Times New Roman Bold" w:cs="Times New Roman Bold"/>
          <w:vertAlign w:val="superscript"/>
        </w:rPr>
        <w:footnoteReference w:id="31"/>
      </w:r>
      <w:r>
        <w:rPr>
          <w:rFonts w:eastAsia="Arial Unicode MS" w:hAnsi="Arial Unicode MS" w:cs="Arial Unicode MS"/>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SDG&amp;E also requests that the Commission reject the CPUC</w:t>
      </w:r>
      <w:r>
        <w:rPr>
          <w:rFonts w:ascii="Arial Unicode MS" w:eastAsia="Arial Unicode MS" w:cs="Arial Unicode MS"/>
        </w:rPr>
        <w:t>’</w:t>
      </w:r>
      <w:r>
        <w:rPr>
          <w:rFonts w:eastAsia="Arial Unicode MS" w:hAnsi="Arial Unicode MS" w:cs="Arial Unicode MS"/>
        </w:rPr>
        <w:t xml:space="preserve">s request to suspend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w:t>
      </w:r>
      <w:r>
        <w:rPr>
          <w:rFonts w:ascii="Times New Roman Bold" w:eastAsia="Times New Roman Bold" w:hAnsi="Times New Roman Bold" w:cs="Times New Roman Bold"/>
          <w:vertAlign w:val="superscript"/>
        </w:rPr>
        <w:footnoteReference w:id="32"/>
      </w:r>
      <w:r>
        <w:rPr>
          <w:rFonts w:eastAsia="Arial Unicode MS" w:hAnsi="Arial Unicode MS" w:cs="Arial Unicode MS"/>
        </w:rPr>
        <w:t xml:space="preserve">  SDG&amp;E explains that it disagrees with the reviewing engineer</w:t>
      </w:r>
      <w:r>
        <w:rPr>
          <w:rFonts w:ascii="Arial Unicode MS" w:eastAsia="Arial Unicode MS" w:cs="Arial Unicode MS"/>
        </w:rPr>
        <w:t>’</w:t>
      </w:r>
      <w:r>
        <w:rPr>
          <w:rFonts w:eastAsia="Arial Unicode MS" w:hAnsi="Arial Unicode MS" w:cs="Arial Unicode MS"/>
        </w:rPr>
        <w:t>s recommendation to suspend the project because (1) CAISO determined that the project is necessary to ensure transmission reliability and it approved the project</w:t>
      </w:r>
      <w:r>
        <w:rPr>
          <w:rFonts w:ascii="Arial Unicode MS" w:eastAsia="Arial Unicode MS" w:cs="Arial Unicode MS"/>
        </w:rPr>
        <w:t>’</w:t>
      </w:r>
      <w:r>
        <w:rPr>
          <w:rFonts w:eastAsia="Arial Unicode MS" w:hAnsi="Arial Unicode MS" w:cs="Arial Unicode MS"/>
        </w:rPr>
        <w:t>s in-service date; (2) the project is necessary to resolve congestion that could materialize while the Sycamore-Penasquitos 230 kV line is under construction; and (3) the project will enhance transmission reliability and flexibility on SDG&amp;E</w:t>
      </w:r>
      <w:r>
        <w:rPr>
          <w:rFonts w:ascii="Arial Unicode MS" w:eastAsia="Arial Unicode MS" w:cs="Arial Unicode MS"/>
        </w:rPr>
        <w:t>’</w:t>
      </w:r>
      <w:r>
        <w:rPr>
          <w:rFonts w:eastAsia="Arial Unicode MS" w:hAnsi="Arial Unicode MS" w:cs="Arial Unicode MS"/>
        </w:rPr>
        <w:t>s transmission system.</w:t>
      </w:r>
      <w:r>
        <w:rPr>
          <w:rFonts w:ascii="Times New Roman Bold" w:eastAsia="Times New Roman Bold" w:hAnsi="Times New Roman Bold" w:cs="Times New Roman Bold"/>
          <w:vertAlign w:val="superscript"/>
        </w:rPr>
        <w:footnoteReference w:id="33"/>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Also, SDG&amp;E argues that the Commission should reject the CPUC</w:t>
      </w:r>
      <w:r>
        <w:rPr>
          <w:rFonts w:ascii="Arial Unicode MS" w:eastAsia="Arial Unicode MS" w:cs="Arial Unicode MS"/>
        </w:rPr>
        <w:t>’</w:t>
      </w:r>
      <w:r>
        <w:rPr>
          <w:rFonts w:eastAsia="Arial Unicode MS" w:hAnsi="Arial Unicode MS" w:cs="Arial Unicode MS"/>
        </w:rPr>
        <w:t xml:space="preserve">s request that it clarify the amount of 2007 wildfire costs that it proposes to recover in the TO4 Cycle 2 base transmission revenue requirement.  SDG&amp;E asserts that its informational filing clearly outlines the amount of wildfire costs that it seeks to recover for the TO4 Cycle 2 Rate Effective Period.  Specifically, SDG&amp;E explains that it is seeking to recover </w:t>
      </w:r>
      <w:r w:rsidR="00BE3D1C">
        <w:rPr>
          <w:rFonts w:eastAsia="Arial Unicode MS" w:hAnsi="Arial Unicode MS" w:cs="Arial Unicode MS"/>
        </w:rPr>
        <w:br/>
      </w:r>
      <w:r>
        <w:rPr>
          <w:rFonts w:eastAsia="Arial Unicode MS" w:hAnsi="Arial Unicode MS" w:cs="Arial Unicode MS"/>
        </w:rPr>
        <w:t xml:space="preserve">$23.17 million, which is the sum of the total wildfire damages for the TO2 Cycle 2 </w:t>
      </w:r>
      <w:r w:rsidR="00BE3D1C">
        <w:rPr>
          <w:rFonts w:eastAsia="Arial Unicode MS" w:hAnsi="Arial Unicode MS" w:cs="Arial Unicode MS"/>
        </w:rPr>
        <w:br/>
      </w:r>
      <w:r>
        <w:rPr>
          <w:rFonts w:eastAsia="Arial Unicode MS" w:hAnsi="Arial Unicode MS" w:cs="Arial Unicode MS"/>
        </w:rPr>
        <w:t>four-month true-up and the TO3 17-month final true-up, as adjusted by the transmission salary and wage allocation factor.</w:t>
      </w:r>
      <w:r>
        <w:rPr>
          <w:rFonts w:ascii="Times New Roman Bold" w:eastAsia="Times New Roman Bold" w:hAnsi="Times New Roman Bold" w:cs="Times New Roman Bold"/>
          <w:vertAlign w:val="superscript"/>
        </w:rPr>
        <w:footnoteReference w:id="34"/>
      </w:r>
      <w:r>
        <w:rPr>
          <w:rFonts w:eastAsia="Arial Unicode MS" w:hAnsi="Arial Unicode MS" w:cs="Arial Unicode MS"/>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Next, SDG&amp;E disagrees with the CPUC</w:t>
      </w:r>
      <w:r>
        <w:rPr>
          <w:rFonts w:ascii="Arial Unicode MS" w:eastAsia="Arial Unicode MS" w:cs="Arial Unicode MS"/>
        </w:rPr>
        <w:t>’</w:t>
      </w:r>
      <w:r>
        <w:rPr>
          <w:rFonts w:eastAsia="Arial Unicode MS" w:hAnsi="Arial Unicode MS" w:cs="Arial Unicode MS"/>
        </w:rPr>
        <w:t xml:space="preserve">s request to hold the instant </w:t>
      </w:r>
      <w:proofErr w:type="gramStart"/>
      <w:r>
        <w:rPr>
          <w:rFonts w:eastAsia="Arial Unicode MS" w:hAnsi="Arial Unicode MS" w:cs="Arial Unicode MS"/>
        </w:rPr>
        <w:t xml:space="preserve">proceeding </w:t>
      </w:r>
      <w:r w:rsidR="00BE1761">
        <w:rPr>
          <w:rFonts w:eastAsia="Arial Unicode MS" w:hAnsi="Arial Unicode MS" w:cs="Arial Unicode MS"/>
        </w:rPr>
        <w:t xml:space="preserve"> </w:t>
      </w:r>
      <w:r>
        <w:rPr>
          <w:rFonts w:eastAsia="Arial Unicode MS" w:hAnsi="Arial Unicode MS" w:cs="Arial Unicode MS"/>
        </w:rPr>
        <w:t>in</w:t>
      </w:r>
      <w:proofErr w:type="gramEnd"/>
      <w:r>
        <w:rPr>
          <w:rFonts w:eastAsia="Arial Unicode MS" w:hAnsi="Arial Unicode MS" w:cs="Arial Unicode MS"/>
        </w:rPr>
        <w:t xml:space="preserve"> abeyance.  First, SDG&amp;E explains that in the TO3 Cycle 6 proceeding where it requested to recover the 2007 wildfire costs, the CPUC filed a motion requesting that the Commission hold the proceeding in abeyance until after the CPUC determined whether SDG&amp;E may recover such costs in retail rates.</w:t>
      </w:r>
      <w:r>
        <w:rPr>
          <w:rFonts w:ascii="Times New Roman Bold" w:eastAsia="Times New Roman Bold" w:hAnsi="Times New Roman Bold" w:cs="Times New Roman Bold"/>
          <w:vertAlign w:val="superscript"/>
        </w:rPr>
        <w:footnoteReference w:id="35"/>
      </w:r>
      <w:r>
        <w:rPr>
          <w:rFonts w:eastAsia="Arial Unicode MS" w:hAnsi="Arial Unicode MS" w:cs="Arial Unicode MS"/>
        </w:rPr>
        <w:t xml:space="preserve">  According to SDG&amp;E, the CPUC</w:t>
      </w:r>
      <w:r>
        <w:rPr>
          <w:rFonts w:ascii="Arial Unicode MS" w:eastAsia="Arial Unicode MS" w:cs="Arial Unicode MS"/>
        </w:rPr>
        <w:t>’</w:t>
      </w:r>
      <w:r>
        <w:rPr>
          <w:rFonts w:eastAsia="Arial Unicode MS" w:hAnsi="Arial Unicode MS" w:cs="Arial Unicode MS"/>
        </w:rPr>
        <w:t>s motion assumed that, at some point, SDG&amp;E would seek recovery of wildfire-related costs from retail ratepayers for distribution service.  Based on that assumption, SDG&amp;E continues, the CPUC argued that it could not take a position in the TO3 Cycle 6 proceeding until after it has ruled on the merits of SDG&amp;E</w:t>
      </w:r>
      <w:r>
        <w:rPr>
          <w:rFonts w:ascii="Arial Unicode MS" w:eastAsia="Arial Unicode MS" w:cs="Arial Unicode MS"/>
        </w:rPr>
        <w:t>’</w:t>
      </w:r>
      <w:r>
        <w:rPr>
          <w:rFonts w:eastAsia="Arial Unicode MS" w:hAnsi="Arial Unicode MS" w:cs="Arial Unicode MS"/>
        </w:rPr>
        <w:t>s request to recover such costs in retail rates.</w:t>
      </w:r>
      <w:r>
        <w:rPr>
          <w:rFonts w:ascii="Times New Roman Bold" w:eastAsia="Times New Roman Bold" w:hAnsi="Times New Roman Bold" w:cs="Times New Roman Bold"/>
          <w:vertAlign w:val="superscript"/>
        </w:rPr>
        <w:footnoteReference w:id="36"/>
      </w:r>
      <w:r>
        <w:rPr>
          <w:rFonts w:eastAsia="Arial Unicode MS" w:hAnsi="Arial Unicode MS" w:cs="Arial Unicode MS"/>
        </w:rPr>
        <w:t xml:space="preserve">  SDG&amp;E states that as support for its motion, the CPUC claimed that </w:t>
      </w:r>
      <w:r>
        <w:rPr>
          <w:rFonts w:eastAsia="Arial Unicode MS" w:hAnsi="Arial Unicode MS" w:cs="Arial Unicode MS"/>
        </w:rPr>
        <w:lastRenderedPageBreak/>
        <w:t xml:space="preserve">holding the proceeding in abeyance </w:t>
      </w:r>
      <w:r>
        <w:rPr>
          <w:rFonts w:ascii="Arial Unicode MS" w:eastAsia="Arial Unicode MS" w:cs="Arial Unicode MS"/>
        </w:rPr>
        <w:t>“</w:t>
      </w:r>
      <w:r>
        <w:rPr>
          <w:rFonts w:eastAsia="Arial Unicode MS" w:hAnsi="Arial Unicode MS" w:cs="Arial Unicode MS"/>
        </w:rPr>
        <w:t>would (1) avoid prejudging the issues by the CPUC, (2) would promote judicial economy, and (3) would not prejudice to SDG&amp;E.</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37"/>
      </w:r>
      <w:r>
        <w:rPr>
          <w:rFonts w:eastAsia="Arial Unicode MS" w:hAnsi="Arial Unicode MS" w:cs="Arial Unicode MS"/>
        </w:rPr>
        <w:t xml:space="preserve">  In response, SDG&amp;E explains, the Chief Administrative Law Judge denied the CPUC</w:t>
      </w:r>
      <w:r>
        <w:rPr>
          <w:rFonts w:ascii="Arial Unicode MS" w:eastAsia="Arial Unicode MS" w:cs="Arial Unicode MS"/>
        </w:rPr>
        <w:t>’</w:t>
      </w:r>
      <w:r>
        <w:rPr>
          <w:rFonts w:eastAsia="Arial Unicode MS" w:hAnsi="Arial Unicode MS" w:cs="Arial Unicode MS"/>
        </w:rPr>
        <w:t>s motion and its subsequent motion for interlocutory appeal, which was affirmed by the Motion</w:t>
      </w:r>
      <w:r>
        <w:rPr>
          <w:rFonts w:ascii="Arial Unicode MS" w:eastAsia="Arial Unicode MS" w:cs="Arial Unicode MS"/>
        </w:rPr>
        <w:t>’</w:t>
      </w:r>
      <w:r>
        <w:rPr>
          <w:rFonts w:eastAsia="Arial Unicode MS" w:hAnsi="Arial Unicode MS" w:cs="Arial Unicode MS"/>
        </w:rPr>
        <w:t>s Commissioner.</w:t>
      </w:r>
      <w:r>
        <w:rPr>
          <w:rFonts w:ascii="Times New Roman Bold" w:eastAsia="Times New Roman Bold" w:hAnsi="Times New Roman Bold" w:cs="Times New Roman Bold"/>
          <w:vertAlign w:val="superscript"/>
        </w:rPr>
        <w:footnoteReference w:id="38"/>
      </w:r>
      <w:r>
        <w:rPr>
          <w:rFonts w:eastAsia="Arial Unicode MS" w:hAnsi="Arial Unicode MS" w:cs="Arial Unicode MS"/>
        </w:rPr>
        <w:t xml:space="preserve">  Accordingly, SDG&amp;E argues, because the CPUC uses the same arguments here, the Commission should deny its request to delay the determination on whether SDG&amp;E appropriately included 2007 wildfire damages in the Cycle 2 filing.</w:t>
      </w:r>
      <w:r>
        <w:rPr>
          <w:rFonts w:ascii="Times New Roman Bold" w:eastAsia="Times New Roman Bold" w:hAnsi="Times New Roman Bold" w:cs="Times New Roman Bold"/>
          <w:vertAlign w:val="superscript"/>
        </w:rPr>
        <w:footnoteReference w:id="39"/>
      </w:r>
      <w:r>
        <w:rPr>
          <w:rFonts w:eastAsia="Arial Unicode MS" w:hAnsi="Arial Unicode MS" w:cs="Arial Unicode MS"/>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Further, SDG&amp;E argues, its ability to recover the 2007 wildfire costs is no longer subject to review.</w:t>
      </w:r>
      <w:r>
        <w:rPr>
          <w:rFonts w:ascii="Times New Roman Bold" w:eastAsia="Times New Roman Bold" w:hAnsi="Times New Roman Bold" w:cs="Times New Roman Bold"/>
          <w:vertAlign w:val="superscript"/>
        </w:rPr>
        <w:footnoteReference w:id="40"/>
      </w:r>
      <w:r>
        <w:rPr>
          <w:rFonts w:eastAsia="Arial Unicode MS" w:hAnsi="Arial Unicode MS" w:cs="Arial Unicode MS"/>
        </w:rPr>
        <w:t xml:space="preserve">  SDG&amp;E explains that the disputes in the TO3 Cycle 6 proceeding were resolved after its motion for summary disposition was granted by the Presiding Administrative Law Judge.  According to SDG&amp;E, in the order granting the motion, the Administrative Law Judge concluded that </w:t>
      </w:r>
      <w:r>
        <w:rPr>
          <w:rFonts w:ascii="Arial Unicode MS" w:eastAsia="Arial Unicode MS" w:cs="Arial Unicode MS"/>
        </w:rPr>
        <w:t>“</w:t>
      </w:r>
      <w:r>
        <w:rPr>
          <w:rFonts w:eastAsia="Arial Unicode MS" w:hAnsi="Arial Unicode MS" w:cs="Arial Unicode MS"/>
        </w:rPr>
        <w:t>both SDG&amp;E</w:t>
      </w:r>
      <w:r>
        <w:rPr>
          <w:rFonts w:ascii="Arial Unicode MS" w:eastAsia="Arial Unicode MS" w:cs="Arial Unicode MS"/>
        </w:rPr>
        <w:t>’</w:t>
      </w:r>
      <w:r>
        <w:rPr>
          <w:rFonts w:eastAsia="Arial Unicode MS" w:hAnsi="Arial Unicode MS" w:cs="Arial Unicode MS"/>
        </w:rPr>
        <w:t>s evidence and the Trial Staff</w:t>
      </w:r>
      <w:r>
        <w:rPr>
          <w:rFonts w:ascii="Arial Unicode MS" w:eastAsia="Arial Unicode MS" w:cs="Arial Unicode MS"/>
        </w:rPr>
        <w:t>’</w:t>
      </w:r>
      <w:r>
        <w:rPr>
          <w:rFonts w:eastAsia="Arial Unicode MS" w:hAnsi="Arial Unicode MS" w:cs="Arial Unicode MS"/>
        </w:rPr>
        <w:t>s evidence confirm that SDG&amp;E is entitled to recover the [w]</w:t>
      </w:r>
      <w:proofErr w:type="spellStart"/>
      <w:r>
        <w:rPr>
          <w:rFonts w:eastAsia="Arial Unicode MS" w:hAnsi="Arial Unicode MS" w:cs="Arial Unicode MS"/>
        </w:rPr>
        <w:t>ildfire</w:t>
      </w:r>
      <w:proofErr w:type="spellEnd"/>
      <w:r>
        <w:rPr>
          <w:rFonts w:eastAsia="Arial Unicode MS" w:hAnsi="Arial Unicode MS" w:cs="Arial Unicode MS"/>
        </w:rPr>
        <w:t xml:space="preserve"> [c]</w:t>
      </w:r>
      <w:proofErr w:type="spellStart"/>
      <w:r>
        <w:rPr>
          <w:rFonts w:eastAsia="Arial Unicode MS" w:hAnsi="Arial Unicode MS" w:cs="Arial Unicode MS"/>
        </w:rPr>
        <w:t>osts</w:t>
      </w:r>
      <w:proofErr w:type="spellEnd"/>
      <w:r>
        <w:rPr>
          <w:rFonts w:eastAsia="Arial Unicode MS" w:hAnsi="Arial Unicode MS" w:cs="Arial Unicode MS"/>
        </w:rPr>
        <w:t xml:space="preserve"> in transmission rates.</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41"/>
      </w:r>
      <w:r>
        <w:rPr>
          <w:rFonts w:eastAsia="Arial Unicode MS" w:hAnsi="Arial Unicode MS" w:cs="Arial Unicode MS"/>
        </w:rPr>
        <w:t xml:space="preserve">  SDG&amp;E states that after the CPUC</w:t>
      </w:r>
      <w:r>
        <w:rPr>
          <w:rFonts w:ascii="Arial Unicode MS" w:eastAsia="Arial Unicode MS" w:cs="Arial Unicode MS"/>
        </w:rPr>
        <w:t>’</w:t>
      </w:r>
      <w:r>
        <w:rPr>
          <w:rFonts w:eastAsia="Arial Unicode MS" w:hAnsi="Arial Unicode MS" w:cs="Arial Unicode MS"/>
        </w:rPr>
        <w:t>s requests to hold the proceeding in abeyance was denied, it refused to participate in the proceeding, and it did not file an exception to the Presiding Administrative Law Judge</w:t>
      </w:r>
      <w:r>
        <w:rPr>
          <w:rFonts w:ascii="Arial Unicode MS" w:eastAsia="Arial Unicode MS" w:cs="Arial Unicode MS"/>
        </w:rPr>
        <w:t>’</w:t>
      </w:r>
      <w:r>
        <w:rPr>
          <w:rFonts w:eastAsia="Arial Unicode MS" w:hAnsi="Arial Unicode MS" w:cs="Arial Unicode MS"/>
        </w:rPr>
        <w:t>s decision or a petition for review of the Commission</w:t>
      </w:r>
      <w:r>
        <w:rPr>
          <w:rFonts w:ascii="Arial Unicode MS" w:eastAsia="Arial Unicode MS" w:cs="Arial Unicode MS"/>
        </w:rPr>
        <w:t>’</w:t>
      </w:r>
      <w:r>
        <w:rPr>
          <w:rFonts w:eastAsia="Arial Unicode MS" w:hAnsi="Arial Unicode MS" w:cs="Arial Unicode MS"/>
        </w:rPr>
        <w:t>s final decision.</w:t>
      </w:r>
      <w:r>
        <w:rPr>
          <w:rFonts w:ascii="Times New Roman Bold" w:eastAsia="Times New Roman Bold" w:hAnsi="Times New Roman Bold" w:cs="Times New Roman Bold"/>
          <w:vertAlign w:val="superscript"/>
        </w:rPr>
        <w:footnoteReference w:id="42"/>
      </w:r>
      <w:r>
        <w:rPr>
          <w:rFonts w:eastAsia="Arial Unicode MS" w:hAnsi="Arial Unicode MS" w:cs="Arial Unicode MS"/>
        </w:rPr>
        <w:t xml:space="preserve">  Accordingly, SDG&amp;E argues, under </w:t>
      </w:r>
      <w:r>
        <w:rPr>
          <w:rFonts w:eastAsia="Arial Unicode MS" w:hAnsi="Arial Unicode MS" w:cs="Arial Unicode MS"/>
          <w:i/>
          <w:iCs/>
        </w:rPr>
        <w:t>res judicata</w:t>
      </w:r>
      <w:r>
        <w:rPr>
          <w:rFonts w:eastAsia="Arial Unicode MS" w:hAnsi="Arial Unicode MS" w:cs="Arial Unicode MS"/>
        </w:rPr>
        <w:t xml:space="preserve"> and collateral estoppel, the determination in the TO3 Cycle 6 proceeding applies to the determination on whether 2007 wildfire damages should be recovered in the instant proceeding.</w:t>
      </w:r>
      <w:r>
        <w:rPr>
          <w:rFonts w:ascii="Times New Roman Bold" w:eastAsia="Times New Roman Bold" w:hAnsi="Times New Roman Bold" w:cs="Times New Roman Bold"/>
          <w:vertAlign w:val="superscript"/>
        </w:rPr>
        <w:footnoteReference w:id="43"/>
      </w:r>
      <w:r>
        <w:rPr>
          <w:rFonts w:eastAsia="Arial Unicode MS" w:hAnsi="Arial Unicode MS" w:cs="Arial Unicode MS"/>
        </w:rPr>
        <w:t xml:space="preserve">  In addition, SDG&amp;E asserts that the CPUC does not cite to any cases that support its claim that it cannot litigate the inclusion of the wildfire damages at the Commission without prejudging the issue when SDG&amp;E request retail rate recovery of </w:t>
      </w:r>
      <w:r>
        <w:rPr>
          <w:rFonts w:eastAsia="Arial Unicode MS" w:hAnsi="Arial Unicode MS" w:cs="Arial Unicode MS"/>
        </w:rPr>
        <w:lastRenderedPageBreak/>
        <w:t>such damages.  SDG&amp;E asserts, however, that there is precedent supporting its position that the Commission should reject the CPUC</w:t>
      </w:r>
      <w:r>
        <w:rPr>
          <w:rFonts w:ascii="Arial Unicode MS" w:eastAsia="Arial Unicode MS" w:cs="Arial Unicode MS"/>
        </w:rPr>
        <w:t>’</w:t>
      </w:r>
      <w:r>
        <w:rPr>
          <w:rFonts w:eastAsia="Arial Unicode MS" w:hAnsi="Arial Unicode MS" w:cs="Arial Unicode MS"/>
        </w:rPr>
        <w:t>s request.</w:t>
      </w:r>
      <w:r>
        <w:rPr>
          <w:rFonts w:ascii="Times New Roman Bold" w:eastAsia="Times New Roman Bold" w:hAnsi="Times New Roman Bold" w:cs="Times New Roman Bold"/>
          <w:vertAlign w:val="superscript"/>
        </w:rPr>
        <w:footnoteReference w:id="44"/>
      </w:r>
      <w:r>
        <w:rPr>
          <w:rFonts w:eastAsia="Arial Unicode MS" w:hAnsi="Arial Unicode MS" w:cs="Arial Unicode MS"/>
        </w:rPr>
        <w:t xml:space="preserve">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Lastly, SDG&amp;E argues that it is unclear as to what relief the CPUC is requesting.  SDG&amp;E asserts that the CPUC asks the Commission for various remedies, including holding the proceeding in abeyance until after it reviews SDG&amp;E</w:t>
      </w:r>
      <w:r>
        <w:rPr>
          <w:rFonts w:ascii="Arial Unicode MS" w:eastAsia="Arial Unicode MS" w:cs="Arial Unicode MS"/>
        </w:rPr>
        <w:t>’</w:t>
      </w:r>
      <w:r>
        <w:rPr>
          <w:rFonts w:eastAsia="Arial Unicode MS" w:hAnsi="Arial Unicode MS" w:cs="Arial Unicode MS"/>
        </w:rPr>
        <w:t>s prospective request to recover the 2007 wildfire costs from retail ratepayers, or after the Ninth Circuit issues a decision on the CPUC</w:t>
      </w:r>
      <w:r>
        <w:rPr>
          <w:rFonts w:ascii="Arial Unicode MS" w:eastAsia="Arial Unicode MS" w:cs="Arial Unicode MS"/>
        </w:rPr>
        <w:t>’</w:t>
      </w:r>
      <w:r>
        <w:rPr>
          <w:rFonts w:eastAsia="Arial Unicode MS" w:hAnsi="Arial Unicode MS" w:cs="Arial Unicode MS"/>
        </w:rPr>
        <w:t>s appeal.</w:t>
      </w:r>
      <w:r>
        <w:rPr>
          <w:rFonts w:ascii="Times New Roman Bold" w:eastAsia="Times New Roman Bold" w:hAnsi="Times New Roman Bold" w:cs="Times New Roman Bold"/>
          <w:vertAlign w:val="superscript"/>
        </w:rPr>
        <w:footnoteReference w:id="45"/>
      </w:r>
      <w:r>
        <w:rPr>
          <w:rFonts w:eastAsia="Arial Unicode MS" w:hAnsi="Arial Unicode MS" w:cs="Arial Unicode MS"/>
        </w:rPr>
        <w:t xml:space="preserve">   </w:t>
      </w:r>
    </w:p>
    <w:p w:rsidR="004D1844" w:rsidRPr="00B71292" w:rsidRDefault="004A4880" w:rsidP="00B71292">
      <w:pPr>
        <w:pStyle w:val="Heading2"/>
        <w:tabs>
          <w:tab w:val="clear" w:pos="1008"/>
          <w:tab w:val="left" w:pos="720"/>
        </w:tabs>
        <w:ind w:left="1440" w:hanging="720"/>
        <w:rPr>
          <w:u w:val="none"/>
        </w:rPr>
      </w:pPr>
      <w:r w:rsidRPr="00B71292">
        <w:rPr>
          <w:u w:val="none"/>
        </w:rPr>
        <w:t>C.</w:t>
      </w:r>
      <w:r w:rsidRPr="00B71292">
        <w:rPr>
          <w:u w:val="none"/>
        </w:rPr>
        <w:tab/>
      </w:r>
      <w:r w:rsidRPr="00C41C75">
        <w:t>CPUC</w:t>
      </w:r>
      <w:r w:rsidRPr="00C41C75">
        <w:rPr>
          <w:rFonts w:hAnsi="Times New Roman Bold"/>
          <w:lang w:val="fr-FR"/>
        </w:rPr>
        <w:t>’</w:t>
      </w:r>
      <w:r w:rsidRPr="00C41C75">
        <w:t>s Answers to SDG&amp;E</w:t>
      </w:r>
      <w:r w:rsidRPr="00C41C75">
        <w:rPr>
          <w:rFonts w:hAnsi="Times New Roman Bold"/>
          <w:lang w:val="fr-FR"/>
        </w:rPr>
        <w:t>’</w:t>
      </w:r>
      <w:r w:rsidRPr="00C41C75">
        <w:rPr>
          <w:lang w:val="de-DE"/>
        </w:rPr>
        <w:t>s Answer</w:t>
      </w:r>
    </w:p>
    <w:p w:rsidR="004D1844" w:rsidRDefault="004A4880" w:rsidP="00C41C75">
      <w:pPr>
        <w:pStyle w:val="FERCparanumber"/>
        <w:numPr>
          <w:ilvl w:val="0"/>
          <w:numId w:val="3"/>
        </w:numPr>
        <w:tabs>
          <w:tab w:val="left" w:pos="0"/>
          <w:tab w:val="left" w:pos="810"/>
          <w:tab w:val="left" w:pos="1530"/>
          <w:tab w:val="left" w:pos="1620"/>
        </w:tabs>
      </w:pPr>
      <w:r>
        <w:rPr>
          <w:rFonts w:eastAsia="Arial Unicode MS" w:hAnsi="Arial Unicode MS" w:cs="Arial Unicode MS"/>
        </w:rPr>
        <w:t xml:space="preserve"> The CPUC answers that its protest clearly articulates the relief that it is seeking,</w:t>
      </w:r>
      <w:r>
        <w:rPr>
          <w:rFonts w:ascii="Times New Roman Bold" w:eastAsia="Times New Roman Bold" w:hAnsi="Times New Roman Bold" w:cs="Times New Roman Bold"/>
          <w:vertAlign w:val="superscript"/>
        </w:rPr>
        <w:footnoteReference w:id="46"/>
      </w:r>
      <w:r>
        <w:rPr>
          <w:rFonts w:eastAsia="Arial Unicode MS" w:hAnsi="Arial Unicode MS" w:cs="Arial Unicode MS"/>
        </w:rPr>
        <w:t xml:space="preserve"> and that SDG&amp;E wrongly argues that </w:t>
      </w:r>
      <w:r>
        <w:rPr>
          <w:rFonts w:eastAsia="Arial Unicode MS" w:hAnsi="Arial Unicode MS" w:cs="Arial Unicode MS"/>
          <w:i/>
          <w:iCs/>
        </w:rPr>
        <w:t>res judicata</w:t>
      </w:r>
      <w:r>
        <w:rPr>
          <w:rFonts w:eastAsia="Arial Unicode MS" w:hAnsi="Arial Unicode MS" w:cs="Arial Unicode MS"/>
        </w:rPr>
        <w:t xml:space="preserve"> and collateral estoppel bar the CPUC from the relief it seeks here because SDG&amp;E is seeking recovery of different costs in this proceeding and the CPUC did not previously litigate the prudence of the 2007 wildfire damage costs.</w:t>
      </w:r>
      <w:r>
        <w:rPr>
          <w:rFonts w:ascii="Times New Roman Bold" w:eastAsia="Times New Roman Bold" w:hAnsi="Times New Roman Bold" w:cs="Times New Roman Bold"/>
          <w:vertAlign w:val="superscript"/>
        </w:rPr>
        <w:footnoteReference w:id="47"/>
      </w:r>
      <w:r>
        <w:rPr>
          <w:rFonts w:eastAsia="Arial Unicode MS" w:hAnsi="Arial Unicode MS" w:cs="Arial Unicode MS"/>
        </w:rPr>
        <w:t xml:space="preserve">  Lastly, the CPUC requests the Commission establish a hearing to resolve the dispute over whether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should be suspended.</w:t>
      </w:r>
      <w:r>
        <w:rPr>
          <w:rFonts w:ascii="Times New Roman Bold" w:eastAsia="Times New Roman Bold" w:hAnsi="Times New Roman Bold" w:cs="Times New Roman Bold"/>
          <w:vertAlign w:val="superscript"/>
        </w:rPr>
        <w:footnoteReference w:id="48"/>
      </w:r>
    </w:p>
    <w:p w:rsidR="004D1844" w:rsidRPr="00C41C75" w:rsidRDefault="004A4880" w:rsidP="00C41C75">
      <w:pPr>
        <w:pStyle w:val="Heading2"/>
        <w:tabs>
          <w:tab w:val="clear" w:pos="1008"/>
          <w:tab w:val="left" w:pos="720"/>
          <w:tab w:val="left" w:pos="1440"/>
        </w:tabs>
        <w:ind w:left="1440" w:hanging="720"/>
        <w:rPr>
          <w:u w:val="none"/>
        </w:rPr>
      </w:pPr>
      <w:r w:rsidRPr="00C41C75">
        <w:rPr>
          <w:u w:val="none"/>
        </w:rPr>
        <w:t xml:space="preserve">D. </w:t>
      </w:r>
      <w:r w:rsidR="00C41C75" w:rsidRPr="00C41C75">
        <w:rPr>
          <w:u w:val="none"/>
        </w:rPr>
        <w:t xml:space="preserve">      </w:t>
      </w:r>
      <w:r w:rsidRPr="00C41C75">
        <w:t>Deficiency Letter and Deficiency Response</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On August 21, 2015, Commission staff issued a deficiency letter to SDG&amp;E seeking additional information regarding SDG&amp;E</w:t>
      </w:r>
      <w:r>
        <w:rPr>
          <w:rFonts w:ascii="Arial Unicode MS" w:eastAsia="Arial Unicode MS" w:cs="Arial Unicode MS"/>
        </w:rPr>
        <w:t>’</w:t>
      </w:r>
      <w:r>
        <w:rPr>
          <w:rFonts w:eastAsia="Arial Unicode MS" w:hAnsi="Arial Unicode MS" w:cs="Arial Unicode MS"/>
        </w:rPr>
        <w:t xml:space="preserve">s TO4 Cycle 2 informational filing.  Specifically, the Commission requested that SDG&amp;E (1) describe any communication </w:t>
      </w:r>
      <w:r>
        <w:rPr>
          <w:rFonts w:eastAsia="Arial Unicode MS" w:hAnsi="Arial Unicode MS" w:cs="Arial Unicode MS"/>
        </w:rPr>
        <w:lastRenderedPageBreak/>
        <w:t xml:space="preserve">between SDG&amp;E and CAISO regarding the need for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given that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was last listed in the CAISO </w:t>
      </w:r>
      <w:proofErr w:type="spellStart"/>
      <w:r>
        <w:rPr>
          <w:rFonts w:eastAsia="Arial Unicode MS" w:hAnsi="Arial Unicode MS" w:cs="Arial Unicode MS"/>
        </w:rPr>
        <w:t>Trasnmission</w:t>
      </w:r>
      <w:proofErr w:type="spellEnd"/>
      <w:r>
        <w:rPr>
          <w:rFonts w:eastAsia="Arial Unicode MS" w:hAnsi="Arial Unicode MS" w:cs="Arial Unicode MS"/>
        </w:rPr>
        <w:t xml:space="preserve"> Plan in 2012, and (2) provide the original schedule, revised schedule, and explain the current status of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w:t>
      </w:r>
    </w:p>
    <w:p w:rsidR="004D1844" w:rsidRDefault="004A4880" w:rsidP="00283D2F">
      <w:pPr>
        <w:pStyle w:val="FERCparanumber"/>
        <w:numPr>
          <w:ilvl w:val="0"/>
          <w:numId w:val="3"/>
        </w:numPr>
        <w:tabs>
          <w:tab w:val="clear" w:pos="720"/>
          <w:tab w:val="left" w:pos="0"/>
        </w:tabs>
      </w:pPr>
      <w:r>
        <w:rPr>
          <w:rFonts w:eastAsia="Arial Unicode MS" w:hAnsi="Arial Unicode MS" w:cs="Arial Unicode MS"/>
        </w:rPr>
        <w:t xml:space="preserve">  On August 26, 2015, SDG&amp;E submitted its Deficiency Response.  SDG&amp;E states that </w:t>
      </w:r>
      <w:r>
        <w:rPr>
          <w:rFonts w:ascii="Arial Unicode MS" w:eastAsia="Arial Unicode MS" w:cs="Arial Unicode MS"/>
        </w:rPr>
        <w:t>“</w:t>
      </w:r>
      <w:r>
        <w:rPr>
          <w:rFonts w:eastAsia="Arial Unicode MS" w:hAnsi="Arial Unicode MS" w:cs="Arial Unicode MS"/>
        </w:rPr>
        <w:t>once [a] need was established and approved in CAISO</w:t>
      </w:r>
      <w:r>
        <w:rPr>
          <w:rFonts w:ascii="Arial Unicode MS" w:eastAsia="Arial Unicode MS" w:cs="Arial Unicode MS"/>
        </w:rPr>
        <w:t>’</w:t>
      </w:r>
      <w:r>
        <w:rPr>
          <w:rFonts w:eastAsia="Arial Unicode MS" w:hAnsi="Arial Unicode MS" w:cs="Arial Unicode MS"/>
        </w:rPr>
        <w:t>s 2010 Transmission Plan, SDG&amp;E had no further communication regarding [such] need with CAISO.</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49"/>
      </w:r>
      <w:r>
        <w:rPr>
          <w:rFonts w:eastAsia="Arial Unicode MS" w:hAnsi="Arial Unicode MS" w:cs="Arial Unicode MS"/>
        </w:rPr>
        <w:t xml:space="preserve">  SDG&amp;E states that it sought the initial requisite authorizations to build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from the military in November 2011.  SDG&amp;E states that upon receiving the necessary approval from the military in November 2012, it was then able to submit an advice letter to the CPUC on December 12, 2012 for authorization to build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According to SDG&amp;E, the CPUC did not issue its final approval until June 9, 2014, which was 18 months after filing.  SDG&amp;E states that once it received final approval from the CPUC, it began construction of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on November 10, 2014, and the project was energized and placed in service on June 1, 2015.</w:t>
      </w:r>
      <w:r>
        <w:rPr>
          <w:rFonts w:ascii="Times New Roman Bold" w:eastAsia="Times New Roman Bold" w:hAnsi="Times New Roman Bold" w:cs="Times New Roman Bold"/>
          <w:vertAlign w:val="superscript"/>
        </w:rPr>
        <w:footnoteReference w:id="50"/>
      </w:r>
      <w:r>
        <w:rPr>
          <w:rFonts w:eastAsia="Arial Unicode MS" w:hAnsi="Arial Unicode MS" w:cs="Arial Unicode MS"/>
        </w:rPr>
        <w:t xml:space="preserve"> No party filed comments following SDG&amp;E</w:t>
      </w:r>
      <w:r>
        <w:rPr>
          <w:rFonts w:ascii="Arial Unicode MS" w:eastAsia="Arial Unicode MS" w:cs="Arial Unicode MS"/>
        </w:rPr>
        <w:t>’</w:t>
      </w:r>
      <w:r>
        <w:rPr>
          <w:rFonts w:eastAsia="Arial Unicode MS" w:hAnsi="Arial Unicode MS" w:cs="Arial Unicode MS"/>
        </w:rPr>
        <w:t>s response.</w:t>
      </w:r>
    </w:p>
    <w:p w:rsidR="004D1844" w:rsidRDefault="004A4880">
      <w:pPr>
        <w:pStyle w:val="Heading"/>
        <w:numPr>
          <w:ilvl w:val="0"/>
          <w:numId w:val="6"/>
        </w:numPr>
      </w:pPr>
      <w:r>
        <w:rPr>
          <w:lang w:val="it-IT"/>
        </w:rPr>
        <w:t>Discussion</w:t>
      </w:r>
    </w:p>
    <w:p w:rsidR="004D1844" w:rsidRDefault="004A4880" w:rsidP="002C3A86">
      <w:pPr>
        <w:pStyle w:val="FERCparanumber"/>
        <w:numPr>
          <w:ilvl w:val="0"/>
          <w:numId w:val="3"/>
        </w:numPr>
        <w:tabs>
          <w:tab w:val="clear" w:pos="720"/>
          <w:tab w:val="left" w:pos="0"/>
        </w:tabs>
      </w:pPr>
      <w:r>
        <w:rPr>
          <w:rFonts w:eastAsia="Arial Unicode MS" w:hAnsi="Arial Unicode MS" w:cs="Arial Unicode MS"/>
        </w:rPr>
        <w:t>We accept SDG&amp;E</w:t>
      </w:r>
      <w:r>
        <w:rPr>
          <w:rFonts w:ascii="Arial Unicode MS" w:eastAsia="Arial Unicode MS" w:cs="Arial Unicode MS"/>
        </w:rPr>
        <w:t>’</w:t>
      </w:r>
      <w:r>
        <w:rPr>
          <w:rFonts w:eastAsia="Arial Unicode MS" w:hAnsi="Arial Unicode MS" w:cs="Arial Unicode MS"/>
        </w:rPr>
        <w:t>s TO4 Cycle 2 filing, and we direct SDG&amp;E to file an informational report, as discussed below.  As provided in the Settlement, parties may protest SDG&amp;E</w:t>
      </w:r>
      <w:r>
        <w:rPr>
          <w:rFonts w:ascii="Arial Unicode MS" w:eastAsia="Arial Unicode MS" w:cs="Arial Unicode MS"/>
        </w:rPr>
        <w:t>’</w:t>
      </w:r>
      <w:r>
        <w:rPr>
          <w:rFonts w:eastAsia="Arial Unicode MS" w:hAnsi="Arial Unicode MS" w:cs="Arial Unicode MS"/>
        </w:rPr>
        <w:t>s TO4 Cycle 2 informational filing, but only in certain respects.</w:t>
      </w:r>
      <w:r>
        <w:rPr>
          <w:rFonts w:ascii="Times New Roman Bold" w:eastAsia="Times New Roman Bold" w:hAnsi="Times New Roman Bold" w:cs="Times New Roman Bold"/>
          <w:vertAlign w:val="superscript"/>
        </w:rPr>
        <w:footnoteReference w:id="51"/>
      </w:r>
      <w:r>
        <w:rPr>
          <w:rFonts w:eastAsia="Arial Unicode MS" w:hAnsi="Arial Unicode MS" w:cs="Arial Unicode MS"/>
        </w:rPr>
        <w:t xml:space="preserve">  In particular, a party may protest </w:t>
      </w:r>
      <w:r>
        <w:rPr>
          <w:rFonts w:ascii="Arial Unicode MS" w:eastAsia="Arial Unicode MS" w:cs="Arial Unicode MS"/>
        </w:rPr>
        <w:t>“</w:t>
      </w:r>
      <w:r>
        <w:rPr>
          <w:rFonts w:eastAsia="Arial Unicode MS" w:hAnsi="Arial Unicode MS" w:cs="Arial Unicode MS"/>
        </w:rPr>
        <w:t>whether the costs to be recovered through base transmission revenue requirement have been accurately stated, [and] properly recorded and accounted for pursuant to applicable FERC accounting rules</w:t>
      </w:r>
      <w:r>
        <w:rPr>
          <w:rFonts w:ascii="Arial Unicode MS" w:eastAsia="Arial Unicode MS" w:cs="Arial Unicode MS"/>
        </w:rPr>
        <w:t>…</w:t>
      </w:r>
      <w:r>
        <w:rPr>
          <w:rFonts w:eastAsia="Arial Unicode MS" w:hAnsi="Arial Unicode MS" w:cs="Arial Unicode MS"/>
        </w:rPr>
        <w:t>.</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52"/>
      </w:r>
      <w:r>
        <w:rPr>
          <w:rFonts w:eastAsia="Arial Unicode MS" w:hAnsi="Arial Unicode MS" w:cs="Arial Unicode MS"/>
        </w:rPr>
        <w:t xml:space="preserve">  As M-S-R/SVP states in its protest, the June 2014 Audit Report found certain deficiencies with SDG&amp;E</w:t>
      </w:r>
      <w:r>
        <w:rPr>
          <w:rFonts w:ascii="Arial Unicode MS" w:eastAsia="Arial Unicode MS" w:cs="Arial Unicode MS"/>
        </w:rPr>
        <w:t>’</w:t>
      </w:r>
      <w:r>
        <w:rPr>
          <w:rFonts w:eastAsia="Arial Unicode MS" w:hAnsi="Arial Unicode MS" w:cs="Arial Unicode MS"/>
        </w:rPr>
        <w:t>s accounting practices; therefore, M-S-R/SVP reques</w:t>
      </w:r>
      <w:r w:rsidR="00C41C75">
        <w:rPr>
          <w:rFonts w:eastAsia="Arial Unicode MS" w:hAnsi="Arial Unicode MS" w:cs="Arial Unicode MS"/>
        </w:rPr>
        <w:t>ts that SDG&amp;E should explain</w:t>
      </w:r>
      <w:r>
        <w:rPr>
          <w:rFonts w:eastAsia="Arial Unicode MS" w:hAnsi="Arial Unicode MS" w:cs="Arial Unicode MS"/>
        </w:rPr>
        <w:t xml:space="preserve"> how the adjustments will impact the instant filing.  We find that M-S-R/SVP</w:t>
      </w:r>
      <w:r>
        <w:rPr>
          <w:rFonts w:ascii="Arial Unicode MS" w:eastAsia="Arial Unicode MS" w:cs="Arial Unicode MS"/>
        </w:rPr>
        <w:t>’</w:t>
      </w:r>
      <w:r>
        <w:rPr>
          <w:rFonts w:eastAsia="Arial Unicode MS" w:hAnsi="Arial Unicode MS" w:cs="Arial Unicode MS"/>
        </w:rPr>
        <w:t xml:space="preserve">s request is reasonable, and note that SDG&amp;E explicitly states in the instant filing that some of the costs comprising the Cycle 2 filing will change.  Specifically, SDG&amp;E states that </w:t>
      </w:r>
      <w:r>
        <w:rPr>
          <w:rFonts w:ascii="Arial Unicode MS" w:eastAsia="Arial Unicode MS" w:cs="Arial Unicode MS"/>
        </w:rPr>
        <w:t>“</w:t>
      </w:r>
      <w:r>
        <w:rPr>
          <w:rFonts w:eastAsia="Arial Unicode MS" w:hAnsi="Arial Unicode MS" w:cs="Arial Unicode MS"/>
        </w:rPr>
        <w:t>[d]</w:t>
      </w:r>
      <w:proofErr w:type="spellStart"/>
      <w:r>
        <w:rPr>
          <w:rFonts w:eastAsia="Arial Unicode MS" w:hAnsi="Arial Unicode MS" w:cs="Arial Unicode MS"/>
        </w:rPr>
        <w:t>ue</w:t>
      </w:r>
      <w:proofErr w:type="spellEnd"/>
      <w:r>
        <w:rPr>
          <w:rFonts w:eastAsia="Arial Unicode MS" w:hAnsi="Arial Unicode MS" w:cs="Arial Unicode MS"/>
        </w:rPr>
        <w:t xml:space="preserve"> to a recent FERC Audit, some of the costs in the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2013 Prior Year Period and the </w:t>
      </w:r>
      <w:r w:rsidR="00BE1761">
        <w:rPr>
          <w:rFonts w:eastAsia="Arial Unicode MS" w:hAnsi="Arial Unicode MS" w:cs="Arial Unicode MS"/>
        </w:rPr>
        <w:t xml:space="preserve">       </w:t>
      </w:r>
      <w:r>
        <w:rPr>
          <w:rFonts w:eastAsia="Arial Unicode MS" w:hAnsi="Arial Unicode MS" w:cs="Arial Unicode MS"/>
        </w:rPr>
        <w:lastRenderedPageBreak/>
        <w:t>4-month TO4 Cycle 2 TU cost of service period will change.</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53"/>
      </w:r>
      <w:r>
        <w:rPr>
          <w:rFonts w:eastAsia="Arial Unicode MS" w:hAnsi="Arial Unicode MS" w:cs="Arial Unicode MS"/>
        </w:rPr>
        <w:t xml:space="preserve"> Accordingly, we direct SDG&amp;E to file, within 30 days of the date of this order, an informational report stating how the adjustments that it makes to comply with the June 2014 Audit Report will impact components of the Cycle 2 filing, including whether and to what extent SDG&amp;E will be required to issue refunds.</w:t>
      </w:r>
      <w:r>
        <w:rPr>
          <w:rFonts w:ascii="Times New Roman Bold" w:eastAsia="Times New Roman Bold" w:hAnsi="Times New Roman Bold" w:cs="Times New Roman Bold"/>
          <w:vertAlign w:val="superscript"/>
        </w:rPr>
        <w:footnoteReference w:id="54"/>
      </w:r>
      <w:r>
        <w:rPr>
          <w:rFonts w:eastAsia="Arial Unicode MS" w:hAnsi="Arial Unicode MS" w:cs="Arial Unicode MS"/>
        </w:rPr>
        <w:t xml:space="preserve"> </w:t>
      </w:r>
    </w:p>
    <w:p w:rsidR="004D1844" w:rsidRDefault="004A4880" w:rsidP="002C3A86">
      <w:pPr>
        <w:pStyle w:val="FERCparanumber"/>
        <w:numPr>
          <w:ilvl w:val="0"/>
          <w:numId w:val="3"/>
        </w:numPr>
        <w:tabs>
          <w:tab w:val="clear" w:pos="720"/>
          <w:tab w:val="left" w:pos="0"/>
        </w:tabs>
      </w:pPr>
      <w:r>
        <w:rPr>
          <w:rFonts w:eastAsia="Arial Unicode MS" w:hAnsi="Arial Unicode MS" w:cs="Arial Unicode MS"/>
        </w:rPr>
        <w:t>We reject the CPUC</w:t>
      </w:r>
      <w:r>
        <w:rPr>
          <w:rFonts w:ascii="Arial Unicode MS" w:eastAsia="Arial Unicode MS" w:cs="Arial Unicode MS"/>
        </w:rPr>
        <w:t>’</w:t>
      </w:r>
      <w:r>
        <w:rPr>
          <w:rFonts w:eastAsia="Arial Unicode MS" w:hAnsi="Arial Unicode MS" w:cs="Arial Unicode MS"/>
        </w:rPr>
        <w:t xml:space="preserve">s request to convene a hearing to decide the prudence of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According to SDG&amp;E</w:t>
      </w:r>
      <w:r>
        <w:rPr>
          <w:rFonts w:ascii="Arial Unicode MS" w:eastAsia="Arial Unicode MS" w:cs="Arial Unicode MS"/>
        </w:rPr>
        <w:t>’</w:t>
      </w:r>
      <w:r>
        <w:rPr>
          <w:rFonts w:eastAsia="Arial Unicode MS" w:hAnsi="Arial Unicode MS" w:cs="Arial Unicode MS"/>
        </w:rPr>
        <w:t xml:space="preserve">s deficiency letter response, the CPUC approved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roughly six months prior to its protest in this docket.</w:t>
      </w:r>
      <w:r>
        <w:rPr>
          <w:rFonts w:ascii="Times New Roman Bold" w:eastAsia="Times New Roman Bold" w:hAnsi="Times New Roman Bold" w:cs="Times New Roman Bold"/>
          <w:vertAlign w:val="superscript"/>
        </w:rPr>
        <w:footnoteReference w:id="55"/>
      </w:r>
      <w:r>
        <w:rPr>
          <w:rFonts w:eastAsia="Arial Unicode MS" w:hAnsi="Arial Unicode MS" w:cs="Arial Unicode MS"/>
        </w:rPr>
        <w:t xml:space="preserve">  Further, we find that SDG&amp;E has supported its decision to proceed with the project by explaining that the project is necessary to prevent congestion during construction of the Sycamore-Penasquitos 230 kV line and also explaining that CAISO determined in its transmission planning process that the project is necessary to ensure transmission reliability.  Finally, we note that the project has been energized and in-service since July 1, 2015.</w:t>
      </w:r>
      <w:r>
        <w:rPr>
          <w:rFonts w:ascii="Times New Roman Bold" w:eastAsia="Times New Roman Bold" w:hAnsi="Times New Roman Bold" w:cs="Times New Roman Bold"/>
          <w:vertAlign w:val="superscript"/>
        </w:rPr>
        <w:footnoteReference w:id="56"/>
      </w:r>
      <w:r>
        <w:rPr>
          <w:rFonts w:eastAsia="Arial Unicode MS" w:hAnsi="Arial Unicode MS" w:cs="Arial Unicode MS"/>
        </w:rPr>
        <w:t xml:space="preserve">  Thus, we find that SDG&amp;E</w:t>
      </w:r>
      <w:r>
        <w:rPr>
          <w:rFonts w:ascii="Arial Unicode MS" w:eastAsia="Arial Unicode MS" w:cs="Arial Unicode MS"/>
        </w:rPr>
        <w:t>’</w:t>
      </w:r>
      <w:r>
        <w:rPr>
          <w:rFonts w:eastAsia="Arial Unicode MS" w:hAnsi="Arial Unicode MS" w:cs="Arial Unicode MS"/>
        </w:rPr>
        <w:t xml:space="preserve">s inclusion of the </w:t>
      </w:r>
      <w:proofErr w:type="spellStart"/>
      <w:r>
        <w:rPr>
          <w:rFonts w:eastAsia="Arial Unicode MS" w:hAnsi="Arial Unicode MS" w:cs="Arial Unicode MS"/>
        </w:rPr>
        <w:t>Fanita</w:t>
      </w:r>
      <w:proofErr w:type="spellEnd"/>
      <w:r>
        <w:rPr>
          <w:rFonts w:eastAsia="Arial Unicode MS" w:hAnsi="Arial Unicode MS" w:cs="Arial Unicode MS"/>
        </w:rPr>
        <w:t xml:space="preserve"> Junction project in its forecast of project additions in 2014-2015 is just and reasonable.     </w:t>
      </w:r>
    </w:p>
    <w:p w:rsidR="004D1844" w:rsidRDefault="004A4880" w:rsidP="002C3A86">
      <w:pPr>
        <w:pStyle w:val="FERCparanumber"/>
        <w:numPr>
          <w:ilvl w:val="0"/>
          <w:numId w:val="3"/>
        </w:numPr>
        <w:tabs>
          <w:tab w:val="clear" w:pos="720"/>
          <w:tab w:val="left" w:pos="0"/>
        </w:tabs>
      </w:pPr>
      <w:r>
        <w:rPr>
          <w:rFonts w:eastAsia="Arial Unicode MS" w:hAnsi="Arial Unicode MS" w:cs="Arial Unicode MS"/>
        </w:rPr>
        <w:t>Also, we reject the CPUC</w:t>
      </w:r>
      <w:r>
        <w:rPr>
          <w:rFonts w:ascii="Arial Unicode MS" w:eastAsia="Arial Unicode MS" w:cs="Arial Unicode MS"/>
        </w:rPr>
        <w:t>’</w:t>
      </w:r>
      <w:r>
        <w:rPr>
          <w:rFonts w:eastAsia="Arial Unicode MS" w:hAnsi="Arial Unicode MS" w:cs="Arial Unicode MS"/>
        </w:rPr>
        <w:t xml:space="preserve">s request to hold the proceeding in abeyance until the Ninth Circuit acts in the appeal in Docket No. ER12-2454-000.  We are unpersuaded that the CPUC is at risk of prejudging the issues if it participates in a proceeding before the Commission prior to reviewing the same issues in its forum.  In fact, in its comments to the TO6 Cycle 3 filing, the CPUC did not indicate that its participation would result in prejudging issues concerning whether SDG&amp;E may recover in its TO6 Cycle 3 base transmission revenue requirement </w:t>
      </w:r>
      <w:r>
        <w:rPr>
          <w:rFonts w:ascii="Arial Unicode MS" w:eastAsia="Arial Unicode MS" w:cs="Arial Unicode MS"/>
        </w:rPr>
        <w:t>“</w:t>
      </w:r>
      <w:r>
        <w:rPr>
          <w:rFonts w:eastAsia="Arial Unicode MS" w:hAnsi="Arial Unicode MS" w:cs="Arial Unicode MS"/>
        </w:rPr>
        <w:t>uninsured damages as a result of fires that destroyed property in 2007.</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57"/>
      </w:r>
      <w:r>
        <w:rPr>
          <w:rFonts w:eastAsia="Arial Unicode MS" w:hAnsi="Arial Unicode MS" w:cs="Arial Unicode MS"/>
        </w:rPr>
        <w:t xml:space="preserve">  Instead, the CPUC specifically asked the Commission to </w:t>
      </w:r>
      <w:r>
        <w:rPr>
          <w:rFonts w:ascii="Arial Unicode MS" w:eastAsia="Arial Unicode MS" w:cs="Arial Unicode MS"/>
        </w:rPr>
        <w:t>“</w:t>
      </w:r>
      <w:r>
        <w:rPr>
          <w:rFonts w:eastAsia="Arial Unicode MS" w:hAnsi="Arial Unicode MS" w:cs="Arial Unicode MS"/>
        </w:rPr>
        <w:t>set [the] matter for an evidentiary hearing as to whether SDG&amp;E has met its burden as to the reasonableness of the proposed rate recovery of these costs.</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58"/>
      </w:r>
      <w:r>
        <w:rPr>
          <w:rFonts w:eastAsia="Arial Unicode MS" w:hAnsi="Arial Unicode MS" w:cs="Arial Unicode MS"/>
        </w:rPr>
        <w:t xml:space="preserve">  In addition, the CPUC </w:t>
      </w:r>
      <w:r>
        <w:rPr>
          <w:rFonts w:eastAsia="Arial Unicode MS" w:hAnsi="Arial Unicode MS" w:cs="Arial Unicode MS"/>
        </w:rPr>
        <w:lastRenderedPageBreak/>
        <w:t xml:space="preserve">requested </w:t>
      </w:r>
      <w:r>
        <w:rPr>
          <w:rFonts w:ascii="Arial Unicode MS" w:eastAsia="Arial Unicode MS" w:cs="Arial Unicode MS"/>
        </w:rPr>
        <w:t>“</w:t>
      </w:r>
      <w:r>
        <w:rPr>
          <w:rFonts w:eastAsia="Arial Unicode MS" w:hAnsi="Arial Unicode MS" w:cs="Arial Unicode MS"/>
        </w:rPr>
        <w:t>the opportunity to challenge the costs in question.</w:t>
      </w:r>
      <w:r>
        <w:rPr>
          <w:rFonts w:ascii="Arial Unicode MS" w:eastAsia="Arial Unicode MS" w:cs="Arial Unicode MS"/>
        </w:rPr>
        <w:t>”</w:t>
      </w:r>
      <w:r>
        <w:rPr>
          <w:rFonts w:ascii="Times New Roman Bold" w:eastAsia="Times New Roman Bold" w:hAnsi="Times New Roman Bold" w:cs="Times New Roman Bold"/>
          <w:vertAlign w:val="superscript"/>
        </w:rPr>
        <w:footnoteReference w:id="59"/>
      </w:r>
      <w:r>
        <w:rPr>
          <w:rFonts w:eastAsia="Arial Unicode MS" w:hAnsi="Arial Unicode MS" w:cs="Arial Unicode MS"/>
        </w:rPr>
        <w:t xml:space="preserve">  In any event, we are loathe to hold our proceedings in abeyance solely to accommodate a party that may be involved in other proceedings of its own, including a state commission that wishes to pursue a matter first before the Commission addresses the matter.</w:t>
      </w:r>
    </w:p>
    <w:p w:rsidR="004D1844" w:rsidRDefault="004A4880" w:rsidP="002C3A86">
      <w:pPr>
        <w:pStyle w:val="FERCparanumber"/>
        <w:numPr>
          <w:ilvl w:val="0"/>
          <w:numId w:val="3"/>
        </w:numPr>
        <w:tabs>
          <w:tab w:val="clear" w:pos="720"/>
          <w:tab w:val="left" w:pos="0"/>
        </w:tabs>
      </w:pPr>
      <w:r>
        <w:rPr>
          <w:rFonts w:eastAsia="Arial Unicode MS" w:hAnsi="Arial Unicode MS" w:cs="Arial Unicode MS"/>
        </w:rPr>
        <w:t>Further, because the CPUC does not aver that SDG&amp;E is required by law to file for retail-rate recovery of the 2007 wildfire damages, the potential exists for this proceeding to be held in abeyance for an indefinite period of time, frustrating the terms of the Settlement, which require SDG&amp;E to annually update its base transmission revenue requirement.</w:t>
      </w:r>
      <w:r>
        <w:rPr>
          <w:rFonts w:ascii="Times New Roman Bold" w:eastAsia="Times New Roman Bold" w:hAnsi="Times New Roman Bold" w:cs="Times New Roman Bold"/>
          <w:vertAlign w:val="superscript"/>
        </w:rPr>
        <w:footnoteReference w:id="60"/>
      </w:r>
      <w:r>
        <w:rPr>
          <w:rFonts w:eastAsia="Arial Unicode MS" w:hAnsi="Arial Unicode MS" w:cs="Arial Unicode MS"/>
        </w:rPr>
        <w:t xml:space="preserve">  Notwithstanding the CPUC</w:t>
      </w:r>
      <w:r>
        <w:rPr>
          <w:rFonts w:ascii="Arial Unicode MS" w:eastAsia="Arial Unicode MS" w:cs="Arial Unicode MS"/>
        </w:rPr>
        <w:t>’</w:t>
      </w:r>
      <w:r>
        <w:rPr>
          <w:rFonts w:eastAsia="Arial Unicode MS" w:hAnsi="Arial Unicode MS" w:cs="Arial Unicode MS"/>
        </w:rPr>
        <w:t>s argument that the Ninth Circuit has not yet acted on its pending petition for review, we find that delaying this proceeding on the assumption that the Commission</w:t>
      </w:r>
      <w:r>
        <w:rPr>
          <w:rFonts w:ascii="Arial Unicode MS" w:eastAsia="Arial Unicode MS" w:cs="Arial Unicode MS"/>
        </w:rPr>
        <w:t>’</w:t>
      </w:r>
      <w:r>
        <w:rPr>
          <w:rFonts w:eastAsia="Arial Unicode MS" w:hAnsi="Arial Unicode MS" w:cs="Arial Unicode MS"/>
        </w:rPr>
        <w:t>s previous decisions (discussed above) denying the CPUC</w:t>
      </w:r>
      <w:r>
        <w:rPr>
          <w:rFonts w:ascii="Arial Unicode MS" w:eastAsia="Arial Unicode MS" w:cs="Arial Unicode MS"/>
        </w:rPr>
        <w:t>’</w:t>
      </w:r>
      <w:r>
        <w:rPr>
          <w:rFonts w:eastAsia="Arial Unicode MS" w:hAnsi="Arial Unicode MS" w:cs="Arial Unicode MS"/>
        </w:rPr>
        <w:t>s interlocutory appeal and denying the CPUC</w:t>
      </w:r>
      <w:r>
        <w:rPr>
          <w:rFonts w:ascii="Arial Unicode MS" w:eastAsia="Arial Unicode MS" w:cs="Arial Unicode MS"/>
        </w:rPr>
        <w:t>’</w:t>
      </w:r>
      <w:r>
        <w:rPr>
          <w:rFonts w:eastAsia="Arial Unicode MS" w:hAnsi="Arial Unicode MS" w:cs="Arial Unicode MS"/>
        </w:rPr>
        <w:t>s request for rehearing of a Commission notice will be remanded by the Ninth Circuit is speculative</w:t>
      </w:r>
      <w:r>
        <w:rPr>
          <w:rFonts w:ascii="Times New Roman Bold" w:eastAsia="Times New Roman Bold" w:hAnsi="Times New Roman Bold" w:cs="Times New Roman Bold"/>
          <w:vertAlign w:val="superscript"/>
        </w:rPr>
        <w:footnoteReference w:id="61"/>
      </w:r>
      <w:r>
        <w:rPr>
          <w:rFonts w:eastAsia="Arial Unicode MS" w:hAnsi="Arial Unicode MS" w:cs="Arial Unicode MS"/>
        </w:rPr>
        <w:t xml:space="preserve"> and we therefore reject the CPUC</w:t>
      </w:r>
      <w:r>
        <w:rPr>
          <w:rFonts w:ascii="Arial Unicode MS" w:eastAsia="Arial Unicode MS" w:cs="Arial Unicode MS"/>
        </w:rPr>
        <w:t>’</w:t>
      </w:r>
      <w:r>
        <w:rPr>
          <w:rFonts w:eastAsia="Arial Unicode MS" w:hAnsi="Arial Unicode MS" w:cs="Arial Unicode MS"/>
        </w:rPr>
        <w:t xml:space="preserve">s argument in this regard.  </w:t>
      </w:r>
    </w:p>
    <w:p w:rsidR="004D1844" w:rsidRDefault="004D1844">
      <w:pPr>
        <w:pStyle w:val="Body"/>
      </w:pPr>
    </w:p>
    <w:p w:rsidR="00B41FC8" w:rsidRDefault="00B41FC8">
      <w:pPr>
        <w:rPr>
          <w:rFonts w:hAnsi="Arial Unicode MS" w:cs="Arial Unicode MS"/>
          <w:color w:val="000000"/>
          <w:sz w:val="26"/>
          <w:szCs w:val="26"/>
          <w:u w:val="single" w:color="000000"/>
        </w:rPr>
      </w:pPr>
      <w:r>
        <w:rPr>
          <w:u w:val="single"/>
        </w:rPr>
        <w:br w:type="page"/>
      </w:r>
    </w:p>
    <w:p w:rsidR="004D1844" w:rsidRDefault="004A4880">
      <w:pPr>
        <w:pStyle w:val="Body"/>
        <w:outlineLvl w:val="0"/>
      </w:pPr>
      <w:r>
        <w:rPr>
          <w:u w:val="single"/>
        </w:rPr>
        <w:lastRenderedPageBreak/>
        <w:t>The Commission orders</w:t>
      </w:r>
      <w:r>
        <w:t>:</w:t>
      </w:r>
    </w:p>
    <w:p w:rsidR="004D1844" w:rsidRDefault="004D1844">
      <w:pPr>
        <w:pStyle w:val="Body"/>
        <w:outlineLvl w:val="0"/>
      </w:pPr>
    </w:p>
    <w:p w:rsidR="004D1844" w:rsidRDefault="004A4880">
      <w:pPr>
        <w:pStyle w:val="Body"/>
        <w:ind w:firstLine="720"/>
        <w:outlineLvl w:val="0"/>
      </w:pPr>
      <w:r>
        <w:t>(A)</w:t>
      </w:r>
      <w:r>
        <w:tab/>
        <w:t>SDG&amp;E</w:t>
      </w:r>
      <w:r>
        <w:rPr>
          <w:rFonts w:hAnsi="Times New Roman"/>
          <w:lang w:val="fr-FR"/>
        </w:rPr>
        <w:t>’</w:t>
      </w:r>
      <w:r>
        <w:t>s TO 4 Cycle 2 filing is hereby accepted for filing to become effective January 1, 2015, as requested.</w:t>
      </w:r>
    </w:p>
    <w:p w:rsidR="004D1844" w:rsidRDefault="004D1844">
      <w:pPr>
        <w:pStyle w:val="Body"/>
        <w:ind w:firstLine="720"/>
        <w:outlineLvl w:val="0"/>
      </w:pPr>
    </w:p>
    <w:p w:rsidR="004D1844" w:rsidRDefault="004A4880">
      <w:pPr>
        <w:pStyle w:val="Body"/>
        <w:ind w:firstLine="720"/>
        <w:outlineLvl w:val="0"/>
      </w:pPr>
      <w:r>
        <w:t>(B)</w:t>
      </w:r>
      <w:r>
        <w:tab/>
        <w:t xml:space="preserve">SDG&amp;E is hereby directed to submit, within 30 days, a report demonstrating how the adjustments it makes to comply with the June 2014 Audit Report will impact the TO4 Cycle 2 filing, as discussed in the body of this order. </w:t>
      </w:r>
      <w:r>
        <w:tab/>
      </w:r>
    </w:p>
    <w:p w:rsidR="004D1844" w:rsidRDefault="004D1844">
      <w:pPr>
        <w:pStyle w:val="Body"/>
      </w:pPr>
    </w:p>
    <w:p w:rsidR="004D1844" w:rsidRDefault="004A4880">
      <w:pPr>
        <w:pStyle w:val="Body"/>
      </w:pPr>
      <w:proofErr w:type="gramStart"/>
      <w:r>
        <w:t>By the Commission.</w:t>
      </w:r>
      <w:proofErr w:type="gramEnd"/>
    </w:p>
    <w:p w:rsidR="00C41C75" w:rsidRDefault="00C41C75">
      <w:pPr>
        <w:pStyle w:val="Body"/>
      </w:pPr>
    </w:p>
    <w:p w:rsidR="00C41C75" w:rsidRDefault="00C41C75" w:rsidP="00C41C75">
      <w:pPr>
        <w:pStyle w:val="Body"/>
        <w:widowControl/>
        <w:rPr>
          <w:rFonts w:hAnsi="Times New Roman" w:cs="Times New Roman"/>
        </w:rPr>
      </w:pPr>
      <w:proofErr w:type="gramStart"/>
      <w:r w:rsidRPr="00C41C75">
        <w:rPr>
          <w:rFonts w:hAnsi="Times New Roman" w:cs="Times New Roman"/>
        </w:rPr>
        <w:t>( S</w:t>
      </w:r>
      <w:proofErr w:type="gramEnd"/>
      <w:r w:rsidRPr="00C41C75">
        <w:rPr>
          <w:rFonts w:hAnsi="Times New Roman" w:cs="Times New Roman"/>
        </w:rPr>
        <w:t xml:space="preserve"> E A L )</w:t>
      </w:r>
    </w:p>
    <w:p w:rsidR="00C41C75" w:rsidRPr="00C41C75" w:rsidRDefault="00C41C75" w:rsidP="00C41C75">
      <w:pPr>
        <w:pStyle w:val="Body"/>
        <w:widowControl/>
        <w:rPr>
          <w:rFonts w:hAnsi="Times New Roman" w:cs="Times New Roman"/>
        </w:rPr>
      </w:pPr>
    </w:p>
    <w:p w:rsidR="004D1844" w:rsidRDefault="004D1844" w:rsidP="00C41C75">
      <w:pPr>
        <w:pStyle w:val="Body"/>
        <w:widowControl/>
      </w:pPr>
    </w:p>
    <w:p w:rsidR="00C41C75" w:rsidRDefault="00C41C75" w:rsidP="00C41C75">
      <w:pPr>
        <w:pStyle w:val="Body"/>
        <w:widowControl/>
      </w:pPr>
    </w:p>
    <w:p w:rsidR="00C41C75" w:rsidRDefault="00C41C75" w:rsidP="00C41C75">
      <w:pPr>
        <w:pStyle w:val="Body"/>
        <w:widowControl/>
      </w:pPr>
    </w:p>
    <w:p w:rsidR="00C41C75" w:rsidRPr="00C41C75" w:rsidRDefault="00C41C75" w:rsidP="00C41C75">
      <w:pPr>
        <w:ind w:firstLine="2606"/>
        <w:jc w:val="center"/>
        <w:rPr>
          <w:sz w:val="26"/>
        </w:rPr>
      </w:pPr>
      <w:r w:rsidRPr="00C41C75">
        <w:rPr>
          <w:sz w:val="26"/>
        </w:rPr>
        <w:t>Nathaniel J. Davis, Sr.,</w:t>
      </w:r>
    </w:p>
    <w:p w:rsidR="00C41C75" w:rsidRPr="00C41C75" w:rsidRDefault="00C41C75" w:rsidP="00C41C75">
      <w:pPr>
        <w:ind w:firstLine="2606"/>
        <w:jc w:val="center"/>
      </w:pPr>
      <w:r w:rsidRPr="00C41C75">
        <w:rPr>
          <w:sz w:val="26"/>
        </w:rPr>
        <w:t>Deputy Secretary.</w:t>
      </w:r>
    </w:p>
    <w:p w:rsidR="00C41C75" w:rsidRDefault="00C41C75" w:rsidP="00C41C75">
      <w:pPr>
        <w:pStyle w:val="Body"/>
        <w:widowControl/>
      </w:pPr>
    </w:p>
    <w:p w:rsidR="004D1844" w:rsidRDefault="004A4880" w:rsidP="00C41C75">
      <w:pPr>
        <w:pStyle w:val="Body"/>
        <w:outlineLvl w:val="0"/>
      </w:pPr>
      <w:r>
        <w:tab/>
      </w:r>
      <w:r>
        <w:tab/>
      </w:r>
      <w:r>
        <w:tab/>
      </w:r>
      <w:r>
        <w:tab/>
      </w:r>
      <w:r>
        <w:tab/>
      </w:r>
      <w:r>
        <w:tab/>
      </w:r>
      <w:r>
        <w:tab/>
      </w:r>
    </w:p>
    <w:p w:rsidR="004D1844" w:rsidRDefault="004D1844">
      <w:pPr>
        <w:pStyle w:val="Body"/>
      </w:pPr>
    </w:p>
    <w:p w:rsidR="004D1844" w:rsidRDefault="004D1844">
      <w:pPr>
        <w:pStyle w:val="Body"/>
      </w:pPr>
    </w:p>
    <w:p w:rsidR="004D1844" w:rsidRDefault="004D1844">
      <w:pPr>
        <w:pStyle w:val="Body"/>
      </w:pPr>
    </w:p>
    <w:p w:rsidR="004D1844" w:rsidRDefault="004D1844">
      <w:pPr>
        <w:pStyle w:val="Body"/>
      </w:pPr>
    </w:p>
    <w:sectPr w:rsidR="004D1844">
      <w:headerReference w:type="default" r:id="rId12"/>
      <w:pgSz w:w="12240" w:h="15840"/>
      <w:pgMar w:top="1440" w:right="1440" w:bottom="1440" w:left="1440" w:header="72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613" w:rsidRDefault="00BF1613">
      <w:r>
        <w:separator/>
      </w:r>
    </w:p>
  </w:endnote>
  <w:endnote w:type="continuationSeparator" w:id="0">
    <w:p w:rsidR="00BF1613" w:rsidRDefault="00BF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613" w:rsidRDefault="00BF1613">
      <w:r>
        <w:separator/>
      </w:r>
    </w:p>
  </w:footnote>
  <w:footnote w:type="continuationSeparator" w:id="0">
    <w:p w:rsidR="00BF1613" w:rsidRDefault="00BF1613">
      <w:r>
        <w:continuationSeparator/>
      </w:r>
    </w:p>
  </w:footnote>
  <w:footnote w:type="continuationNotice" w:id="1">
    <w:p w:rsidR="00BF1613" w:rsidRDefault="00BF1613"/>
    <w:p w:rsidR="00BF1613" w:rsidRDefault="00BF1613" w:rsidP="00B41FC8">
      <w:pPr>
        <w:ind w:left="7200" w:firstLine="720"/>
      </w:pPr>
      <w:r>
        <w:t>(</w:t>
      </w:r>
      <w:proofErr w:type="gramStart"/>
      <w:r>
        <w:t>continued</w:t>
      </w:r>
      <w:proofErr w:type="gramEnd"/>
      <w:r>
        <w:t xml:space="preserve"> …)</w:t>
      </w:r>
    </w:p>
  </w:footnote>
  <w:footnote w:id="2">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The term </w:t>
      </w:r>
      <w:r>
        <w:rPr>
          <w:rFonts w:ascii="Arial Unicode MS" w:eastAsia="Arial Unicode MS" w:cs="Arial Unicode MS"/>
        </w:rPr>
        <w:t>“</w:t>
      </w:r>
      <w:r>
        <w:rPr>
          <w:rFonts w:eastAsia="Arial Unicode MS" w:hAnsi="Arial Unicode MS" w:cs="Arial Unicode MS"/>
        </w:rPr>
        <w:t>Cycle,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as used in SDG&amp;E</w:t>
      </w:r>
      <w:r>
        <w:rPr>
          <w:rFonts w:ascii="Arial Unicode MS" w:eastAsia="Arial Unicode MS" w:cs="Arial Unicode MS"/>
        </w:rPr>
        <w:t>’</w:t>
      </w:r>
      <w:r>
        <w:rPr>
          <w:rFonts w:eastAsia="Arial Unicode MS" w:hAnsi="Arial Unicode MS" w:cs="Arial Unicode MS"/>
        </w:rPr>
        <w:t>s informational filing and this order, refers to the number of annual filings made under the formula rate in effect.</w:t>
      </w:r>
    </w:p>
  </w:footnote>
  <w:footnote w:id="3">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SDG&amp;E, Offer of Settlement, Docket No. </w:t>
      </w:r>
      <w:proofErr w:type="gramStart"/>
      <w:r>
        <w:rPr>
          <w:rFonts w:eastAsia="Arial Unicode MS" w:hAnsi="Arial Unicode MS" w:cs="Arial Unicode MS"/>
        </w:rPr>
        <w:t>ER13-941-000 (filed Feb. 4, 2014) (Settlement).</w:t>
      </w:r>
      <w:proofErr w:type="gramEnd"/>
    </w:p>
  </w:footnote>
  <w:footnote w:id="4">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San Diego Gas &amp; Elec. Co.</w:t>
      </w:r>
      <w:r>
        <w:rPr>
          <w:rFonts w:eastAsia="Arial Unicode MS" w:hAnsi="Arial Unicode MS" w:cs="Arial Unicode MS"/>
        </w:rPr>
        <w:t xml:space="preserve">, 147 FERC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61,150 (2014).</w:t>
      </w:r>
      <w:proofErr w:type="gramEnd"/>
      <w:r>
        <w:rPr>
          <w:rFonts w:eastAsia="Arial Unicode MS" w:hAnsi="Arial Unicode MS" w:cs="Arial Unicode MS"/>
        </w:rPr>
        <w:t xml:space="preserve">  </w:t>
      </w:r>
    </w:p>
  </w:footnote>
  <w:footnote w:id="5">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rPr>
        <w:t>Settlement at 5.</w:t>
      </w:r>
      <w:proofErr w:type="gramEnd"/>
      <w:r>
        <w:rPr>
          <w:rFonts w:eastAsia="Arial Unicode MS" w:hAnsi="Arial Unicode MS" w:cs="Arial Unicode MS"/>
        </w:rPr>
        <w:t xml:space="preserve">  </w:t>
      </w:r>
    </w:p>
  </w:footnote>
  <w:footnote w:id="6">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(citing SDG&amp;E OATT, Appendix VIII, Formula Rate Protocols </w:t>
      </w:r>
      <w:r w:rsidR="00BE1761">
        <w:rPr>
          <w:rFonts w:eastAsia="Arial Unicode MS" w:hAnsi="Arial Unicode MS" w:cs="Arial Unicode MS"/>
        </w:rPr>
        <w:t xml:space="preserve">         </w:t>
      </w:r>
      <w:r>
        <w:rPr>
          <w:rFonts w:eastAsia="Arial Unicode MS" w:hAnsi="Arial Unicode MS" w:cs="Arial Unicode MS"/>
        </w:rPr>
        <w:t>Sections C.4.d and C.4.g (Protocols).</w:t>
      </w:r>
      <w:proofErr w:type="gramEnd"/>
    </w:p>
  </w:footnote>
  <w:footnote w:id="7">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i/>
          <w:iCs/>
        </w:rPr>
        <w:t xml:space="preserve"> </w:t>
      </w:r>
      <w:proofErr w:type="gramStart"/>
      <w:r>
        <w:rPr>
          <w:rFonts w:eastAsia="Arial Unicode MS" w:hAnsi="Arial Unicode MS" w:cs="Arial Unicode MS"/>
        </w:rPr>
        <w:t>SDG&amp;E December 1, 2014 Informational Filing at 1 (Transmittal).</w:t>
      </w:r>
      <w:proofErr w:type="gramEnd"/>
    </w:p>
  </w:footnote>
  <w:footnote w:id="8">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5 (citing Commission Letter Order Approving SDG&amp;E</w:t>
      </w:r>
      <w:r>
        <w:rPr>
          <w:rFonts w:ascii="Arial Unicode MS" w:eastAsia="Arial Unicode MS" w:cs="Arial Unicode MS"/>
        </w:rPr>
        <w:t>’</w:t>
      </w:r>
      <w:r>
        <w:rPr>
          <w:rFonts w:eastAsia="Arial Unicode MS" w:hAnsi="Arial Unicode MS" w:cs="Arial Unicode MS"/>
        </w:rPr>
        <w:t>s Audit Report, Docket No.</w:t>
      </w:r>
      <w:proofErr w:type="gramEnd"/>
      <w:r>
        <w:rPr>
          <w:rFonts w:eastAsia="Arial Unicode MS" w:hAnsi="Arial Unicode MS" w:cs="Arial Unicode MS"/>
        </w:rPr>
        <w:t xml:space="preserve"> FA12-8-000, June 10, 2014) (June 2014 Audit Report) (The costs at issue are within the </w:t>
      </w:r>
      <w:r>
        <w:rPr>
          <w:rFonts w:ascii="Arial Unicode MS" w:eastAsia="Arial Unicode MS" w:cs="Arial Unicode MS"/>
        </w:rPr>
        <w:t>“</w:t>
      </w:r>
      <w:r>
        <w:rPr>
          <w:rFonts w:eastAsia="Arial Unicode MS" w:hAnsi="Arial Unicode MS" w:cs="Arial Unicode MS"/>
        </w:rPr>
        <w:t>TO3 Final [True-up] Cost of Service Period, 2013 Prior Year Period and the 4-month TO4 Cycle 2 [True-up] cost of service period</w:t>
      </w:r>
      <w:r>
        <w:rPr>
          <w:rFonts w:ascii="Arial Unicode MS" w:eastAsia="Arial Unicode MS" w:cs="Arial Unicode MS"/>
        </w:rPr>
        <w:t>…”</w:t>
      </w:r>
      <w:r>
        <w:rPr>
          <w:rFonts w:eastAsia="Arial Unicode MS" w:hAnsi="Arial Unicode MS" w:cs="Arial Unicode MS"/>
        </w:rPr>
        <w:t xml:space="preserve">). </w:t>
      </w:r>
    </w:p>
  </w:footnote>
  <w:footnote w:id="9">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5.</w:t>
      </w:r>
      <w:proofErr w:type="gramEnd"/>
    </w:p>
  </w:footnote>
  <w:footnote w:id="10">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3.</w:t>
      </w:r>
      <w:proofErr w:type="gramEnd"/>
    </w:p>
  </w:footnote>
  <w:footnote w:id="11">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xml:space="preserve"> at 4-5.</w:t>
      </w:r>
    </w:p>
  </w:footnote>
  <w:footnote w:id="12">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2.</w:t>
      </w:r>
      <w:proofErr w:type="gramEnd"/>
    </w:p>
  </w:footnote>
  <w:footnote w:id="13">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The Six Cities are the cities of Anaheim, Azusa, Banning, Colton, Pasadena and Riverside, CA.</w:t>
      </w:r>
    </w:p>
  </w:footnote>
  <w:footnote w:id="14">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M-S-R/SVP December 18, 2014 Comments at P 7 (M-S-R/SVP Comments) (citing Protocols at Section C.4.d).</w:t>
      </w:r>
    </w:p>
  </w:footnote>
  <w:footnote w:id="15">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rPr>
        <w:t>M-S-R/SVP Comments at P 13.</w:t>
      </w:r>
      <w:proofErr w:type="gramEnd"/>
    </w:p>
  </w:footnote>
  <w:footnote w:id="16">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w:t>
      </w:r>
    </w:p>
  </w:footnote>
  <w:footnote w:id="17">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P 14.</w:t>
      </w:r>
      <w:proofErr w:type="gramEnd"/>
    </w:p>
  </w:footnote>
  <w:footnote w:id="18">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CPUC Protest at 3 (citing </w:t>
      </w:r>
      <w:r>
        <w:rPr>
          <w:rFonts w:eastAsia="Arial Unicode MS" w:hAnsi="Arial Unicode MS" w:cs="Arial Unicode MS"/>
          <w:i/>
          <w:iCs/>
        </w:rPr>
        <w:t>San Diego Gas &amp; Elec. Co.</w:t>
      </w:r>
      <w:r>
        <w:rPr>
          <w:rFonts w:eastAsia="Arial Unicode MS" w:hAnsi="Arial Unicode MS" w:cs="Arial Unicode MS"/>
        </w:rPr>
        <w:t>,</w:t>
      </w:r>
      <w:r>
        <w:rPr>
          <w:rFonts w:eastAsia="Arial Unicode MS" w:hAnsi="Arial Unicode MS" w:cs="Arial Unicode MS"/>
          <w:i/>
          <w:iCs/>
        </w:rPr>
        <w:t xml:space="preserve"> </w:t>
      </w:r>
      <w:r>
        <w:rPr>
          <w:rFonts w:eastAsia="Arial Unicode MS" w:hAnsi="Arial Unicode MS" w:cs="Arial Unicode MS"/>
        </w:rPr>
        <w:t xml:space="preserve">147 FERC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61,150). </w:t>
      </w:r>
    </w:p>
  </w:footnote>
  <w:footnote w:id="19">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4.</w:t>
      </w:r>
      <w:proofErr w:type="gramEnd"/>
    </w:p>
  </w:footnote>
  <w:footnote w:id="20">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5.</w:t>
      </w:r>
      <w:proofErr w:type="gramEnd"/>
    </w:p>
  </w:footnote>
  <w:footnote w:id="21">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p>
  </w:footnote>
  <w:footnote w:id="22">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CPUC Protest at 5-6.</w:t>
      </w:r>
    </w:p>
  </w:footnote>
  <w:footnote w:id="23">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6 -7 (citing </w:t>
      </w:r>
      <w:r>
        <w:rPr>
          <w:rFonts w:eastAsia="Arial Unicode MS" w:hAnsi="Arial Unicode MS" w:cs="Arial Unicode MS"/>
          <w:i/>
          <w:iCs/>
        </w:rPr>
        <w:t>Cal. Pub.</w:t>
      </w:r>
      <w:proofErr w:type="gramEnd"/>
      <w:r>
        <w:rPr>
          <w:rFonts w:eastAsia="Arial Unicode MS" w:hAnsi="Arial Unicode MS" w:cs="Arial Unicode MS"/>
          <w:i/>
          <w:iCs/>
        </w:rPr>
        <w:t xml:space="preserve"> Util. </w:t>
      </w:r>
      <w:proofErr w:type="spellStart"/>
      <w:r>
        <w:rPr>
          <w:rFonts w:eastAsia="Arial Unicode MS" w:hAnsi="Arial Unicode MS" w:cs="Arial Unicode MS"/>
          <w:i/>
          <w:iCs/>
        </w:rPr>
        <w:t>Comm</w:t>
      </w:r>
      <w:r>
        <w:rPr>
          <w:rFonts w:ascii="Arial Unicode MS" w:eastAsia="Arial Unicode MS" w:cs="Arial Unicode MS"/>
          <w:i/>
          <w:iCs/>
        </w:rPr>
        <w:t>’</w:t>
      </w:r>
      <w:r>
        <w:rPr>
          <w:rFonts w:eastAsia="Arial Unicode MS" w:hAnsi="Arial Unicode MS" w:cs="Arial Unicode MS"/>
          <w:i/>
          <w:iCs/>
        </w:rPr>
        <w:t>n</w:t>
      </w:r>
      <w:proofErr w:type="spellEnd"/>
      <w:r>
        <w:rPr>
          <w:rFonts w:eastAsia="Arial Unicode MS" w:hAnsi="Arial Unicode MS" w:cs="Arial Unicode MS"/>
          <w:i/>
          <w:iCs/>
        </w:rPr>
        <w:t xml:space="preserve"> v FERC</w:t>
      </w:r>
      <w:r>
        <w:rPr>
          <w:rFonts w:eastAsia="Arial Unicode MS" w:hAnsi="Arial Unicode MS" w:cs="Arial Unicode MS"/>
        </w:rPr>
        <w:t xml:space="preserve">, 9th Cir. No. 13-74361 </w:t>
      </w:r>
      <w:r w:rsidR="00BE1761">
        <w:rPr>
          <w:rFonts w:eastAsia="Arial Unicode MS" w:hAnsi="Arial Unicode MS" w:cs="Arial Unicode MS"/>
        </w:rPr>
        <w:t xml:space="preserve">   </w:t>
      </w:r>
      <w:r>
        <w:rPr>
          <w:rFonts w:eastAsia="Arial Unicode MS" w:hAnsi="Arial Unicode MS" w:cs="Arial Unicode MS"/>
        </w:rPr>
        <w:t>(filed July 25, 2014)).</w:t>
      </w:r>
    </w:p>
  </w:footnote>
  <w:footnote w:id="24">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7.</w:t>
      </w:r>
      <w:proofErr w:type="gramEnd"/>
      <w:r>
        <w:rPr>
          <w:rFonts w:eastAsia="Arial Unicode MS" w:hAnsi="Arial Unicode MS" w:cs="Arial Unicode MS"/>
        </w:rPr>
        <w:t xml:space="preserve"> </w:t>
      </w:r>
    </w:p>
  </w:footnote>
  <w:footnote w:id="25">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xml:space="preserve"> at 6-7. </w:t>
      </w:r>
    </w:p>
  </w:footnote>
  <w:footnote w:id="26">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xml:space="preserve"> at 7-8.</w:t>
      </w:r>
    </w:p>
  </w:footnote>
  <w:footnote w:id="27">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 xml:space="preserve">Id. </w:t>
      </w:r>
      <w:r>
        <w:rPr>
          <w:rFonts w:eastAsia="Arial Unicode MS" w:hAnsi="Arial Unicode MS" w:cs="Arial Unicode MS"/>
        </w:rPr>
        <w:t>at 7.</w:t>
      </w:r>
      <w:proofErr w:type="gramEnd"/>
    </w:p>
  </w:footnote>
  <w:footnote w:id="28">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p>
  </w:footnote>
  <w:footnote w:id="29">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SDG&amp;E December 29, 2014 Answer to M-S-R/SVP at 2 (SDG&amp;E Answer to M-S-R/SVP).</w:t>
      </w:r>
    </w:p>
  </w:footnote>
  <w:footnote w:id="30">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at 3.</w:t>
      </w:r>
      <w:proofErr w:type="gramEnd"/>
    </w:p>
  </w:footnote>
  <w:footnote w:id="31">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xml:space="preserve">. </w:t>
      </w:r>
    </w:p>
  </w:footnote>
  <w:footnote w:id="32">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SDG&amp;E December 31, 2014 Answer to CPUC at 5 (SDG&amp;E Answer to CPUC)</w:t>
      </w:r>
    </w:p>
  </w:footnote>
  <w:footnote w:id="33">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at 4-5.</w:t>
      </w:r>
    </w:p>
  </w:footnote>
  <w:footnote w:id="34">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SDG&amp;E Answer to CPUC at 5-6.</w:t>
      </w:r>
    </w:p>
  </w:footnote>
  <w:footnote w:id="35">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xml:space="preserve"> at 7-8.</w:t>
      </w:r>
    </w:p>
  </w:footnote>
  <w:footnote w:id="36">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p>
  </w:footnote>
  <w:footnote w:id="37">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7.</w:t>
      </w:r>
      <w:proofErr w:type="gramEnd"/>
    </w:p>
  </w:footnote>
  <w:footnote w:id="38">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xml:space="preserve"> at 7-11.</w:t>
      </w:r>
    </w:p>
  </w:footnote>
  <w:footnote w:id="39">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7.</w:t>
      </w:r>
      <w:proofErr w:type="gramEnd"/>
    </w:p>
  </w:footnote>
  <w:footnote w:id="40">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12.</w:t>
      </w:r>
      <w:proofErr w:type="gramEnd"/>
    </w:p>
  </w:footnote>
  <w:footnote w:id="41">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SDG&amp;E Answer to CPUC at 11 (citing </w:t>
      </w:r>
      <w:r>
        <w:rPr>
          <w:rFonts w:eastAsia="Arial Unicode MS" w:hAnsi="Arial Unicode MS" w:cs="Arial Unicode MS"/>
          <w:i/>
          <w:iCs/>
        </w:rPr>
        <w:t>see San Diego Gas &amp; Elec. Co.,</w:t>
      </w:r>
      <w:r>
        <w:rPr>
          <w:rFonts w:eastAsia="Arial Unicode MS" w:hAnsi="Arial Unicode MS" w:cs="Arial Unicode MS"/>
        </w:rPr>
        <w:t xml:space="preserve"> </w:t>
      </w:r>
      <w:r w:rsidR="00BE1761">
        <w:rPr>
          <w:rFonts w:eastAsia="Arial Unicode MS" w:hAnsi="Arial Unicode MS" w:cs="Arial Unicode MS"/>
        </w:rPr>
        <w:t xml:space="preserve">        </w:t>
      </w:r>
      <w:r>
        <w:rPr>
          <w:rFonts w:eastAsia="Arial Unicode MS" w:hAnsi="Arial Unicode MS" w:cs="Arial Unicode MS"/>
        </w:rPr>
        <w:t xml:space="preserve">146 FERC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63,017, at P 9 (2014)).</w:t>
      </w:r>
    </w:p>
  </w:footnote>
  <w:footnote w:id="42">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r>
        <w:rPr>
          <w:rFonts w:eastAsia="Arial Unicode MS" w:hAnsi="Arial Unicode MS" w:cs="Arial Unicode MS"/>
        </w:rPr>
        <w:t xml:space="preserve"> at 11-12.</w:t>
      </w:r>
    </w:p>
  </w:footnote>
  <w:footnote w:id="43">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13.</w:t>
      </w:r>
      <w:proofErr w:type="gramEnd"/>
    </w:p>
  </w:footnote>
  <w:footnote w:id="44">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(citing </w:t>
      </w:r>
      <w:r>
        <w:rPr>
          <w:rFonts w:eastAsia="Arial Unicode MS" w:hAnsi="Arial Unicode MS" w:cs="Arial Unicode MS"/>
          <w:i/>
          <w:iCs/>
        </w:rPr>
        <w:t>Central Vermont Pub.</w:t>
      </w:r>
      <w:proofErr w:type="gramEnd"/>
      <w:r>
        <w:rPr>
          <w:rFonts w:eastAsia="Arial Unicode MS" w:hAnsi="Arial Unicode MS" w:cs="Arial Unicode MS"/>
          <w:i/>
          <w:iCs/>
        </w:rPr>
        <w:t xml:space="preserve"> </w:t>
      </w:r>
      <w:proofErr w:type="gramStart"/>
      <w:r>
        <w:rPr>
          <w:rFonts w:eastAsia="Arial Unicode MS" w:hAnsi="Arial Unicode MS" w:cs="Arial Unicode MS"/>
          <w:i/>
          <w:iCs/>
        </w:rPr>
        <w:t>Serv. Corp.</w:t>
      </w:r>
      <w:r>
        <w:rPr>
          <w:rFonts w:eastAsia="Arial Unicode MS" w:hAnsi="Arial Unicode MS" w:cs="Arial Unicode MS"/>
        </w:rPr>
        <w:t xml:space="preserve">, 40 FERC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61,258 (1987).</w:t>
      </w:r>
      <w:proofErr w:type="gramEnd"/>
      <w:r>
        <w:rPr>
          <w:rFonts w:eastAsia="Arial Unicode MS" w:hAnsi="Arial Unicode MS" w:cs="Arial Unicode MS"/>
        </w:rPr>
        <w:t xml:space="preserve">   According to SDG&amp;E, the Commission found in this order that the </w:t>
      </w:r>
      <w:r>
        <w:rPr>
          <w:rFonts w:ascii="Arial Unicode MS" w:eastAsia="Arial Unicode MS" w:cs="Arial Unicode MS"/>
        </w:rPr>
        <w:t>“</w:t>
      </w:r>
      <w:r>
        <w:rPr>
          <w:rFonts w:eastAsia="Arial Unicode MS" w:hAnsi="Arial Unicode MS" w:cs="Arial Unicode MS"/>
        </w:rPr>
        <w:t>perceived state law constraint on a public utility commission</w:t>
      </w:r>
      <w:r>
        <w:rPr>
          <w:rFonts w:ascii="Arial Unicode MS" w:eastAsia="Arial Unicode MS" w:cs="Arial Unicode MS"/>
        </w:rPr>
        <w:t>’</w:t>
      </w:r>
      <w:r>
        <w:rPr>
          <w:rFonts w:eastAsia="Arial Unicode MS" w:hAnsi="Arial Unicode MS" w:cs="Arial Unicode MS"/>
        </w:rPr>
        <w:t>s ability to comment in a Commission proceeding did not merit delaying the Commission from carrying out its statutory obligations.</w:t>
      </w:r>
      <w:r>
        <w:rPr>
          <w:rFonts w:ascii="Arial Unicode MS" w:eastAsia="Arial Unicode MS" w:cs="Arial Unicode MS"/>
        </w:rPr>
        <w:t>”</w:t>
      </w:r>
      <w:r>
        <w:rPr>
          <w:rFonts w:ascii="Arial Unicode MS" w:eastAsia="Arial Unicode MS" w:cs="Arial Unicode MS"/>
        </w:rPr>
        <w:t xml:space="preserve"> </w:t>
      </w:r>
    </w:p>
  </w:footnote>
  <w:footnote w:id="45">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3.</w:t>
      </w:r>
      <w:proofErr w:type="gramEnd"/>
      <w:r w:rsidR="00341683">
        <w:rPr>
          <w:rFonts w:eastAsia="Arial Unicode MS" w:hAnsi="Arial Unicode MS" w:cs="Arial Unicode MS"/>
        </w:rPr>
        <w:br/>
      </w:r>
    </w:p>
  </w:footnote>
  <w:footnote w:id="46">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CPUC January 9, 2015Answer at 2-3 (citing CPUC Protest at 8) (requesting that the Commission (1) suspend the effective date of SDG&amp;E</w:t>
      </w:r>
      <w:r>
        <w:rPr>
          <w:rFonts w:ascii="Arial Unicode MS" w:eastAsia="Arial Unicode MS" w:cs="Arial Unicode MS"/>
        </w:rPr>
        <w:t>’</w:t>
      </w:r>
      <w:r>
        <w:rPr>
          <w:rFonts w:eastAsia="Arial Unicode MS" w:hAnsi="Arial Unicode MS" w:cs="Arial Unicode MS"/>
        </w:rPr>
        <w:t>s proposed rate increase for five months, (2) make the rates subject to refund and subject to the outcome of its appeal to Ninth Circuit, and (3) set the case for hearing without limitation as to the other issues to be litigated) (CPUC Answer).</w:t>
      </w:r>
    </w:p>
  </w:footnote>
  <w:footnote w:id="47">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rPr>
        <w:t>CPUC Answer at 4.</w:t>
      </w:r>
      <w:proofErr w:type="gramEnd"/>
    </w:p>
  </w:footnote>
  <w:footnote w:id="48">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CPUC Answer at 2-3. </w:t>
      </w:r>
    </w:p>
  </w:footnote>
  <w:footnote w:id="49">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rPr>
        <w:t>Deficiency Response at 3.</w:t>
      </w:r>
      <w:proofErr w:type="gramEnd"/>
    </w:p>
  </w:footnote>
  <w:footnote w:id="50">
    <w:p w:rsidR="004D1844" w:rsidRDefault="004A4880">
      <w:pPr>
        <w:pStyle w:val="FootnoteText"/>
      </w:pPr>
      <w:r>
        <w:rPr>
          <w:rFonts w:ascii="Times New Roman Bold" w:eastAsia="Times New Roman Bold" w:hAnsi="Times New Roman Bold" w:cs="Times New Roman Bold"/>
          <w:vertAlign w:val="superscript"/>
        </w:rPr>
        <w:footnoteRef/>
      </w:r>
      <w:r>
        <w:rPr>
          <w:rFonts w:ascii="Times New Roman Bold"/>
        </w:rPr>
        <w:t xml:space="preserve"> </w:t>
      </w:r>
      <w:r>
        <w:rPr>
          <w:rFonts w:eastAsia="Arial Unicode MS" w:hAnsi="Arial Unicode MS" w:cs="Arial Unicode MS"/>
        </w:rPr>
        <w:t xml:space="preserve">SDG&amp;E Deficiency Response at 3, Exhibit No. </w:t>
      </w:r>
      <w:proofErr w:type="gramStart"/>
      <w:r>
        <w:rPr>
          <w:rFonts w:eastAsia="Arial Unicode MS" w:hAnsi="Arial Unicode MS" w:cs="Arial Unicode MS"/>
        </w:rPr>
        <w:t>SDG-2.</w:t>
      </w:r>
      <w:proofErr w:type="gramEnd"/>
    </w:p>
  </w:footnote>
  <w:footnote w:id="51">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rPr>
        <w:t>Protocols at Section C.4.d.</w:t>
      </w:r>
      <w:proofErr w:type="gramEnd"/>
      <w:r>
        <w:rPr>
          <w:rFonts w:eastAsia="Arial Unicode MS" w:hAnsi="Arial Unicode MS" w:cs="Arial Unicode MS"/>
        </w:rPr>
        <w:t xml:space="preserve"> </w:t>
      </w:r>
    </w:p>
  </w:footnote>
  <w:footnote w:id="52">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M-S-R/SVP Comments at P 7 (citing Protocols at Section C.4.d).</w:t>
      </w:r>
    </w:p>
  </w:footnote>
  <w:footnote w:id="53">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rPr>
        <w:t>Transmittal at 5.</w:t>
      </w:r>
      <w:proofErr w:type="gramEnd"/>
    </w:p>
  </w:footnote>
  <w:footnote w:id="54">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This report, as an informational report, will not be noticed for comment, or require Commission action.</w:t>
      </w:r>
    </w:p>
  </w:footnote>
  <w:footnote w:id="55">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SDG&amp;E Deficiency Response at 3, Exhibit No. </w:t>
      </w:r>
      <w:proofErr w:type="gramStart"/>
      <w:r>
        <w:rPr>
          <w:rFonts w:eastAsia="Arial Unicode MS" w:hAnsi="Arial Unicode MS" w:cs="Arial Unicode MS"/>
        </w:rPr>
        <w:t>SDG-2.</w:t>
      </w:r>
      <w:proofErr w:type="gramEnd"/>
    </w:p>
  </w:footnote>
  <w:footnote w:id="56">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SDG&amp;E Deficiency Response at Exhibit No. </w:t>
      </w:r>
      <w:proofErr w:type="gramStart"/>
      <w:r>
        <w:rPr>
          <w:rFonts w:eastAsia="Arial Unicode MS" w:hAnsi="Arial Unicode MS" w:cs="Arial Unicode MS"/>
        </w:rPr>
        <w:t>SDG-2.</w:t>
      </w:r>
      <w:proofErr w:type="gramEnd"/>
    </w:p>
  </w:footnote>
  <w:footnote w:id="57">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CPUC, Motion to Intervene and Protest, Docket No. ER12-2454-000 at 7 </w:t>
      </w:r>
      <w:r w:rsidR="00B41FC8">
        <w:rPr>
          <w:rFonts w:eastAsia="Arial Unicode MS" w:hAnsi="Arial Unicode MS" w:cs="Arial Unicode MS"/>
        </w:rPr>
        <w:br/>
      </w:r>
      <w:r>
        <w:rPr>
          <w:rFonts w:eastAsia="Arial Unicode MS" w:hAnsi="Arial Unicode MS" w:cs="Arial Unicode MS"/>
        </w:rPr>
        <w:t xml:space="preserve">(filed Sept. 4, 2012). </w:t>
      </w:r>
    </w:p>
  </w:footnote>
  <w:footnote w:id="58">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proofErr w:type="gramStart"/>
      <w:r>
        <w:rPr>
          <w:rFonts w:eastAsia="Arial Unicode MS" w:hAnsi="Arial Unicode MS" w:cs="Arial Unicode MS"/>
          <w:i/>
          <w:iCs/>
        </w:rPr>
        <w:t>Id.</w:t>
      </w:r>
      <w:r>
        <w:rPr>
          <w:rFonts w:eastAsia="Arial Unicode MS" w:hAnsi="Arial Unicode MS" w:cs="Arial Unicode MS"/>
        </w:rPr>
        <w:t xml:space="preserve"> at 8.</w:t>
      </w:r>
      <w:proofErr w:type="gramEnd"/>
    </w:p>
  </w:footnote>
  <w:footnote w:id="59">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Id.</w:t>
      </w:r>
    </w:p>
  </w:footnote>
  <w:footnote w:id="60">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TO4 Formula Rate is effective from September 1, 2013 to December 31, 2015.  For this time period, SDG&amp;E is required to submit to the Commission, on or before December 1 of each year, an annual information filing stating the effective rates for the each respective Rate Effective Period.  </w:t>
      </w:r>
      <w:proofErr w:type="gramStart"/>
      <w:r>
        <w:rPr>
          <w:rFonts w:eastAsia="Arial Unicode MS" w:hAnsi="Arial Unicode MS" w:cs="Arial Unicode MS"/>
        </w:rPr>
        <w:t>Settlement, Section C, Procedures for Updating the Base Transmission Revenue Requirement.</w:t>
      </w:r>
      <w:proofErr w:type="gramEnd"/>
    </w:p>
  </w:footnote>
  <w:footnote w:id="61">
    <w:p w:rsidR="004D1844" w:rsidRDefault="004A4880">
      <w:pPr>
        <w:pStyle w:val="FootnoteText"/>
      </w:pPr>
      <w:r>
        <w:rPr>
          <w:rFonts w:ascii="Times New Roman Bold" w:eastAsia="Times New Roman Bold" w:hAnsi="Times New Roman Bold" w:cs="Times New Roman Bold"/>
          <w:vertAlign w:val="superscript"/>
        </w:rPr>
        <w:footnoteRef/>
      </w:r>
      <w:r>
        <w:rPr>
          <w:rFonts w:eastAsia="Arial Unicode MS" w:hAnsi="Arial Unicode MS" w:cs="Arial Unicode MS"/>
        </w:rPr>
        <w:t xml:space="preserve"> </w:t>
      </w:r>
      <w:r>
        <w:rPr>
          <w:rFonts w:eastAsia="Arial Unicode MS" w:hAnsi="Arial Unicode MS" w:cs="Arial Unicode MS"/>
          <w:i/>
          <w:iCs/>
        </w:rPr>
        <w:t>Duke Power</w:t>
      </w:r>
      <w:r>
        <w:rPr>
          <w:rFonts w:eastAsia="Arial Unicode MS" w:hAnsi="Arial Unicode MS" w:cs="Arial Unicode MS"/>
        </w:rPr>
        <w:t xml:space="preserve">, 117 FERC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61,303, at PP 5-7 (2006) (citing </w:t>
      </w:r>
      <w:r>
        <w:rPr>
          <w:rFonts w:eastAsia="Arial Unicode MS" w:hAnsi="Arial Unicode MS" w:cs="Arial Unicode MS"/>
          <w:i/>
          <w:iCs/>
        </w:rPr>
        <w:t>See</w:t>
      </w:r>
      <w:r>
        <w:rPr>
          <w:rFonts w:ascii="Arial Unicode MS" w:eastAsia="Arial Unicode MS" w:cs="Arial Unicode MS"/>
          <w:i/>
          <w:iCs/>
        </w:rPr>
        <w:t> </w:t>
      </w:r>
      <w:hyperlink r:id="rId1" w:anchor="co_pp_sp_350_238" w:history="1">
        <w:r>
          <w:rPr>
            <w:rStyle w:val="Hyperlink0"/>
            <w:rFonts w:eastAsia="Arial Unicode MS" w:hAnsi="Arial Unicode MS" w:cs="Arial Unicode MS"/>
          </w:rPr>
          <w:t>Papago Tribal Utility Authority v. FERC, 628 F.2d 235, 238-39 (D.C. Cir. 1980)</w:t>
        </w:r>
      </w:hyperlink>
      <w:r>
        <w:rPr>
          <w:rFonts w:eastAsia="Arial Unicode MS" w:hAnsi="Arial Unicode MS" w:cs="Arial Unicode MS"/>
        </w:rPr>
        <w:t>,</w:t>
      </w:r>
      <w:r>
        <w:rPr>
          <w:rFonts w:ascii="Arial Unicode MS" w:eastAsia="Arial Unicode MS" w:cs="Arial Unicode MS"/>
        </w:rPr>
        <w:t> </w:t>
      </w:r>
      <w:r>
        <w:rPr>
          <w:rFonts w:eastAsia="Arial Unicode MS" w:hAnsi="Arial Unicode MS" w:cs="Arial Unicode MS"/>
          <w:i/>
          <w:iCs/>
        </w:rPr>
        <w:t>cert. denied</w:t>
      </w:r>
      <w:r>
        <w:rPr>
          <w:rFonts w:eastAsia="Arial Unicode MS" w:hAnsi="Arial Unicode MS" w:cs="Arial Unicode MS"/>
        </w:rPr>
        <w:t>,</w:t>
      </w:r>
      <w:r>
        <w:rPr>
          <w:rFonts w:ascii="Arial Unicode MS" w:eastAsia="Arial Unicode MS" w:cs="Arial Unicode MS"/>
        </w:rPr>
        <w:t> </w:t>
      </w:r>
      <w:hyperlink r:id="rId2" w:history="1">
        <w:r>
          <w:rPr>
            <w:rStyle w:val="Hyperlink1"/>
            <w:rFonts w:eastAsia="Arial Unicode MS" w:hAnsi="Arial Unicode MS" w:cs="Arial Unicode MS"/>
          </w:rPr>
          <w:t>449 U.S. 1061 (1980)</w:t>
        </w:r>
      </w:hyperlink>
      <w:r>
        <w:rPr>
          <w:rFonts w:ascii="Arial Unicode MS" w:eastAsia="Arial Unicode MS" w:cs="Arial Unicode MS"/>
        </w:rPr>
        <w:t> </w:t>
      </w:r>
      <w:r>
        <w:rPr>
          <w:rFonts w:eastAsia="Arial Unicode MS" w:hAnsi="Arial Unicode MS" w:cs="Arial Unicode MS"/>
        </w:rPr>
        <w:t>(</w:t>
      </w:r>
      <w:r>
        <w:rPr>
          <w:rFonts w:eastAsia="Arial Unicode MS" w:hAnsi="Arial Unicode MS" w:cs="Arial Unicode MS"/>
          <w:i/>
          <w:iCs/>
        </w:rPr>
        <w:t>citing</w:t>
      </w:r>
      <w:r>
        <w:rPr>
          <w:rFonts w:ascii="Arial Unicode MS" w:eastAsia="Arial Unicode MS" w:cs="Arial Unicode MS"/>
          <w:i/>
          <w:iCs/>
        </w:rPr>
        <w:t> </w:t>
      </w:r>
      <w:hyperlink r:id="rId3" w:anchor="co_pp_sp_350_863" w:history="1">
        <w:r>
          <w:rPr>
            <w:rStyle w:val="Hyperlink0"/>
            <w:rFonts w:eastAsia="Arial Unicode MS" w:hAnsi="Arial Unicode MS" w:cs="Arial Unicode MS"/>
          </w:rPr>
          <w:t>Cities Service Gas Co. v. FPC, 255 F.2d 860, 863 (10th Cir. 1958)</w:t>
        </w:r>
      </w:hyperlink>
      <w:r>
        <w:rPr>
          <w:rFonts w:eastAsia="Arial Unicode MS" w:hAnsi="Arial Unicode MS" w:cs="Arial Unicode MS"/>
        </w:rPr>
        <w:t>,</w:t>
      </w:r>
      <w:r>
        <w:rPr>
          <w:rFonts w:ascii="Arial Unicode MS" w:eastAsia="Arial Unicode MS" w:cs="Arial Unicode MS"/>
        </w:rPr>
        <w:t> </w:t>
      </w:r>
      <w:r>
        <w:rPr>
          <w:rFonts w:eastAsia="Arial Unicode MS" w:hAnsi="Arial Unicode MS" w:cs="Arial Unicode MS"/>
          <w:i/>
          <w:iCs/>
        </w:rPr>
        <w:t>cert. denied</w:t>
      </w:r>
      <w:r>
        <w:rPr>
          <w:rFonts w:eastAsia="Arial Unicode MS" w:hAnsi="Arial Unicode MS" w:cs="Arial Unicode MS"/>
        </w:rPr>
        <w:t>,</w:t>
      </w:r>
      <w:r>
        <w:rPr>
          <w:rFonts w:ascii="Arial Unicode MS" w:eastAsia="Arial Unicode MS" w:cs="Arial Unicode MS"/>
        </w:rPr>
        <w:t> </w:t>
      </w:r>
      <w:hyperlink r:id="rId4" w:history="1">
        <w:r>
          <w:rPr>
            <w:rStyle w:val="Hyperlink1"/>
            <w:rFonts w:eastAsia="Arial Unicode MS" w:hAnsi="Arial Unicode MS" w:cs="Arial Unicode MS"/>
          </w:rPr>
          <w:t>358 U.S. 837 (1958)</w:t>
        </w:r>
      </w:hyperlink>
      <w:r>
        <w:rPr>
          <w:rFonts w:eastAsia="Arial Unicode MS" w:hAnsi="Arial Unicode MS" w:cs="Arial Unicode MS"/>
        </w:rPr>
        <w:t>);</w:t>
      </w:r>
      <w:r>
        <w:rPr>
          <w:rFonts w:ascii="Arial Unicode MS" w:eastAsia="Arial Unicode MS" w:cs="Arial Unicode MS"/>
        </w:rPr>
        <w:t> </w:t>
      </w:r>
      <w:hyperlink r:id="rId5" w:anchor="co_pp_sp_350_1438" w:history="1">
        <w:r>
          <w:rPr>
            <w:rStyle w:val="Hyperlink0"/>
            <w:rFonts w:eastAsia="Arial Unicode MS" w:hAnsi="Arial Unicode MS" w:cs="Arial Unicode MS"/>
          </w:rPr>
          <w:t>Cities of Riverside and Colton v. FERC, 765 F.2d 1434, 1438 (9th Cir. 1985)</w:t>
        </w:r>
      </w:hyperlink>
      <w:r>
        <w:rPr>
          <w:rFonts w:eastAsia="Arial Unicode MS" w:hAnsi="Arial Unicode MS" w:cs="Arial Unicode MS"/>
        </w:rPr>
        <w:t xml:space="preserve"> (finding that an interlocutory decision is not subject to rehearing as it is not the agency</w:t>
      </w:r>
      <w:r>
        <w:rPr>
          <w:rFonts w:ascii="Arial Unicode MS" w:eastAsia="Arial Unicode MS" w:cs="Arial Unicode MS"/>
        </w:rPr>
        <w:t>’</w:t>
      </w:r>
      <w:r>
        <w:rPr>
          <w:rFonts w:eastAsia="Arial Unicode MS" w:hAnsi="Arial Unicode MS" w:cs="Arial Unicode MS"/>
        </w:rPr>
        <w:t xml:space="preserve">s final decision)).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44" w:rsidRDefault="004A4880">
    <w:pPr>
      <w:pStyle w:val="Header"/>
      <w:spacing w:after="240"/>
    </w:pPr>
    <w:r>
      <w:t xml:space="preserve">Docket No. ER15-553-000 </w:t>
    </w:r>
    <w:r>
      <w:tab/>
    </w:r>
    <w:r>
      <w:fldChar w:fldCharType="begin"/>
    </w:r>
    <w:r>
      <w:instrText xml:space="preserve"> PAGE </w:instrText>
    </w:r>
    <w:r>
      <w:fldChar w:fldCharType="separate"/>
    </w:r>
    <w:r w:rsidR="00E611E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65B5"/>
    <w:multiLevelType w:val="multilevel"/>
    <w:tmpl w:val="32567B40"/>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336F6DCB"/>
    <w:multiLevelType w:val="multilevel"/>
    <w:tmpl w:val="9DAAF3CC"/>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lowerRoman"/>
      <w:lvlText w:val="%5."/>
      <w:lvlJc w:val="left"/>
      <w:rPr>
        <w:position w:val="0"/>
      </w:rPr>
    </w:lvl>
    <w:lvl w:ilvl="5">
      <w:start w:val="1"/>
      <w:numFmt w:val="lowerLetter"/>
      <w:lvlText w:val="(%6)"/>
      <w:lvlJc w:val="left"/>
      <w:rPr>
        <w:position w:val="0"/>
      </w:rPr>
    </w:lvl>
    <w:lvl w:ilvl="6">
      <w:start w:val="1"/>
      <w:numFmt w:val="decimal"/>
      <w:lvlText w:val="(%7)"/>
      <w:lvlJc w:val="left"/>
      <w:rPr>
        <w:position w:val="0"/>
      </w:rPr>
    </w:lvl>
    <w:lvl w:ilvl="7">
      <w:start w:val="1"/>
      <w:numFmt w:val="lowerRoman"/>
      <w:lvlText w:val="(%8)"/>
      <w:lvlJc w:val="left"/>
      <w:rPr>
        <w:position w:val="0"/>
      </w:rPr>
    </w:lvl>
    <w:lvl w:ilvl="8">
      <w:start w:val="1"/>
      <w:numFmt w:val="decimal"/>
      <w:lvlText w:val="(%9)"/>
      <w:lvlJc w:val="left"/>
      <w:rPr>
        <w:position w:val="0"/>
      </w:rPr>
    </w:lvl>
  </w:abstractNum>
  <w:abstractNum w:abstractNumId="2">
    <w:nsid w:val="35B94A29"/>
    <w:multiLevelType w:val="multilevel"/>
    <w:tmpl w:val="B77EFB06"/>
    <w:styleLink w:val="List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decimal"/>
      <w:lvlText w:val="(%7)"/>
      <w:lvlJc w:val="left"/>
      <w:rPr>
        <w:position w:val="0"/>
        <w:rtl w:val="0"/>
      </w:rPr>
    </w:lvl>
    <w:lvl w:ilvl="7">
      <w:start w:val="1"/>
      <w:numFmt w:val="lowerRoman"/>
      <w:lvlText w:val="(%8)"/>
      <w:lvlJc w:val="left"/>
      <w:rPr>
        <w:position w:val="0"/>
        <w:rtl w:val="0"/>
      </w:rPr>
    </w:lvl>
    <w:lvl w:ilvl="8">
      <w:start w:val="1"/>
      <w:numFmt w:val="decimal"/>
      <w:lvlText w:val="(%9)"/>
      <w:lvlJc w:val="left"/>
      <w:rPr>
        <w:position w:val="0"/>
        <w:rtl w:val="0"/>
      </w:rPr>
    </w:lvl>
  </w:abstractNum>
  <w:abstractNum w:abstractNumId="3">
    <w:nsid w:val="39BB6B0B"/>
    <w:multiLevelType w:val="multilevel"/>
    <w:tmpl w:val="C992769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542E407D"/>
    <w:multiLevelType w:val="multilevel"/>
    <w:tmpl w:val="66B6D622"/>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nsid w:val="64666E98"/>
    <w:multiLevelType w:val="multilevel"/>
    <w:tmpl w:val="30D236D2"/>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decimal"/>
      <w:lvlText w:val="(%7)"/>
      <w:lvlJc w:val="left"/>
      <w:rPr>
        <w:position w:val="0"/>
        <w:rtl w:val="0"/>
      </w:rPr>
    </w:lvl>
    <w:lvl w:ilvl="7">
      <w:start w:val="1"/>
      <w:numFmt w:val="lowerRoman"/>
      <w:lvlText w:val="(%8)"/>
      <w:lvlJc w:val="left"/>
      <w:rPr>
        <w:position w:val="0"/>
        <w:rtl w:val="0"/>
      </w:rPr>
    </w:lvl>
    <w:lvl w:ilvl="8">
      <w:start w:val="1"/>
      <w:numFmt w:val="decimal"/>
      <w:lvlText w:val="(%9)"/>
      <w:lvlJc w:val="left"/>
      <w:rPr>
        <w:position w:val="0"/>
        <w:rtl w:val="0"/>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4D1844"/>
    <w:rsid w:val="00277792"/>
    <w:rsid w:val="00283D2F"/>
    <w:rsid w:val="002C3A86"/>
    <w:rsid w:val="002F34C3"/>
    <w:rsid w:val="00341683"/>
    <w:rsid w:val="004A4880"/>
    <w:rsid w:val="004D1844"/>
    <w:rsid w:val="005220DD"/>
    <w:rsid w:val="0090225A"/>
    <w:rsid w:val="00A920CA"/>
    <w:rsid w:val="00B41FC8"/>
    <w:rsid w:val="00B71292"/>
    <w:rsid w:val="00BE1761"/>
    <w:rsid w:val="00BE3D1C"/>
    <w:rsid w:val="00BF1613"/>
    <w:rsid w:val="00C41C75"/>
    <w:rsid w:val="00CF6AF2"/>
    <w:rsid w:val="00D47532"/>
    <w:rsid w:val="00D652EF"/>
    <w:rsid w:val="00E6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FERCparanumber"/>
    <w:pPr>
      <w:keepNext/>
      <w:keepLines/>
      <w:tabs>
        <w:tab w:val="left" w:pos="1008"/>
      </w:tabs>
      <w:spacing w:after="260"/>
      <w:ind w:left="1152" w:hanging="792"/>
      <w:outlineLvl w:val="1"/>
    </w:pPr>
    <w:rPr>
      <w:rFonts w:ascii="Times New Roman Bold" w:hAnsi="Arial Unicode MS" w:cs="Arial Unicode MS"/>
      <w:color w:val="000000"/>
      <w:kern w:val="32"/>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right" w:pos="8640"/>
      </w:tabs>
      <w:spacing w:after="120"/>
    </w:pPr>
    <w:rPr>
      <w:rFonts w:hAnsi="Arial Unicode MS" w:cs="Arial Unicode MS"/>
      <w:color w:val="000000"/>
      <w:sz w:val="26"/>
      <w:szCs w:val="26"/>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widowControl w:val="0"/>
    </w:pPr>
    <w:rPr>
      <w:rFonts w:hAnsi="Arial Unicode MS" w:cs="Arial Unicode MS"/>
      <w:color w:val="000000"/>
      <w:sz w:val="26"/>
      <w:szCs w:val="26"/>
      <w:u w:color="000000"/>
    </w:rPr>
  </w:style>
  <w:style w:type="paragraph" w:customStyle="1" w:styleId="FERCparanumber">
    <w:name w:val="FERC paranumber"/>
    <w:pPr>
      <w:tabs>
        <w:tab w:val="left" w:pos="720"/>
      </w:tabs>
      <w:spacing w:after="240"/>
    </w:pPr>
    <w:rPr>
      <w:rFonts w:eastAsia="Times New Roman"/>
      <w:color w:val="000000"/>
      <w:sz w:val="26"/>
      <w:szCs w:val="26"/>
      <w:u w:color="000000"/>
    </w:rPr>
  </w:style>
  <w:style w:type="paragraph" w:styleId="FootnoteText">
    <w:name w:val="footnote text"/>
    <w:pPr>
      <w:widowControl w:val="0"/>
      <w:spacing w:after="260"/>
      <w:ind w:firstLine="720"/>
    </w:pPr>
    <w:rPr>
      <w:rFonts w:eastAsia="Times New Roman"/>
      <w:color w:val="000000"/>
      <w:sz w:val="26"/>
      <w:szCs w:val="26"/>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Heading">
    <w:name w:val="Heading"/>
    <w:next w:val="FERCparanumber"/>
    <w:pPr>
      <w:keepNext/>
      <w:keepLines/>
      <w:tabs>
        <w:tab w:val="left" w:pos="720"/>
      </w:tabs>
      <w:spacing w:after="260"/>
      <w:ind w:left="792" w:hanging="792"/>
      <w:outlineLvl w:val="0"/>
    </w:pPr>
    <w:rPr>
      <w:rFonts w:ascii="Times New Roman Bold" w:hAnsi="Arial Unicode MS" w:cs="Arial Unicode MS"/>
      <w:color w:val="000000"/>
      <w:kern w:val="32"/>
      <w:sz w:val="26"/>
      <w:szCs w:val="26"/>
      <w:u w:val="single" w:color="000000"/>
    </w:rPr>
  </w:style>
  <w:style w:type="numbering" w:customStyle="1" w:styleId="List1">
    <w:name w:val="List 1"/>
    <w:basedOn w:val="ImportedStyle1"/>
    <w:pPr>
      <w:numPr>
        <w:numId w:val="6"/>
      </w:numPr>
    </w:pPr>
  </w:style>
  <w:style w:type="numbering" w:customStyle="1" w:styleId="ImportedStyle1">
    <w:name w:val="Imported Style 1"/>
  </w:style>
  <w:style w:type="character" w:customStyle="1" w:styleId="None">
    <w:name w:val="None"/>
  </w:style>
  <w:style w:type="character" w:customStyle="1" w:styleId="Hyperlink0">
    <w:name w:val="Hyperlink.0"/>
    <w:basedOn w:val="None"/>
    <w:rPr>
      <w:i/>
      <w:iCs/>
    </w:rPr>
  </w:style>
  <w:style w:type="character" w:customStyle="1" w:styleId="Hyperlink1">
    <w:name w:val="Hyperlink.1"/>
    <w:basedOn w:val="None"/>
  </w:style>
  <w:style w:type="paragraph" w:styleId="Footer">
    <w:name w:val="footer"/>
    <w:basedOn w:val="Normal"/>
    <w:link w:val="FooterChar"/>
    <w:uiPriority w:val="99"/>
    <w:unhideWhenUsed/>
    <w:rsid w:val="00A920CA"/>
    <w:pPr>
      <w:tabs>
        <w:tab w:val="center" w:pos="4680"/>
        <w:tab w:val="right" w:pos="9360"/>
      </w:tabs>
    </w:pPr>
  </w:style>
  <w:style w:type="character" w:customStyle="1" w:styleId="FooterChar">
    <w:name w:val="Footer Char"/>
    <w:basedOn w:val="DefaultParagraphFont"/>
    <w:link w:val="Footer"/>
    <w:uiPriority w:val="99"/>
    <w:rsid w:val="00A920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FERCparanumber"/>
    <w:pPr>
      <w:keepNext/>
      <w:keepLines/>
      <w:tabs>
        <w:tab w:val="left" w:pos="1008"/>
      </w:tabs>
      <w:spacing w:after="260"/>
      <w:ind w:left="1152" w:hanging="792"/>
      <w:outlineLvl w:val="1"/>
    </w:pPr>
    <w:rPr>
      <w:rFonts w:ascii="Times New Roman Bold" w:hAnsi="Arial Unicode MS" w:cs="Arial Unicode MS"/>
      <w:color w:val="000000"/>
      <w:kern w:val="32"/>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right" w:pos="8640"/>
      </w:tabs>
      <w:spacing w:after="120"/>
    </w:pPr>
    <w:rPr>
      <w:rFonts w:hAnsi="Arial Unicode MS" w:cs="Arial Unicode MS"/>
      <w:color w:val="000000"/>
      <w:sz w:val="26"/>
      <w:szCs w:val="26"/>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widowControl w:val="0"/>
    </w:pPr>
    <w:rPr>
      <w:rFonts w:hAnsi="Arial Unicode MS" w:cs="Arial Unicode MS"/>
      <w:color w:val="000000"/>
      <w:sz w:val="26"/>
      <w:szCs w:val="26"/>
      <w:u w:color="000000"/>
    </w:rPr>
  </w:style>
  <w:style w:type="paragraph" w:customStyle="1" w:styleId="FERCparanumber">
    <w:name w:val="FERC paranumber"/>
    <w:pPr>
      <w:tabs>
        <w:tab w:val="left" w:pos="720"/>
      </w:tabs>
      <w:spacing w:after="240"/>
    </w:pPr>
    <w:rPr>
      <w:rFonts w:eastAsia="Times New Roman"/>
      <w:color w:val="000000"/>
      <w:sz w:val="26"/>
      <w:szCs w:val="26"/>
      <w:u w:color="000000"/>
    </w:rPr>
  </w:style>
  <w:style w:type="paragraph" w:styleId="FootnoteText">
    <w:name w:val="footnote text"/>
    <w:pPr>
      <w:widowControl w:val="0"/>
      <w:spacing w:after="260"/>
      <w:ind w:firstLine="720"/>
    </w:pPr>
    <w:rPr>
      <w:rFonts w:eastAsia="Times New Roman"/>
      <w:color w:val="000000"/>
      <w:sz w:val="26"/>
      <w:szCs w:val="26"/>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Heading">
    <w:name w:val="Heading"/>
    <w:next w:val="FERCparanumber"/>
    <w:pPr>
      <w:keepNext/>
      <w:keepLines/>
      <w:tabs>
        <w:tab w:val="left" w:pos="720"/>
      </w:tabs>
      <w:spacing w:after="260"/>
      <w:ind w:left="792" w:hanging="792"/>
      <w:outlineLvl w:val="0"/>
    </w:pPr>
    <w:rPr>
      <w:rFonts w:ascii="Times New Roman Bold" w:hAnsi="Arial Unicode MS" w:cs="Arial Unicode MS"/>
      <w:color w:val="000000"/>
      <w:kern w:val="32"/>
      <w:sz w:val="26"/>
      <w:szCs w:val="26"/>
      <w:u w:val="single" w:color="000000"/>
    </w:rPr>
  </w:style>
  <w:style w:type="numbering" w:customStyle="1" w:styleId="List1">
    <w:name w:val="List 1"/>
    <w:basedOn w:val="ImportedStyle1"/>
    <w:pPr>
      <w:numPr>
        <w:numId w:val="6"/>
      </w:numPr>
    </w:pPr>
  </w:style>
  <w:style w:type="numbering" w:customStyle="1" w:styleId="ImportedStyle1">
    <w:name w:val="Imported Style 1"/>
  </w:style>
  <w:style w:type="character" w:customStyle="1" w:styleId="None">
    <w:name w:val="None"/>
  </w:style>
  <w:style w:type="character" w:customStyle="1" w:styleId="Hyperlink0">
    <w:name w:val="Hyperlink.0"/>
    <w:basedOn w:val="None"/>
    <w:rPr>
      <w:i/>
      <w:iCs/>
    </w:rPr>
  </w:style>
  <w:style w:type="character" w:customStyle="1" w:styleId="Hyperlink1">
    <w:name w:val="Hyperlink.1"/>
    <w:basedOn w:val="None"/>
  </w:style>
  <w:style w:type="paragraph" w:styleId="Footer">
    <w:name w:val="footer"/>
    <w:basedOn w:val="Normal"/>
    <w:link w:val="FooterChar"/>
    <w:uiPriority w:val="99"/>
    <w:unhideWhenUsed/>
    <w:rsid w:val="00A920CA"/>
    <w:pPr>
      <w:tabs>
        <w:tab w:val="center" w:pos="4680"/>
        <w:tab w:val="right" w:pos="9360"/>
      </w:tabs>
    </w:pPr>
  </w:style>
  <w:style w:type="character" w:customStyle="1" w:styleId="FooterChar">
    <w:name w:val="Footer Char"/>
    <w:basedOn w:val="DefaultParagraphFont"/>
    <w:link w:val="Footer"/>
    <w:uiPriority w:val="99"/>
    <w:rsid w:val="00A920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next.westlaw.com/Link/Document/FullText?findType=Y&amp;serNum=1958130267&amp;pubNum=350&amp;originatingDoc=Ib7334df091e611dbb38df5bc58c34d92&amp;refType=RP&amp;fi=co_pp_sp_350_863&amp;originationContext=document&amp;transitionType=DocumentItem&amp;contextData=(sc.UserEnteredCitation)" TargetMode="External"/><Relationship Id="rId2" Type="http://schemas.openxmlformats.org/officeDocument/2006/relationships/hyperlink" Target="https://a.next.westlaw.com/Link/Document/FullText?findType=Y&amp;serNum=1981205945&amp;pubNum=780&amp;originatingDoc=Ib7334df091e611dbb38df5bc58c34d92&amp;refType=RP&amp;originationContext=document&amp;transitionType=DocumentItem&amp;contextData=(sc.UserEnteredCitation)" TargetMode="External"/><Relationship Id="rId1" Type="http://schemas.openxmlformats.org/officeDocument/2006/relationships/hyperlink" Target="https://a.next.westlaw.com/Link/Document/FullText?findType=Y&amp;serNum=1980125544&amp;pubNum=350&amp;originatingDoc=Ib7334df091e611dbb38df5bc58c34d92&amp;refType=RP&amp;fi=co_pp_sp_350_238&amp;originationContext=document&amp;transitionType=DocumentItem&amp;contextData=(sc.UserEnteredCitation)" TargetMode="External"/><Relationship Id="rId5" Type="http://schemas.openxmlformats.org/officeDocument/2006/relationships/hyperlink" Target="https://a.next.westlaw.com/Link/Document/FullText?findType=Y&amp;serNum=1985136734&amp;pubNum=350&amp;originatingDoc=Ib7334df091e611dbb38df5bc58c34d92&amp;refType=RP&amp;fi=co_pp_sp_350_1438&amp;originationContext=document&amp;transitionType=DocumentItem&amp;contextData=(sc.UserEnteredCitation)" TargetMode="External"/><Relationship Id="rId4" Type="http://schemas.openxmlformats.org/officeDocument/2006/relationships/hyperlink" Target="https://a.next.westlaw.com/Link/Document/FullText?findType=Y&amp;serNum=1958208862&amp;pubNum=780&amp;originatingDoc=Ib7334df091e611dbb38df5bc58c34d92&amp;refType=RP&amp;originationContext=document&amp;transitionType=DocumentItem&amp;contextData=(sc.UserEnteredCitatio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Bold"/>
        <a:ea typeface="Arial Bold"/>
        <a:cs typeface="Arial Bold"/>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AA124-F29F-424C-A822-D456036F88E0}">
  <ds:schemaRefs>
    <ds:schemaRef ds:uri="http://schemas.microsoft.com/sharepoint/v3/contenttype/forms"/>
  </ds:schemaRefs>
</ds:datastoreItem>
</file>

<file path=customXml/itemProps2.xml><?xml version="1.0" encoding="utf-8"?>
<ds:datastoreItem xmlns:ds="http://schemas.openxmlformats.org/officeDocument/2006/customXml" ds:itemID="{935989C6-E247-4C23-88E9-EDF8A600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86E98F-152A-4847-A127-8A6776AAE8B4}">
  <ds:schemaRefs>
    <ds:schemaRef ds:uri="http://schemas.microsoft.com/office/2006/metadata/properties"/>
  </ds:schemaRefs>
</ds:datastoreItem>
</file>

<file path=customXml/itemProps4.xml><?xml version="1.0" encoding="utf-8"?>
<ds:datastoreItem xmlns:ds="http://schemas.openxmlformats.org/officeDocument/2006/customXml" ds:itemID="{6557BDC0-235E-47D0-A698-B09B92B7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2015-09-28T17:09:00Z</dcterms:created>
  <dcterms:modified xsi:type="dcterms:W3CDTF">2015-09-28T17:09:00Z</dcterms:modified>
  <dc:identifier/>
  <cp:version/>
</cp:coreProperties>
</file>