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DD6F" w14:textId="77777777" w:rsidR="00FE7B12" w:rsidRPr="007D1897" w:rsidRDefault="00FE7B12" w:rsidP="00284CE6">
      <w:pPr>
        <w:rPr>
          <w:lang w:val="es-419"/>
        </w:rPr>
      </w:pPr>
      <w:bookmarkStart w:id="0" w:name="_Hlk33004944"/>
    </w:p>
    <w:p w14:paraId="4A699497" w14:textId="3F224EF7" w:rsidR="0072769E" w:rsidRPr="007D1897" w:rsidRDefault="00694B52" w:rsidP="00284CE6">
      <w:pPr>
        <w:rPr>
          <w:lang w:val="es-419"/>
        </w:rPr>
      </w:pPr>
      <w:r w:rsidRPr="007D1897">
        <w:rPr>
          <w:lang w:val="es-419"/>
        </w:rPr>
        <w:t xml:space="preserve">Éste es un anuncio de que sus tarifas pueden cambiar. Para más detalles en español, llame al </w:t>
      </w:r>
      <w:r w:rsidR="005C5DCD" w:rsidRPr="007D1897">
        <w:rPr>
          <w:lang w:val="es-419"/>
        </w:rPr>
        <w:br/>
      </w:r>
      <w:r w:rsidRPr="007D1897">
        <w:rPr>
          <w:lang w:val="es-419"/>
        </w:rPr>
        <w:t>1-800-311-7343.</w:t>
      </w:r>
    </w:p>
    <w:bookmarkEnd w:id="0"/>
    <w:p w14:paraId="4F763E05" w14:textId="77777777" w:rsidR="0072769E" w:rsidRPr="007D1897" w:rsidRDefault="0072769E" w:rsidP="0072769E">
      <w:pPr>
        <w:pStyle w:val="Table"/>
        <w:rPr>
          <w:lang w:val="es-419"/>
        </w:rPr>
      </w:pPr>
    </w:p>
    <w:p w14:paraId="6854A014" w14:textId="5EC708DE" w:rsidR="00D512FD" w:rsidRPr="007D1897" w:rsidRDefault="00694B52" w:rsidP="003001DA">
      <w:pPr>
        <w:pStyle w:val="Table"/>
        <w:jc w:val="center"/>
        <w:rPr>
          <w:lang w:val="es-419"/>
        </w:rPr>
      </w:pPr>
      <w:r w:rsidRPr="007D1897">
        <w:rPr>
          <w:rFonts w:ascii="Times New Roman" w:hAnsi="Times New Roman" w:cs="Times New Roman"/>
          <w:caps/>
          <w:sz w:val="24"/>
          <w:szCs w:val="24"/>
          <w:lang w:val="es-419"/>
        </w:rPr>
        <w:t xml:space="preserve">NOTIFICACIÓN DE </w:t>
      </w:r>
      <w:r w:rsidR="00EF1757" w:rsidRPr="007D1897">
        <w:rPr>
          <w:rFonts w:ascii="Times New Roman" w:hAnsi="Times New Roman" w:cs="Times New Roman"/>
          <w:caps/>
          <w:sz w:val="24"/>
          <w:szCs w:val="24"/>
          <w:lang w:val="es-419"/>
        </w:rPr>
        <w:br/>
      </w:r>
      <w:r w:rsidRPr="007D1897">
        <w:rPr>
          <w:rFonts w:ascii="Times New Roman" w:hAnsi="Times New Roman" w:cs="Times New Roman"/>
          <w:caps/>
          <w:sz w:val="24"/>
          <w:szCs w:val="24"/>
          <w:lang w:val="es-419"/>
        </w:rPr>
        <w:t xml:space="preserve">SOLICITUD DE SAN DIEGO GAS &amp; ELECTRIC COMPANY </w:t>
      </w:r>
      <w:r w:rsidR="005C5413" w:rsidRPr="007D1897">
        <w:rPr>
          <w:rFonts w:ascii="Times New Roman" w:hAnsi="Times New Roman" w:cs="Times New Roman"/>
          <w:caps/>
          <w:sz w:val="24"/>
          <w:szCs w:val="24"/>
          <w:lang w:val="es-419"/>
        </w:rPr>
        <w:t>PARA</w:t>
      </w:r>
      <w:r w:rsidR="00A57C2E" w:rsidRPr="007D1897">
        <w:rPr>
          <w:rFonts w:ascii="Times New Roman" w:hAnsi="Times New Roman" w:cs="Times New Roman"/>
          <w:caps/>
          <w:sz w:val="24"/>
          <w:szCs w:val="24"/>
          <w:lang w:val="es-419"/>
        </w:rPr>
        <w:br/>
      </w:r>
      <w:bookmarkStart w:id="1" w:name="_Hlk33004932"/>
      <w:r w:rsidRPr="007D1897">
        <w:rPr>
          <w:rFonts w:ascii="Times New Roman" w:hAnsi="Times New Roman" w:cs="Times New Roman"/>
          <w:caps/>
          <w:sz w:val="24"/>
          <w:szCs w:val="24"/>
          <w:lang w:val="es-419"/>
        </w:rPr>
        <w:t xml:space="preserve">aumentar LAS TARIFAS ELÉCTRICAS y de gas </w:t>
      </w:r>
    </w:p>
    <w:bookmarkEnd w:id="1"/>
    <w:p w14:paraId="118DFB5B" w14:textId="44332822" w:rsidR="0072769E" w:rsidRPr="007D1897" w:rsidRDefault="00694B52" w:rsidP="00234BFA">
      <w:pPr>
        <w:pStyle w:val="Default"/>
        <w:jc w:val="center"/>
        <w:rPr>
          <w:lang w:val="es-419"/>
        </w:rPr>
      </w:pPr>
      <w:r w:rsidRPr="007D1897">
        <w:rPr>
          <w:rFonts w:ascii="Times New Roman" w:eastAsia="Times New Roman" w:hAnsi="Times New Roman" w:cs="Times New Roman"/>
          <w:lang w:val="es-419"/>
        </w:rPr>
        <w:t>NÚM. A.21-07-</w:t>
      </w:r>
      <w:r w:rsidRPr="007D1897">
        <w:rPr>
          <w:rFonts w:ascii="Times New Roman" w:eastAsia="Times New Roman" w:hAnsi="Times New Roman" w:cs="Times New Roman"/>
          <w:color w:val="211D1E"/>
          <w:sz w:val="25"/>
          <w:szCs w:val="25"/>
          <w:lang w:val="es-419"/>
        </w:rPr>
        <w:t>017</w:t>
      </w:r>
    </w:p>
    <w:p w14:paraId="0EF08E9B" w14:textId="77777777" w:rsidR="00041241" w:rsidRPr="007D1897" w:rsidRDefault="00041241" w:rsidP="00FE7B12">
      <w:pPr>
        <w:pStyle w:val="Table"/>
        <w:rPr>
          <w:rFonts w:ascii="Times New Roman" w:hAnsi="Times New Roman" w:cs="Times New Roman"/>
          <w:lang w:val="es-419"/>
        </w:rPr>
      </w:pPr>
    </w:p>
    <w:p w14:paraId="73AA5FAF" w14:textId="30213F86" w:rsidR="00091523" w:rsidRPr="007D1897" w:rsidRDefault="00694B52" w:rsidP="00FE7B12">
      <w:pPr>
        <w:pStyle w:val="BodyText"/>
        <w:rPr>
          <w:lang w:val="es-419"/>
        </w:rPr>
      </w:pPr>
      <w:r w:rsidRPr="007D1897">
        <w:rPr>
          <w:b/>
          <w:bCs/>
          <w:lang w:val="es-419"/>
        </w:rPr>
        <w:t>¿Por qué estoy recibiendo este aviso?</w:t>
      </w:r>
    </w:p>
    <w:p w14:paraId="50C13CC9" w14:textId="3D036FFD" w:rsidR="007420A0" w:rsidRPr="007D1897" w:rsidRDefault="00694B52" w:rsidP="007420A0">
      <w:pPr>
        <w:rPr>
          <w:sz w:val="22"/>
          <w:szCs w:val="22"/>
          <w:lang w:val="es-419"/>
        </w:rPr>
      </w:pPr>
      <w:r w:rsidRPr="007D1897">
        <w:rPr>
          <w:lang w:val="es-419"/>
        </w:rPr>
        <w:t>El 30 de julio de 2021, San Diego Gas &amp; Electric Company (SDG&amp;E</w:t>
      </w:r>
      <w:r w:rsidRPr="007D1897">
        <w:rPr>
          <w:vertAlign w:val="superscript"/>
          <w:lang w:val="es-419"/>
        </w:rPr>
        <w:t>®</w:t>
      </w:r>
      <w:r w:rsidRPr="007D1897">
        <w:rPr>
          <w:lang w:val="es-419"/>
        </w:rPr>
        <w:t xml:space="preserve">) presentó una solicitud ante la Comisión de Servicios Públicos de California (CPUC) para obtener la aprobación </w:t>
      </w:r>
      <w:r w:rsidR="00872E1B" w:rsidRPr="007D1897">
        <w:rPr>
          <w:lang w:val="es-419"/>
        </w:rPr>
        <w:t>a</w:t>
      </w:r>
      <w:r w:rsidRPr="007D1897">
        <w:rPr>
          <w:lang w:val="es-419"/>
        </w:rPr>
        <w:t xml:space="preserve"> fin de establecer un mecanismo provisional </w:t>
      </w:r>
      <w:r w:rsidR="00C01A91" w:rsidRPr="007D1897">
        <w:rPr>
          <w:lang w:val="es-419"/>
        </w:rPr>
        <w:t>mediante el cual</w:t>
      </w:r>
      <w:r w:rsidRPr="007D1897">
        <w:rPr>
          <w:lang w:val="es-419"/>
        </w:rPr>
        <w:t xml:space="preserve"> el 50% de los gastos en que SDG&amp;E haya incurrido para mitigación de incendios forestales se cobr</w:t>
      </w:r>
      <w:r w:rsidR="00912C4C" w:rsidRPr="007D1897">
        <w:rPr>
          <w:lang w:val="es-419"/>
        </w:rPr>
        <w:t>e</w:t>
      </w:r>
      <w:r w:rsidRPr="007D1897">
        <w:rPr>
          <w:lang w:val="es-419"/>
        </w:rPr>
        <w:t xml:space="preserve">n en la tarifas sobre una base anual, sujetos a reembolso. El resultado </w:t>
      </w:r>
      <w:r w:rsidRPr="007D1897">
        <w:rPr>
          <w:b/>
          <w:bCs/>
          <w:lang w:val="es-419"/>
        </w:rPr>
        <w:t>aumentará las tarifas eléctricas y de gas</w:t>
      </w:r>
      <w:r w:rsidRPr="007D1897">
        <w:rPr>
          <w:lang w:val="es-419"/>
        </w:rPr>
        <w:t>. SDG&amp;E solicita que las nuevas tarifas comiencen el primer día del mes siguiente a la fecha de entrada en vigor de una decisión definitiva. El Requisito de Ingresos 2021 se amortizará a lo largo de 21 meses.</w:t>
      </w:r>
    </w:p>
    <w:p w14:paraId="142FC7D0" w14:textId="2045CD1A" w:rsidR="00143E6E" w:rsidRPr="007D1897" w:rsidRDefault="00143E6E" w:rsidP="003C0D81">
      <w:pPr>
        <w:autoSpaceDE w:val="0"/>
        <w:autoSpaceDN w:val="0"/>
        <w:adjustRightInd w:val="0"/>
        <w:rPr>
          <w:lang w:val="es-419"/>
        </w:rPr>
      </w:pPr>
    </w:p>
    <w:p w14:paraId="365192BF" w14:textId="72776819" w:rsidR="00FE7B12" w:rsidRPr="007D1897" w:rsidRDefault="00FE7B12" w:rsidP="003C0D81">
      <w:pPr>
        <w:autoSpaceDE w:val="0"/>
        <w:autoSpaceDN w:val="0"/>
        <w:adjustRightInd w:val="0"/>
        <w:rPr>
          <w:lang w:val="es-419"/>
        </w:rPr>
      </w:pPr>
    </w:p>
    <w:p w14:paraId="60B707BF" w14:textId="6D844D09" w:rsidR="00FE7B12" w:rsidRPr="007D1897" w:rsidRDefault="00694B52" w:rsidP="00FE7B12">
      <w:pPr>
        <w:pStyle w:val="paragraph"/>
        <w:spacing w:before="0" w:beforeAutospacing="0" w:after="0" w:afterAutospacing="0"/>
        <w:textAlignment w:val="baseline"/>
        <w:rPr>
          <w:lang w:val="es-419"/>
        </w:rPr>
      </w:pPr>
      <w:r w:rsidRPr="007D1897">
        <w:rPr>
          <w:rStyle w:val="normaltextrun"/>
          <w:b/>
          <w:bCs/>
          <w:lang w:val="es-419"/>
        </w:rPr>
        <w:t>¿Por qué está solicitando SDG&amp;E este aumento tarifario?</w:t>
      </w:r>
    </w:p>
    <w:p w14:paraId="4C3FA89A" w14:textId="5E45B876" w:rsidR="009D57CF" w:rsidRPr="007D1897" w:rsidRDefault="00694B52" w:rsidP="009D57CF">
      <w:pPr>
        <w:pStyle w:val="paragraph"/>
        <w:numPr>
          <w:ilvl w:val="0"/>
          <w:numId w:val="9"/>
        </w:numPr>
        <w:spacing w:before="0" w:beforeAutospacing="0" w:after="0" w:afterAutospacing="0"/>
        <w:textAlignment w:val="baseline"/>
        <w:rPr>
          <w:rStyle w:val="normaltextrun"/>
          <w:lang w:val="es-419"/>
        </w:rPr>
      </w:pPr>
      <w:r w:rsidRPr="007D1897">
        <w:rPr>
          <w:rStyle w:val="normaltextrun"/>
          <w:lang w:val="es-419"/>
        </w:rPr>
        <w:t xml:space="preserve">SDG&amp;E está solicitando el establecimiento de un mecanismo provisional de asistencia tarifaria mediante el cual el 50% de los gastos por mitigación de incendios forestales </w:t>
      </w:r>
      <w:r w:rsidR="009D5641" w:rsidRPr="007D1897">
        <w:rPr>
          <w:rStyle w:val="normaltextrun"/>
          <w:lang w:val="es-419"/>
        </w:rPr>
        <w:t>con</w:t>
      </w:r>
      <w:r w:rsidRPr="007D1897">
        <w:rPr>
          <w:rStyle w:val="normaltextrun"/>
          <w:lang w:val="es-419"/>
        </w:rPr>
        <w:t xml:space="preserve"> aumentos graduales por encima de los autorizados para recuperarse en la Revisión General de Tarifas (GRC, por sus siglas en inglés) de SDG&amp;E pueda autorizarse para recuperarse anualmente.</w:t>
      </w:r>
    </w:p>
    <w:p w14:paraId="69E1888E" w14:textId="741EAF77" w:rsidR="00FE7B12" w:rsidRPr="007D1897" w:rsidRDefault="00694B52" w:rsidP="00C646BF">
      <w:pPr>
        <w:pStyle w:val="paragraph"/>
        <w:numPr>
          <w:ilvl w:val="0"/>
          <w:numId w:val="9"/>
        </w:numPr>
        <w:spacing w:before="0" w:beforeAutospacing="0" w:after="0" w:afterAutospacing="0"/>
        <w:textAlignment w:val="baseline"/>
        <w:rPr>
          <w:lang w:val="es-419"/>
        </w:rPr>
      </w:pPr>
      <w:r w:rsidRPr="007D1897">
        <w:rPr>
          <w:rStyle w:val="normaltextrun"/>
          <w:lang w:val="es-419"/>
        </w:rPr>
        <w:t>Esta petición posteriormente se sujetará a una revisión de razonabilidad y al reembolso con intereses de cualesquier gastos no autorizados en la próxima GRC de SDG&amp;E o en una solicitud por separado.</w:t>
      </w:r>
    </w:p>
    <w:p w14:paraId="08113E33" w14:textId="77777777" w:rsidR="0072769E" w:rsidRPr="007D1897" w:rsidRDefault="0072769E" w:rsidP="0072769E">
      <w:pPr>
        <w:keepNext/>
        <w:keepLines/>
        <w:rPr>
          <w:lang w:val="es-419"/>
        </w:rPr>
      </w:pPr>
    </w:p>
    <w:p w14:paraId="268A5FF6" w14:textId="2F4BB9FC" w:rsidR="00E46080" w:rsidRPr="007D1897" w:rsidRDefault="00694B52" w:rsidP="00FE7B12">
      <w:pPr>
        <w:autoSpaceDE w:val="0"/>
        <w:autoSpaceDN w:val="0"/>
        <w:adjustRightInd w:val="0"/>
        <w:rPr>
          <w:b/>
          <w:bCs/>
          <w:lang w:val="es-419"/>
        </w:rPr>
      </w:pPr>
      <w:bookmarkStart w:id="2" w:name="_DV_M51"/>
      <w:bookmarkEnd w:id="2"/>
      <w:r w:rsidRPr="007D1897">
        <w:rPr>
          <w:b/>
          <w:bCs/>
          <w:lang w:val="es-419"/>
        </w:rPr>
        <w:t>¿Cómo podría esto afectar mis tarifas eléctricas mensuales?</w:t>
      </w:r>
    </w:p>
    <w:p w14:paraId="259028C0" w14:textId="77777777" w:rsidR="00E46080" w:rsidRPr="007D1897" w:rsidRDefault="00E46080" w:rsidP="00E46080">
      <w:pPr>
        <w:autoSpaceDE w:val="0"/>
        <w:autoSpaceDN w:val="0"/>
        <w:adjustRightInd w:val="0"/>
        <w:rPr>
          <w:highlight w:val="yellow"/>
          <w:lang w:val="es-419"/>
        </w:rPr>
      </w:pPr>
    </w:p>
    <w:p w14:paraId="26781310" w14:textId="35A9C5A2" w:rsidR="00E46080" w:rsidRPr="007D1897" w:rsidRDefault="00694B52" w:rsidP="00E46080">
      <w:pPr>
        <w:rPr>
          <w:b/>
          <w:bCs/>
          <w:lang w:val="es-419"/>
        </w:rPr>
      </w:pPr>
      <w:r w:rsidRPr="007D1897">
        <w:rPr>
          <w:lang w:val="es-419"/>
        </w:rPr>
        <w:t>Si la CPUC aprueba la petición de SDG&amp;E de un mecanismo provisional para incendios forestales en la presente solicitud, la factura promedio de un cliente residencia</w:t>
      </w:r>
      <w:r w:rsidR="00484ECE" w:rsidRPr="007D1897">
        <w:rPr>
          <w:lang w:val="es-419"/>
        </w:rPr>
        <w:t>l</w:t>
      </w:r>
      <w:r w:rsidRPr="007D1897">
        <w:rPr>
          <w:lang w:val="es-419"/>
        </w:rPr>
        <w:t xml:space="preserve"> típico con servicio en paquete que no participa en el programa CARE</w:t>
      </w:r>
      <w:r w:rsidRPr="007D1897">
        <w:rPr>
          <w:rStyle w:val="FootnoteReference"/>
          <w:lang w:val="es-419"/>
        </w:rPr>
        <w:footnoteReference w:id="2"/>
      </w:r>
      <w:r w:rsidR="00487255">
        <w:rPr>
          <w:lang w:val="es-419"/>
        </w:rPr>
        <w:t xml:space="preserve">, </w:t>
      </w:r>
      <w:r w:rsidRPr="007D1897">
        <w:rPr>
          <w:lang w:val="es-419"/>
        </w:rPr>
        <w:t xml:space="preserve">vive en la zona climática del interior y costera y consume 400 kilovatios-hora (kWh) al mes </w:t>
      </w:r>
      <w:r w:rsidRPr="007D1897">
        <w:rPr>
          <w:b/>
          <w:bCs/>
          <w:lang w:val="es-419"/>
        </w:rPr>
        <w:t>aumentaría</w:t>
      </w:r>
      <w:r w:rsidRPr="007D1897">
        <w:rPr>
          <w:lang w:val="es-419"/>
        </w:rPr>
        <w:t xml:space="preserve"> $1.92 (o 1.4%) en 2022. Las facturas por cliente individual pueden variar. </w:t>
      </w:r>
      <w:r w:rsidRPr="007D1897">
        <w:rPr>
          <w:b/>
          <w:bCs/>
          <w:lang w:val="es-419"/>
        </w:rPr>
        <w:t>De aprobarse, las nuevas tarifas entrarían en vigor el primer día del mes siguiente a la fecha en que empieza a surtir efecto una decisión definitiva</w:t>
      </w:r>
      <w:r w:rsidRPr="007D1897">
        <w:rPr>
          <w:lang w:val="es-419"/>
        </w:rPr>
        <w:t xml:space="preserve">. </w:t>
      </w:r>
    </w:p>
    <w:p w14:paraId="678000F6" w14:textId="77777777" w:rsidR="00E46080" w:rsidRPr="007D1897" w:rsidRDefault="00E46080" w:rsidP="00E46080">
      <w:pPr>
        <w:autoSpaceDE w:val="0"/>
        <w:autoSpaceDN w:val="0"/>
        <w:adjustRightInd w:val="0"/>
        <w:rPr>
          <w:lang w:val="es-419"/>
        </w:rPr>
      </w:pPr>
    </w:p>
    <w:p w14:paraId="43896BF7" w14:textId="77777777" w:rsidR="00AF048A" w:rsidRPr="007D1897" w:rsidRDefault="00AF048A">
      <w:pPr>
        <w:rPr>
          <w:b/>
          <w:bCs/>
          <w:lang w:val="es-419"/>
        </w:rPr>
      </w:pPr>
      <w:r w:rsidRPr="007D1897">
        <w:rPr>
          <w:b/>
          <w:bCs/>
          <w:lang w:val="es-419"/>
        </w:rPr>
        <w:br w:type="page"/>
      </w:r>
    </w:p>
    <w:p w14:paraId="34B1C764" w14:textId="4892D1DA" w:rsidR="00E46080" w:rsidRPr="007D1897" w:rsidRDefault="00694B52" w:rsidP="00E46080">
      <w:pPr>
        <w:autoSpaceDE w:val="0"/>
        <w:autoSpaceDN w:val="0"/>
        <w:adjustRightInd w:val="0"/>
        <w:jc w:val="center"/>
        <w:rPr>
          <w:lang w:val="es-419"/>
        </w:rPr>
      </w:pPr>
      <w:r w:rsidRPr="007D1897">
        <w:rPr>
          <w:b/>
          <w:bCs/>
          <w:lang w:val="es-419"/>
        </w:rPr>
        <w:lastRenderedPageBreak/>
        <w:t>Resumen de tarifas eléctricas promedio por clase ilustrativas</w:t>
      </w:r>
    </w:p>
    <w:p w14:paraId="36F6EBAC" w14:textId="5BBCB45C" w:rsidR="00E46080" w:rsidRPr="007D1897" w:rsidRDefault="00694B52" w:rsidP="001F6086">
      <w:pPr>
        <w:autoSpaceDE w:val="0"/>
        <w:autoSpaceDN w:val="0"/>
        <w:adjustRightInd w:val="0"/>
        <w:jc w:val="center"/>
        <w:rPr>
          <w:lang w:val="es-419"/>
        </w:rPr>
      </w:pPr>
      <w:r w:rsidRPr="007D1897">
        <w:rPr>
          <w:lang w:val="es-419"/>
        </w:rPr>
        <w:t>Solicitud de asistencia tarifaria provisional para incendios forestales</w:t>
      </w:r>
    </w:p>
    <w:p w14:paraId="39BBF0F0" w14:textId="77777777" w:rsidR="00E46080" w:rsidRPr="007D1897" w:rsidRDefault="00E46080" w:rsidP="00E46080">
      <w:pPr>
        <w:rPr>
          <w:b/>
          <w:bCs/>
          <w:highlight w:val="yellow"/>
          <w:lang w:val="es-419"/>
        </w:rPr>
      </w:pPr>
    </w:p>
    <w:tbl>
      <w:tblPr>
        <w:tblStyle w:val="TableGrid"/>
        <w:tblW w:w="9085" w:type="dxa"/>
        <w:jc w:val="center"/>
        <w:tblLayout w:type="fixed"/>
        <w:tblLook w:val="06A0" w:firstRow="1" w:lastRow="0" w:firstColumn="1" w:lastColumn="0" w:noHBand="1" w:noVBand="1"/>
      </w:tblPr>
      <w:tblGrid>
        <w:gridCol w:w="712"/>
        <w:gridCol w:w="2348"/>
        <w:gridCol w:w="326"/>
        <w:gridCol w:w="1337"/>
        <w:gridCol w:w="1337"/>
        <w:gridCol w:w="325"/>
        <w:gridCol w:w="1350"/>
        <w:gridCol w:w="1350"/>
      </w:tblGrid>
      <w:tr w:rsidR="00093A37" w:rsidRPr="007D1897" w14:paraId="2329B42A" w14:textId="77777777" w:rsidTr="4C81384F">
        <w:trPr>
          <w:jc w:val="center"/>
        </w:trPr>
        <w:tc>
          <w:tcPr>
            <w:tcW w:w="712" w:type="dxa"/>
            <w:vMerge w:val="restart"/>
          </w:tcPr>
          <w:p w14:paraId="13699C85" w14:textId="4631519E" w:rsidR="00C7452D" w:rsidRPr="007D1897" w:rsidRDefault="001E69C1" w:rsidP="00BD3334">
            <w:pPr>
              <w:jc w:val="center"/>
              <w:rPr>
                <w:rFonts w:eastAsia="Arial"/>
                <w:b/>
                <w:bCs/>
                <w:sz w:val="20"/>
                <w:szCs w:val="20"/>
                <w:lang w:val="es-419"/>
              </w:rPr>
            </w:pPr>
            <w:r w:rsidRPr="007D1897">
              <w:rPr>
                <w:b/>
                <w:bCs/>
                <w:sz w:val="20"/>
                <w:szCs w:val="20"/>
                <w:lang w:val="es-419"/>
              </w:rPr>
              <w:t>Línea n</w:t>
            </w:r>
            <w:r w:rsidR="00830CB6" w:rsidRPr="007D1897">
              <w:rPr>
                <w:b/>
                <w:bCs/>
                <w:sz w:val="20"/>
                <w:szCs w:val="20"/>
                <w:lang w:val="es-419"/>
              </w:rPr>
              <w:t xml:space="preserve">úm. </w:t>
            </w:r>
          </w:p>
        </w:tc>
        <w:tc>
          <w:tcPr>
            <w:tcW w:w="2348" w:type="dxa"/>
            <w:vMerge w:val="restart"/>
          </w:tcPr>
          <w:p w14:paraId="55A65C54" w14:textId="77777777" w:rsidR="00C7452D" w:rsidRPr="007D1897" w:rsidRDefault="00694B52" w:rsidP="00BD3334">
            <w:pPr>
              <w:jc w:val="center"/>
              <w:rPr>
                <w:b/>
                <w:bCs/>
                <w:sz w:val="22"/>
                <w:szCs w:val="22"/>
                <w:lang w:val="es-419"/>
              </w:rPr>
            </w:pPr>
            <w:r w:rsidRPr="007D1897">
              <w:rPr>
                <w:b/>
                <w:bCs/>
                <w:sz w:val="22"/>
                <w:szCs w:val="22"/>
                <w:lang w:val="es-419"/>
              </w:rPr>
              <w:t>Clase de cliente</w:t>
            </w:r>
          </w:p>
        </w:tc>
        <w:tc>
          <w:tcPr>
            <w:tcW w:w="326" w:type="dxa"/>
          </w:tcPr>
          <w:p w14:paraId="6A30DD54" w14:textId="77777777" w:rsidR="00C7452D" w:rsidRPr="007D1897" w:rsidRDefault="00694B52" w:rsidP="00BD3334">
            <w:pPr>
              <w:rPr>
                <w:b/>
                <w:bCs/>
                <w:sz w:val="22"/>
                <w:szCs w:val="22"/>
                <w:lang w:val="es-419"/>
              </w:rPr>
            </w:pPr>
            <w:r w:rsidRPr="007D1897">
              <w:rPr>
                <w:rFonts w:eastAsia="Arial"/>
                <w:b/>
                <w:bCs/>
                <w:sz w:val="22"/>
                <w:szCs w:val="22"/>
                <w:lang w:val="es-419"/>
              </w:rPr>
              <w:t xml:space="preserve"> </w:t>
            </w:r>
          </w:p>
        </w:tc>
        <w:tc>
          <w:tcPr>
            <w:tcW w:w="2674" w:type="dxa"/>
            <w:gridSpan w:val="2"/>
          </w:tcPr>
          <w:p w14:paraId="6FA7BF0C" w14:textId="5B51F29C" w:rsidR="00C7452D" w:rsidRPr="007D1897" w:rsidRDefault="00694B52" w:rsidP="00BD3334">
            <w:pPr>
              <w:jc w:val="center"/>
              <w:rPr>
                <w:b/>
                <w:bCs/>
                <w:sz w:val="22"/>
                <w:szCs w:val="22"/>
                <w:lang w:val="es-419"/>
              </w:rPr>
            </w:pPr>
            <w:r w:rsidRPr="007D1897">
              <w:rPr>
                <w:b/>
                <w:bCs/>
                <w:sz w:val="22"/>
                <w:szCs w:val="22"/>
                <w:lang w:val="es-419"/>
              </w:rPr>
              <w:t>Tarifas totales</w:t>
            </w:r>
            <w:r w:rsidRPr="007D1897">
              <w:rPr>
                <w:rStyle w:val="FootnoteReference"/>
                <w:rFonts w:eastAsia="Arial"/>
                <w:sz w:val="22"/>
                <w:szCs w:val="22"/>
                <w:lang w:val="es-419"/>
              </w:rPr>
              <w:footnoteReference w:id="3"/>
            </w:r>
          </w:p>
        </w:tc>
        <w:tc>
          <w:tcPr>
            <w:tcW w:w="325" w:type="dxa"/>
          </w:tcPr>
          <w:p w14:paraId="34A72FC3" w14:textId="77777777" w:rsidR="00C7452D" w:rsidRPr="007D1897" w:rsidRDefault="00C7452D" w:rsidP="00BD3334">
            <w:pPr>
              <w:jc w:val="center"/>
              <w:rPr>
                <w:rFonts w:eastAsia="Arial"/>
                <w:b/>
                <w:bCs/>
                <w:sz w:val="22"/>
                <w:szCs w:val="22"/>
                <w:lang w:val="es-419"/>
              </w:rPr>
            </w:pPr>
          </w:p>
        </w:tc>
        <w:tc>
          <w:tcPr>
            <w:tcW w:w="2700" w:type="dxa"/>
            <w:gridSpan w:val="2"/>
          </w:tcPr>
          <w:p w14:paraId="11591FE8" w14:textId="2BFD6F65" w:rsidR="00C7452D" w:rsidRPr="007D1897" w:rsidRDefault="00694B52" w:rsidP="00BD3334">
            <w:pPr>
              <w:jc w:val="center"/>
              <w:rPr>
                <w:b/>
                <w:bCs/>
                <w:sz w:val="22"/>
                <w:szCs w:val="22"/>
                <w:lang w:val="es-419"/>
              </w:rPr>
            </w:pPr>
            <w:r w:rsidRPr="007D1897">
              <w:rPr>
                <w:b/>
                <w:bCs/>
                <w:sz w:val="22"/>
                <w:szCs w:val="22"/>
                <w:lang w:val="es-419"/>
              </w:rPr>
              <w:t>Cambio</w:t>
            </w:r>
          </w:p>
        </w:tc>
      </w:tr>
      <w:tr w:rsidR="00093A37" w:rsidRPr="007D1897" w14:paraId="4C5FEA39" w14:textId="77777777" w:rsidTr="4C81384F">
        <w:trPr>
          <w:jc w:val="center"/>
        </w:trPr>
        <w:tc>
          <w:tcPr>
            <w:tcW w:w="712" w:type="dxa"/>
            <w:vMerge/>
          </w:tcPr>
          <w:p w14:paraId="11F18188" w14:textId="77777777" w:rsidR="00C7452D" w:rsidRPr="007D1897" w:rsidRDefault="00C7452D" w:rsidP="00BD3334">
            <w:pPr>
              <w:rPr>
                <w:b/>
                <w:bCs/>
                <w:sz w:val="22"/>
                <w:szCs w:val="22"/>
                <w:lang w:val="es-419"/>
              </w:rPr>
            </w:pPr>
          </w:p>
        </w:tc>
        <w:tc>
          <w:tcPr>
            <w:tcW w:w="2348" w:type="dxa"/>
            <w:vMerge/>
          </w:tcPr>
          <w:p w14:paraId="790302D0" w14:textId="77777777" w:rsidR="00C7452D" w:rsidRPr="007D1897" w:rsidRDefault="00C7452D" w:rsidP="00BD3334">
            <w:pPr>
              <w:rPr>
                <w:b/>
                <w:bCs/>
                <w:sz w:val="22"/>
                <w:szCs w:val="22"/>
                <w:lang w:val="es-419"/>
              </w:rPr>
            </w:pPr>
          </w:p>
        </w:tc>
        <w:tc>
          <w:tcPr>
            <w:tcW w:w="326" w:type="dxa"/>
          </w:tcPr>
          <w:p w14:paraId="038FDF8D" w14:textId="77777777" w:rsidR="00C7452D" w:rsidRPr="007D1897" w:rsidRDefault="00C7452D" w:rsidP="00BD3334">
            <w:pPr>
              <w:rPr>
                <w:b/>
                <w:bCs/>
                <w:sz w:val="22"/>
                <w:szCs w:val="22"/>
                <w:lang w:val="es-419"/>
              </w:rPr>
            </w:pPr>
          </w:p>
        </w:tc>
        <w:tc>
          <w:tcPr>
            <w:tcW w:w="1337" w:type="dxa"/>
          </w:tcPr>
          <w:p w14:paraId="7A1B6783" w14:textId="270724B2" w:rsidR="00C7452D" w:rsidRPr="007D1897" w:rsidRDefault="00694B52" w:rsidP="00BD3334">
            <w:pPr>
              <w:jc w:val="center"/>
              <w:rPr>
                <w:rFonts w:eastAsia="Arial"/>
                <w:b/>
                <w:bCs/>
                <w:sz w:val="22"/>
                <w:szCs w:val="22"/>
                <w:lang w:val="es-419"/>
              </w:rPr>
            </w:pPr>
            <w:r w:rsidRPr="007D1897">
              <w:rPr>
                <w:b/>
                <w:bCs/>
                <w:sz w:val="22"/>
                <w:szCs w:val="22"/>
                <w:lang w:val="es-419"/>
              </w:rPr>
              <w:t xml:space="preserve">En vigor </w:t>
            </w:r>
            <w:r w:rsidR="00F61ADE" w:rsidRPr="007D1897">
              <w:rPr>
                <w:b/>
                <w:bCs/>
                <w:sz w:val="22"/>
                <w:szCs w:val="22"/>
                <w:lang w:val="es-419"/>
              </w:rPr>
              <w:t>a</w:t>
            </w:r>
            <w:r w:rsidRPr="007D1897">
              <w:rPr>
                <w:b/>
                <w:bCs/>
                <w:sz w:val="22"/>
                <w:szCs w:val="22"/>
                <w:lang w:val="es-419"/>
              </w:rPr>
              <w:t>l 3/1/2021</w:t>
            </w:r>
            <w:r w:rsidRPr="007D1897">
              <w:rPr>
                <w:rStyle w:val="FootnoteReference"/>
                <w:rFonts w:eastAsia="Arial"/>
                <w:sz w:val="22"/>
                <w:szCs w:val="22"/>
                <w:lang w:val="es-419"/>
              </w:rPr>
              <w:footnoteReference w:id="4"/>
            </w:r>
            <w:r w:rsidRPr="007D1897">
              <w:rPr>
                <w:b/>
                <w:bCs/>
                <w:sz w:val="22"/>
                <w:szCs w:val="22"/>
                <w:lang w:val="es-419"/>
              </w:rPr>
              <w:t xml:space="preserve"> </w:t>
            </w:r>
          </w:p>
          <w:p w14:paraId="417FCC9C" w14:textId="700F8071" w:rsidR="00E55A5F" w:rsidRPr="007D1897" w:rsidRDefault="00694B52" w:rsidP="00BD3334">
            <w:pPr>
              <w:jc w:val="center"/>
              <w:rPr>
                <w:rFonts w:eastAsia="Arial"/>
                <w:b/>
                <w:bCs/>
                <w:sz w:val="22"/>
                <w:szCs w:val="22"/>
                <w:lang w:val="es-419"/>
              </w:rPr>
            </w:pPr>
            <w:r w:rsidRPr="007D1897">
              <w:rPr>
                <w:b/>
                <w:bCs/>
                <w:sz w:val="22"/>
                <w:szCs w:val="22"/>
                <w:lang w:val="es-419"/>
              </w:rPr>
              <w:t>(¢ / kWh)</w:t>
            </w:r>
          </w:p>
        </w:tc>
        <w:tc>
          <w:tcPr>
            <w:tcW w:w="1337" w:type="dxa"/>
          </w:tcPr>
          <w:p w14:paraId="4C6CFC5A" w14:textId="2450D0A7" w:rsidR="00C7452D" w:rsidRPr="007D1897" w:rsidRDefault="00694B52" w:rsidP="00BD3334">
            <w:pPr>
              <w:jc w:val="center"/>
              <w:rPr>
                <w:rFonts w:eastAsia="Arial"/>
                <w:b/>
                <w:bCs/>
                <w:sz w:val="22"/>
                <w:szCs w:val="22"/>
                <w:lang w:val="es-419"/>
              </w:rPr>
            </w:pPr>
            <w:r w:rsidRPr="007D1897">
              <w:rPr>
                <w:b/>
                <w:bCs/>
                <w:sz w:val="22"/>
                <w:szCs w:val="22"/>
                <w:lang w:val="es-419"/>
              </w:rPr>
              <w:t>Propuest</w:t>
            </w:r>
            <w:r w:rsidR="00E43033" w:rsidRPr="007D1897">
              <w:rPr>
                <w:b/>
                <w:bCs/>
                <w:sz w:val="22"/>
                <w:szCs w:val="22"/>
                <w:lang w:val="es-419"/>
              </w:rPr>
              <w:t>as</w:t>
            </w:r>
            <w:r w:rsidR="009C0FF3">
              <w:rPr>
                <w:b/>
                <w:bCs/>
                <w:sz w:val="22"/>
                <w:szCs w:val="22"/>
                <w:lang w:val="es-419"/>
              </w:rPr>
              <w:t xml:space="preserve"> al</w:t>
            </w:r>
            <w:r w:rsidR="00E43033" w:rsidRPr="007D1897">
              <w:rPr>
                <w:b/>
                <w:bCs/>
                <w:sz w:val="22"/>
                <w:szCs w:val="22"/>
                <w:lang w:val="es-419"/>
              </w:rPr>
              <w:t xml:space="preserve"> </w:t>
            </w:r>
          </w:p>
          <w:p w14:paraId="6124BA09" w14:textId="6F7EA2BD" w:rsidR="005F3D41" w:rsidRPr="007D1897" w:rsidRDefault="00694B52" w:rsidP="00BD3334">
            <w:pPr>
              <w:jc w:val="center"/>
              <w:rPr>
                <w:rFonts w:eastAsia="Arial"/>
                <w:b/>
                <w:bCs/>
                <w:sz w:val="22"/>
                <w:szCs w:val="22"/>
                <w:lang w:val="es-419"/>
              </w:rPr>
            </w:pPr>
            <w:r w:rsidRPr="007D1897">
              <w:rPr>
                <w:b/>
                <w:bCs/>
                <w:sz w:val="22"/>
                <w:szCs w:val="22"/>
                <w:lang w:val="es-419"/>
              </w:rPr>
              <w:t>4/1/2022</w:t>
            </w:r>
          </w:p>
          <w:p w14:paraId="5ED952D6" w14:textId="53B18738" w:rsidR="00E55A5F" w:rsidRPr="007D1897" w:rsidRDefault="00694B52" w:rsidP="00BD3334">
            <w:pPr>
              <w:jc w:val="center"/>
              <w:rPr>
                <w:rFonts w:eastAsia="Arial"/>
                <w:b/>
                <w:bCs/>
                <w:sz w:val="22"/>
                <w:szCs w:val="22"/>
                <w:lang w:val="es-419"/>
              </w:rPr>
            </w:pPr>
            <w:r w:rsidRPr="007D1897">
              <w:rPr>
                <w:b/>
                <w:bCs/>
                <w:sz w:val="22"/>
                <w:szCs w:val="22"/>
                <w:lang w:val="es-419"/>
              </w:rPr>
              <w:t>(¢ / kWh)</w:t>
            </w:r>
          </w:p>
        </w:tc>
        <w:tc>
          <w:tcPr>
            <w:tcW w:w="325" w:type="dxa"/>
          </w:tcPr>
          <w:p w14:paraId="0CC20504" w14:textId="77777777" w:rsidR="00C7452D" w:rsidRPr="007D1897" w:rsidRDefault="00C7452D" w:rsidP="00BD3334">
            <w:pPr>
              <w:jc w:val="center"/>
              <w:rPr>
                <w:rFonts w:eastAsia="Arial"/>
                <w:b/>
                <w:bCs/>
                <w:sz w:val="22"/>
                <w:szCs w:val="22"/>
                <w:lang w:val="es-419"/>
              </w:rPr>
            </w:pPr>
          </w:p>
        </w:tc>
        <w:tc>
          <w:tcPr>
            <w:tcW w:w="1350" w:type="dxa"/>
          </w:tcPr>
          <w:p w14:paraId="524BD799" w14:textId="651CF7F1" w:rsidR="00C7452D" w:rsidRPr="007D1897" w:rsidRDefault="00694B52" w:rsidP="00BD3334">
            <w:pPr>
              <w:jc w:val="center"/>
              <w:rPr>
                <w:rFonts w:eastAsia="Arial"/>
                <w:b/>
                <w:bCs/>
                <w:sz w:val="22"/>
                <w:szCs w:val="22"/>
                <w:lang w:val="es-419"/>
              </w:rPr>
            </w:pPr>
            <w:r w:rsidRPr="007D1897">
              <w:rPr>
                <w:b/>
                <w:bCs/>
                <w:sz w:val="22"/>
                <w:szCs w:val="22"/>
                <w:lang w:val="es-419"/>
              </w:rPr>
              <w:t>(¢ / kWh)</w:t>
            </w:r>
          </w:p>
        </w:tc>
        <w:tc>
          <w:tcPr>
            <w:tcW w:w="1350" w:type="dxa"/>
          </w:tcPr>
          <w:p w14:paraId="429AEC16" w14:textId="77777777" w:rsidR="00C7452D" w:rsidRPr="007D1897" w:rsidRDefault="00694B52" w:rsidP="00BD3334">
            <w:pPr>
              <w:jc w:val="center"/>
              <w:rPr>
                <w:rFonts w:eastAsia="Arial"/>
                <w:b/>
                <w:bCs/>
                <w:sz w:val="22"/>
                <w:szCs w:val="22"/>
                <w:lang w:val="es-419"/>
              </w:rPr>
            </w:pPr>
            <w:r w:rsidRPr="007D1897">
              <w:rPr>
                <w:rFonts w:eastAsia="Arial"/>
                <w:b/>
                <w:bCs/>
                <w:sz w:val="22"/>
                <w:szCs w:val="22"/>
                <w:lang w:val="es-419"/>
              </w:rPr>
              <w:t>%</w:t>
            </w:r>
          </w:p>
        </w:tc>
      </w:tr>
      <w:tr w:rsidR="00093A37" w:rsidRPr="007D1897" w14:paraId="53950CBD" w14:textId="77777777" w:rsidTr="4C81384F">
        <w:trPr>
          <w:jc w:val="center"/>
        </w:trPr>
        <w:tc>
          <w:tcPr>
            <w:tcW w:w="712" w:type="dxa"/>
          </w:tcPr>
          <w:p w14:paraId="16A96B92" w14:textId="77777777" w:rsidR="00C7452D" w:rsidRPr="007D1897" w:rsidRDefault="00694B52" w:rsidP="00BD3334">
            <w:pPr>
              <w:jc w:val="center"/>
              <w:rPr>
                <w:sz w:val="22"/>
                <w:szCs w:val="22"/>
                <w:lang w:val="es-419"/>
              </w:rPr>
            </w:pPr>
            <w:r w:rsidRPr="007D1897">
              <w:rPr>
                <w:sz w:val="22"/>
                <w:szCs w:val="22"/>
                <w:lang w:val="es-419"/>
              </w:rPr>
              <w:t>1</w:t>
            </w:r>
          </w:p>
        </w:tc>
        <w:tc>
          <w:tcPr>
            <w:tcW w:w="2348" w:type="dxa"/>
          </w:tcPr>
          <w:p w14:paraId="7C9071DD" w14:textId="77777777" w:rsidR="00C7452D" w:rsidRPr="007D1897" w:rsidRDefault="00694B52" w:rsidP="00BD3334">
            <w:pPr>
              <w:rPr>
                <w:sz w:val="22"/>
                <w:szCs w:val="22"/>
                <w:lang w:val="es-419"/>
              </w:rPr>
            </w:pPr>
            <w:r w:rsidRPr="007D1897">
              <w:rPr>
                <w:color w:val="000000"/>
                <w:sz w:val="22"/>
                <w:szCs w:val="22"/>
                <w:lang w:val="es-419"/>
              </w:rPr>
              <w:t>Residencial</w:t>
            </w:r>
          </w:p>
        </w:tc>
        <w:tc>
          <w:tcPr>
            <w:tcW w:w="326" w:type="dxa"/>
          </w:tcPr>
          <w:p w14:paraId="4C6D2378" w14:textId="77777777" w:rsidR="00C7452D" w:rsidRPr="007D1897" w:rsidRDefault="00694B52" w:rsidP="00BD3334">
            <w:pPr>
              <w:rPr>
                <w:sz w:val="22"/>
                <w:szCs w:val="22"/>
                <w:lang w:val="es-419"/>
              </w:rPr>
            </w:pPr>
            <w:r w:rsidRPr="007D1897">
              <w:rPr>
                <w:rFonts w:eastAsia="Arial"/>
                <w:color w:val="000000" w:themeColor="text1"/>
                <w:sz w:val="22"/>
                <w:szCs w:val="22"/>
                <w:lang w:val="es-419"/>
              </w:rPr>
              <w:t xml:space="preserve"> </w:t>
            </w:r>
          </w:p>
        </w:tc>
        <w:tc>
          <w:tcPr>
            <w:tcW w:w="1337" w:type="dxa"/>
          </w:tcPr>
          <w:p w14:paraId="11F699EC" w14:textId="7A659802" w:rsidR="00C7452D" w:rsidRPr="007D1897" w:rsidRDefault="00694B52" w:rsidP="00BD3334">
            <w:pPr>
              <w:jc w:val="center"/>
              <w:rPr>
                <w:sz w:val="22"/>
                <w:szCs w:val="22"/>
                <w:lang w:val="es-419"/>
              </w:rPr>
            </w:pPr>
            <w:r w:rsidRPr="007D1897">
              <w:rPr>
                <w:sz w:val="22"/>
                <w:szCs w:val="22"/>
                <w:lang w:val="es-419"/>
              </w:rPr>
              <w:t>31.348</w:t>
            </w:r>
          </w:p>
        </w:tc>
        <w:tc>
          <w:tcPr>
            <w:tcW w:w="1337" w:type="dxa"/>
          </w:tcPr>
          <w:p w14:paraId="3C7BB8B8" w14:textId="46F8D785" w:rsidR="00C7452D" w:rsidRPr="007D1897" w:rsidRDefault="00694B52" w:rsidP="00BD3334">
            <w:pPr>
              <w:jc w:val="center"/>
              <w:rPr>
                <w:sz w:val="22"/>
                <w:szCs w:val="22"/>
                <w:lang w:val="es-419"/>
              </w:rPr>
            </w:pPr>
            <w:r w:rsidRPr="007D1897">
              <w:rPr>
                <w:sz w:val="22"/>
                <w:szCs w:val="22"/>
                <w:lang w:val="es-419"/>
              </w:rPr>
              <w:t>31.849</w:t>
            </w:r>
          </w:p>
        </w:tc>
        <w:tc>
          <w:tcPr>
            <w:tcW w:w="325" w:type="dxa"/>
          </w:tcPr>
          <w:p w14:paraId="68874046" w14:textId="77777777" w:rsidR="00C7452D" w:rsidRPr="007D1897" w:rsidRDefault="00C7452D" w:rsidP="00BD3334">
            <w:pPr>
              <w:jc w:val="center"/>
              <w:rPr>
                <w:rFonts w:eastAsia="Arial"/>
                <w:sz w:val="22"/>
                <w:szCs w:val="22"/>
                <w:lang w:val="es-419"/>
              </w:rPr>
            </w:pPr>
          </w:p>
        </w:tc>
        <w:tc>
          <w:tcPr>
            <w:tcW w:w="1350" w:type="dxa"/>
          </w:tcPr>
          <w:p w14:paraId="716A3758" w14:textId="794AA04E" w:rsidR="00C7452D" w:rsidRPr="007D1897" w:rsidRDefault="00694B52" w:rsidP="4C81384F">
            <w:pPr>
              <w:spacing w:line="259" w:lineRule="auto"/>
              <w:jc w:val="center"/>
              <w:rPr>
                <w:sz w:val="22"/>
                <w:szCs w:val="22"/>
                <w:lang w:val="es-419"/>
              </w:rPr>
            </w:pPr>
            <w:r w:rsidRPr="007D1897">
              <w:rPr>
                <w:sz w:val="22"/>
                <w:szCs w:val="22"/>
                <w:lang w:val="es-419"/>
              </w:rPr>
              <w:t>0.501</w:t>
            </w:r>
          </w:p>
        </w:tc>
        <w:tc>
          <w:tcPr>
            <w:tcW w:w="1350" w:type="dxa"/>
          </w:tcPr>
          <w:p w14:paraId="12DA1645" w14:textId="26702A24" w:rsidR="00C7452D" w:rsidRPr="007D1897" w:rsidRDefault="00694B52" w:rsidP="4C81384F">
            <w:pPr>
              <w:jc w:val="center"/>
              <w:rPr>
                <w:sz w:val="22"/>
                <w:szCs w:val="22"/>
                <w:lang w:val="es-419"/>
              </w:rPr>
            </w:pPr>
            <w:r w:rsidRPr="007D1897">
              <w:rPr>
                <w:sz w:val="22"/>
                <w:szCs w:val="22"/>
                <w:lang w:val="es-419"/>
              </w:rPr>
              <w:t>1.60 %</w:t>
            </w:r>
          </w:p>
        </w:tc>
      </w:tr>
      <w:tr w:rsidR="00093A37" w:rsidRPr="007D1897" w14:paraId="5F9FB085" w14:textId="77777777" w:rsidTr="4C81384F">
        <w:trPr>
          <w:jc w:val="center"/>
        </w:trPr>
        <w:tc>
          <w:tcPr>
            <w:tcW w:w="712" w:type="dxa"/>
          </w:tcPr>
          <w:p w14:paraId="181686EE" w14:textId="77777777" w:rsidR="00C7452D" w:rsidRPr="007D1897" w:rsidRDefault="00694B52" w:rsidP="00BD3334">
            <w:pPr>
              <w:jc w:val="center"/>
              <w:rPr>
                <w:sz w:val="22"/>
                <w:szCs w:val="22"/>
                <w:lang w:val="es-419"/>
              </w:rPr>
            </w:pPr>
            <w:r w:rsidRPr="007D1897">
              <w:rPr>
                <w:sz w:val="22"/>
                <w:szCs w:val="22"/>
                <w:lang w:val="es-419"/>
              </w:rPr>
              <w:t>2</w:t>
            </w:r>
          </w:p>
        </w:tc>
        <w:tc>
          <w:tcPr>
            <w:tcW w:w="2348" w:type="dxa"/>
          </w:tcPr>
          <w:p w14:paraId="33430AE4" w14:textId="3A83D8D5" w:rsidR="00C7452D" w:rsidRPr="007D1897" w:rsidRDefault="00694B52" w:rsidP="00BD3334">
            <w:pPr>
              <w:rPr>
                <w:sz w:val="22"/>
                <w:szCs w:val="22"/>
                <w:lang w:val="es-419"/>
              </w:rPr>
            </w:pPr>
            <w:r w:rsidRPr="007D1897">
              <w:rPr>
                <w:color w:val="000000"/>
                <w:sz w:val="22"/>
                <w:szCs w:val="22"/>
                <w:lang w:val="es-419"/>
              </w:rPr>
              <w:t xml:space="preserve">Comercial pequeño </w:t>
            </w:r>
          </w:p>
        </w:tc>
        <w:tc>
          <w:tcPr>
            <w:tcW w:w="326" w:type="dxa"/>
          </w:tcPr>
          <w:p w14:paraId="2E0589AC" w14:textId="77777777" w:rsidR="00C7452D" w:rsidRPr="007D1897" w:rsidRDefault="00C7452D" w:rsidP="00BD3334">
            <w:pPr>
              <w:rPr>
                <w:sz w:val="22"/>
                <w:szCs w:val="22"/>
                <w:lang w:val="es-419"/>
              </w:rPr>
            </w:pPr>
          </w:p>
        </w:tc>
        <w:tc>
          <w:tcPr>
            <w:tcW w:w="1337" w:type="dxa"/>
          </w:tcPr>
          <w:p w14:paraId="257F51D8" w14:textId="6A1B944F" w:rsidR="00C7452D" w:rsidRPr="007D1897" w:rsidRDefault="00694B52" w:rsidP="0A4726E2">
            <w:pPr>
              <w:spacing w:line="259" w:lineRule="auto"/>
              <w:jc w:val="center"/>
              <w:rPr>
                <w:lang w:val="es-419"/>
              </w:rPr>
            </w:pPr>
            <w:r w:rsidRPr="007D1897">
              <w:rPr>
                <w:sz w:val="22"/>
                <w:szCs w:val="22"/>
                <w:lang w:val="es-419"/>
              </w:rPr>
              <w:t>28.052</w:t>
            </w:r>
          </w:p>
        </w:tc>
        <w:tc>
          <w:tcPr>
            <w:tcW w:w="1337" w:type="dxa"/>
          </w:tcPr>
          <w:p w14:paraId="20739473" w14:textId="1DB2C55E" w:rsidR="00C7452D" w:rsidRPr="007D1897" w:rsidRDefault="00694B52" w:rsidP="0A4726E2">
            <w:pPr>
              <w:spacing w:line="259" w:lineRule="auto"/>
              <w:jc w:val="center"/>
              <w:rPr>
                <w:lang w:val="es-419"/>
              </w:rPr>
            </w:pPr>
            <w:r w:rsidRPr="007D1897">
              <w:rPr>
                <w:sz w:val="22"/>
                <w:szCs w:val="22"/>
                <w:lang w:val="es-419"/>
              </w:rPr>
              <w:t>28.531</w:t>
            </w:r>
          </w:p>
        </w:tc>
        <w:tc>
          <w:tcPr>
            <w:tcW w:w="325" w:type="dxa"/>
          </w:tcPr>
          <w:p w14:paraId="18120B0A" w14:textId="77777777" w:rsidR="00C7452D" w:rsidRPr="007D1897" w:rsidRDefault="00C7452D" w:rsidP="00BD3334">
            <w:pPr>
              <w:jc w:val="center"/>
              <w:rPr>
                <w:rFonts w:eastAsia="Arial"/>
                <w:sz w:val="22"/>
                <w:szCs w:val="22"/>
                <w:lang w:val="es-419"/>
              </w:rPr>
            </w:pPr>
          </w:p>
        </w:tc>
        <w:tc>
          <w:tcPr>
            <w:tcW w:w="1350" w:type="dxa"/>
          </w:tcPr>
          <w:p w14:paraId="0D12D679" w14:textId="77728FFE" w:rsidR="00C7452D" w:rsidRPr="007D1897" w:rsidRDefault="00694B52" w:rsidP="4C81384F">
            <w:pPr>
              <w:spacing w:line="259" w:lineRule="auto"/>
              <w:jc w:val="center"/>
              <w:rPr>
                <w:sz w:val="22"/>
                <w:szCs w:val="22"/>
                <w:lang w:val="es-419"/>
              </w:rPr>
            </w:pPr>
            <w:r w:rsidRPr="007D1897">
              <w:rPr>
                <w:sz w:val="22"/>
                <w:szCs w:val="22"/>
                <w:lang w:val="es-419"/>
              </w:rPr>
              <w:t>0.479</w:t>
            </w:r>
          </w:p>
        </w:tc>
        <w:tc>
          <w:tcPr>
            <w:tcW w:w="1350" w:type="dxa"/>
          </w:tcPr>
          <w:p w14:paraId="26BA9981" w14:textId="5CAC8B7D" w:rsidR="00C7452D" w:rsidRPr="007D1897" w:rsidRDefault="00694B52" w:rsidP="4C81384F">
            <w:pPr>
              <w:spacing w:line="259" w:lineRule="auto"/>
              <w:jc w:val="center"/>
              <w:rPr>
                <w:sz w:val="22"/>
                <w:szCs w:val="22"/>
                <w:lang w:val="es-419"/>
              </w:rPr>
            </w:pPr>
            <w:r w:rsidRPr="007D1897">
              <w:rPr>
                <w:sz w:val="22"/>
                <w:szCs w:val="22"/>
                <w:lang w:val="es-419"/>
              </w:rPr>
              <w:t>1.71 %</w:t>
            </w:r>
          </w:p>
        </w:tc>
      </w:tr>
      <w:tr w:rsidR="00093A37" w:rsidRPr="007D1897" w14:paraId="5A9F3C96" w14:textId="77777777" w:rsidTr="4C81384F">
        <w:trPr>
          <w:jc w:val="center"/>
        </w:trPr>
        <w:tc>
          <w:tcPr>
            <w:tcW w:w="712" w:type="dxa"/>
          </w:tcPr>
          <w:p w14:paraId="0C43C32C" w14:textId="77777777" w:rsidR="00C7452D" w:rsidRPr="007D1897" w:rsidRDefault="00694B52" w:rsidP="00BD3334">
            <w:pPr>
              <w:jc w:val="center"/>
              <w:rPr>
                <w:sz w:val="22"/>
                <w:szCs w:val="22"/>
                <w:lang w:val="es-419"/>
              </w:rPr>
            </w:pPr>
            <w:r w:rsidRPr="007D1897">
              <w:rPr>
                <w:sz w:val="22"/>
                <w:szCs w:val="22"/>
                <w:lang w:val="es-419"/>
              </w:rPr>
              <w:t>3</w:t>
            </w:r>
          </w:p>
        </w:tc>
        <w:tc>
          <w:tcPr>
            <w:tcW w:w="2348" w:type="dxa"/>
          </w:tcPr>
          <w:p w14:paraId="1EA33532" w14:textId="6A2D8A59" w:rsidR="00C7452D" w:rsidRPr="007D1897" w:rsidRDefault="00694B52" w:rsidP="00BD3334">
            <w:pPr>
              <w:rPr>
                <w:sz w:val="22"/>
                <w:szCs w:val="22"/>
                <w:lang w:val="es-419"/>
              </w:rPr>
            </w:pPr>
            <w:r w:rsidRPr="007D1897">
              <w:rPr>
                <w:color w:val="000000"/>
                <w:sz w:val="22"/>
                <w:szCs w:val="22"/>
                <w:lang w:val="es-419"/>
              </w:rPr>
              <w:t>CeI mediano y grande</w:t>
            </w:r>
          </w:p>
        </w:tc>
        <w:tc>
          <w:tcPr>
            <w:tcW w:w="326" w:type="dxa"/>
          </w:tcPr>
          <w:p w14:paraId="763C7A34" w14:textId="77777777" w:rsidR="00C7452D" w:rsidRPr="007D1897" w:rsidRDefault="00694B52" w:rsidP="00BD3334">
            <w:pPr>
              <w:rPr>
                <w:sz w:val="22"/>
                <w:szCs w:val="22"/>
                <w:lang w:val="es-419"/>
              </w:rPr>
            </w:pPr>
            <w:r w:rsidRPr="007D1897">
              <w:rPr>
                <w:rFonts w:eastAsia="Arial"/>
                <w:color w:val="000000" w:themeColor="text1"/>
                <w:sz w:val="22"/>
                <w:szCs w:val="22"/>
                <w:lang w:val="es-419"/>
              </w:rPr>
              <w:t xml:space="preserve"> </w:t>
            </w:r>
          </w:p>
        </w:tc>
        <w:tc>
          <w:tcPr>
            <w:tcW w:w="1337" w:type="dxa"/>
          </w:tcPr>
          <w:p w14:paraId="09292231" w14:textId="0549E0C6" w:rsidR="00C7452D" w:rsidRPr="007D1897" w:rsidRDefault="00694B52" w:rsidP="0A4726E2">
            <w:pPr>
              <w:spacing w:line="259" w:lineRule="auto"/>
              <w:jc w:val="center"/>
              <w:rPr>
                <w:sz w:val="22"/>
                <w:szCs w:val="22"/>
                <w:lang w:val="es-419"/>
              </w:rPr>
            </w:pPr>
            <w:r w:rsidRPr="007D1897">
              <w:rPr>
                <w:sz w:val="22"/>
                <w:szCs w:val="22"/>
                <w:lang w:val="es-419"/>
              </w:rPr>
              <w:t>25.540</w:t>
            </w:r>
          </w:p>
        </w:tc>
        <w:tc>
          <w:tcPr>
            <w:tcW w:w="1337" w:type="dxa"/>
          </w:tcPr>
          <w:p w14:paraId="0A116AAD" w14:textId="76ED178D" w:rsidR="00C7452D" w:rsidRPr="007D1897" w:rsidRDefault="00694B52" w:rsidP="0A4726E2">
            <w:pPr>
              <w:spacing w:line="259" w:lineRule="auto"/>
              <w:jc w:val="center"/>
              <w:rPr>
                <w:lang w:val="es-419"/>
              </w:rPr>
            </w:pPr>
            <w:r w:rsidRPr="007D1897">
              <w:rPr>
                <w:sz w:val="22"/>
                <w:szCs w:val="22"/>
                <w:lang w:val="es-419"/>
              </w:rPr>
              <w:t>25.816</w:t>
            </w:r>
          </w:p>
        </w:tc>
        <w:tc>
          <w:tcPr>
            <w:tcW w:w="325" w:type="dxa"/>
          </w:tcPr>
          <w:p w14:paraId="7AC9EEAC" w14:textId="77777777" w:rsidR="00C7452D" w:rsidRPr="007D1897" w:rsidRDefault="00C7452D" w:rsidP="00BD3334">
            <w:pPr>
              <w:jc w:val="center"/>
              <w:rPr>
                <w:rFonts w:eastAsia="Arial"/>
                <w:sz w:val="22"/>
                <w:szCs w:val="22"/>
                <w:lang w:val="es-419"/>
              </w:rPr>
            </w:pPr>
          </w:p>
        </w:tc>
        <w:tc>
          <w:tcPr>
            <w:tcW w:w="1350" w:type="dxa"/>
          </w:tcPr>
          <w:p w14:paraId="59361D27" w14:textId="3168D4BD" w:rsidR="00C7452D" w:rsidRPr="007D1897" w:rsidRDefault="00694B52" w:rsidP="4C81384F">
            <w:pPr>
              <w:spacing w:line="259" w:lineRule="auto"/>
              <w:jc w:val="center"/>
              <w:rPr>
                <w:sz w:val="22"/>
                <w:szCs w:val="22"/>
                <w:lang w:val="es-419"/>
              </w:rPr>
            </w:pPr>
            <w:r w:rsidRPr="007D1897">
              <w:rPr>
                <w:sz w:val="22"/>
                <w:szCs w:val="22"/>
                <w:lang w:val="es-419"/>
              </w:rPr>
              <w:t>0.276</w:t>
            </w:r>
          </w:p>
        </w:tc>
        <w:tc>
          <w:tcPr>
            <w:tcW w:w="1350" w:type="dxa"/>
          </w:tcPr>
          <w:p w14:paraId="0C0944C0" w14:textId="0DC54643" w:rsidR="00C7452D" w:rsidRPr="007D1897" w:rsidRDefault="00694B52" w:rsidP="00BD3334">
            <w:pPr>
              <w:jc w:val="center"/>
              <w:rPr>
                <w:rFonts w:eastAsia="Arial"/>
                <w:sz w:val="22"/>
                <w:szCs w:val="22"/>
                <w:lang w:val="es-419"/>
              </w:rPr>
            </w:pPr>
            <w:r w:rsidRPr="007D1897">
              <w:rPr>
                <w:sz w:val="22"/>
                <w:szCs w:val="22"/>
                <w:lang w:val="es-419"/>
              </w:rPr>
              <w:t>1.08 %</w:t>
            </w:r>
          </w:p>
        </w:tc>
      </w:tr>
      <w:tr w:rsidR="00093A37" w:rsidRPr="007D1897" w14:paraId="7BDD2A74" w14:textId="77777777" w:rsidTr="4C81384F">
        <w:trPr>
          <w:jc w:val="center"/>
        </w:trPr>
        <w:tc>
          <w:tcPr>
            <w:tcW w:w="712" w:type="dxa"/>
          </w:tcPr>
          <w:p w14:paraId="29E4213B" w14:textId="77777777" w:rsidR="00C7452D" w:rsidRPr="007D1897" w:rsidRDefault="00694B52" w:rsidP="00BD3334">
            <w:pPr>
              <w:jc w:val="center"/>
              <w:rPr>
                <w:sz w:val="22"/>
                <w:szCs w:val="22"/>
                <w:lang w:val="es-419"/>
              </w:rPr>
            </w:pPr>
            <w:r w:rsidRPr="007D1897">
              <w:rPr>
                <w:sz w:val="22"/>
                <w:szCs w:val="22"/>
                <w:lang w:val="es-419"/>
              </w:rPr>
              <w:t>4</w:t>
            </w:r>
          </w:p>
        </w:tc>
        <w:tc>
          <w:tcPr>
            <w:tcW w:w="2348" w:type="dxa"/>
          </w:tcPr>
          <w:p w14:paraId="2FDBAD00" w14:textId="3FC36BAB" w:rsidR="00C7452D" w:rsidRPr="007D1897" w:rsidRDefault="00694B52" w:rsidP="00BD3334">
            <w:pPr>
              <w:rPr>
                <w:sz w:val="22"/>
                <w:szCs w:val="22"/>
                <w:lang w:val="es-419"/>
              </w:rPr>
            </w:pPr>
            <w:r w:rsidRPr="007D1897">
              <w:rPr>
                <w:color w:val="000000"/>
                <w:sz w:val="22"/>
                <w:szCs w:val="22"/>
                <w:lang w:val="es-419"/>
              </w:rPr>
              <w:t>Agricultura</w:t>
            </w:r>
          </w:p>
        </w:tc>
        <w:tc>
          <w:tcPr>
            <w:tcW w:w="326" w:type="dxa"/>
          </w:tcPr>
          <w:p w14:paraId="1988A74E" w14:textId="77777777" w:rsidR="00C7452D" w:rsidRPr="007D1897" w:rsidRDefault="00C7452D" w:rsidP="00BD3334">
            <w:pPr>
              <w:rPr>
                <w:sz w:val="22"/>
                <w:szCs w:val="22"/>
                <w:lang w:val="es-419"/>
              </w:rPr>
            </w:pPr>
          </w:p>
        </w:tc>
        <w:tc>
          <w:tcPr>
            <w:tcW w:w="1337" w:type="dxa"/>
          </w:tcPr>
          <w:p w14:paraId="2A8707B2" w14:textId="710D72A7" w:rsidR="00C7452D" w:rsidRPr="007D1897" w:rsidRDefault="00694B52" w:rsidP="0A4726E2">
            <w:pPr>
              <w:spacing w:line="259" w:lineRule="auto"/>
              <w:jc w:val="center"/>
              <w:rPr>
                <w:lang w:val="es-419"/>
              </w:rPr>
            </w:pPr>
            <w:r w:rsidRPr="007D1897">
              <w:rPr>
                <w:sz w:val="22"/>
                <w:szCs w:val="22"/>
                <w:lang w:val="es-419"/>
              </w:rPr>
              <w:t>19.522</w:t>
            </w:r>
          </w:p>
        </w:tc>
        <w:tc>
          <w:tcPr>
            <w:tcW w:w="1337" w:type="dxa"/>
          </w:tcPr>
          <w:p w14:paraId="193EFF86" w14:textId="20AF705D" w:rsidR="00C7452D" w:rsidRPr="007D1897" w:rsidRDefault="00694B52" w:rsidP="4C81384F">
            <w:pPr>
              <w:spacing w:line="259" w:lineRule="auto"/>
              <w:jc w:val="center"/>
              <w:rPr>
                <w:sz w:val="22"/>
                <w:szCs w:val="22"/>
                <w:lang w:val="es-419"/>
              </w:rPr>
            </w:pPr>
            <w:r w:rsidRPr="007D1897">
              <w:rPr>
                <w:sz w:val="22"/>
                <w:szCs w:val="22"/>
                <w:lang w:val="es-419"/>
              </w:rPr>
              <w:t>19.806</w:t>
            </w:r>
          </w:p>
        </w:tc>
        <w:tc>
          <w:tcPr>
            <w:tcW w:w="325" w:type="dxa"/>
          </w:tcPr>
          <w:p w14:paraId="4975972A" w14:textId="77777777" w:rsidR="00C7452D" w:rsidRPr="007D1897" w:rsidRDefault="00C7452D" w:rsidP="00BD3334">
            <w:pPr>
              <w:jc w:val="center"/>
              <w:rPr>
                <w:rFonts w:eastAsia="Arial"/>
                <w:sz w:val="22"/>
                <w:szCs w:val="22"/>
                <w:lang w:val="es-419"/>
              </w:rPr>
            </w:pPr>
          </w:p>
        </w:tc>
        <w:tc>
          <w:tcPr>
            <w:tcW w:w="1350" w:type="dxa"/>
          </w:tcPr>
          <w:p w14:paraId="20DD7293" w14:textId="5467B49D" w:rsidR="00C7452D" w:rsidRPr="007D1897" w:rsidRDefault="00694B52" w:rsidP="0A4726E2">
            <w:pPr>
              <w:spacing w:line="259" w:lineRule="auto"/>
              <w:jc w:val="center"/>
              <w:rPr>
                <w:rFonts w:eastAsia="Arial"/>
                <w:lang w:val="es-419"/>
              </w:rPr>
            </w:pPr>
            <w:r w:rsidRPr="007D1897">
              <w:rPr>
                <w:sz w:val="22"/>
                <w:szCs w:val="22"/>
                <w:lang w:val="es-419"/>
              </w:rPr>
              <w:t>0.284</w:t>
            </w:r>
          </w:p>
        </w:tc>
        <w:tc>
          <w:tcPr>
            <w:tcW w:w="1350" w:type="dxa"/>
          </w:tcPr>
          <w:p w14:paraId="6A814266" w14:textId="5C2FB739" w:rsidR="00C7452D" w:rsidRPr="007D1897" w:rsidRDefault="00694B52" w:rsidP="4C81384F">
            <w:pPr>
              <w:jc w:val="center"/>
              <w:rPr>
                <w:sz w:val="22"/>
                <w:szCs w:val="22"/>
                <w:lang w:val="es-419"/>
              </w:rPr>
            </w:pPr>
            <w:r w:rsidRPr="007D1897">
              <w:rPr>
                <w:sz w:val="22"/>
                <w:szCs w:val="22"/>
                <w:lang w:val="es-419"/>
              </w:rPr>
              <w:t>1.45 %</w:t>
            </w:r>
          </w:p>
        </w:tc>
      </w:tr>
      <w:tr w:rsidR="00093A37" w:rsidRPr="007D1897" w14:paraId="2841A4FD" w14:textId="77777777" w:rsidTr="4C81384F">
        <w:trPr>
          <w:jc w:val="center"/>
        </w:trPr>
        <w:tc>
          <w:tcPr>
            <w:tcW w:w="712" w:type="dxa"/>
          </w:tcPr>
          <w:p w14:paraId="6EB29774" w14:textId="2E1BFAED" w:rsidR="00C7452D" w:rsidRPr="007D1897" w:rsidRDefault="00694B52" w:rsidP="00BD3334">
            <w:pPr>
              <w:jc w:val="center"/>
              <w:rPr>
                <w:sz w:val="22"/>
                <w:szCs w:val="22"/>
                <w:lang w:val="es-419"/>
              </w:rPr>
            </w:pPr>
            <w:r w:rsidRPr="007D1897">
              <w:rPr>
                <w:sz w:val="22"/>
                <w:szCs w:val="22"/>
                <w:lang w:val="es-419"/>
              </w:rPr>
              <w:t>5</w:t>
            </w:r>
          </w:p>
        </w:tc>
        <w:tc>
          <w:tcPr>
            <w:tcW w:w="2348" w:type="dxa"/>
          </w:tcPr>
          <w:p w14:paraId="54692BF5" w14:textId="69F61C6B" w:rsidR="00C7452D" w:rsidRPr="007D1897" w:rsidRDefault="00F9354A" w:rsidP="00BD3334">
            <w:pPr>
              <w:rPr>
                <w:sz w:val="22"/>
                <w:szCs w:val="22"/>
                <w:lang w:val="es-419"/>
              </w:rPr>
            </w:pPr>
            <w:r w:rsidRPr="007D1897">
              <w:rPr>
                <w:color w:val="000000"/>
                <w:sz w:val="22"/>
                <w:szCs w:val="22"/>
                <w:lang w:val="es-419"/>
              </w:rPr>
              <w:t>Alumbrado</w:t>
            </w:r>
            <w:r w:rsidR="00694B52" w:rsidRPr="007D1897">
              <w:rPr>
                <w:color w:val="000000"/>
                <w:sz w:val="22"/>
                <w:szCs w:val="22"/>
                <w:lang w:val="es-419"/>
              </w:rPr>
              <w:t xml:space="preserve"> </w:t>
            </w:r>
          </w:p>
        </w:tc>
        <w:tc>
          <w:tcPr>
            <w:tcW w:w="326" w:type="dxa"/>
          </w:tcPr>
          <w:p w14:paraId="61C848B8" w14:textId="77777777" w:rsidR="00C7452D" w:rsidRPr="007D1897" w:rsidRDefault="00694B52" w:rsidP="00BD3334">
            <w:pPr>
              <w:rPr>
                <w:sz w:val="22"/>
                <w:szCs w:val="22"/>
                <w:lang w:val="es-419"/>
              </w:rPr>
            </w:pPr>
            <w:r w:rsidRPr="007D1897">
              <w:rPr>
                <w:rFonts w:eastAsia="Arial"/>
                <w:color w:val="000000" w:themeColor="text1"/>
                <w:sz w:val="22"/>
                <w:szCs w:val="22"/>
                <w:lang w:val="es-419"/>
              </w:rPr>
              <w:t xml:space="preserve"> </w:t>
            </w:r>
          </w:p>
        </w:tc>
        <w:tc>
          <w:tcPr>
            <w:tcW w:w="1337" w:type="dxa"/>
          </w:tcPr>
          <w:p w14:paraId="5B9A9834" w14:textId="23EED75E" w:rsidR="00C7452D" w:rsidRPr="007D1897" w:rsidRDefault="00694B52" w:rsidP="0A4726E2">
            <w:pPr>
              <w:spacing w:line="259" w:lineRule="auto"/>
              <w:jc w:val="center"/>
              <w:rPr>
                <w:lang w:val="es-419"/>
              </w:rPr>
            </w:pPr>
            <w:r w:rsidRPr="007D1897">
              <w:rPr>
                <w:sz w:val="22"/>
                <w:szCs w:val="22"/>
                <w:lang w:val="es-419"/>
              </w:rPr>
              <w:t>25.430</w:t>
            </w:r>
          </w:p>
        </w:tc>
        <w:tc>
          <w:tcPr>
            <w:tcW w:w="1337" w:type="dxa"/>
          </w:tcPr>
          <w:p w14:paraId="54CDE92B" w14:textId="70C9D6CB" w:rsidR="00C7452D" w:rsidRPr="007D1897" w:rsidRDefault="00694B52" w:rsidP="0A4726E2">
            <w:pPr>
              <w:spacing w:line="259" w:lineRule="auto"/>
              <w:jc w:val="center"/>
              <w:rPr>
                <w:lang w:val="es-419"/>
              </w:rPr>
            </w:pPr>
            <w:r w:rsidRPr="007D1897">
              <w:rPr>
                <w:sz w:val="22"/>
                <w:szCs w:val="22"/>
                <w:lang w:val="es-419"/>
              </w:rPr>
              <w:t>25.994</w:t>
            </w:r>
          </w:p>
        </w:tc>
        <w:tc>
          <w:tcPr>
            <w:tcW w:w="325" w:type="dxa"/>
          </w:tcPr>
          <w:p w14:paraId="6E96B928" w14:textId="77777777" w:rsidR="00C7452D" w:rsidRPr="007D1897" w:rsidRDefault="00C7452D" w:rsidP="00BD3334">
            <w:pPr>
              <w:rPr>
                <w:rFonts w:eastAsia="Arial"/>
                <w:sz w:val="22"/>
                <w:szCs w:val="22"/>
                <w:lang w:val="es-419"/>
              </w:rPr>
            </w:pPr>
          </w:p>
        </w:tc>
        <w:tc>
          <w:tcPr>
            <w:tcW w:w="1350" w:type="dxa"/>
          </w:tcPr>
          <w:p w14:paraId="7A76EE22" w14:textId="0BB1909A" w:rsidR="00C7452D" w:rsidRPr="007D1897" w:rsidRDefault="00694B52" w:rsidP="4C81384F">
            <w:pPr>
              <w:spacing w:line="259" w:lineRule="auto"/>
              <w:jc w:val="center"/>
              <w:rPr>
                <w:sz w:val="22"/>
                <w:szCs w:val="22"/>
                <w:lang w:val="es-419"/>
              </w:rPr>
            </w:pPr>
            <w:r w:rsidRPr="007D1897">
              <w:rPr>
                <w:sz w:val="22"/>
                <w:szCs w:val="22"/>
                <w:lang w:val="es-419"/>
              </w:rPr>
              <w:t>0.564</w:t>
            </w:r>
          </w:p>
        </w:tc>
        <w:tc>
          <w:tcPr>
            <w:tcW w:w="1350" w:type="dxa"/>
          </w:tcPr>
          <w:p w14:paraId="3F9A948C" w14:textId="6033B7F1" w:rsidR="00C7452D" w:rsidRPr="007D1897" w:rsidRDefault="00694B52" w:rsidP="4C81384F">
            <w:pPr>
              <w:jc w:val="center"/>
              <w:rPr>
                <w:sz w:val="22"/>
                <w:szCs w:val="22"/>
                <w:lang w:val="es-419"/>
              </w:rPr>
            </w:pPr>
            <w:r w:rsidRPr="007D1897">
              <w:rPr>
                <w:sz w:val="22"/>
                <w:szCs w:val="22"/>
                <w:lang w:val="es-419"/>
              </w:rPr>
              <w:t>2.22 %</w:t>
            </w:r>
          </w:p>
        </w:tc>
      </w:tr>
      <w:tr w:rsidR="00093A37" w:rsidRPr="007D1897" w14:paraId="69F16498" w14:textId="77777777" w:rsidTr="4C81384F">
        <w:trPr>
          <w:jc w:val="center"/>
        </w:trPr>
        <w:tc>
          <w:tcPr>
            <w:tcW w:w="712" w:type="dxa"/>
          </w:tcPr>
          <w:p w14:paraId="33B00309" w14:textId="77777777" w:rsidR="00E55A5F" w:rsidRPr="007D1897" w:rsidRDefault="00E55A5F" w:rsidP="00BD3334">
            <w:pPr>
              <w:jc w:val="center"/>
              <w:rPr>
                <w:sz w:val="22"/>
                <w:szCs w:val="22"/>
                <w:lang w:val="es-419"/>
              </w:rPr>
            </w:pPr>
          </w:p>
        </w:tc>
        <w:tc>
          <w:tcPr>
            <w:tcW w:w="2348" w:type="dxa"/>
          </w:tcPr>
          <w:p w14:paraId="02713DD3" w14:textId="77777777" w:rsidR="00E55A5F" w:rsidRPr="007D1897" w:rsidRDefault="00E55A5F" w:rsidP="00BD3334">
            <w:pPr>
              <w:rPr>
                <w:rFonts w:eastAsia="Arial"/>
                <w:color w:val="000000" w:themeColor="text1"/>
                <w:sz w:val="22"/>
                <w:szCs w:val="22"/>
                <w:lang w:val="es-419"/>
              </w:rPr>
            </w:pPr>
          </w:p>
        </w:tc>
        <w:tc>
          <w:tcPr>
            <w:tcW w:w="326" w:type="dxa"/>
          </w:tcPr>
          <w:p w14:paraId="4D5D7B0D" w14:textId="77777777" w:rsidR="00E55A5F" w:rsidRPr="007D1897" w:rsidRDefault="00E55A5F" w:rsidP="00BD3334">
            <w:pPr>
              <w:rPr>
                <w:rFonts w:eastAsia="Arial"/>
                <w:color w:val="000000" w:themeColor="text1"/>
                <w:sz w:val="22"/>
                <w:szCs w:val="22"/>
                <w:lang w:val="es-419"/>
              </w:rPr>
            </w:pPr>
          </w:p>
        </w:tc>
        <w:tc>
          <w:tcPr>
            <w:tcW w:w="1337" w:type="dxa"/>
          </w:tcPr>
          <w:p w14:paraId="164692CB" w14:textId="77777777" w:rsidR="00E55A5F" w:rsidRPr="007D1897" w:rsidRDefault="00E55A5F" w:rsidP="00BD3334">
            <w:pPr>
              <w:jc w:val="center"/>
              <w:rPr>
                <w:sz w:val="22"/>
                <w:szCs w:val="22"/>
                <w:lang w:val="es-419"/>
              </w:rPr>
            </w:pPr>
          </w:p>
        </w:tc>
        <w:tc>
          <w:tcPr>
            <w:tcW w:w="1337" w:type="dxa"/>
          </w:tcPr>
          <w:p w14:paraId="2C7A43E6" w14:textId="77777777" w:rsidR="00E55A5F" w:rsidRPr="007D1897" w:rsidRDefault="00E55A5F" w:rsidP="00BD3334">
            <w:pPr>
              <w:jc w:val="center"/>
              <w:rPr>
                <w:sz w:val="22"/>
                <w:szCs w:val="22"/>
                <w:lang w:val="es-419"/>
              </w:rPr>
            </w:pPr>
          </w:p>
        </w:tc>
        <w:tc>
          <w:tcPr>
            <w:tcW w:w="325" w:type="dxa"/>
          </w:tcPr>
          <w:p w14:paraId="698B9356" w14:textId="77777777" w:rsidR="00E55A5F" w:rsidRPr="007D1897" w:rsidRDefault="00E55A5F" w:rsidP="00BD3334">
            <w:pPr>
              <w:rPr>
                <w:rFonts w:eastAsia="Arial"/>
                <w:sz w:val="22"/>
                <w:szCs w:val="22"/>
                <w:lang w:val="es-419"/>
              </w:rPr>
            </w:pPr>
          </w:p>
        </w:tc>
        <w:tc>
          <w:tcPr>
            <w:tcW w:w="1350" w:type="dxa"/>
          </w:tcPr>
          <w:p w14:paraId="2AA040B5" w14:textId="77777777" w:rsidR="00E55A5F" w:rsidRPr="007D1897" w:rsidRDefault="00E55A5F" w:rsidP="0026343C">
            <w:pPr>
              <w:jc w:val="center"/>
              <w:rPr>
                <w:rFonts w:eastAsia="Arial"/>
                <w:sz w:val="22"/>
                <w:szCs w:val="22"/>
                <w:lang w:val="es-419"/>
              </w:rPr>
            </w:pPr>
          </w:p>
        </w:tc>
        <w:tc>
          <w:tcPr>
            <w:tcW w:w="1350" w:type="dxa"/>
          </w:tcPr>
          <w:p w14:paraId="60DF19E6" w14:textId="77777777" w:rsidR="00E55A5F" w:rsidRPr="007D1897" w:rsidRDefault="00E55A5F" w:rsidP="0026343C">
            <w:pPr>
              <w:jc w:val="center"/>
              <w:rPr>
                <w:rFonts w:eastAsia="Arial"/>
                <w:sz w:val="22"/>
                <w:szCs w:val="22"/>
                <w:lang w:val="es-419"/>
              </w:rPr>
            </w:pPr>
          </w:p>
        </w:tc>
      </w:tr>
      <w:tr w:rsidR="00093A37" w:rsidRPr="007D1897" w14:paraId="45E8261E" w14:textId="77777777" w:rsidTr="4C81384F">
        <w:trPr>
          <w:jc w:val="center"/>
        </w:trPr>
        <w:tc>
          <w:tcPr>
            <w:tcW w:w="712" w:type="dxa"/>
          </w:tcPr>
          <w:p w14:paraId="7963477D" w14:textId="57694F43" w:rsidR="00C7452D" w:rsidRPr="007D1897" w:rsidRDefault="00694B52" w:rsidP="006664ED">
            <w:pPr>
              <w:jc w:val="center"/>
              <w:rPr>
                <w:sz w:val="22"/>
                <w:szCs w:val="22"/>
                <w:lang w:val="es-419"/>
              </w:rPr>
            </w:pPr>
            <w:r w:rsidRPr="007D1897">
              <w:rPr>
                <w:sz w:val="22"/>
                <w:szCs w:val="22"/>
                <w:lang w:val="es-419"/>
              </w:rPr>
              <w:t>6</w:t>
            </w:r>
          </w:p>
        </w:tc>
        <w:tc>
          <w:tcPr>
            <w:tcW w:w="2348" w:type="dxa"/>
          </w:tcPr>
          <w:p w14:paraId="70BA6E7C" w14:textId="343B0971" w:rsidR="00C7452D" w:rsidRPr="007D1897" w:rsidRDefault="00694B52" w:rsidP="006664ED">
            <w:pPr>
              <w:rPr>
                <w:sz w:val="22"/>
                <w:szCs w:val="22"/>
                <w:lang w:val="es-419"/>
              </w:rPr>
            </w:pPr>
            <w:r w:rsidRPr="007D1897">
              <w:rPr>
                <w:sz w:val="22"/>
                <w:szCs w:val="22"/>
                <w:lang w:val="es-419"/>
              </w:rPr>
              <w:t>TOTAL DEL SISTEMA</w:t>
            </w:r>
          </w:p>
        </w:tc>
        <w:tc>
          <w:tcPr>
            <w:tcW w:w="326" w:type="dxa"/>
          </w:tcPr>
          <w:p w14:paraId="3B2D706D" w14:textId="77777777" w:rsidR="00C7452D" w:rsidRPr="007D1897" w:rsidRDefault="00694B52" w:rsidP="006664ED">
            <w:pPr>
              <w:rPr>
                <w:sz w:val="22"/>
                <w:szCs w:val="22"/>
                <w:lang w:val="es-419"/>
              </w:rPr>
            </w:pPr>
            <w:r w:rsidRPr="007D1897">
              <w:rPr>
                <w:rFonts w:eastAsia="Arial"/>
                <w:color w:val="000000" w:themeColor="text1"/>
                <w:sz w:val="22"/>
                <w:szCs w:val="22"/>
                <w:lang w:val="es-419"/>
              </w:rPr>
              <w:t xml:space="preserve"> </w:t>
            </w:r>
          </w:p>
        </w:tc>
        <w:tc>
          <w:tcPr>
            <w:tcW w:w="1337" w:type="dxa"/>
          </w:tcPr>
          <w:p w14:paraId="593ED64B" w14:textId="49674A3C" w:rsidR="00C7452D" w:rsidRPr="007D1897" w:rsidRDefault="00694B52" w:rsidP="0A4726E2">
            <w:pPr>
              <w:spacing w:line="259" w:lineRule="auto"/>
              <w:jc w:val="center"/>
              <w:rPr>
                <w:lang w:val="es-419"/>
              </w:rPr>
            </w:pPr>
            <w:r w:rsidRPr="007D1897">
              <w:rPr>
                <w:sz w:val="22"/>
                <w:szCs w:val="22"/>
                <w:lang w:val="es-419"/>
              </w:rPr>
              <w:t>27.502</w:t>
            </w:r>
          </w:p>
        </w:tc>
        <w:tc>
          <w:tcPr>
            <w:tcW w:w="1337" w:type="dxa"/>
          </w:tcPr>
          <w:p w14:paraId="5AAFED23" w14:textId="6D59C0A0" w:rsidR="00C7452D" w:rsidRPr="007D1897" w:rsidRDefault="00694B52" w:rsidP="0A4726E2">
            <w:pPr>
              <w:spacing w:line="259" w:lineRule="auto"/>
              <w:jc w:val="center"/>
              <w:rPr>
                <w:lang w:val="es-419"/>
              </w:rPr>
            </w:pPr>
            <w:r w:rsidRPr="007D1897">
              <w:rPr>
                <w:sz w:val="22"/>
                <w:szCs w:val="22"/>
                <w:lang w:val="es-419"/>
              </w:rPr>
              <w:t>27.880</w:t>
            </w:r>
          </w:p>
        </w:tc>
        <w:tc>
          <w:tcPr>
            <w:tcW w:w="325" w:type="dxa"/>
          </w:tcPr>
          <w:p w14:paraId="648466E8" w14:textId="77777777" w:rsidR="00C7452D" w:rsidRPr="007D1897" w:rsidRDefault="00C7452D" w:rsidP="006664ED">
            <w:pPr>
              <w:jc w:val="center"/>
              <w:rPr>
                <w:rFonts w:eastAsia="Arial"/>
                <w:sz w:val="22"/>
                <w:szCs w:val="22"/>
                <w:lang w:val="es-419"/>
              </w:rPr>
            </w:pPr>
          </w:p>
        </w:tc>
        <w:tc>
          <w:tcPr>
            <w:tcW w:w="1350" w:type="dxa"/>
          </w:tcPr>
          <w:p w14:paraId="2A293527" w14:textId="29C35A32" w:rsidR="00C7452D" w:rsidRPr="007D1897" w:rsidRDefault="00694B52" w:rsidP="4C81384F">
            <w:pPr>
              <w:spacing w:line="259" w:lineRule="auto"/>
              <w:jc w:val="center"/>
              <w:rPr>
                <w:sz w:val="22"/>
                <w:szCs w:val="22"/>
                <w:lang w:val="es-419"/>
              </w:rPr>
            </w:pPr>
            <w:r w:rsidRPr="007D1897">
              <w:rPr>
                <w:sz w:val="22"/>
                <w:szCs w:val="22"/>
                <w:lang w:val="es-419"/>
              </w:rPr>
              <w:t>0.378</w:t>
            </w:r>
          </w:p>
        </w:tc>
        <w:tc>
          <w:tcPr>
            <w:tcW w:w="1350" w:type="dxa"/>
          </w:tcPr>
          <w:p w14:paraId="09E8E00E" w14:textId="25A6B629" w:rsidR="00C7452D" w:rsidRPr="007D1897" w:rsidRDefault="00694B52" w:rsidP="4C81384F">
            <w:pPr>
              <w:spacing w:line="259" w:lineRule="auto"/>
              <w:jc w:val="center"/>
              <w:rPr>
                <w:sz w:val="22"/>
                <w:szCs w:val="22"/>
                <w:lang w:val="es-419"/>
              </w:rPr>
            </w:pPr>
            <w:r w:rsidRPr="007D1897">
              <w:rPr>
                <w:sz w:val="22"/>
                <w:szCs w:val="22"/>
                <w:lang w:val="es-419"/>
              </w:rPr>
              <w:t>1.37%</w:t>
            </w:r>
          </w:p>
        </w:tc>
      </w:tr>
    </w:tbl>
    <w:p w14:paraId="1486D36C" w14:textId="77777777" w:rsidR="006664ED" w:rsidRPr="007D1897" w:rsidRDefault="006664ED" w:rsidP="00E46080">
      <w:pPr>
        <w:jc w:val="center"/>
        <w:rPr>
          <w:b/>
          <w:bCs/>
          <w:lang w:val="es-419"/>
        </w:rPr>
      </w:pPr>
    </w:p>
    <w:p w14:paraId="7A16FDA7" w14:textId="2D04ED7E" w:rsidR="00E46080" w:rsidRPr="007D1897" w:rsidRDefault="00694B52" w:rsidP="00E46080">
      <w:pPr>
        <w:jc w:val="center"/>
        <w:rPr>
          <w:b/>
          <w:bCs/>
          <w:lang w:val="es-419"/>
        </w:rPr>
      </w:pPr>
      <w:r w:rsidRPr="007D1897">
        <w:rPr>
          <w:b/>
          <w:bCs/>
          <w:lang w:val="es-419"/>
        </w:rPr>
        <w:t xml:space="preserve">Factura eléctrica residencial </w:t>
      </w:r>
      <w:r w:rsidR="00185EFC" w:rsidRPr="007D1897">
        <w:rPr>
          <w:b/>
          <w:bCs/>
          <w:lang w:val="es-419"/>
        </w:rPr>
        <w:t xml:space="preserve">mensual </w:t>
      </w:r>
      <w:r w:rsidRPr="007D1897">
        <w:rPr>
          <w:b/>
          <w:bCs/>
          <w:lang w:val="es-419"/>
        </w:rPr>
        <w:t>ilustrativa</w:t>
      </w:r>
    </w:p>
    <w:p w14:paraId="49CB7F7C" w14:textId="17FD092E" w:rsidR="00E46080" w:rsidRPr="007D1897" w:rsidRDefault="00E46080" w:rsidP="0026343C">
      <w:pPr>
        <w:rPr>
          <w:b/>
          <w:bCs/>
          <w:highlight w:val="yellow"/>
          <w:lang w:val="es-419"/>
        </w:rPr>
      </w:pPr>
    </w:p>
    <w:tbl>
      <w:tblPr>
        <w:tblStyle w:val="TableGrid"/>
        <w:tblW w:w="9815" w:type="dxa"/>
        <w:jc w:val="center"/>
        <w:tblLayout w:type="fixed"/>
        <w:tblLook w:val="06A0" w:firstRow="1" w:lastRow="0" w:firstColumn="1" w:lastColumn="0" w:noHBand="1" w:noVBand="1"/>
      </w:tblPr>
      <w:tblGrid>
        <w:gridCol w:w="2327"/>
        <w:gridCol w:w="1872"/>
        <w:gridCol w:w="1872"/>
        <w:gridCol w:w="1872"/>
        <w:gridCol w:w="1872"/>
      </w:tblGrid>
      <w:tr w:rsidR="00093A37" w:rsidRPr="007D1897" w14:paraId="172E2429" w14:textId="77777777" w:rsidTr="4C81384F">
        <w:trPr>
          <w:jc w:val="center"/>
        </w:trPr>
        <w:tc>
          <w:tcPr>
            <w:tcW w:w="2327" w:type="dxa"/>
          </w:tcPr>
          <w:p w14:paraId="72439CE2" w14:textId="77777777" w:rsidR="00C7452D" w:rsidRPr="007D1897" w:rsidRDefault="00C7452D" w:rsidP="00BD3334">
            <w:pPr>
              <w:rPr>
                <w:rFonts w:eastAsia="Arial"/>
                <w:color w:val="000000" w:themeColor="text1"/>
                <w:sz w:val="22"/>
                <w:szCs w:val="22"/>
                <w:lang w:val="es-419"/>
              </w:rPr>
            </w:pPr>
          </w:p>
        </w:tc>
        <w:tc>
          <w:tcPr>
            <w:tcW w:w="1872" w:type="dxa"/>
          </w:tcPr>
          <w:p w14:paraId="26E6824A" w14:textId="19561DA8" w:rsidR="00C7452D" w:rsidRPr="007D1897" w:rsidRDefault="00694B52" w:rsidP="00BD3334">
            <w:pPr>
              <w:jc w:val="center"/>
              <w:rPr>
                <w:rFonts w:eastAsia="Arial"/>
                <w:b/>
                <w:bCs/>
                <w:color w:val="000000" w:themeColor="text1"/>
                <w:sz w:val="22"/>
                <w:szCs w:val="22"/>
                <w:lang w:val="es-419"/>
              </w:rPr>
            </w:pPr>
            <w:r w:rsidRPr="007D1897">
              <w:rPr>
                <w:b/>
                <w:bCs/>
                <w:color w:val="000000"/>
                <w:sz w:val="22"/>
                <w:szCs w:val="22"/>
                <w:lang w:val="es-419"/>
              </w:rPr>
              <w:t xml:space="preserve">En vigor </w:t>
            </w:r>
            <w:r w:rsidR="00F61ADE" w:rsidRPr="007D1897">
              <w:rPr>
                <w:b/>
                <w:bCs/>
                <w:color w:val="000000"/>
                <w:sz w:val="22"/>
                <w:szCs w:val="22"/>
                <w:lang w:val="es-419"/>
              </w:rPr>
              <w:t>a</w:t>
            </w:r>
            <w:r w:rsidRPr="007D1897">
              <w:rPr>
                <w:b/>
                <w:bCs/>
                <w:color w:val="000000"/>
                <w:sz w:val="22"/>
                <w:szCs w:val="22"/>
                <w:lang w:val="es-419"/>
              </w:rPr>
              <w:t>l</w:t>
            </w:r>
          </w:p>
          <w:p w14:paraId="742111D8" w14:textId="2FAABEC6" w:rsidR="00C7452D" w:rsidRPr="007D1897" w:rsidRDefault="00694B52" w:rsidP="00BD3334">
            <w:pPr>
              <w:jc w:val="center"/>
              <w:rPr>
                <w:rFonts w:eastAsia="Arial"/>
                <w:b/>
                <w:bCs/>
                <w:color w:val="000000" w:themeColor="text1"/>
                <w:sz w:val="22"/>
                <w:szCs w:val="22"/>
                <w:lang w:val="es-419"/>
              </w:rPr>
            </w:pPr>
            <w:r w:rsidRPr="007D1897">
              <w:rPr>
                <w:b/>
                <w:bCs/>
                <w:color w:val="000000"/>
                <w:sz w:val="22"/>
                <w:szCs w:val="22"/>
                <w:lang w:val="es-419"/>
              </w:rPr>
              <w:t>3/1/2021</w:t>
            </w:r>
            <w:r w:rsidRPr="007D1897">
              <w:rPr>
                <w:rStyle w:val="FootnoteReference"/>
                <w:rFonts w:eastAsia="Arial"/>
                <w:bCs/>
                <w:color w:val="000000" w:themeColor="text1"/>
                <w:sz w:val="22"/>
                <w:szCs w:val="22"/>
                <w:lang w:val="es-419"/>
              </w:rPr>
              <w:footnoteReference w:id="5"/>
            </w:r>
            <w:r w:rsidRPr="007D1897">
              <w:rPr>
                <w:color w:val="000000"/>
                <w:sz w:val="22"/>
                <w:szCs w:val="22"/>
                <w:lang w:val="es-419"/>
              </w:rPr>
              <w:t xml:space="preserve"> </w:t>
            </w:r>
          </w:p>
        </w:tc>
        <w:tc>
          <w:tcPr>
            <w:tcW w:w="1872" w:type="dxa"/>
          </w:tcPr>
          <w:p w14:paraId="33B677D1" w14:textId="58F926A6" w:rsidR="00C7452D" w:rsidRPr="007D1897" w:rsidRDefault="00694B52" w:rsidP="004508DF">
            <w:pPr>
              <w:jc w:val="center"/>
              <w:rPr>
                <w:rFonts w:eastAsia="Arial"/>
                <w:b/>
                <w:bCs/>
                <w:sz w:val="22"/>
                <w:szCs w:val="22"/>
                <w:lang w:val="es-419"/>
              </w:rPr>
            </w:pPr>
            <w:r w:rsidRPr="007D1897">
              <w:rPr>
                <w:b/>
                <w:bCs/>
                <w:color w:val="000000"/>
                <w:sz w:val="22"/>
                <w:szCs w:val="22"/>
                <w:lang w:val="es-419"/>
              </w:rPr>
              <w:t>Propuesta</w:t>
            </w:r>
            <w:r w:rsidR="00192C7F" w:rsidRPr="007D1897">
              <w:rPr>
                <w:b/>
                <w:bCs/>
                <w:color w:val="000000"/>
                <w:sz w:val="22"/>
                <w:szCs w:val="22"/>
                <w:lang w:val="es-419"/>
              </w:rPr>
              <w:t xml:space="preserve"> </w:t>
            </w:r>
            <w:r w:rsidR="009C0FF3">
              <w:rPr>
                <w:b/>
                <w:bCs/>
                <w:color w:val="000000"/>
                <w:sz w:val="22"/>
                <w:szCs w:val="22"/>
                <w:lang w:val="es-419"/>
              </w:rPr>
              <w:t xml:space="preserve">al </w:t>
            </w:r>
            <w:r w:rsidRPr="007D1897">
              <w:rPr>
                <w:b/>
                <w:bCs/>
                <w:sz w:val="22"/>
                <w:szCs w:val="22"/>
                <w:lang w:val="es-419"/>
              </w:rPr>
              <w:t>4/1/2022</w:t>
            </w:r>
            <w:r w:rsidRPr="007D1897">
              <w:rPr>
                <w:b/>
                <w:bCs/>
                <w:color w:val="000000"/>
                <w:sz w:val="22"/>
                <w:szCs w:val="22"/>
                <w:lang w:val="es-419"/>
              </w:rPr>
              <w:t xml:space="preserve"> </w:t>
            </w:r>
          </w:p>
        </w:tc>
        <w:tc>
          <w:tcPr>
            <w:tcW w:w="1872" w:type="dxa"/>
          </w:tcPr>
          <w:p w14:paraId="7A1F5993" w14:textId="77777777" w:rsidR="00C7452D" w:rsidRPr="007D1897" w:rsidRDefault="00694B52" w:rsidP="00BD3334">
            <w:pPr>
              <w:jc w:val="center"/>
              <w:rPr>
                <w:rFonts w:eastAsia="Arial"/>
                <w:b/>
                <w:bCs/>
                <w:color w:val="000000" w:themeColor="text1"/>
                <w:sz w:val="22"/>
                <w:szCs w:val="22"/>
                <w:lang w:val="es-419"/>
              </w:rPr>
            </w:pPr>
            <w:r w:rsidRPr="007D1897">
              <w:rPr>
                <w:b/>
                <w:bCs/>
                <w:color w:val="000000"/>
                <w:sz w:val="22"/>
                <w:szCs w:val="22"/>
                <w:lang w:val="es-419"/>
              </w:rPr>
              <w:t>Cambio en $</w:t>
            </w:r>
          </w:p>
        </w:tc>
        <w:tc>
          <w:tcPr>
            <w:tcW w:w="1872" w:type="dxa"/>
          </w:tcPr>
          <w:p w14:paraId="1FBC55A3" w14:textId="77777777" w:rsidR="00C7452D" w:rsidRPr="007D1897" w:rsidRDefault="00694B52" w:rsidP="00BD3334">
            <w:pPr>
              <w:jc w:val="center"/>
              <w:rPr>
                <w:rFonts w:eastAsia="Arial"/>
                <w:b/>
                <w:bCs/>
                <w:color w:val="000000" w:themeColor="text1"/>
                <w:sz w:val="22"/>
                <w:szCs w:val="22"/>
                <w:lang w:val="es-419"/>
              </w:rPr>
            </w:pPr>
            <w:r w:rsidRPr="007D1897">
              <w:rPr>
                <w:b/>
                <w:bCs/>
                <w:color w:val="000000"/>
                <w:sz w:val="22"/>
                <w:szCs w:val="22"/>
                <w:lang w:val="es-419"/>
              </w:rPr>
              <w:t>Cambio %</w:t>
            </w:r>
          </w:p>
        </w:tc>
      </w:tr>
      <w:tr w:rsidR="00093A37" w:rsidRPr="007D1897" w14:paraId="66EF4994" w14:textId="77777777" w:rsidTr="4C81384F">
        <w:trPr>
          <w:jc w:val="center"/>
        </w:trPr>
        <w:tc>
          <w:tcPr>
            <w:tcW w:w="2327" w:type="dxa"/>
          </w:tcPr>
          <w:p w14:paraId="602DF97B" w14:textId="55A8BFFB" w:rsidR="00C7452D" w:rsidRPr="007D1897" w:rsidRDefault="00694B52" w:rsidP="00BD3334">
            <w:pPr>
              <w:rPr>
                <w:sz w:val="22"/>
                <w:szCs w:val="22"/>
                <w:lang w:val="es-419"/>
              </w:rPr>
            </w:pPr>
            <w:r w:rsidRPr="007D1897">
              <w:rPr>
                <w:i/>
                <w:iCs/>
                <w:sz w:val="22"/>
                <w:szCs w:val="22"/>
                <w:lang w:val="es-419"/>
              </w:rPr>
              <w:t xml:space="preserve">Factura residencial promedio $/mes (400 </w:t>
            </w:r>
            <w:r w:rsidR="00CE5A03" w:rsidRPr="007D1897">
              <w:rPr>
                <w:i/>
                <w:iCs/>
                <w:sz w:val="22"/>
                <w:szCs w:val="22"/>
                <w:lang w:val="es-419"/>
              </w:rPr>
              <w:t>k</w:t>
            </w:r>
            <w:r w:rsidRPr="007D1897">
              <w:rPr>
                <w:i/>
                <w:iCs/>
                <w:sz w:val="22"/>
                <w:szCs w:val="22"/>
                <w:lang w:val="es-419"/>
              </w:rPr>
              <w:t>Wh/mes)</w:t>
            </w:r>
          </w:p>
        </w:tc>
        <w:tc>
          <w:tcPr>
            <w:tcW w:w="1872" w:type="dxa"/>
          </w:tcPr>
          <w:p w14:paraId="5EC8D38D" w14:textId="40097034" w:rsidR="00C7452D" w:rsidRPr="007D1897" w:rsidRDefault="00694B52" w:rsidP="0A4726E2">
            <w:pPr>
              <w:jc w:val="center"/>
              <w:rPr>
                <w:rFonts w:eastAsia="Arial"/>
                <w:sz w:val="22"/>
                <w:szCs w:val="22"/>
                <w:lang w:val="es-419"/>
              </w:rPr>
            </w:pPr>
            <w:r w:rsidRPr="007D1897">
              <w:rPr>
                <w:i/>
                <w:iCs/>
                <w:color w:val="000000"/>
                <w:sz w:val="22"/>
                <w:szCs w:val="22"/>
                <w:lang w:val="es-419"/>
              </w:rPr>
              <w:t>$</w:t>
            </w:r>
            <w:r w:rsidRPr="007D1897">
              <w:rPr>
                <w:sz w:val="22"/>
                <w:szCs w:val="22"/>
                <w:lang w:val="es-419"/>
              </w:rPr>
              <w:t xml:space="preserve"> 136.06</w:t>
            </w:r>
          </w:p>
        </w:tc>
        <w:tc>
          <w:tcPr>
            <w:tcW w:w="1872" w:type="dxa"/>
          </w:tcPr>
          <w:p w14:paraId="5968A954" w14:textId="7F534336" w:rsidR="00C7452D" w:rsidRPr="007D1897" w:rsidRDefault="00694B52" w:rsidP="0A4726E2">
            <w:pPr>
              <w:jc w:val="center"/>
              <w:rPr>
                <w:rFonts w:eastAsia="Arial"/>
                <w:sz w:val="22"/>
                <w:szCs w:val="22"/>
                <w:lang w:val="es-419"/>
              </w:rPr>
            </w:pPr>
            <w:r w:rsidRPr="007D1897">
              <w:rPr>
                <w:i/>
                <w:iCs/>
                <w:color w:val="000000"/>
                <w:sz w:val="22"/>
                <w:szCs w:val="22"/>
                <w:lang w:val="es-419"/>
              </w:rPr>
              <w:t>$</w:t>
            </w:r>
            <w:r w:rsidRPr="007D1897">
              <w:rPr>
                <w:sz w:val="22"/>
                <w:szCs w:val="22"/>
                <w:lang w:val="es-419"/>
              </w:rPr>
              <w:t xml:space="preserve"> 137.98</w:t>
            </w:r>
          </w:p>
        </w:tc>
        <w:tc>
          <w:tcPr>
            <w:tcW w:w="1872" w:type="dxa"/>
          </w:tcPr>
          <w:p w14:paraId="1F34E4F1" w14:textId="63D9DF4B" w:rsidR="00C7452D" w:rsidRPr="007D1897" w:rsidRDefault="00694B52" w:rsidP="4C81384F">
            <w:pPr>
              <w:jc w:val="center"/>
              <w:rPr>
                <w:sz w:val="22"/>
                <w:szCs w:val="22"/>
                <w:lang w:val="es-419"/>
              </w:rPr>
            </w:pPr>
            <w:r w:rsidRPr="007D1897">
              <w:rPr>
                <w:i/>
                <w:iCs/>
                <w:color w:val="000000"/>
                <w:sz w:val="22"/>
                <w:szCs w:val="22"/>
                <w:lang w:val="es-419"/>
              </w:rPr>
              <w:t>$</w:t>
            </w:r>
            <w:r w:rsidRPr="007D1897">
              <w:rPr>
                <w:sz w:val="22"/>
                <w:szCs w:val="22"/>
                <w:lang w:val="es-419"/>
              </w:rPr>
              <w:t xml:space="preserve"> 1.92</w:t>
            </w:r>
          </w:p>
        </w:tc>
        <w:tc>
          <w:tcPr>
            <w:tcW w:w="1872" w:type="dxa"/>
          </w:tcPr>
          <w:p w14:paraId="4B3FBAD5" w14:textId="5645D5D6" w:rsidR="00C7452D" w:rsidRPr="007D1897" w:rsidRDefault="00694B52" w:rsidP="4C81384F">
            <w:pPr>
              <w:jc w:val="center"/>
              <w:rPr>
                <w:rFonts w:eastAsia="Arial"/>
                <w:i/>
                <w:iCs/>
                <w:color w:val="000000" w:themeColor="text1"/>
                <w:sz w:val="22"/>
                <w:szCs w:val="22"/>
                <w:lang w:val="es-419"/>
              </w:rPr>
            </w:pPr>
            <w:r w:rsidRPr="007D1897">
              <w:rPr>
                <w:i/>
                <w:iCs/>
                <w:color w:val="000000"/>
                <w:sz w:val="22"/>
                <w:szCs w:val="22"/>
                <w:lang w:val="es-419"/>
              </w:rPr>
              <w:t>1.4%</w:t>
            </w:r>
          </w:p>
        </w:tc>
      </w:tr>
    </w:tbl>
    <w:p w14:paraId="50F54B0C" w14:textId="77777777" w:rsidR="00FE7B12" w:rsidRPr="007D1897" w:rsidRDefault="00FE7B12" w:rsidP="00E46080">
      <w:pPr>
        <w:autoSpaceDE w:val="0"/>
        <w:autoSpaceDN w:val="0"/>
        <w:adjustRightInd w:val="0"/>
        <w:rPr>
          <w:rStyle w:val="normaltextrun"/>
          <w:b/>
          <w:bCs/>
          <w:color w:val="000000"/>
          <w:shd w:val="clear" w:color="auto" w:fill="FFFFFF"/>
          <w:lang w:val="es-419"/>
        </w:rPr>
      </w:pPr>
    </w:p>
    <w:p w14:paraId="4985E259" w14:textId="0948227D" w:rsidR="00E46080" w:rsidRPr="007D1897" w:rsidRDefault="00694B52" w:rsidP="00E46080">
      <w:pPr>
        <w:autoSpaceDE w:val="0"/>
        <w:autoSpaceDN w:val="0"/>
        <w:adjustRightInd w:val="0"/>
        <w:rPr>
          <w:rStyle w:val="normaltextrun"/>
          <w:b/>
          <w:bCs/>
          <w:color w:val="000000"/>
          <w:shd w:val="clear" w:color="auto" w:fill="FFFFFF"/>
          <w:lang w:val="es-419"/>
        </w:rPr>
      </w:pPr>
      <w:r w:rsidRPr="007D1897">
        <w:rPr>
          <w:rStyle w:val="normaltextrun"/>
          <w:b/>
          <w:bCs/>
          <w:color w:val="000000"/>
          <w:shd w:val="clear" w:color="auto" w:fill="FFFFFF"/>
          <w:lang w:val="es-419"/>
        </w:rPr>
        <w:t xml:space="preserve">¿Cómo podría afectar esto mis tarifas </w:t>
      </w:r>
      <w:r w:rsidR="003C2B98" w:rsidRPr="007D1897">
        <w:rPr>
          <w:rStyle w:val="normaltextrun"/>
          <w:b/>
          <w:bCs/>
          <w:color w:val="000000"/>
          <w:shd w:val="clear" w:color="auto" w:fill="FFFFFF"/>
          <w:lang w:val="es-419"/>
        </w:rPr>
        <w:t xml:space="preserve">mensuales </w:t>
      </w:r>
      <w:r w:rsidRPr="007D1897">
        <w:rPr>
          <w:rStyle w:val="normaltextrun"/>
          <w:b/>
          <w:bCs/>
          <w:color w:val="000000"/>
          <w:shd w:val="clear" w:color="auto" w:fill="FFFFFF"/>
          <w:lang w:val="es-419"/>
        </w:rPr>
        <w:t>de gas?</w:t>
      </w:r>
    </w:p>
    <w:p w14:paraId="18403A7D" w14:textId="77777777" w:rsidR="00FE7B12" w:rsidRPr="007D1897" w:rsidRDefault="00FE7B12" w:rsidP="00E46080">
      <w:pPr>
        <w:autoSpaceDE w:val="0"/>
        <w:autoSpaceDN w:val="0"/>
        <w:adjustRightInd w:val="0"/>
        <w:rPr>
          <w:highlight w:val="yellow"/>
          <w:lang w:val="es-419"/>
        </w:rPr>
      </w:pPr>
    </w:p>
    <w:p w14:paraId="30494959" w14:textId="44866111" w:rsidR="00E46080" w:rsidRPr="007D1897" w:rsidRDefault="00694B52" w:rsidP="00E46080">
      <w:pPr>
        <w:rPr>
          <w:b/>
          <w:bCs/>
          <w:lang w:val="es-419"/>
        </w:rPr>
      </w:pPr>
      <w:r w:rsidRPr="007D1897">
        <w:rPr>
          <w:lang w:val="es-419"/>
        </w:rPr>
        <w:t xml:space="preserve">Si la CPUC aprueba la petición de SDG&amp;E respecto de un mecanismo provisional para incendios forestales en la presente solicitud, la factura promedio de un cliente residencial típico que no participa en CARE y consume 23 termias al mes </w:t>
      </w:r>
      <w:r w:rsidRPr="007D1897">
        <w:rPr>
          <w:b/>
          <w:bCs/>
          <w:lang w:val="es-419"/>
        </w:rPr>
        <w:t>se incrementaría</w:t>
      </w:r>
      <w:r w:rsidRPr="007D1897">
        <w:rPr>
          <w:lang w:val="es-419"/>
        </w:rPr>
        <w:t xml:space="preserve"> $0.06 (o 01%) en 2022. Las facturas por cliente individual pueden variar. </w:t>
      </w:r>
      <w:r w:rsidRPr="007D1897">
        <w:rPr>
          <w:b/>
          <w:bCs/>
          <w:lang w:val="es-419"/>
        </w:rPr>
        <w:t>De aprobarse, las nuevas tarifas entrarían en vigor el primer día del mes siguiente a la fecha en que empieza a surtir efecto una decisión definitiva</w:t>
      </w:r>
      <w:r w:rsidRPr="007D1897">
        <w:rPr>
          <w:lang w:val="es-419"/>
        </w:rPr>
        <w:t xml:space="preserve">. </w:t>
      </w:r>
    </w:p>
    <w:p w14:paraId="068FAD15" w14:textId="77777777" w:rsidR="00E46080" w:rsidRPr="007D1897" w:rsidRDefault="00694B52" w:rsidP="00E46080">
      <w:pPr>
        <w:autoSpaceDE w:val="0"/>
        <w:autoSpaceDN w:val="0"/>
        <w:adjustRightInd w:val="0"/>
        <w:rPr>
          <w:lang w:val="es-419"/>
        </w:rPr>
      </w:pPr>
      <w:r w:rsidRPr="007D1897">
        <w:rPr>
          <w:lang w:val="es-419"/>
        </w:rPr>
        <w:t xml:space="preserve"> </w:t>
      </w:r>
    </w:p>
    <w:p w14:paraId="50EFB89F" w14:textId="0A565DCF" w:rsidR="00E46080" w:rsidRPr="007D1897" w:rsidRDefault="00694B52" w:rsidP="00E46080">
      <w:pPr>
        <w:autoSpaceDE w:val="0"/>
        <w:autoSpaceDN w:val="0"/>
        <w:adjustRightInd w:val="0"/>
        <w:jc w:val="center"/>
        <w:rPr>
          <w:lang w:val="es-419"/>
        </w:rPr>
      </w:pPr>
      <w:r w:rsidRPr="007D1897">
        <w:rPr>
          <w:b/>
          <w:bCs/>
          <w:lang w:val="es-419"/>
        </w:rPr>
        <w:t>Resumen de tarifas de gas promedio en paquete por clase</w:t>
      </w:r>
      <w:r w:rsidR="00F15A44" w:rsidRPr="007D1897">
        <w:rPr>
          <w:b/>
          <w:bCs/>
          <w:lang w:val="es-419"/>
        </w:rPr>
        <w:t xml:space="preserve"> ilustrativas</w:t>
      </w:r>
    </w:p>
    <w:p w14:paraId="178A9C3B" w14:textId="779A726B" w:rsidR="00E46080" w:rsidRPr="007D1897" w:rsidRDefault="00694B52" w:rsidP="00E46080">
      <w:pPr>
        <w:autoSpaceDE w:val="0"/>
        <w:autoSpaceDN w:val="0"/>
        <w:adjustRightInd w:val="0"/>
        <w:jc w:val="center"/>
        <w:rPr>
          <w:highlight w:val="yellow"/>
          <w:lang w:val="es-419"/>
        </w:rPr>
      </w:pPr>
      <w:r w:rsidRPr="007D1897">
        <w:rPr>
          <w:lang w:val="es-419"/>
        </w:rPr>
        <w:t>Solicitud de asistencia tarifaria provisional para incendios forestales</w:t>
      </w:r>
    </w:p>
    <w:p w14:paraId="3B984F90" w14:textId="77777777" w:rsidR="00E46080" w:rsidRPr="007D1897" w:rsidRDefault="00E46080" w:rsidP="00E46080">
      <w:pPr>
        <w:autoSpaceDE w:val="0"/>
        <w:autoSpaceDN w:val="0"/>
        <w:adjustRightInd w:val="0"/>
        <w:jc w:val="center"/>
        <w:rPr>
          <w:highlight w:val="yellow"/>
          <w:lang w:val="es-419"/>
        </w:rPr>
      </w:pPr>
    </w:p>
    <w:p w14:paraId="562A68DC" w14:textId="74232A71" w:rsidR="00E46080" w:rsidRPr="007D1897" w:rsidRDefault="00E46080" w:rsidP="002B130F">
      <w:pPr>
        <w:autoSpaceDE w:val="0"/>
        <w:autoSpaceDN w:val="0"/>
        <w:adjustRightInd w:val="0"/>
        <w:rPr>
          <w:sz w:val="20"/>
          <w:szCs w:val="20"/>
          <w:highlight w:val="yellow"/>
          <w:vertAlign w:val="superscript"/>
          <w:lang w:val="es-419"/>
        </w:rPr>
      </w:pPr>
    </w:p>
    <w:tbl>
      <w:tblPr>
        <w:tblStyle w:val="TableGrid"/>
        <w:tblW w:w="8734" w:type="dxa"/>
        <w:jc w:val="center"/>
        <w:tblLayout w:type="fixed"/>
        <w:tblLook w:val="06A0" w:firstRow="1" w:lastRow="0" w:firstColumn="1" w:lastColumn="0" w:noHBand="1" w:noVBand="1"/>
      </w:tblPr>
      <w:tblGrid>
        <w:gridCol w:w="712"/>
        <w:gridCol w:w="2348"/>
        <w:gridCol w:w="326"/>
        <w:gridCol w:w="1337"/>
        <w:gridCol w:w="1337"/>
        <w:gridCol w:w="1337"/>
        <w:gridCol w:w="1337"/>
      </w:tblGrid>
      <w:tr w:rsidR="00093A37" w:rsidRPr="007D1897" w14:paraId="0A7B4B80" w14:textId="77777777" w:rsidTr="00117013">
        <w:trPr>
          <w:jc w:val="center"/>
        </w:trPr>
        <w:tc>
          <w:tcPr>
            <w:tcW w:w="712" w:type="dxa"/>
            <w:vMerge w:val="restart"/>
          </w:tcPr>
          <w:p w14:paraId="04683DF0" w14:textId="6A60823B" w:rsidR="00117013" w:rsidRPr="007D1897" w:rsidRDefault="00694B52" w:rsidP="00117013">
            <w:pPr>
              <w:jc w:val="center"/>
              <w:rPr>
                <w:rFonts w:eastAsia="Arial"/>
                <w:b/>
                <w:bCs/>
                <w:sz w:val="22"/>
                <w:szCs w:val="22"/>
                <w:lang w:val="es-419"/>
              </w:rPr>
            </w:pPr>
            <w:r w:rsidRPr="007D1897">
              <w:rPr>
                <w:b/>
                <w:bCs/>
                <w:sz w:val="20"/>
                <w:szCs w:val="20"/>
                <w:lang w:val="es-419"/>
              </w:rPr>
              <w:t>Línea núm.</w:t>
            </w:r>
          </w:p>
        </w:tc>
        <w:tc>
          <w:tcPr>
            <w:tcW w:w="2348" w:type="dxa"/>
            <w:vMerge w:val="restart"/>
          </w:tcPr>
          <w:p w14:paraId="2E1CDAC9" w14:textId="492B417F" w:rsidR="00117013" w:rsidRPr="007D1897" w:rsidRDefault="00694B52" w:rsidP="00117013">
            <w:pPr>
              <w:jc w:val="center"/>
              <w:rPr>
                <w:b/>
                <w:bCs/>
                <w:sz w:val="22"/>
                <w:szCs w:val="22"/>
                <w:lang w:val="es-419"/>
              </w:rPr>
            </w:pPr>
            <w:r w:rsidRPr="007D1897">
              <w:rPr>
                <w:b/>
                <w:bCs/>
                <w:sz w:val="22"/>
                <w:szCs w:val="22"/>
                <w:lang w:val="es-419"/>
              </w:rPr>
              <w:t>Clase de cliente</w:t>
            </w:r>
          </w:p>
        </w:tc>
        <w:tc>
          <w:tcPr>
            <w:tcW w:w="326" w:type="dxa"/>
          </w:tcPr>
          <w:p w14:paraId="24021485" w14:textId="77777777" w:rsidR="00117013" w:rsidRPr="007D1897" w:rsidRDefault="00694B52" w:rsidP="00FF278E">
            <w:pPr>
              <w:rPr>
                <w:b/>
                <w:bCs/>
                <w:sz w:val="22"/>
                <w:szCs w:val="22"/>
                <w:lang w:val="es-419"/>
              </w:rPr>
            </w:pPr>
            <w:r w:rsidRPr="007D1897">
              <w:rPr>
                <w:rFonts w:eastAsia="Arial"/>
                <w:b/>
                <w:bCs/>
                <w:sz w:val="22"/>
                <w:szCs w:val="22"/>
                <w:lang w:val="es-419"/>
              </w:rPr>
              <w:t xml:space="preserve"> </w:t>
            </w:r>
          </w:p>
        </w:tc>
        <w:tc>
          <w:tcPr>
            <w:tcW w:w="2674" w:type="dxa"/>
            <w:gridSpan w:val="2"/>
          </w:tcPr>
          <w:p w14:paraId="08ABFA59" w14:textId="78325A09" w:rsidR="00117013" w:rsidRPr="007D1897" w:rsidRDefault="00694B52" w:rsidP="00117013">
            <w:pPr>
              <w:jc w:val="center"/>
              <w:rPr>
                <w:b/>
                <w:bCs/>
                <w:sz w:val="22"/>
                <w:szCs w:val="22"/>
                <w:lang w:val="es-419"/>
              </w:rPr>
            </w:pPr>
            <w:r w:rsidRPr="007D1897">
              <w:rPr>
                <w:b/>
                <w:bCs/>
                <w:sz w:val="22"/>
                <w:szCs w:val="22"/>
                <w:lang w:val="es-419"/>
              </w:rPr>
              <w:t>Tarifas totales</w:t>
            </w:r>
          </w:p>
        </w:tc>
        <w:tc>
          <w:tcPr>
            <w:tcW w:w="2674" w:type="dxa"/>
            <w:gridSpan w:val="2"/>
          </w:tcPr>
          <w:p w14:paraId="1E2B9EE4" w14:textId="5B32A42A" w:rsidR="00117013" w:rsidRPr="007D1897" w:rsidRDefault="00694B52" w:rsidP="00117013">
            <w:pPr>
              <w:jc w:val="center"/>
              <w:rPr>
                <w:b/>
                <w:bCs/>
                <w:sz w:val="22"/>
                <w:szCs w:val="22"/>
                <w:lang w:val="es-419"/>
              </w:rPr>
            </w:pPr>
            <w:r w:rsidRPr="007D1897">
              <w:rPr>
                <w:b/>
                <w:bCs/>
                <w:sz w:val="22"/>
                <w:szCs w:val="22"/>
                <w:lang w:val="es-419"/>
              </w:rPr>
              <w:t>Cambio</w:t>
            </w:r>
          </w:p>
        </w:tc>
      </w:tr>
      <w:tr w:rsidR="00093A37" w:rsidRPr="007D1897" w14:paraId="5B2995F1" w14:textId="77777777" w:rsidTr="00117013">
        <w:trPr>
          <w:jc w:val="center"/>
        </w:trPr>
        <w:tc>
          <w:tcPr>
            <w:tcW w:w="712" w:type="dxa"/>
            <w:vMerge/>
          </w:tcPr>
          <w:p w14:paraId="370C2998" w14:textId="70398998" w:rsidR="00117013" w:rsidRPr="007D1897" w:rsidRDefault="00117013" w:rsidP="00FF278E">
            <w:pPr>
              <w:rPr>
                <w:b/>
                <w:bCs/>
                <w:sz w:val="22"/>
                <w:szCs w:val="22"/>
                <w:lang w:val="es-419"/>
              </w:rPr>
            </w:pPr>
          </w:p>
        </w:tc>
        <w:tc>
          <w:tcPr>
            <w:tcW w:w="2348" w:type="dxa"/>
            <w:vMerge/>
          </w:tcPr>
          <w:p w14:paraId="68A4799E" w14:textId="7F3E3914" w:rsidR="00117013" w:rsidRPr="007D1897" w:rsidRDefault="00117013" w:rsidP="00FF278E">
            <w:pPr>
              <w:rPr>
                <w:b/>
                <w:bCs/>
                <w:sz w:val="22"/>
                <w:szCs w:val="22"/>
                <w:lang w:val="es-419"/>
              </w:rPr>
            </w:pPr>
          </w:p>
        </w:tc>
        <w:tc>
          <w:tcPr>
            <w:tcW w:w="326" w:type="dxa"/>
          </w:tcPr>
          <w:p w14:paraId="08DA9498" w14:textId="77777777" w:rsidR="00117013" w:rsidRPr="007D1897" w:rsidRDefault="00117013" w:rsidP="00FF278E">
            <w:pPr>
              <w:rPr>
                <w:b/>
                <w:bCs/>
                <w:sz w:val="22"/>
                <w:szCs w:val="22"/>
                <w:lang w:val="es-419"/>
              </w:rPr>
            </w:pPr>
          </w:p>
        </w:tc>
        <w:tc>
          <w:tcPr>
            <w:tcW w:w="1337" w:type="dxa"/>
          </w:tcPr>
          <w:p w14:paraId="11BB962A" w14:textId="311D1DED" w:rsidR="001F6086" w:rsidRPr="007D1897" w:rsidRDefault="00694B52" w:rsidP="001F6086">
            <w:pPr>
              <w:jc w:val="center"/>
              <w:rPr>
                <w:rFonts w:eastAsia="Arial"/>
                <w:b/>
                <w:bCs/>
                <w:sz w:val="22"/>
                <w:szCs w:val="22"/>
                <w:lang w:val="es-419"/>
              </w:rPr>
            </w:pPr>
            <w:r w:rsidRPr="007D1897">
              <w:rPr>
                <w:b/>
                <w:bCs/>
                <w:sz w:val="22"/>
                <w:szCs w:val="22"/>
                <w:lang w:val="es-419"/>
              </w:rPr>
              <w:t xml:space="preserve">En vigor </w:t>
            </w:r>
            <w:r w:rsidR="00F61ADE" w:rsidRPr="007D1897">
              <w:rPr>
                <w:b/>
                <w:bCs/>
                <w:sz w:val="22"/>
                <w:szCs w:val="22"/>
                <w:lang w:val="es-419"/>
              </w:rPr>
              <w:t>a</w:t>
            </w:r>
            <w:r w:rsidRPr="007D1897">
              <w:rPr>
                <w:b/>
                <w:bCs/>
                <w:sz w:val="22"/>
                <w:szCs w:val="22"/>
                <w:lang w:val="es-419"/>
              </w:rPr>
              <w:t>l 1/1/2021</w:t>
            </w:r>
          </w:p>
          <w:p w14:paraId="448337CD" w14:textId="5766AE9D" w:rsidR="00117013" w:rsidRPr="007D1897" w:rsidRDefault="00694B52" w:rsidP="001F6086">
            <w:pPr>
              <w:jc w:val="center"/>
              <w:rPr>
                <w:rFonts w:eastAsia="Arial"/>
                <w:b/>
                <w:bCs/>
                <w:sz w:val="22"/>
                <w:szCs w:val="22"/>
                <w:lang w:val="es-419"/>
              </w:rPr>
            </w:pPr>
            <w:r w:rsidRPr="007D1897">
              <w:rPr>
                <w:b/>
                <w:bCs/>
                <w:sz w:val="22"/>
                <w:szCs w:val="22"/>
                <w:lang w:val="es-419"/>
              </w:rPr>
              <w:t>($ / termia)</w:t>
            </w:r>
          </w:p>
        </w:tc>
        <w:tc>
          <w:tcPr>
            <w:tcW w:w="1337" w:type="dxa"/>
          </w:tcPr>
          <w:p w14:paraId="62D58C8C" w14:textId="47B74F0A" w:rsidR="001F6086" w:rsidRPr="007D1897" w:rsidRDefault="00694B52" w:rsidP="002C3B61">
            <w:pPr>
              <w:jc w:val="center"/>
              <w:rPr>
                <w:rFonts w:eastAsia="Arial"/>
                <w:b/>
                <w:bCs/>
                <w:sz w:val="22"/>
                <w:szCs w:val="22"/>
                <w:lang w:val="es-419"/>
              </w:rPr>
            </w:pPr>
            <w:r w:rsidRPr="007D1897">
              <w:rPr>
                <w:b/>
                <w:bCs/>
                <w:sz w:val="22"/>
                <w:szCs w:val="22"/>
                <w:lang w:val="es-419"/>
              </w:rPr>
              <w:t>Propuesta</w:t>
            </w:r>
            <w:r w:rsidR="00EB155E" w:rsidRPr="007D1897">
              <w:rPr>
                <w:b/>
                <w:bCs/>
                <w:sz w:val="22"/>
                <w:szCs w:val="22"/>
                <w:lang w:val="es-419"/>
              </w:rPr>
              <w:t>s</w:t>
            </w:r>
            <w:r w:rsidRPr="007D1897">
              <w:rPr>
                <w:b/>
                <w:bCs/>
                <w:sz w:val="22"/>
                <w:szCs w:val="22"/>
                <w:lang w:val="es-419"/>
              </w:rPr>
              <w:t xml:space="preserve"> </w:t>
            </w:r>
            <w:r w:rsidR="009C0FF3">
              <w:rPr>
                <w:b/>
                <w:bCs/>
                <w:sz w:val="22"/>
                <w:szCs w:val="22"/>
                <w:lang w:val="es-419"/>
              </w:rPr>
              <w:t xml:space="preserve">al </w:t>
            </w:r>
            <w:r w:rsidRPr="007D1897">
              <w:rPr>
                <w:b/>
                <w:bCs/>
                <w:sz w:val="22"/>
                <w:szCs w:val="22"/>
                <w:lang w:val="es-419"/>
              </w:rPr>
              <w:t>4/1/2022</w:t>
            </w:r>
          </w:p>
          <w:p w14:paraId="7900903B" w14:textId="19459D05" w:rsidR="00117013" w:rsidRPr="007D1897" w:rsidRDefault="00694B52" w:rsidP="001F6086">
            <w:pPr>
              <w:jc w:val="center"/>
              <w:rPr>
                <w:rFonts w:eastAsia="Arial"/>
                <w:b/>
                <w:bCs/>
                <w:sz w:val="22"/>
                <w:szCs w:val="22"/>
                <w:lang w:val="es-419"/>
              </w:rPr>
            </w:pPr>
            <w:r w:rsidRPr="007D1897">
              <w:rPr>
                <w:b/>
                <w:bCs/>
                <w:sz w:val="22"/>
                <w:szCs w:val="22"/>
                <w:lang w:val="es-419"/>
              </w:rPr>
              <w:t>($ / termia)</w:t>
            </w:r>
          </w:p>
        </w:tc>
        <w:tc>
          <w:tcPr>
            <w:tcW w:w="1337" w:type="dxa"/>
          </w:tcPr>
          <w:p w14:paraId="25AA22B1" w14:textId="77777777" w:rsidR="00117013" w:rsidRPr="007D1897" w:rsidRDefault="00694B52" w:rsidP="00FF278E">
            <w:pPr>
              <w:jc w:val="center"/>
              <w:rPr>
                <w:rFonts w:eastAsia="Arial"/>
                <w:b/>
                <w:bCs/>
                <w:sz w:val="22"/>
                <w:szCs w:val="22"/>
                <w:lang w:val="es-419"/>
              </w:rPr>
            </w:pPr>
            <w:r w:rsidRPr="007D1897">
              <w:rPr>
                <w:rFonts w:eastAsia="Arial"/>
                <w:b/>
                <w:bCs/>
                <w:sz w:val="22"/>
                <w:szCs w:val="22"/>
                <w:lang w:val="es-419"/>
              </w:rPr>
              <w:t>$</w:t>
            </w:r>
          </w:p>
        </w:tc>
        <w:tc>
          <w:tcPr>
            <w:tcW w:w="1337" w:type="dxa"/>
          </w:tcPr>
          <w:p w14:paraId="0B01B280" w14:textId="77777777" w:rsidR="00117013" w:rsidRPr="007D1897" w:rsidRDefault="00694B52" w:rsidP="00FF278E">
            <w:pPr>
              <w:jc w:val="center"/>
              <w:rPr>
                <w:rFonts w:eastAsia="Arial"/>
                <w:b/>
                <w:bCs/>
                <w:sz w:val="22"/>
                <w:szCs w:val="22"/>
                <w:lang w:val="es-419"/>
              </w:rPr>
            </w:pPr>
            <w:r w:rsidRPr="007D1897">
              <w:rPr>
                <w:rFonts w:eastAsia="Arial"/>
                <w:b/>
                <w:bCs/>
                <w:sz w:val="22"/>
                <w:szCs w:val="22"/>
                <w:lang w:val="es-419"/>
              </w:rPr>
              <w:t>%</w:t>
            </w:r>
          </w:p>
        </w:tc>
      </w:tr>
      <w:tr w:rsidR="00093A37" w:rsidRPr="007D1897" w14:paraId="69742B39" w14:textId="77777777" w:rsidTr="00117013">
        <w:trPr>
          <w:jc w:val="center"/>
        </w:trPr>
        <w:tc>
          <w:tcPr>
            <w:tcW w:w="712" w:type="dxa"/>
          </w:tcPr>
          <w:p w14:paraId="656A164A" w14:textId="77777777" w:rsidR="00117013" w:rsidRPr="007D1897" w:rsidRDefault="00694B52" w:rsidP="00117013">
            <w:pPr>
              <w:jc w:val="center"/>
              <w:rPr>
                <w:sz w:val="22"/>
                <w:szCs w:val="22"/>
                <w:lang w:val="es-419"/>
              </w:rPr>
            </w:pPr>
            <w:r w:rsidRPr="007D1897">
              <w:rPr>
                <w:sz w:val="22"/>
                <w:szCs w:val="22"/>
                <w:lang w:val="es-419"/>
              </w:rPr>
              <w:lastRenderedPageBreak/>
              <w:t>1</w:t>
            </w:r>
          </w:p>
        </w:tc>
        <w:tc>
          <w:tcPr>
            <w:tcW w:w="2348" w:type="dxa"/>
          </w:tcPr>
          <w:p w14:paraId="31E6099F" w14:textId="77777777" w:rsidR="00117013" w:rsidRPr="007D1897" w:rsidRDefault="00694B52" w:rsidP="00FF278E">
            <w:pPr>
              <w:rPr>
                <w:sz w:val="22"/>
                <w:szCs w:val="22"/>
                <w:lang w:val="es-419"/>
              </w:rPr>
            </w:pPr>
            <w:r w:rsidRPr="007D1897">
              <w:rPr>
                <w:color w:val="000000"/>
                <w:sz w:val="22"/>
                <w:szCs w:val="22"/>
                <w:lang w:val="es-419"/>
              </w:rPr>
              <w:t>Residencial</w:t>
            </w:r>
          </w:p>
        </w:tc>
        <w:tc>
          <w:tcPr>
            <w:tcW w:w="326" w:type="dxa"/>
          </w:tcPr>
          <w:p w14:paraId="610BF273" w14:textId="77777777" w:rsidR="00117013" w:rsidRPr="007D1897" w:rsidRDefault="00694B52" w:rsidP="00FF278E">
            <w:pPr>
              <w:rPr>
                <w:sz w:val="22"/>
                <w:szCs w:val="22"/>
                <w:lang w:val="es-419"/>
              </w:rPr>
            </w:pPr>
            <w:r w:rsidRPr="007D1897">
              <w:rPr>
                <w:rFonts w:eastAsia="Arial"/>
                <w:color w:val="000000" w:themeColor="text1"/>
                <w:sz w:val="22"/>
                <w:szCs w:val="22"/>
                <w:lang w:val="es-419"/>
              </w:rPr>
              <w:t xml:space="preserve"> </w:t>
            </w:r>
          </w:p>
        </w:tc>
        <w:tc>
          <w:tcPr>
            <w:tcW w:w="1337" w:type="dxa"/>
          </w:tcPr>
          <w:p w14:paraId="22610FE1" w14:textId="48F89E9B" w:rsidR="00117013" w:rsidRPr="007D1897" w:rsidRDefault="00694B52" w:rsidP="00117013">
            <w:pPr>
              <w:jc w:val="center"/>
              <w:rPr>
                <w:sz w:val="22"/>
                <w:szCs w:val="22"/>
                <w:lang w:val="es-419"/>
              </w:rPr>
            </w:pPr>
            <w:r w:rsidRPr="007D1897">
              <w:rPr>
                <w:sz w:val="22"/>
                <w:szCs w:val="22"/>
                <w:lang w:val="es-419"/>
              </w:rPr>
              <w:t>$ 1.84779</w:t>
            </w:r>
          </w:p>
        </w:tc>
        <w:tc>
          <w:tcPr>
            <w:tcW w:w="1337" w:type="dxa"/>
          </w:tcPr>
          <w:p w14:paraId="00AAE603" w14:textId="18CC1FDE" w:rsidR="00117013" w:rsidRPr="007D1897" w:rsidRDefault="00694B52" w:rsidP="00117013">
            <w:pPr>
              <w:jc w:val="center"/>
              <w:rPr>
                <w:sz w:val="22"/>
                <w:szCs w:val="22"/>
                <w:lang w:val="es-419"/>
              </w:rPr>
            </w:pPr>
            <w:r w:rsidRPr="007D1897">
              <w:rPr>
                <w:sz w:val="22"/>
                <w:szCs w:val="22"/>
                <w:lang w:val="es-419"/>
              </w:rPr>
              <w:t>$ 1.85042</w:t>
            </w:r>
          </w:p>
        </w:tc>
        <w:tc>
          <w:tcPr>
            <w:tcW w:w="1337" w:type="dxa"/>
          </w:tcPr>
          <w:p w14:paraId="3746A834" w14:textId="1225CDB8" w:rsidR="00117013" w:rsidRPr="007D1897" w:rsidRDefault="00694B52" w:rsidP="00FF278E">
            <w:pPr>
              <w:jc w:val="center"/>
              <w:rPr>
                <w:rFonts w:eastAsia="Arial"/>
                <w:sz w:val="22"/>
                <w:szCs w:val="22"/>
                <w:lang w:val="es-419"/>
              </w:rPr>
            </w:pPr>
            <w:r w:rsidRPr="007D1897">
              <w:rPr>
                <w:sz w:val="22"/>
                <w:szCs w:val="22"/>
                <w:lang w:val="es-419"/>
              </w:rPr>
              <w:t>$ 0.00263</w:t>
            </w:r>
          </w:p>
        </w:tc>
        <w:tc>
          <w:tcPr>
            <w:tcW w:w="1337" w:type="dxa"/>
          </w:tcPr>
          <w:p w14:paraId="2CAFA5B0" w14:textId="0DC9829A" w:rsidR="00117013" w:rsidRPr="007D1897" w:rsidRDefault="00694B52" w:rsidP="00FF278E">
            <w:pPr>
              <w:jc w:val="center"/>
              <w:rPr>
                <w:rFonts w:eastAsia="Arial"/>
                <w:sz w:val="22"/>
                <w:szCs w:val="22"/>
                <w:lang w:val="es-419"/>
              </w:rPr>
            </w:pPr>
            <w:r w:rsidRPr="007D1897">
              <w:rPr>
                <w:sz w:val="22"/>
                <w:szCs w:val="22"/>
                <w:lang w:val="es-419"/>
              </w:rPr>
              <w:t>0.1 %</w:t>
            </w:r>
          </w:p>
        </w:tc>
      </w:tr>
      <w:tr w:rsidR="00093A37" w:rsidRPr="007D1897" w14:paraId="50473283" w14:textId="77777777" w:rsidTr="00117013">
        <w:trPr>
          <w:jc w:val="center"/>
        </w:trPr>
        <w:tc>
          <w:tcPr>
            <w:tcW w:w="712" w:type="dxa"/>
          </w:tcPr>
          <w:p w14:paraId="28AB2531" w14:textId="77777777" w:rsidR="00117013" w:rsidRPr="007D1897" w:rsidRDefault="00694B52" w:rsidP="00117013">
            <w:pPr>
              <w:jc w:val="center"/>
              <w:rPr>
                <w:sz w:val="22"/>
                <w:szCs w:val="22"/>
                <w:lang w:val="es-419"/>
              </w:rPr>
            </w:pPr>
            <w:r w:rsidRPr="007D1897">
              <w:rPr>
                <w:sz w:val="22"/>
                <w:szCs w:val="22"/>
                <w:lang w:val="es-419"/>
              </w:rPr>
              <w:t>2</w:t>
            </w:r>
          </w:p>
        </w:tc>
        <w:tc>
          <w:tcPr>
            <w:tcW w:w="2348" w:type="dxa"/>
          </w:tcPr>
          <w:p w14:paraId="48BE8977" w14:textId="77777777" w:rsidR="00117013" w:rsidRPr="007D1897" w:rsidRDefault="00694B52" w:rsidP="00FF278E">
            <w:pPr>
              <w:rPr>
                <w:sz w:val="22"/>
                <w:szCs w:val="22"/>
                <w:lang w:val="es-419"/>
              </w:rPr>
            </w:pPr>
            <w:r w:rsidRPr="007D1897">
              <w:rPr>
                <w:color w:val="000000"/>
                <w:sz w:val="22"/>
                <w:szCs w:val="22"/>
                <w:lang w:val="es-419"/>
              </w:rPr>
              <w:t>Comercial e industrial principal</w:t>
            </w:r>
          </w:p>
        </w:tc>
        <w:tc>
          <w:tcPr>
            <w:tcW w:w="326" w:type="dxa"/>
          </w:tcPr>
          <w:p w14:paraId="50AC6AB4" w14:textId="77777777" w:rsidR="00117013" w:rsidRPr="007D1897" w:rsidRDefault="00117013" w:rsidP="00FF278E">
            <w:pPr>
              <w:rPr>
                <w:sz w:val="22"/>
                <w:szCs w:val="22"/>
                <w:lang w:val="es-419"/>
              </w:rPr>
            </w:pPr>
          </w:p>
        </w:tc>
        <w:tc>
          <w:tcPr>
            <w:tcW w:w="1337" w:type="dxa"/>
          </w:tcPr>
          <w:p w14:paraId="01865861" w14:textId="3B0089C1" w:rsidR="00117013" w:rsidRPr="007D1897" w:rsidRDefault="00694B52" w:rsidP="00117013">
            <w:pPr>
              <w:jc w:val="center"/>
              <w:rPr>
                <w:sz w:val="22"/>
                <w:szCs w:val="22"/>
                <w:lang w:val="es-419"/>
              </w:rPr>
            </w:pPr>
            <w:r w:rsidRPr="007D1897">
              <w:rPr>
                <w:sz w:val="22"/>
                <w:szCs w:val="22"/>
                <w:lang w:val="es-419"/>
              </w:rPr>
              <w:t>$ 0.87993</w:t>
            </w:r>
          </w:p>
        </w:tc>
        <w:tc>
          <w:tcPr>
            <w:tcW w:w="1337" w:type="dxa"/>
          </w:tcPr>
          <w:p w14:paraId="19F944AD" w14:textId="237DEEEA" w:rsidR="00117013" w:rsidRPr="007D1897" w:rsidRDefault="00694B52" w:rsidP="00117013">
            <w:pPr>
              <w:jc w:val="center"/>
              <w:rPr>
                <w:sz w:val="22"/>
                <w:szCs w:val="22"/>
                <w:lang w:val="es-419"/>
              </w:rPr>
            </w:pPr>
            <w:r w:rsidRPr="007D1897">
              <w:rPr>
                <w:sz w:val="22"/>
                <w:szCs w:val="22"/>
                <w:lang w:val="es-419"/>
              </w:rPr>
              <w:t>$0.88064</w:t>
            </w:r>
          </w:p>
        </w:tc>
        <w:tc>
          <w:tcPr>
            <w:tcW w:w="1337" w:type="dxa"/>
          </w:tcPr>
          <w:p w14:paraId="0ACC669C" w14:textId="6F2DE093" w:rsidR="00117013" w:rsidRPr="007D1897" w:rsidRDefault="00694B52" w:rsidP="00FF278E">
            <w:pPr>
              <w:jc w:val="center"/>
              <w:rPr>
                <w:rFonts w:eastAsia="Arial"/>
                <w:sz w:val="22"/>
                <w:szCs w:val="22"/>
                <w:lang w:val="es-419"/>
              </w:rPr>
            </w:pPr>
            <w:r w:rsidRPr="007D1897">
              <w:rPr>
                <w:sz w:val="22"/>
                <w:szCs w:val="22"/>
                <w:lang w:val="es-419"/>
              </w:rPr>
              <w:t>$ 0.00070</w:t>
            </w:r>
          </w:p>
        </w:tc>
        <w:tc>
          <w:tcPr>
            <w:tcW w:w="1337" w:type="dxa"/>
          </w:tcPr>
          <w:p w14:paraId="5E8931C5" w14:textId="539AD5FD" w:rsidR="00117013" w:rsidRPr="007D1897" w:rsidRDefault="00694B52" w:rsidP="00FF278E">
            <w:pPr>
              <w:jc w:val="center"/>
              <w:rPr>
                <w:rFonts w:eastAsia="Arial"/>
                <w:sz w:val="22"/>
                <w:szCs w:val="22"/>
                <w:lang w:val="es-419"/>
              </w:rPr>
            </w:pPr>
            <w:r w:rsidRPr="007D1897">
              <w:rPr>
                <w:sz w:val="22"/>
                <w:szCs w:val="22"/>
                <w:lang w:val="es-419"/>
              </w:rPr>
              <w:t>0.1 %</w:t>
            </w:r>
          </w:p>
        </w:tc>
      </w:tr>
      <w:tr w:rsidR="00093A37" w:rsidRPr="007D1897" w14:paraId="2AD4C105" w14:textId="77777777" w:rsidTr="00117013">
        <w:trPr>
          <w:jc w:val="center"/>
        </w:trPr>
        <w:tc>
          <w:tcPr>
            <w:tcW w:w="712" w:type="dxa"/>
          </w:tcPr>
          <w:p w14:paraId="5669A8F3" w14:textId="77777777" w:rsidR="00117013" w:rsidRPr="007D1897" w:rsidRDefault="00694B52" w:rsidP="00117013">
            <w:pPr>
              <w:jc w:val="center"/>
              <w:rPr>
                <w:sz w:val="22"/>
                <w:szCs w:val="22"/>
                <w:lang w:val="es-419"/>
              </w:rPr>
            </w:pPr>
            <w:r w:rsidRPr="007D1897">
              <w:rPr>
                <w:sz w:val="22"/>
                <w:szCs w:val="22"/>
                <w:lang w:val="es-419"/>
              </w:rPr>
              <w:t>3</w:t>
            </w:r>
          </w:p>
        </w:tc>
        <w:tc>
          <w:tcPr>
            <w:tcW w:w="2348" w:type="dxa"/>
          </w:tcPr>
          <w:p w14:paraId="2E83588E" w14:textId="77777777" w:rsidR="00117013" w:rsidRPr="007D1897" w:rsidRDefault="00694B52" w:rsidP="00FF278E">
            <w:pPr>
              <w:rPr>
                <w:sz w:val="22"/>
                <w:szCs w:val="22"/>
                <w:lang w:val="es-419"/>
              </w:rPr>
            </w:pPr>
            <w:r w:rsidRPr="007D1897">
              <w:rPr>
                <w:color w:val="000000"/>
                <w:sz w:val="22"/>
                <w:szCs w:val="22"/>
                <w:lang w:val="es-419"/>
              </w:rPr>
              <w:t>Vehículo de gas natural</w:t>
            </w:r>
          </w:p>
        </w:tc>
        <w:tc>
          <w:tcPr>
            <w:tcW w:w="326" w:type="dxa"/>
          </w:tcPr>
          <w:p w14:paraId="7FE91719" w14:textId="77777777" w:rsidR="00117013" w:rsidRPr="007D1897" w:rsidRDefault="00694B52" w:rsidP="00FF278E">
            <w:pPr>
              <w:rPr>
                <w:sz w:val="22"/>
                <w:szCs w:val="22"/>
                <w:lang w:val="es-419"/>
              </w:rPr>
            </w:pPr>
            <w:r w:rsidRPr="007D1897">
              <w:rPr>
                <w:rFonts w:eastAsia="Arial"/>
                <w:color w:val="000000" w:themeColor="text1"/>
                <w:sz w:val="22"/>
                <w:szCs w:val="22"/>
                <w:lang w:val="es-419"/>
              </w:rPr>
              <w:t xml:space="preserve"> </w:t>
            </w:r>
          </w:p>
        </w:tc>
        <w:tc>
          <w:tcPr>
            <w:tcW w:w="1337" w:type="dxa"/>
          </w:tcPr>
          <w:p w14:paraId="2C282048" w14:textId="6EA6F5C4" w:rsidR="00117013" w:rsidRPr="007D1897" w:rsidRDefault="00694B52" w:rsidP="00117013">
            <w:pPr>
              <w:jc w:val="center"/>
              <w:rPr>
                <w:sz w:val="22"/>
                <w:szCs w:val="22"/>
                <w:lang w:val="es-419"/>
              </w:rPr>
            </w:pPr>
            <w:r w:rsidRPr="007D1897">
              <w:rPr>
                <w:sz w:val="22"/>
                <w:szCs w:val="22"/>
                <w:lang w:val="es-419"/>
              </w:rPr>
              <w:t>$ 0.39852</w:t>
            </w:r>
          </w:p>
        </w:tc>
        <w:tc>
          <w:tcPr>
            <w:tcW w:w="1337" w:type="dxa"/>
          </w:tcPr>
          <w:p w14:paraId="1A6B29EC" w14:textId="32E8FBE8" w:rsidR="00117013" w:rsidRPr="007D1897" w:rsidRDefault="00694B52" w:rsidP="00117013">
            <w:pPr>
              <w:jc w:val="center"/>
              <w:rPr>
                <w:sz w:val="22"/>
                <w:szCs w:val="22"/>
                <w:lang w:val="es-419"/>
              </w:rPr>
            </w:pPr>
            <w:r w:rsidRPr="007D1897">
              <w:rPr>
                <w:sz w:val="22"/>
                <w:szCs w:val="22"/>
                <w:lang w:val="es-419"/>
              </w:rPr>
              <w:t>$ 0.39855</w:t>
            </w:r>
          </w:p>
        </w:tc>
        <w:tc>
          <w:tcPr>
            <w:tcW w:w="1337" w:type="dxa"/>
          </w:tcPr>
          <w:p w14:paraId="1C340C51" w14:textId="6BFBB8FD" w:rsidR="00117013" w:rsidRPr="007D1897" w:rsidRDefault="00694B52" w:rsidP="00FF278E">
            <w:pPr>
              <w:jc w:val="center"/>
              <w:rPr>
                <w:rFonts w:eastAsia="Arial"/>
                <w:sz w:val="22"/>
                <w:szCs w:val="22"/>
                <w:lang w:val="es-419"/>
              </w:rPr>
            </w:pPr>
            <w:r w:rsidRPr="007D1897">
              <w:rPr>
                <w:sz w:val="22"/>
                <w:szCs w:val="22"/>
                <w:lang w:val="es-419"/>
              </w:rPr>
              <w:t>$ 0.00003</w:t>
            </w:r>
          </w:p>
        </w:tc>
        <w:tc>
          <w:tcPr>
            <w:tcW w:w="1337" w:type="dxa"/>
          </w:tcPr>
          <w:p w14:paraId="13C94124" w14:textId="119E73EF" w:rsidR="00117013" w:rsidRPr="007D1897" w:rsidRDefault="00694B52" w:rsidP="00FF278E">
            <w:pPr>
              <w:jc w:val="center"/>
              <w:rPr>
                <w:rFonts w:eastAsia="Arial"/>
                <w:sz w:val="22"/>
                <w:szCs w:val="22"/>
                <w:lang w:val="es-419"/>
              </w:rPr>
            </w:pPr>
            <w:r w:rsidRPr="007D1897">
              <w:rPr>
                <w:sz w:val="22"/>
                <w:szCs w:val="22"/>
                <w:lang w:val="es-419"/>
              </w:rPr>
              <w:t>0.0 %</w:t>
            </w:r>
          </w:p>
        </w:tc>
      </w:tr>
      <w:tr w:rsidR="00093A37" w:rsidRPr="007D1897" w14:paraId="252D638F" w14:textId="77777777" w:rsidTr="00117013">
        <w:trPr>
          <w:jc w:val="center"/>
        </w:trPr>
        <w:tc>
          <w:tcPr>
            <w:tcW w:w="712" w:type="dxa"/>
          </w:tcPr>
          <w:p w14:paraId="3EFDA679" w14:textId="77777777" w:rsidR="00117013" w:rsidRPr="007D1897" w:rsidRDefault="00694B52" w:rsidP="00117013">
            <w:pPr>
              <w:jc w:val="center"/>
              <w:rPr>
                <w:sz w:val="22"/>
                <w:szCs w:val="22"/>
                <w:lang w:val="es-419"/>
              </w:rPr>
            </w:pPr>
            <w:r w:rsidRPr="007D1897">
              <w:rPr>
                <w:sz w:val="22"/>
                <w:szCs w:val="22"/>
                <w:lang w:val="es-419"/>
              </w:rPr>
              <w:t>4</w:t>
            </w:r>
          </w:p>
        </w:tc>
        <w:tc>
          <w:tcPr>
            <w:tcW w:w="2348" w:type="dxa"/>
          </w:tcPr>
          <w:p w14:paraId="23E838A4" w14:textId="77777777" w:rsidR="00117013" w:rsidRPr="007D1897" w:rsidRDefault="00694B52" w:rsidP="00FF278E">
            <w:pPr>
              <w:rPr>
                <w:sz w:val="22"/>
                <w:szCs w:val="22"/>
                <w:lang w:val="es-419"/>
              </w:rPr>
            </w:pPr>
            <w:r w:rsidRPr="007D1897">
              <w:rPr>
                <w:color w:val="000000"/>
                <w:sz w:val="22"/>
                <w:szCs w:val="22"/>
                <w:lang w:val="es-419"/>
              </w:rPr>
              <w:t>Promedio clientes principales</w:t>
            </w:r>
          </w:p>
        </w:tc>
        <w:tc>
          <w:tcPr>
            <w:tcW w:w="326" w:type="dxa"/>
          </w:tcPr>
          <w:p w14:paraId="1ED1A666" w14:textId="77777777" w:rsidR="00117013" w:rsidRPr="007D1897" w:rsidRDefault="00117013" w:rsidP="00FF278E">
            <w:pPr>
              <w:rPr>
                <w:sz w:val="22"/>
                <w:szCs w:val="22"/>
                <w:lang w:val="es-419"/>
              </w:rPr>
            </w:pPr>
          </w:p>
        </w:tc>
        <w:tc>
          <w:tcPr>
            <w:tcW w:w="1337" w:type="dxa"/>
          </w:tcPr>
          <w:p w14:paraId="6BE96115" w14:textId="53DFC25D" w:rsidR="00117013" w:rsidRPr="007D1897" w:rsidRDefault="00694B52" w:rsidP="00117013">
            <w:pPr>
              <w:jc w:val="center"/>
              <w:rPr>
                <w:sz w:val="22"/>
                <w:szCs w:val="22"/>
                <w:lang w:val="es-419"/>
              </w:rPr>
            </w:pPr>
            <w:r w:rsidRPr="007D1897">
              <w:rPr>
                <w:sz w:val="22"/>
                <w:szCs w:val="22"/>
                <w:lang w:val="es-419"/>
              </w:rPr>
              <w:t>$ 1.42782</w:t>
            </w:r>
          </w:p>
        </w:tc>
        <w:tc>
          <w:tcPr>
            <w:tcW w:w="1337" w:type="dxa"/>
          </w:tcPr>
          <w:p w14:paraId="733E4E26" w14:textId="1268E719" w:rsidR="00117013" w:rsidRPr="007D1897" w:rsidRDefault="00694B52" w:rsidP="00117013">
            <w:pPr>
              <w:jc w:val="center"/>
              <w:rPr>
                <w:sz w:val="22"/>
                <w:szCs w:val="22"/>
                <w:lang w:val="es-419"/>
              </w:rPr>
            </w:pPr>
            <w:r w:rsidRPr="007D1897">
              <w:rPr>
                <w:sz w:val="22"/>
                <w:szCs w:val="22"/>
                <w:lang w:val="es-419"/>
              </w:rPr>
              <w:t>$ 1.42962</w:t>
            </w:r>
          </w:p>
        </w:tc>
        <w:tc>
          <w:tcPr>
            <w:tcW w:w="1337" w:type="dxa"/>
          </w:tcPr>
          <w:p w14:paraId="3848FAD2" w14:textId="7DEBACB4" w:rsidR="00117013" w:rsidRPr="007D1897" w:rsidRDefault="00694B52" w:rsidP="00FF278E">
            <w:pPr>
              <w:jc w:val="center"/>
              <w:rPr>
                <w:rFonts w:eastAsia="Arial"/>
                <w:sz w:val="22"/>
                <w:szCs w:val="22"/>
                <w:lang w:val="es-419"/>
              </w:rPr>
            </w:pPr>
            <w:r w:rsidRPr="007D1897">
              <w:rPr>
                <w:sz w:val="22"/>
                <w:szCs w:val="22"/>
                <w:lang w:val="es-419"/>
              </w:rPr>
              <w:t>$ 0.00181</w:t>
            </w:r>
          </w:p>
        </w:tc>
        <w:tc>
          <w:tcPr>
            <w:tcW w:w="1337" w:type="dxa"/>
          </w:tcPr>
          <w:p w14:paraId="62CB1D3C" w14:textId="06D24708" w:rsidR="00117013" w:rsidRPr="007D1897" w:rsidRDefault="00694B52" w:rsidP="00FF278E">
            <w:pPr>
              <w:jc w:val="center"/>
              <w:rPr>
                <w:rFonts w:eastAsia="Arial"/>
                <w:sz w:val="22"/>
                <w:szCs w:val="22"/>
                <w:lang w:val="es-419"/>
              </w:rPr>
            </w:pPr>
            <w:r w:rsidRPr="007D1897">
              <w:rPr>
                <w:sz w:val="22"/>
                <w:szCs w:val="22"/>
                <w:lang w:val="es-419"/>
              </w:rPr>
              <w:t>0.1 %</w:t>
            </w:r>
          </w:p>
        </w:tc>
      </w:tr>
      <w:tr w:rsidR="00093A37" w:rsidRPr="007D1897" w14:paraId="13367EF2" w14:textId="77777777" w:rsidTr="00117013">
        <w:trPr>
          <w:jc w:val="center"/>
        </w:trPr>
        <w:tc>
          <w:tcPr>
            <w:tcW w:w="712" w:type="dxa"/>
          </w:tcPr>
          <w:p w14:paraId="595139D7" w14:textId="1B7C7E9B" w:rsidR="00117013" w:rsidRPr="007D1897" w:rsidRDefault="00117013" w:rsidP="00117013">
            <w:pPr>
              <w:jc w:val="center"/>
              <w:rPr>
                <w:sz w:val="22"/>
                <w:szCs w:val="22"/>
                <w:lang w:val="es-419"/>
              </w:rPr>
            </w:pPr>
          </w:p>
        </w:tc>
        <w:tc>
          <w:tcPr>
            <w:tcW w:w="2348" w:type="dxa"/>
          </w:tcPr>
          <w:p w14:paraId="1C24E598" w14:textId="77777777" w:rsidR="00117013" w:rsidRPr="007D1897" w:rsidRDefault="00694B52" w:rsidP="00FF278E">
            <w:pPr>
              <w:rPr>
                <w:sz w:val="22"/>
                <w:szCs w:val="22"/>
                <w:lang w:val="es-419"/>
              </w:rPr>
            </w:pPr>
            <w:r w:rsidRPr="007D1897">
              <w:rPr>
                <w:rFonts w:eastAsia="Arial"/>
                <w:color w:val="000000" w:themeColor="text1"/>
                <w:sz w:val="22"/>
                <w:szCs w:val="22"/>
                <w:lang w:val="es-419"/>
              </w:rPr>
              <w:t xml:space="preserve"> </w:t>
            </w:r>
          </w:p>
        </w:tc>
        <w:tc>
          <w:tcPr>
            <w:tcW w:w="326" w:type="dxa"/>
          </w:tcPr>
          <w:p w14:paraId="4E88AEB1" w14:textId="77777777" w:rsidR="00117013" w:rsidRPr="007D1897" w:rsidRDefault="00694B52" w:rsidP="00FF278E">
            <w:pPr>
              <w:rPr>
                <w:sz w:val="22"/>
                <w:szCs w:val="22"/>
                <w:lang w:val="es-419"/>
              </w:rPr>
            </w:pPr>
            <w:r w:rsidRPr="007D1897">
              <w:rPr>
                <w:rFonts w:eastAsia="Arial"/>
                <w:color w:val="000000" w:themeColor="text1"/>
                <w:sz w:val="22"/>
                <w:szCs w:val="22"/>
                <w:lang w:val="es-419"/>
              </w:rPr>
              <w:t xml:space="preserve"> </w:t>
            </w:r>
          </w:p>
        </w:tc>
        <w:tc>
          <w:tcPr>
            <w:tcW w:w="1337" w:type="dxa"/>
          </w:tcPr>
          <w:p w14:paraId="6CA29829" w14:textId="40D0CC81" w:rsidR="00117013" w:rsidRPr="007D1897" w:rsidRDefault="00117013" w:rsidP="00117013">
            <w:pPr>
              <w:jc w:val="center"/>
              <w:rPr>
                <w:sz w:val="22"/>
                <w:szCs w:val="22"/>
                <w:lang w:val="es-419"/>
              </w:rPr>
            </w:pPr>
          </w:p>
        </w:tc>
        <w:tc>
          <w:tcPr>
            <w:tcW w:w="1337" w:type="dxa"/>
          </w:tcPr>
          <w:p w14:paraId="34B45142" w14:textId="25424443" w:rsidR="00117013" w:rsidRPr="007D1897" w:rsidRDefault="00117013" w:rsidP="00117013">
            <w:pPr>
              <w:jc w:val="center"/>
              <w:rPr>
                <w:sz w:val="22"/>
                <w:szCs w:val="22"/>
                <w:lang w:val="es-419"/>
              </w:rPr>
            </w:pPr>
          </w:p>
        </w:tc>
        <w:tc>
          <w:tcPr>
            <w:tcW w:w="1337" w:type="dxa"/>
          </w:tcPr>
          <w:p w14:paraId="049E2E44" w14:textId="77777777" w:rsidR="00117013" w:rsidRPr="007D1897" w:rsidRDefault="00694B52" w:rsidP="00FF278E">
            <w:pPr>
              <w:rPr>
                <w:sz w:val="22"/>
                <w:szCs w:val="22"/>
                <w:lang w:val="es-419"/>
              </w:rPr>
            </w:pPr>
            <w:r w:rsidRPr="007D1897">
              <w:rPr>
                <w:rFonts w:eastAsia="Arial"/>
                <w:sz w:val="22"/>
                <w:szCs w:val="22"/>
                <w:lang w:val="es-419"/>
              </w:rPr>
              <w:t xml:space="preserve"> </w:t>
            </w:r>
          </w:p>
        </w:tc>
        <w:tc>
          <w:tcPr>
            <w:tcW w:w="1337" w:type="dxa"/>
          </w:tcPr>
          <w:p w14:paraId="43619FA6" w14:textId="77777777" w:rsidR="00117013" w:rsidRPr="007D1897" w:rsidRDefault="00694B52" w:rsidP="00FF278E">
            <w:pPr>
              <w:rPr>
                <w:sz w:val="22"/>
                <w:szCs w:val="22"/>
                <w:lang w:val="es-419"/>
              </w:rPr>
            </w:pPr>
            <w:r w:rsidRPr="007D1897">
              <w:rPr>
                <w:rFonts w:eastAsia="Arial"/>
                <w:sz w:val="22"/>
                <w:szCs w:val="22"/>
                <w:lang w:val="es-419"/>
              </w:rPr>
              <w:t xml:space="preserve"> </w:t>
            </w:r>
          </w:p>
        </w:tc>
      </w:tr>
      <w:tr w:rsidR="00093A37" w:rsidRPr="007D1897" w14:paraId="45C58C0B" w14:textId="77777777" w:rsidTr="00117013">
        <w:trPr>
          <w:jc w:val="center"/>
        </w:trPr>
        <w:tc>
          <w:tcPr>
            <w:tcW w:w="712" w:type="dxa"/>
          </w:tcPr>
          <w:p w14:paraId="2CB0C303" w14:textId="77777777" w:rsidR="00117013" w:rsidRPr="007D1897" w:rsidRDefault="00694B52" w:rsidP="00117013">
            <w:pPr>
              <w:jc w:val="center"/>
              <w:rPr>
                <w:sz w:val="22"/>
                <w:szCs w:val="22"/>
                <w:lang w:val="es-419"/>
              </w:rPr>
            </w:pPr>
            <w:r w:rsidRPr="007D1897">
              <w:rPr>
                <w:sz w:val="22"/>
                <w:szCs w:val="22"/>
                <w:lang w:val="es-419"/>
              </w:rPr>
              <w:t>5</w:t>
            </w:r>
          </w:p>
        </w:tc>
        <w:tc>
          <w:tcPr>
            <w:tcW w:w="2348" w:type="dxa"/>
          </w:tcPr>
          <w:p w14:paraId="14360D4E" w14:textId="0C6E7717" w:rsidR="00117013" w:rsidRPr="007D1897" w:rsidRDefault="00694B52" w:rsidP="00FF278E">
            <w:pPr>
              <w:rPr>
                <w:sz w:val="22"/>
                <w:szCs w:val="22"/>
                <w:lang w:val="es-419"/>
              </w:rPr>
            </w:pPr>
            <w:r w:rsidRPr="007D1897">
              <w:rPr>
                <w:color w:val="000000"/>
                <w:sz w:val="22"/>
                <w:szCs w:val="22"/>
                <w:lang w:val="es-419"/>
              </w:rPr>
              <w:t>CeI no principal</w:t>
            </w:r>
          </w:p>
        </w:tc>
        <w:tc>
          <w:tcPr>
            <w:tcW w:w="326" w:type="dxa"/>
          </w:tcPr>
          <w:p w14:paraId="78A91A30" w14:textId="77777777" w:rsidR="00117013" w:rsidRPr="007D1897" w:rsidRDefault="00694B52" w:rsidP="00FF278E">
            <w:pPr>
              <w:rPr>
                <w:sz w:val="22"/>
                <w:szCs w:val="22"/>
                <w:lang w:val="es-419"/>
              </w:rPr>
            </w:pPr>
            <w:r w:rsidRPr="007D1897">
              <w:rPr>
                <w:rFonts w:eastAsia="Arial"/>
                <w:color w:val="000000" w:themeColor="text1"/>
                <w:sz w:val="22"/>
                <w:szCs w:val="22"/>
                <w:lang w:val="es-419"/>
              </w:rPr>
              <w:t xml:space="preserve"> </w:t>
            </w:r>
          </w:p>
        </w:tc>
        <w:tc>
          <w:tcPr>
            <w:tcW w:w="1337" w:type="dxa"/>
          </w:tcPr>
          <w:p w14:paraId="0A5E8DC4" w14:textId="4A59F936" w:rsidR="00117013" w:rsidRPr="007D1897" w:rsidRDefault="00694B52" w:rsidP="00117013">
            <w:pPr>
              <w:jc w:val="center"/>
              <w:rPr>
                <w:sz w:val="22"/>
                <w:szCs w:val="22"/>
                <w:lang w:val="es-419"/>
              </w:rPr>
            </w:pPr>
            <w:r w:rsidRPr="007D1897">
              <w:rPr>
                <w:sz w:val="22"/>
                <w:szCs w:val="22"/>
                <w:lang w:val="es-419"/>
              </w:rPr>
              <w:t>$ 0.15111</w:t>
            </w:r>
          </w:p>
        </w:tc>
        <w:tc>
          <w:tcPr>
            <w:tcW w:w="1337" w:type="dxa"/>
          </w:tcPr>
          <w:p w14:paraId="68714216" w14:textId="368ECD00" w:rsidR="00117013" w:rsidRPr="007D1897" w:rsidRDefault="00694B52" w:rsidP="00117013">
            <w:pPr>
              <w:jc w:val="center"/>
              <w:rPr>
                <w:sz w:val="22"/>
                <w:szCs w:val="22"/>
                <w:lang w:val="es-419"/>
              </w:rPr>
            </w:pPr>
            <w:r w:rsidRPr="007D1897">
              <w:rPr>
                <w:sz w:val="22"/>
                <w:szCs w:val="22"/>
                <w:lang w:val="es-419"/>
              </w:rPr>
              <w:t>$ 0.15125</w:t>
            </w:r>
          </w:p>
        </w:tc>
        <w:tc>
          <w:tcPr>
            <w:tcW w:w="1337" w:type="dxa"/>
          </w:tcPr>
          <w:p w14:paraId="5C01346F" w14:textId="0B948A27" w:rsidR="00117013" w:rsidRPr="007D1897" w:rsidRDefault="00694B52" w:rsidP="00FF278E">
            <w:pPr>
              <w:jc w:val="center"/>
              <w:rPr>
                <w:rFonts w:eastAsia="Arial"/>
                <w:sz w:val="22"/>
                <w:szCs w:val="22"/>
                <w:lang w:val="es-419"/>
              </w:rPr>
            </w:pPr>
            <w:r w:rsidRPr="007D1897">
              <w:rPr>
                <w:sz w:val="22"/>
                <w:szCs w:val="22"/>
                <w:lang w:val="es-419"/>
              </w:rPr>
              <w:t>$ 0.00013</w:t>
            </w:r>
          </w:p>
        </w:tc>
        <w:tc>
          <w:tcPr>
            <w:tcW w:w="1337" w:type="dxa"/>
          </w:tcPr>
          <w:p w14:paraId="35457C7D" w14:textId="6DC45361" w:rsidR="00117013" w:rsidRPr="007D1897" w:rsidRDefault="00694B52" w:rsidP="00FF278E">
            <w:pPr>
              <w:jc w:val="center"/>
              <w:rPr>
                <w:rFonts w:eastAsia="Arial"/>
                <w:sz w:val="22"/>
                <w:szCs w:val="22"/>
                <w:lang w:val="es-419"/>
              </w:rPr>
            </w:pPr>
            <w:r w:rsidRPr="007D1897">
              <w:rPr>
                <w:sz w:val="22"/>
                <w:szCs w:val="22"/>
                <w:lang w:val="es-419"/>
              </w:rPr>
              <w:t>0.1 %</w:t>
            </w:r>
          </w:p>
        </w:tc>
      </w:tr>
      <w:tr w:rsidR="00093A37" w:rsidRPr="007D1897" w14:paraId="6FF124E3" w14:textId="77777777" w:rsidTr="00117013">
        <w:trPr>
          <w:jc w:val="center"/>
        </w:trPr>
        <w:tc>
          <w:tcPr>
            <w:tcW w:w="712" w:type="dxa"/>
          </w:tcPr>
          <w:p w14:paraId="469A6A85" w14:textId="77777777" w:rsidR="00117013" w:rsidRPr="007D1897" w:rsidRDefault="00694B52" w:rsidP="00117013">
            <w:pPr>
              <w:jc w:val="center"/>
              <w:rPr>
                <w:sz w:val="22"/>
                <w:szCs w:val="22"/>
                <w:lang w:val="es-419"/>
              </w:rPr>
            </w:pPr>
            <w:r w:rsidRPr="007D1897">
              <w:rPr>
                <w:sz w:val="22"/>
                <w:szCs w:val="22"/>
                <w:lang w:val="es-419"/>
              </w:rPr>
              <w:t>6</w:t>
            </w:r>
          </w:p>
        </w:tc>
        <w:tc>
          <w:tcPr>
            <w:tcW w:w="2348" w:type="dxa"/>
          </w:tcPr>
          <w:p w14:paraId="2CF55911" w14:textId="16CAC466" w:rsidR="00117013" w:rsidRPr="007D1897" w:rsidRDefault="005F6E11" w:rsidP="00FF278E">
            <w:pPr>
              <w:rPr>
                <w:sz w:val="22"/>
                <w:szCs w:val="22"/>
                <w:lang w:val="es-419"/>
              </w:rPr>
            </w:pPr>
            <w:r w:rsidRPr="007D1897">
              <w:rPr>
                <w:color w:val="000000"/>
                <w:sz w:val="22"/>
                <w:szCs w:val="22"/>
                <w:lang w:val="es-419"/>
              </w:rPr>
              <w:t xml:space="preserve">Generación eléctrica </w:t>
            </w:r>
            <w:r w:rsidR="003A2B73" w:rsidRPr="007D1897">
              <w:rPr>
                <w:color w:val="000000"/>
                <w:sz w:val="22"/>
                <w:szCs w:val="22"/>
                <w:lang w:val="es-419"/>
              </w:rPr>
              <w:t>d</w:t>
            </w:r>
            <w:r w:rsidR="004813F9" w:rsidRPr="007D1897">
              <w:rPr>
                <w:color w:val="000000"/>
                <w:sz w:val="22"/>
                <w:szCs w:val="22"/>
                <w:lang w:val="es-419"/>
              </w:rPr>
              <w:t xml:space="preserve">e todo </w:t>
            </w:r>
            <w:r w:rsidR="00694B52" w:rsidRPr="007D1897">
              <w:rPr>
                <w:color w:val="000000"/>
                <w:sz w:val="22"/>
                <w:szCs w:val="22"/>
                <w:lang w:val="es-419"/>
              </w:rPr>
              <w:t>Sempra</w:t>
            </w:r>
          </w:p>
        </w:tc>
        <w:tc>
          <w:tcPr>
            <w:tcW w:w="326" w:type="dxa"/>
          </w:tcPr>
          <w:p w14:paraId="5B66B877" w14:textId="77777777" w:rsidR="00117013" w:rsidRPr="007D1897" w:rsidRDefault="00117013" w:rsidP="00FF278E">
            <w:pPr>
              <w:rPr>
                <w:sz w:val="22"/>
                <w:szCs w:val="22"/>
                <w:lang w:val="es-419"/>
              </w:rPr>
            </w:pPr>
          </w:p>
        </w:tc>
        <w:tc>
          <w:tcPr>
            <w:tcW w:w="1337" w:type="dxa"/>
          </w:tcPr>
          <w:p w14:paraId="0EBF9E86" w14:textId="523EAE46" w:rsidR="00117013" w:rsidRPr="007D1897" w:rsidRDefault="00694B52" w:rsidP="00117013">
            <w:pPr>
              <w:jc w:val="center"/>
              <w:rPr>
                <w:sz w:val="22"/>
                <w:szCs w:val="22"/>
                <w:lang w:val="es-419"/>
              </w:rPr>
            </w:pPr>
            <w:r w:rsidRPr="007D1897">
              <w:rPr>
                <w:sz w:val="22"/>
                <w:szCs w:val="22"/>
                <w:lang w:val="es-419"/>
              </w:rPr>
              <w:t>$ 0.04923</w:t>
            </w:r>
          </w:p>
        </w:tc>
        <w:tc>
          <w:tcPr>
            <w:tcW w:w="1337" w:type="dxa"/>
          </w:tcPr>
          <w:p w14:paraId="683146BB" w14:textId="18762A13" w:rsidR="00117013" w:rsidRPr="007D1897" w:rsidRDefault="00694B52" w:rsidP="00117013">
            <w:pPr>
              <w:jc w:val="center"/>
              <w:rPr>
                <w:sz w:val="22"/>
                <w:szCs w:val="22"/>
                <w:lang w:val="es-419"/>
              </w:rPr>
            </w:pPr>
            <w:r w:rsidRPr="007D1897">
              <w:rPr>
                <w:sz w:val="22"/>
                <w:szCs w:val="22"/>
                <w:lang w:val="es-419"/>
              </w:rPr>
              <w:t>$ 0.04923</w:t>
            </w:r>
          </w:p>
        </w:tc>
        <w:tc>
          <w:tcPr>
            <w:tcW w:w="1337" w:type="dxa"/>
          </w:tcPr>
          <w:p w14:paraId="45735BC9" w14:textId="05EB3555" w:rsidR="00117013" w:rsidRPr="007D1897" w:rsidRDefault="00694B52" w:rsidP="00FF278E">
            <w:pPr>
              <w:jc w:val="center"/>
              <w:rPr>
                <w:rFonts w:eastAsia="Arial"/>
                <w:sz w:val="22"/>
                <w:szCs w:val="22"/>
                <w:lang w:val="es-419"/>
              </w:rPr>
            </w:pPr>
            <w:r w:rsidRPr="007D1897">
              <w:rPr>
                <w:sz w:val="22"/>
                <w:szCs w:val="22"/>
                <w:lang w:val="es-419"/>
              </w:rPr>
              <w:t>$ 0.00001</w:t>
            </w:r>
          </w:p>
        </w:tc>
        <w:tc>
          <w:tcPr>
            <w:tcW w:w="1337" w:type="dxa"/>
          </w:tcPr>
          <w:p w14:paraId="7594FE6A" w14:textId="706BDDD7" w:rsidR="00117013" w:rsidRPr="007D1897" w:rsidRDefault="00694B52" w:rsidP="00FF278E">
            <w:pPr>
              <w:jc w:val="center"/>
              <w:rPr>
                <w:rFonts w:eastAsia="Arial"/>
                <w:sz w:val="22"/>
                <w:szCs w:val="22"/>
                <w:lang w:val="es-419"/>
              </w:rPr>
            </w:pPr>
            <w:r w:rsidRPr="007D1897">
              <w:rPr>
                <w:sz w:val="22"/>
                <w:szCs w:val="22"/>
                <w:lang w:val="es-419"/>
              </w:rPr>
              <w:t>0.0 %</w:t>
            </w:r>
          </w:p>
        </w:tc>
      </w:tr>
      <w:tr w:rsidR="00093A37" w:rsidRPr="007D1897" w14:paraId="20E7E75A" w14:textId="77777777" w:rsidTr="00117013">
        <w:trPr>
          <w:jc w:val="center"/>
        </w:trPr>
        <w:tc>
          <w:tcPr>
            <w:tcW w:w="712" w:type="dxa"/>
          </w:tcPr>
          <w:p w14:paraId="11210663" w14:textId="77777777" w:rsidR="00117013" w:rsidRPr="007D1897" w:rsidRDefault="00694B52" w:rsidP="00117013">
            <w:pPr>
              <w:jc w:val="center"/>
              <w:rPr>
                <w:sz w:val="22"/>
                <w:szCs w:val="22"/>
                <w:lang w:val="es-419"/>
              </w:rPr>
            </w:pPr>
            <w:r w:rsidRPr="007D1897">
              <w:rPr>
                <w:sz w:val="22"/>
                <w:szCs w:val="22"/>
                <w:lang w:val="es-419"/>
              </w:rPr>
              <w:t>7</w:t>
            </w:r>
          </w:p>
        </w:tc>
        <w:tc>
          <w:tcPr>
            <w:tcW w:w="2348" w:type="dxa"/>
          </w:tcPr>
          <w:p w14:paraId="3AFEC96D" w14:textId="462DE725" w:rsidR="00117013" w:rsidRPr="007D1897" w:rsidRDefault="00694B52" w:rsidP="00FF278E">
            <w:pPr>
              <w:rPr>
                <w:sz w:val="22"/>
                <w:szCs w:val="22"/>
                <w:lang w:val="es-419"/>
              </w:rPr>
            </w:pPr>
            <w:r w:rsidRPr="007D1897">
              <w:rPr>
                <w:color w:val="000000"/>
                <w:sz w:val="22"/>
                <w:szCs w:val="22"/>
                <w:lang w:val="es-419"/>
              </w:rPr>
              <w:t xml:space="preserve">Promedio clientes no </w:t>
            </w:r>
            <w:r w:rsidR="00E4161D" w:rsidRPr="007D1897">
              <w:rPr>
                <w:color w:val="000000"/>
                <w:sz w:val="22"/>
                <w:szCs w:val="22"/>
                <w:lang w:val="es-419"/>
              </w:rPr>
              <w:t>principales</w:t>
            </w:r>
          </w:p>
        </w:tc>
        <w:tc>
          <w:tcPr>
            <w:tcW w:w="326" w:type="dxa"/>
          </w:tcPr>
          <w:p w14:paraId="5B821CAF" w14:textId="77777777" w:rsidR="00117013" w:rsidRPr="007D1897" w:rsidRDefault="00117013" w:rsidP="00FF278E">
            <w:pPr>
              <w:rPr>
                <w:sz w:val="22"/>
                <w:szCs w:val="22"/>
                <w:lang w:val="es-419"/>
              </w:rPr>
            </w:pPr>
          </w:p>
        </w:tc>
        <w:tc>
          <w:tcPr>
            <w:tcW w:w="1337" w:type="dxa"/>
          </w:tcPr>
          <w:p w14:paraId="2993475B" w14:textId="334DDF64" w:rsidR="00117013" w:rsidRPr="007D1897" w:rsidRDefault="00694B52" w:rsidP="00117013">
            <w:pPr>
              <w:jc w:val="center"/>
              <w:rPr>
                <w:sz w:val="22"/>
                <w:szCs w:val="22"/>
                <w:lang w:val="es-419"/>
              </w:rPr>
            </w:pPr>
            <w:r w:rsidRPr="007D1897">
              <w:rPr>
                <w:sz w:val="22"/>
                <w:szCs w:val="22"/>
                <w:lang w:val="es-419"/>
              </w:rPr>
              <w:t>$ 0.05752</w:t>
            </w:r>
          </w:p>
        </w:tc>
        <w:tc>
          <w:tcPr>
            <w:tcW w:w="1337" w:type="dxa"/>
          </w:tcPr>
          <w:p w14:paraId="12254979" w14:textId="36F93F1E" w:rsidR="00117013" w:rsidRPr="007D1897" w:rsidRDefault="00694B52" w:rsidP="00117013">
            <w:pPr>
              <w:jc w:val="center"/>
              <w:rPr>
                <w:sz w:val="22"/>
                <w:szCs w:val="22"/>
                <w:lang w:val="es-419"/>
              </w:rPr>
            </w:pPr>
            <w:r w:rsidRPr="007D1897">
              <w:rPr>
                <w:sz w:val="22"/>
                <w:szCs w:val="22"/>
                <w:lang w:val="es-419"/>
              </w:rPr>
              <w:t>$ 0.05753</w:t>
            </w:r>
          </w:p>
        </w:tc>
        <w:tc>
          <w:tcPr>
            <w:tcW w:w="1337" w:type="dxa"/>
          </w:tcPr>
          <w:p w14:paraId="3B807183" w14:textId="331A438E" w:rsidR="00117013" w:rsidRPr="007D1897" w:rsidRDefault="00694B52" w:rsidP="00FF278E">
            <w:pPr>
              <w:jc w:val="center"/>
              <w:rPr>
                <w:rFonts w:eastAsia="Arial"/>
                <w:sz w:val="22"/>
                <w:szCs w:val="22"/>
                <w:lang w:val="es-419"/>
              </w:rPr>
            </w:pPr>
            <w:r w:rsidRPr="007D1897">
              <w:rPr>
                <w:sz w:val="22"/>
                <w:szCs w:val="22"/>
                <w:lang w:val="es-419"/>
              </w:rPr>
              <w:t>$ 0.00002</w:t>
            </w:r>
          </w:p>
        </w:tc>
        <w:tc>
          <w:tcPr>
            <w:tcW w:w="1337" w:type="dxa"/>
          </w:tcPr>
          <w:p w14:paraId="498F7E2A" w14:textId="7CD1D1D6" w:rsidR="00117013" w:rsidRPr="007D1897" w:rsidRDefault="00694B52" w:rsidP="00FF278E">
            <w:pPr>
              <w:jc w:val="center"/>
              <w:rPr>
                <w:rFonts w:eastAsia="Arial"/>
                <w:sz w:val="22"/>
                <w:szCs w:val="22"/>
                <w:lang w:val="es-419"/>
              </w:rPr>
            </w:pPr>
            <w:r w:rsidRPr="007D1897">
              <w:rPr>
                <w:sz w:val="22"/>
                <w:szCs w:val="22"/>
                <w:lang w:val="es-419"/>
              </w:rPr>
              <w:t>0.0 %</w:t>
            </w:r>
          </w:p>
        </w:tc>
      </w:tr>
      <w:tr w:rsidR="00093A37" w:rsidRPr="007D1897" w14:paraId="1DCDB892" w14:textId="77777777" w:rsidTr="00117013">
        <w:trPr>
          <w:jc w:val="center"/>
        </w:trPr>
        <w:tc>
          <w:tcPr>
            <w:tcW w:w="712" w:type="dxa"/>
          </w:tcPr>
          <w:p w14:paraId="7BA33638" w14:textId="1211AF24" w:rsidR="00117013" w:rsidRPr="007D1897" w:rsidRDefault="00117013" w:rsidP="00117013">
            <w:pPr>
              <w:jc w:val="center"/>
              <w:rPr>
                <w:sz w:val="22"/>
                <w:szCs w:val="22"/>
                <w:lang w:val="es-419"/>
              </w:rPr>
            </w:pPr>
          </w:p>
        </w:tc>
        <w:tc>
          <w:tcPr>
            <w:tcW w:w="2348" w:type="dxa"/>
          </w:tcPr>
          <w:p w14:paraId="3F63E9F8" w14:textId="77777777" w:rsidR="00117013" w:rsidRPr="007D1897" w:rsidRDefault="00694B52" w:rsidP="00FF278E">
            <w:pPr>
              <w:rPr>
                <w:sz w:val="22"/>
                <w:szCs w:val="22"/>
                <w:lang w:val="es-419"/>
              </w:rPr>
            </w:pPr>
            <w:r w:rsidRPr="007D1897">
              <w:rPr>
                <w:rFonts w:eastAsia="Arial"/>
                <w:color w:val="000000" w:themeColor="text1"/>
                <w:sz w:val="22"/>
                <w:szCs w:val="22"/>
                <w:lang w:val="es-419"/>
              </w:rPr>
              <w:t xml:space="preserve"> </w:t>
            </w:r>
          </w:p>
        </w:tc>
        <w:tc>
          <w:tcPr>
            <w:tcW w:w="326" w:type="dxa"/>
          </w:tcPr>
          <w:p w14:paraId="7713B106" w14:textId="77777777" w:rsidR="00117013" w:rsidRPr="007D1897" w:rsidRDefault="00694B52" w:rsidP="00FF278E">
            <w:pPr>
              <w:rPr>
                <w:sz w:val="22"/>
                <w:szCs w:val="22"/>
                <w:lang w:val="es-419"/>
              </w:rPr>
            </w:pPr>
            <w:r w:rsidRPr="007D1897">
              <w:rPr>
                <w:rFonts w:eastAsia="Arial"/>
                <w:color w:val="000000" w:themeColor="text1"/>
                <w:sz w:val="22"/>
                <w:szCs w:val="22"/>
                <w:lang w:val="es-419"/>
              </w:rPr>
              <w:t xml:space="preserve"> </w:t>
            </w:r>
          </w:p>
        </w:tc>
        <w:tc>
          <w:tcPr>
            <w:tcW w:w="1337" w:type="dxa"/>
          </w:tcPr>
          <w:p w14:paraId="497B1C87" w14:textId="7A41782E" w:rsidR="00117013" w:rsidRPr="007D1897" w:rsidRDefault="00117013" w:rsidP="00117013">
            <w:pPr>
              <w:jc w:val="center"/>
              <w:rPr>
                <w:sz w:val="22"/>
                <w:szCs w:val="22"/>
                <w:lang w:val="es-419"/>
              </w:rPr>
            </w:pPr>
          </w:p>
        </w:tc>
        <w:tc>
          <w:tcPr>
            <w:tcW w:w="1337" w:type="dxa"/>
          </w:tcPr>
          <w:p w14:paraId="13024FDF" w14:textId="3CAC859B" w:rsidR="00117013" w:rsidRPr="007D1897" w:rsidRDefault="00117013" w:rsidP="00117013">
            <w:pPr>
              <w:jc w:val="center"/>
              <w:rPr>
                <w:sz w:val="22"/>
                <w:szCs w:val="22"/>
                <w:lang w:val="es-419"/>
              </w:rPr>
            </w:pPr>
          </w:p>
        </w:tc>
        <w:tc>
          <w:tcPr>
            <w:tcW w:w="1337" w:type="dxa"/>
          </w:tcPr>
          <w:p w14:paraId="5ABED5E8" w14:textId="77777777" w:rsidR="00117013" w:rsidRPr="007D1897" w:rsidRDefault="00694B52" w:rsidP="00FF278E">
            <w:pPr>
              <w:rPr>
                <w:sz w:val="22"/>
                <w:szCs w:val="22"/>
                <w:lang w:val="es-419"/>
              </w:rPr>
            </w:pPr>
            <w:r w:rsidRPr="007D1897">
              <w:rPr>
                <w:rFonts w:eastAsia="Arial"/>
                <w:sz w:val="22"/>
                <w:szCs w:val="22"/>
                <w:lang w:val="es-419"/>
              </w:rPr>
              <w:t xml:space="preserve"> </w:t>
            </w:r>
          </w:p>
        </w:tc>
        <w:tc>
          <w:tcPr>
            <w:tcW w:w="1337" w:type="dxa"/>
          </w:tcPr>
          <w:p w14:paraId="66211273" w14:textId="77777777" w:rsidR="00117013" w:rsidRPr="007D1897" w:rsidRDefault="00694B52" w:rsidP="00FF278E">
            <w:pPr>
              <w:rPr>
                <w:sz w:val="22"/>
                <w:szCs w:val="22"/>
                <w:lang w:val="es-419"/>
              </w:rPr>
            </w:pPr>
            <w:r w:rsidRPr="007D1897">
              <w:rPr>
                <w:rFonts w:eastAsia="Arial"/>
                <w:sz w:val="22"/>
                <w:szCs w:val="22"/>
                <w:lang w:val="es-419"/>
              </w:rPr>
              <w:t xml:space="preserve"> </w:t>
            </w:r>
          </w:p>
        </w:tc>
      </w:tr>
      <w:tr w:rsidR="00093A37" w:rsidRPr="007D1897" w14:paraId="0C9AE749" w14:textId="77777777" w:rsidTr="00117013">
        <w:trPr>
          <w:jc w:val="center"/>
        </w:trPr>
        <w:tc>
          <w:tcPr>
            <w:tcW w:w="712" w:type="dxa"/>
          </w:tcPr>
          <w:p w14:paraId="782E7700" w14:textId="77777777" w:rsidR="00117013" w:rsidRPr="007D1897" w:rsidRDefault="00694B52" w:rsidP="00117013">
            <w:pPr>
              <w:jc w:val="center"/>
              <w:rPr>
                <w:sz w:val="22"/>
                <w:szCs w:val="22"/>
                <w:lang w:val="es-419"/>
              </w:rPr>
            </w:pPr>
            <w:r w:rsidRPr="007D1897">
              <w:rPr>
                <w:sz w:val="22"/>
                <w:szCs w:val="22"/>
                <w:lang w:val="es-419"/>
              </w:rPr>
              <w:t>8</w:t>
            </w:r>
          </w:p>
        </w:tc>
        <w:tc>
          <w:tcPr>
            <w:tcW w:w="2348" w:type="dxa"/>
          </w:tcPr>
          <w:p w14:paraId="29984385" w14:textId="51894DC8" w:rsidR="00117013" w:rsidRPr="007D1897" w:rsidRDefault="00694B52" w:rsidP="00FF278E">
            <w:pPr>
              <w:rPr>
                <w:sz w:val="22"/>
                <w:szCs w:val="22"/>
                <w:lang w:val="es-419"/>
              </w:rPr>
            </w:pPr>
            <w:r w:rsidRPr="007D1897">
              <w:rPr>
                <w:color w:val="000000"/>
                <w:sz w:val="22"/>
                <w:szCs w:val="22"/>
                <w:lang w:val="es-419"/>
              </w:rPr>
              <w:t>TOTAL DEL SISTEMA</w:t>
            </w:r>
          </w:p>
        </w:tc>
        <w:tc>
          <w:tcPr>
            <w:tcW w:w="326" w:type="dxa"/>
          </w:tcPr>
          <w:p w14:paraId="51631D5B" w14:textId="77777777" w:rsidR="00117013" w:rsidRPr="007D1897" w:rsidRDefault="00117013" w:rsidP="00FF278E">
            <w:pPr>
              <w:rPr>
                <w:sz w:val="22"/>
                <w:szCs w:val="22"/>
                <w:lang w:val="es-419"/>
              </w:rPr>
            </w:pPr>
          </w:p>
        </w:tc>
        <w:tc>
          <w:tcPr>
            <w:tcW w:w="1337" w:type="dxa"/>
          </w:tcPr>
          <w:p w14:paraId="626A164E" w14:textId="2EB72F87" w:rsidR="00117013" w:rsidRPr="007D1897" w:rsidRDefault="00694B52" w:rsidP="00117013">
            <w:pPr>
              <w:jc w:val="center"/>
              <w:rPr>
                <w:sz w:val="22"/>
                <w:szCs w:val="22"/>
                <w:lang w:val="es-419"/>
              </w:rPr>
            </w:pPr>
            <w:r w:rsidRPr="007D1897">
              <w:rPr>
                <w:sz w:val="22"/>
                <w:szCs w:val="22"/>
                <w:lang w:val="es-419"/>
              </w:rPr>
              <w:t>$ 0.71485</w:t>
            </w:r>
          </w:p>
        </w:tc>
        <w:tc>
          <w:tcPr>
            <w:tcW w:w="1337" w:type="dxa"/>
          </w:tcPr>
          <w:p w14:paraId="1AE69DE8" w14:textId="1C9FCF88" w:rsidR="00117013" w:rsidRPr="007D1897" w:rsidRDefault="00694B52" w:rsidP="00117013">
            <w:pPr>
              <w:jc w:val="center"/>
              <w:rPr>
                <w:sz w:val="22"/>
                <w:szCs w:val="22"/>
                <w:lang w:val="es-419"/>
              </w:rPr>
            </w:pPr>
            <w:r w:rsidRPr="007D1897">
              <w:rPr>
                <w:sz w:val="22"/>
                <w:szCs w:val="22"/>
                <w:lang w:val="es-419"/>
              </w:rPr>
              <w:t>$ 0.71573</w:t>
            </w:r>
          </w:p>
        </w:tc>
        <w:tc>
          <w:tcPr>
            <w:tcW w:w="1337" w:type="dxa"/>
          </w:tcPr>
          <w:p w14:paraId="1C449284" w14:textId="3BEAED60" w:rsidR="00117013" w:rsidRPr="007D1897" w:rsidRDefault="00694B52" w:rsidP="00FF278E">
            <w:pPr>
              <w:jc w:val="center"/>
              <w:rPr>
                <w:rFonts w:eastAsia="Arial"/>
                <w:sz w:val="22"/>
                <w:szCs w:val="22"/>
                <w:lang w:val="es-419"/>
              </w:rPr>
            </w:pPr>
            <w:r w:rsidRPr="007D1897">
              <w:rPr>
                <w:sz w:val="22"/>
                <w:szCs w:val="22"/>
                <w:lang w:val="es-419"/>
              </w:rPr>
              <w:t>$ 0.00087</w:t>
            </w:r>
          </w:p>
        </w:tc>
        <w:tc>
          <w:tcPr>
            <w:tcW w:w="1337" w:type="dxa"/>
          </w:tcPr>
          <w:p w14:paraId="0DB5A580" w14:textId="4CA77311" w:rsidR="00117013" w:rsidRPr="007D1897" w:rsidRDefault="00694B52" w:rsidP="00FF278E">
            <w:pPr>
              <w:jc w:val="center"/>
              <w:rPr>
                <w:rFonts w:eastAsia="Arial"/>
                <w:sz w:val="22"/>
                <w:szCs w:val="22"/>
                <w:lang w:val="es-419"/>
              </w:rPr>
            </w:pPr>
            <w:r w:rsidRPr="007D1897">
              <w:rPr>
                <w:sz w:val="22"/>
                <w:szCs w:val="22"/>
                <w:lang w:val="es-419"/>
              </w:rPr>
              <w:t>0.1 %</w:t>
            </w:r>
          </w:p>
        </w:tc>
      </w:tr>
    </w:tbl>
    <w:p w14:paraId="3405AA52" w14:textId="77777777" w:rsidR="00E46080" w:rsidRPr="007D1897" w:rsidRDefault="00E46080" w:rsidP="00E46080">
      <w:pPr>
        <w:rPr>
          <w:b/>
          <w:bCs/>
          <w:highlight w:val="yellow"/>
          <w:lang w:val="es-419"/>
        </w:rPr>
      </w:pPr>
    </w:p>
    <w:p w14:paraId="5863E2EE" w14:textId="747CB1F7" w:rsidR="00E46080" w:rsidRPr="007D1897" w:rsidRDefault="00694B52" w:rsidP="00E46080">
      <w:pPr>
        <w:jc w:val="center"/>
        <w:rPr>
          <w:b/>
          <w:bCs/>
          <w:lang w:val="es-419"/>
        </w:rPr>
      </w:pPr>
      <w:r w:rsidRPr="007D1897">
        <w:rPr>
          <w:b/>
          <w:bCs/>
          <w:lang w:val="es-419"/>
        </w:rPr>
        <w:t xml:space="preserve">Factura de gas residencial </w:t>
      </w:r>
      <w:r w:rsidR="00E4161D" w:rsidRPr="007D1897">
        <w:rPr>
          <w:b/>
          <w:bCs/>
          <w:lang w:val="es-419"/>
        </w:rPr>
        <w:t xml:space="preserve">mensual </w:t>
      </w:r>
      <w:r w:rsidRPr="007D1897">
        <w:rPr>
          <w:b/>
          <w:bCs/>
          <w:lang w:val="es-419"/>
        </w:rPr>
        <w:t>ilustrativa</w:t>
      </w:r>
    </w:p>
    <w:p w14:paraId="0B05A7D2" w14:textId="77777777" w:rsidR="00E46080" w:rsidRPr="007D1897" w:rsidRDefault="00694B52" w:rsidP="00E46080">
      <w:pPr>
        <w:autoSpaceDE w:val="0"/>
        <w:autoSpaceDN w:val="0"/>
        <w:adjustRightInd w:val="0"/>
        <w:rPr>
          <w:lang w:val="es-419"/>
        </w:rPr>
      </w:pPr>
      <w:r w:rsidRPr="007D1897">
        <w:rPr>
          <w:sz w:val="20"/>
          <w:szCs w:val="20"/>
          <w:vertAlign w:val="superscript"/>
          <w:lang w:val="es-419"/>
        </w:rPr>
        <w:tab/>
      </w:r>
    </w:p>
    <w:tbl>
      <w:tblPr>
        <w:tblStyle w:val="TableGrid"/>
        <w:tblW w:w="9815" w:type="dxa"/>
        <w:jc w:val="center"/>
        <w:tblLayout w:type="fixed"/>
        <w:tblLook w:val="06A0" w:firstRow="1" w:lastRow="0" w:firstColumn="1" w:lastColumn="0" w:noHBand="1" w:noVBand="1"/>
      </w:tblPr>
      <w:tblGrid>
        <w:gridCol w:w="2327"/>
        <w:gridCol w:w="1872"/>
        <w:gridCol w:w="1872"/>
        <w:gridCol w:w="1872"/>
        <w:gridCol w:w="1872"/>
      </w:tblGrid>
      <w:tr w:rsidR="00093A37" w:rsidRPr="007D1897" w14:paraId="130F5103" w14:textId="77777777" w:rsidTr="002B130F">
        <w:trPr>
          <w:jc w:val="center"/>
        </w:trPr>
        <w:tc>
          <w:tcPr>
            <w:tcW w:w="2327" w:type="dxa"/>
          </w:tcPr>
          <w:p w14:paraId="6486561B" w14:textId="77777777" w:rsidR="00117013" w:rsidRPr="007D1897" w:rsidRDefault="00117013" w:rsidP="00FF278E">
            <w:pPr>
              <w:rPr>
                <w:rFonts w:eastAsia="Arial"/>
                <w:color w:val="000000" w:themeColor="text1"/>
                <w:sz w:val="22"/>
                <w:szCs w:val="22"/>
                <w:lang w:val="es-419"/>
              </w:rPr>
            </w:pPr>
          </w:p>
        </w:tc>
        <w:tc>
          <w:tcPr>
            <w:tcW w:w="1872" w:type="dxa"/>
          </w:tcPr>
          <w:p w14:paraId="10A24106" w14:textId="77777777" w:rsidR="00117013" w:rsidRPr="007D1897" w:rsidRDefault="00694B52" w:rsidP="00FF278E">
            <w:pPr>
              <w:jc w:val="center"/>
              <w:rPr>
                <w:rFonts w:eastAsia="Arial"/>
                <w:b/>
                <w:bCs/>
                <w:color w:val="000000" w:themeColor="text1"/>
                <w:sz w:val="22"/>
                <w:szCs w:val="22"/>
                <w:lang w:val="es-419"/>
              </w:rPr>
            </w:pPr>
            <w:r w:rsidRPr="007D1897">
              <w:rPr>
                <w:b/>
                <w:bCs/>
                <w:color w:val="000000"/>
                <w:sz w:val="22"/>
                <w:szCs w:val="22"/>
                <w:lang w:val="es-419"/>
              </w:rPr>
              <w:t>En vigor el</w:t>
            </w:r>
          </w:p>
          <w:p w14:paraId="3BA53648" w14:textId="77777777" w:rsidR="00117013" w:rsidRPr="007D1897" w:rsidRDefault="00694B52" w:rsidP="00FF278E">
            <w:pPr>
              <w:jc w:val="center"/>
              <w:rPr>
                <w:rFonts w:eastAsia="Arial"/>
                <w:b/>
                <w:bCs/>
                <w:color w:val="000000" w:themeColor="text1"/>
                <w:sz w:val="22"/>
                <w:szCs w:val="22"/>
                <w:lang w:val="es-419"/>
              </w:rPr>
            </w:pPr>
            <w:r w:rsidRPr="007D1897">
              <w:rPr>
                <w:b/>
                <w:bCs/>
                <w:color w:val="000000"/>
                <w:sz w:val="22"/>
                <w:szCs w:val="22"/>
                <w:lang w:val="es-419"/>
              </w:rPr>
              <w:t xml:space="preserve">1/1/2021 </w:t>
            </w:r>
          </w:p>
        </w:tc>
        <w:tc>
          <w:tcPr>
            <w:tcW w:w="1872" w:type="dxa"/>
          </w:tcPr>
          <w:p w14:paraId="169B891D" w14:textId="577D68D0" w:rsidR="004C09C9" w:rsidRPr="007D1897" w:rsidRDefault="00694B52" w:rsidP="002D1A99">
            <w:pPr>
              <w:jc w:val="center"/>
              <w:rPr>
                <w:b/>
                <w:bCs/>
                <w:color w:val="000000"/>
                <w:sz w:val="22"/>
                <w:szCs w:val="22"/>
                <w:lang w:val="es-419"/>
              </w:rPr>
            </w:pPr>
            <w:r w:rsidRPr="007D1897">
              <w:rPr>
                <w:b/>
                <w:bCs/>
                <w:color w:val="000000"/>
                <w:sz w:val="22"/>
                <w:szCs w:val="22"/>
                <w:lang w:val="es-419"/>
              </w:rPr>
              <w:t>Propuesta</w:t>
            </w:r>
            <w:r w:rsidR="009C0FF3">
              <w:rPr>
                <w:b/>
                <w:bCs/>
                <w:color w:val="000000"/>
                <w:sz w:val="22"/>
                <w:szCs w:val="22"/>
                <w:lang w:val="es-419"/>
              </w:rPr>
              <w:t xml:space="preserve"> al</w:t>
            </w:r>
          </w:p>
          <w:p w14:paraId="4C203D59" w14:textId="1116111F" w:rsidR="00117013" w:rsidRPr="007D1897" w:rsidRDefault="00694B52" w:rsidP="002D1A99">
            <w:pPr>
              <w:jc w:val="center"/>
              <w:rPr>
                <w:rFonts w:eastAsia="Arial"/>
                <w:b/>
                <w:bCs/>
                <w:sz w:val="22"/>
                <w:szCs w:val="22"/>
                <w:lang w:val="es-419"/>
              </w:rPr>
            </w:pPr>
            <w:r w:rsidRPr="007D1897">
              <w:rPr>
                <w:b/>
                <w:bCs/>
                <w:sz w:val="22"/>
                <w:szCs w:val="22"/>
                <w:lang w:val="es-419"/>
              </w:rPr>
              <w:t>4/1/2022</w:t>
            </w:r>
            <w:r w:rsidRPr="007D1897">
              <w:rPr>
                <w:b/>
                <w:bCs/>
                <w:color w:val="000000"/>
                <w:sz w:val="22"/>
                <w:szCs w:val="22"/>
                <w:lang w:val="es-419"/>
              </w:rPr>
              <w:t xml:space="preserve"> </w:t>
            </w:r>
          </w:p>
        </w:tc>
        <w:tc>
          <w:tcPr>
            <w:tcW w:w="1872" w:type="dxa"/>
          </w:tcPr>
          <w:p w14:paraId="0BDE6D55" w14:textId="77777777" w:rsidR="00117013" w:rsidRPr="007D1897" w:rsidRDefault="00694B52" w:rsidP="00FF278E">
            <w:pPr>
              <w:jc w:val="center"/>
              <w:rPr>
                <w:rFonts w:eastAsia="Arial"/>
                <w:b/>
                <w:bCs/>
                <w:color w:val="000000" w:themeColor="text1"/>
                <w:sz w:val="22"/>
                <w:szCs w:val="22"/>
                <w:lang w:val="es-419"/>
              </w:rPr>
            </w:pPr>
            <w:r w:rsidRPr="007D1897">
              <w:rPr>
                <w:b/>
                <w:bCs/>
                <w:color w:val="000000"/>
                <w:sz w:val="22"/>
                <w:szCs w:val="22"/>
                <w:lang w:val="es-419"/>
              </w:rPr>
              <w:t>Cambio en $</w:t>
            </w:r>
          </w:p>
        </w:tc>
        <w:tc>
          <w:tcPr>
            <w:tcW w:w="1872" w:type="dxa"/>
          </w:tcPr>
          <w:p w14:paraId="6F14FBDD" w14:textId="77777777" w:rsidR="00117013" w:rsidRPr="007D1897" w:rsidRDefault="00694B52" w:rsidP="00FF278E">
            <w:pPr>
              <w:jc w:val="center"/>
              <w:rPr>
                <w:rFonts w:eastAsia="Arial"/>
                <w:b/>
                <w:bCs/>
                <w:color w:val="000000" w:themeColor="text1"/>
                <w:sz w:val="22"/>
                <w:szCs w:val="22"/>
                <w:lang w:val="es-419"/>
              </w:rPr>
            </w:pPr>
            <w:r w:rsidRPr="007D1897">
              <w:rPr>
                <w:b/>
                <w:bCs/>
                <w:color w:val="000000"/>
                <w:sz w:val="22"/>
                <w:szCs w:val="22"/>
                <w:lang w:val="es-419"/>
              </w:rPr>
              <w:t>Cambio %</w:t>
            </w:r>
          </w:p>
        </w:tc>
      </w:tr>
      <w:tr w:rsidR="00093A37" w:rsidRPr="007D1897" w14:paraId="7ED3F685" w14:textId="77777777" w:rsidTr="002B130F">
        <w:trPr>
          <w:jc w:val="center"/>
        </w:trPr>
        <w:tc>
          <w:tcPr>
            <w:tcW w:w="2327" w:type="dxa"/>
          </w:tcPr>
          <w:p w14:paraId="4DA3A027" w14:textId="6DEE2DF6" w:rsidR="00117013" w:rsidRPr="007D1897" w:rsidRDefault="00694B52" w:rsidP="00FF278E">
            <w:pPr>
              <w:rPr>
                <w:sz w:val="22"/>
                <w:szCs w:val="22"/>
                <w:lang w:val="es-419"/>
              </w:rPr>
            </w:pPr>
            <w:r w:rsidRPr="007D1897">
              <w:rPr>
                <w:i/>
                <w:iCs/>
                <w:sz w:val="22"/>
                <w:szCs w:val="22"/>
                <w:lang w:val="es-419"/>
              </w:rPr>
              <w:t xml:space="preserve">Factura residencial promedio $/mes </w:t>
            </w:r>
            <w:r w:rsidR="00F3329A" w:rsidRPr="007D1897">
              <w:rPr>
                <w:i/>
                <w:iCs/>
                <w:sz w:val="22"/>
                <w:szCs w:val="22"/>
                <w:lang w:val="es-419"/>
              </w:rPr>
              <w:br/>
            </w:r>
            <w:r w:rsidRPr="007D1897">
              <w:rPr>
                <w:i/>
                <w:iCs/>
                <w:sz w:val="22"/>
                <w:szCs w:val="22"/>
                <w:lang w:val="es-419"/>
              </w:rPr>
              <w:t>(23 termias/mes)</w:t>
            </w:r>
          </w:p>
        </w:tc>
        <w:tc>
          <w:tcPr>
            <w:tcW w:w="1872" w:type="dxa"/>
          </w:tcPr>
          <w:p w14:paraId="1943DDA0" w14:textId="76E9F94A" w:rsidR="00117013" w:rsidRPr="007D1897" w:rsidRDefault="00694B52" w:rsidP="00FF278E">
            <w:pPr>
              <w:jc w:val="center"/>
              <w:rPr>
                <w:rFonts w:eastAsia="Arial"/>
                <w:i/>
                <w:color w:val="000000" w:themeColor="text1"/>
                <w:sz w:val="22"/>
                <w:szCs w:val="22"/>
                <w:lang w:val="es-419"/>
              </w:rPr>
            </w:pPr>
            <w:r w:rsidRPr="007D1897">
              <w:rPr>
                <w:i/>
                <w:iCs/>
                <w:color w:val="000000"/>
                <w:sz w:val="22"/>
                <w:szCs w:val="22"/>
                <w:lang w:val="es-419"/>
              </w:rPr>
              <w:t>$</w:t>
            </w:r>
            <w:r w:rsidRPr="007D1897">
              <w:rPr>
                <w:sz w:val="22"/>
                <w:szCs w:val="22"/>
                <w:lang w:val="es-419"/>
              </w:rPr>
              <w:t xml:space="preserve"> 43.03</w:t>
            </w:r>
          </w:p>
        </w:tc>
        <w:tc>
          <w:tcPr>
            <w:tcW w:w="1872" w:type="dxa"/>
          </w:tcPr>
          <w:p w14:paraId="5B99F45A" w14:textId="5FFFB639" w:rsidR="00117013" w:rsidRPr="007D1897" w:rsidRDefault="00694B52" w:rsidP="00FF278E">
            <w:pPr>
              <w:jc w:val="center"/>
              <w:rPr>
                <w:rFonts w:eastAsia="Arial"/>
                <w:i/>
                <w:color w:val="000000" w:themeColor="text1"/>
                <w:sz w:val="22"/>
                <w:szCs w:val="22"/>
                <w:lang w:val="es-419"/>
              </w:rPr>
            </w:pPr>
            <w:r w:rsidRPr="007D1897">
              <w:rPr>
                <w:i/>
                <w:iCs/>
                <w:color w:val="000000"/>
                <w:sz w:val="22"/>
                <w:szCs w:val="22"/>
                <w:lang w:val="es-419"/>
              </w:rPr>
              <w:t>$</w:t>
            </w:r>
            <w:r w:rsidRPr="007D1897">
              <w:rPr>
                <w:sz w:val="22"/>
                <w:szCs w:val="22"/>
                <w:lang w:val="es-419"/>
              </w:rPr>
              <w:t xml:space="preserve"> 43.09</w:t>
            </w:r>
          </w:p>
        </w:tc>
        <w:tc>
          <w:tcPr>
            <w:tcW w:w="1872" w:type="dxa"/>
          </w:tcPr>
          <w:p w14:paraId="3C40077F" w14:textId="1039A1DD" w:rsidR="00117013" w:rsidRPr="007D1897" w:rsidRDefault="00694B52" w:rsidP="00FF278E">
            <w:pPr>
              <w:jc w:val="center"/>
              <w:rPr>
                <w:rFonts w:eastAsia="Arial"/>
                <w:i/>
                <w:color w:val="000000" w:themeColor="text1"/>
                <w:sz w:val="22"/>
                <w:szCs w:val="22"/>
                <w:lang w:val="es-419"/>
              </w:rPr>
            </w:pPr>
            <w:r w:rsidRPr="007D1897">
              <w:rPr>
                <w:i/>
                <w:iCs/>
                <w:color w:val="000000"/>
                <w:sz w:val="22"/>
                <w:szCs w:val="22"/>
                <w:lang w:val="es-419"/>
              </w:rPr>
              <w:t>$</w:t>
            </w:r>
            <w:r w:rsidRPr="007D1897">
              <w:rPr>
                <w:sz w:val="22"/>
                <w:szCs w:val="22"/>
                <w:lang w:val="es-419"/>
              </w:rPr>
              <w:t xml:space="preserve"> 0.06</w:t>
            </w:r>
          </w:p>
        </w:tc>
        <w:tc>
          <w:tcPr>
            <w:tcW w:w="1872" w:type="dxa"/>
          </w:tcPr>
          <w:p w14:paraId="7F6C7510" w14:textId="3726197D" w:rsidR="00117013" w:rsidRPr="007D1897" w:rsidRDefault="00694B52" w:rsidP="00FF278E">
            <w:pPr>
              <w:jc w:val="center"/>
              <w:rPr>
                <w:rFonts w:eastAsia="Arial"/>
                <w:i/>
                <w:color w:val="000000" w:themeColor="text1"/>
                <w:sz w:val="22"/>
                <w:szCs w:val="22"/>
                <w:lang w:val="es-419"/>
              </w:rPr>
            </w:pPr>
            <w:r w:rsidRPr="007D1897">
              <w:rPr>
                <w:sz w:val="22"/>
                <w:szCs w:val="22"/>
                <w:lang w:val="es-419"/>
              </w:rPr>
              <w:t xml:space="preserve">0.1 </w:t>
            </w:r>
            <w:r w:rsidRPr="007D1897">
              <w:rPr>
                <w:i/>
                <w:iCs/>
                <w:color w:val="000000"/>
                <w:sz w:val="22"/>
                <w:szCs w:val="22"/>
                <w:lang w:val="es-419"/>
              </w:rPr>
              <w:t>%</w:t>
            </w:r>
          </w:p>
        </w:tc>
      </w:tr>
    </w:tbl>
    <w:p w14:paraId="5E3AA4F1" w14:textId="4C2483DD" w:rsidR="00C77806" w:rsidRPr="007D1897" w:rsidRDefault="00694B52" w:rsidP="00212BE6">
      <w:pPr>
        <w:pStyle w:val="BodyText"/>
        <w:jc w:val="both"/>
        <w:rPr>
          <w:lang w:val="es-419"/>
        </w:rPr>
      </w:pPr>
      <w:r w:rsidRPr="007D1897">
        <w:rPr>
          <w:highlight w:val="yellow"/>
          <w:lang w:val="es-419"/>
        </w:rPr>
        <w:t xml:space="preserve"> </w:t>
      </w:r>
    </w:p>
    <w:p w14:paraId="27665A78" w14:textId="1D4446F8" w:rsidR="0072769E" w:rsidRPr="007D1897" w:rsidRDefault="00694B52" w:rsidP="00FE7B12">
      <w:pPr>
        <w:pStyle w:val="BodyText"/>
        <w:spacing w:after="0"/>
        <w:rPr>
          <w:b/>
          <w:bCs/>
          <w:lang w:val="es-419"/>
        </w:rPr>
      </w:pPr>
      <w:r w:rsidRPr="007D1897">
        <w:rPr>
          <w:rStyle w:val="normaltextrun"/>
          <w:b/>
          <w:bCs/>
          <w:color w:val="000000"/>
          <w:shd w:val="clear" w:color="auto" w:fill="FFFFFF"/>
          <w:lang w:val="es-419"/>
        </w:rPr>
        <w:t>¿Cómo funciona el resto de este proceso?</w:t>
      </w:r>
    </w:p>
    <w:p w14:paraId="1DE4E154" w14:textId="77777777" w:rsidR="00AD6E86" w:rsidRPr="007D1897" w:rsidRDefault="00AD6E86" w:rsidP="006B6AA3">
      <w:pPr>
        <w:pStyle w:val="BodyText"/>
        <w:spacing w:after="0"/>
        <w:jc w:val="center"/>
        <w:rPr>
          <w:b/>
          <w:bCs/>
          <w:lang w:val="es-419"/>
        </w:rPr>
      </w:pPr>
    </w:p>
    <w:p w14:paraId="59A52597" w14:textId="5F635C0D" w:rsidR="00813BDE" w:rsidRPr="007D1897" w:rsidRDefault="00694B52" w:rsidP="004A4FAC">
      <w:pPr>
        <w:pStyle w:val="BodyText"/>
        <w:rPr>
          <w:lang w:val="es-419" w:eastAsia="en-US"/>
        </w:rPr>
      </w:pPr>
      <w:r w:rsidRPr="007D1897">
        <w:rPr>
          <w:lang w:val="es-419" w:eastAsia="en-US"/>
        </w:rPr>
        <w:t>La presente solicitud se asignará a un Juez de Derecho Administrativo de la CPUC, quien considerará las propuestas y pruebas presentadas durante el proceso formal de las audiencias. El Juez de Derecho Administrativo emitirá una propuesta de decisión que tal vez adopte la solicitud de SDG&amp;E,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w:t>
      </w:r>
    </w:p>
    <w:p w14:paraId="3AA57FD4" w14:textId="5DB9340A" w:rsidR="00FE7B12" w:rsidRPr="007D1897" w:rsidRDefault="00694B52" w:rsidP="00FE7B12">
      <w:pPr>
        <w:rPr>
          <w:lang w:val="es-419"/>
        </w:rPr>
      </w:pPr>
      <w:r w:rsidRPr="007D1897">
        <w:rPr>
          <w:lang w:val="es-419"/>
        </w:rPr>
        <w:t>Las partes en el procedimiento actualmente examinan la solicitud de SDG&amp;E; entre ellas se incluye la Oficina de Defensores Públicos, la cual es un defensor independiente de los consumidores dentro de la CPUC que representa a los clientes para obtener la tarifa más baja posible por un servicio acorde con niveles de servicio confiables y seguros. Para más información acerca de la Oficina de Defensores Públicos, sírvase llamar al 1-415-703-1584, escribir un correo electrónico a PublicAdvocatesOffice@cpuc.ca.gov o visitar PublicAdvocates.cpuc.ca.gov.</w:t>
      </w:r>
    </w:p>
    <w:p w14:paraId="7F0FCF2F" w14:textId="77777777" w:rsidR="002303F5" w:rsidRPr="007D1897" w:rsidRDefault="002303F5" w:rsidP="00FE7B12">
      <w:pPr>
        <w:rPr>
          <w:lang w:val="es-419"/>
        </w:rPr>
      </w:pPr>
    </w:p>
    <w:p w14:paraId="5CE74F01" w14:textId="6A931A32" w:rsidR="0072769E" w:rsidRPr="007D1897" w:rsidRDefault="00694B52" w:rsidP="00FE7B12">
      <w:pPr>
        <w:rPr>
          <w:b/>
          <w:bCs/>
          <w:lang w:val="es-419"/>
        </w:rPr>
      </w:pPr>
      <w:r w:rsidRPr="007D1897">
        <w:rPr>
          <w:b/>
          <w:bCs/>
          <w:lang w:val="es-419"/>
        </w:rPr>
        <w:t>¿Dónde puedo obtener más información?</w:t>
      </w:r>
    </w:p>
    <w:p w14:paraId="2801B023" w14:textId="77777777" w:rsidR="00BE0930" w:rsidRPr="007D1897" w:rsidRDefault="00BE0930" w:rsidP="0072769E">
      <w:pPr>
        <w:rPr>
          <w:lang w:val="es-419"/>
        </w:rPr>
      </w:pPr>
    </w:p>
    <w:p w14:paraId="30CEB8E6" w14:textId="1BC6784C" w:rsidR="00DA1BB5" w:rsidRPr="007D1897" w:rsidRDefault="00694B52" w:rsidP="0072769E">
      <w:pPr>
        <w:rPr>
          <w:lang w:val="es-419"/>
        </w:rPr>
      </w:pPr>
      <w:r w:rsidRPr="007D1897">
        <w:rPr>
          <w:lang w:val="es-419"/>
        </w:rPr>
        <w:t>PÓNGASE EN CONTACTO CON SDG&amp;E</w:t>
      </w:r>
    </w:p>
    <w:p w14:paraId="37201465" w14:textId="3D52E582" w:rsidR="00306E6D" w:rsidRPr="007D1897" w:rsidRDefault="00694B52" w:rsidP="0079586B">
      <w:pPr>
        <w:numPr>
          <w:ilvl w:val="0"/>
          <w:numId w:val="3"/>
        </w:numPr>
        <w:rPr>
          <w:lang w:val="es-419"/>
        </w:rPr>
      </w:pPr>
      <w:r w:rsidRPr="007D1897">
        <w:rPr>
          <w:lang w:val="es-419"/>
        </w:rPr>
        <w:t>Enviando un mensaje de correo electrónico a: smurill1@semprautilities.com</w:t>
      </w:r>
    </w:p>
    <w:p w14:paraId="64BB2B06" w14:textId="41D541B3" w:rsidR="00DA1BB5" w:rsidRPr="007D1897" w:rsidRDefault="00694B52" w:rsidP="00FF0FB8">
      <w:pPr>
        <w:numPr>
          <w:ilvl w:val="0"/>
          <w:numId w:val="3"/>
        </w:numPr>
        <w:rPr>
          <w:lang w:val="es-419"/>
        </w:rPr>
      </w:pPr>
      <w:r w:rsidRPr="007D1897">
        <w:rPr>
          <w:lang w:val="es-419"/>
        </w:rPr>
        <w:t>Escribiendo a: Siobhan Murillo</w:t>
      </w:r>
    </w:p>
    <w:p w14:paraId="7B6E7831" w14:textId="0DBB3383" w:rsidR="000721B8" w:rsidRPr="007D1897" w:rsidRDefault="00694B52" w:rsidP="003001DA">
      <w:pPr>
        <w:ind w:left="720"/>
        <w:rPr>
          <w:lang w:val="es-419"/>
        </w:rPr>
      </w:pPr>
      <w:r w:rsidRPr="007D1897">
        <w:rPr>
          <w:lang w:val="es-419"/>
        </w:rPr>
        <w:t>Regulatory Case Manager for SDG&amp;E</w:t>
      </w:r>
    </w:p>
    <w:p w14:paraId="5805E909" w14:textId="6D0DCC4F" w:rsidR="000721B8" w:rsidRPr="007D1897" w:rsidRDefault="00694B52" w:rsidP="003001DA">
      <w:pPr>
        <w:ind w:left="720"/>
        <w:rPr>
          <w:lang w:val="es-419"/>
        </w:rPr>
      </w:pPr>
      <w:r w:rsidRPr="007D1897">
        <w:rPr>
          <w:lang w:val="es-419"/>
        </w:rPr>
        <w:t>8330 Century Park Court #CP32E, San Diego, CA 92123</w:t>
      </w:r>
    </w:p>
    <w:p w14:paraId="75C9D436" w14:textId="77777777" w:rsidR="00DA1BB5" w:rsidRPr="007D1897" w:rsidRDefault="00DA1BB5" w:rsidP="0072769E">
      <w:pPr>
        <w:rPr>
          <w:lang w:val="es-419"/>
        </w:rPr>
      </w:pPr>
    </w:p>
    <w:p w14:paraId="5ADF0291" w14:textId="77777777" w:rsidR="00DA1BB5" w:rsidRPr="007D1897" w:rsidRDefault="00694B52" w:rsidP="007771BB">
      <w:pPr>
        <w:numPr>
          <w:ilvl w:val="0"/>
          <w:numId w:val="3"/>
        </w:numPr>
        <w:rPr>
          <w:lang w:val="es-419"/>
        </w:rPr>
      </w:pPr>
      <w:r w:rsidRPr="007D1897">
        <w:rPr>
          <w:lang w:val="es-419"/>
        </w:rPr>
        <w:t xml:space="preserve">Una copia de la solicitud y cualesquier documentos relacionados se pueden examinar también en </w:t>
      </w:r>
      <w:hyperlink r:id="rId11" w:history="1">
        <w:r w:rsidRPr="007D1897">
          <w:rPr>
            <w:color w:val="0000FF"/>
            <w:u w:val="single"/>
            <w:lang w:val="es-419"/>
          </w:rPr>
          <w:t>https://www.sdge.com/rates-and-regulations/proceedings</w:t>
        </w:r>
      </w:hyperlink>
      <w:r w:rsidRPr="007D1897">
        <w:rPr>
          <w:lang w:val="es-419"/>
        </w:rPr>
        <w:t>.</w:t>
      </w:r>
    </w:p>
    <w:p w14:paraId="387264B2" w14:textId="77777777" w:rsidR="00DA1BB5" w:rsidRPr="007D1897" w:rsidRDefault="00DA1BB5" w:rsidP="0072769E">
      <w:pPr>
        <w:rPr>
          <w:lang w:val="es-419"/>
        </w:rPr>
      </w:pPr>
    </w:p>
    <w:p w14:paraId="178DC959" w14:textId="315008E8" w:rsidR="00DA1BB5" w:rsidRPr="007D1897" w:rsidRDefault="00694B52" w:rsidP="0072769E">
      <w:pPr>
        <w:rPr>
          <w:b/>
          <w:bCs/>
          <w:sz w:val="22"/>
          <w:szCs w:val="22"/>
          <w:lang w:val="es-419"/>
        </w:rPr>
      </w:pPr>
      <w:r w:rsidRPr="007D1897">
        <w:rPr>
          <w:b/>
          <w:bCs/>
          <w:sz w:val="22"/>
          <w:szCs w:val="22"/>
          <w:lang w:val="es-419"/>
        </w:rPr>
        <w:t>Póngase en contacto con la CPUC</w:t>
      </w:r>
    </w:p>
    <w:p w14:paraId="1CBD27F8" w14:textId="22A71435" w:rsidR="00523F56" w:rsidRPr="007D1897" w:rsidRDefault="00694B52" w:rsidP="00523F56">
      <w:pPr>
        <w:pStyle w:val="paragraph"/>
        <w:spacing w:before="0" w:beforeAutospacing="0" w:after="0" w:afterAutospacing="0"/>
        <w:textAlignment w:val="baseline"/>
        <w:rPr>
          <w:lang w:val="es-419"/>
        </w:rPr>
      </w:pPr>
      <w:r w:rsidRPr="007D1897">
        <w:rPr>
          <w:rStyle w:val="normaltextrun"/>
          <w:color w:val="000000"/>
          <w:lang w:val="es-419"/>
        </w:rPr>
        <w:t xml:space="preserve">Por favor, visite </w:t>
      </w:r>
      <w:r w:rsidRPr="007D1897">
        <w:rPr>
          <w:rStyle w:val="normaltextrun"/>
          <w:b/>
          <w:bCs/>
          <w:color w:val="000000"/>
          <w:lang w:val="es-419"/>
        </w:rPr>
        <w:t>apps.cpuc.ca.gov/c/A2107017</w:t>
      </w:r>
      <w:r w:rsidRPr="007D1897">
        <w:rPr>
          <w:rStyle w:val="normaltextrun"/>
          <w:color w:val="000000"/>
          <w:lang w:val="es-419"/>
        </w:rPr>
        <w:t xml:space="preserve"> para enviar un comentario acerca de este procedimiento en la Ficha del Expediente de la CPUC. Aquí también puede ver documentos y otros comentarios públicos relacionados con este procedimiento.</w:t>
      </w:r>
    </w:p>
    <w:p w14:paraId="1FB30640" w14:textId="77777777" w:rsidR="00523F56" w:rsidRPr="007D1897" w:rsidRDefault="00694B52" w:rsidP="00523F56">
      <w:pPr>
        <w:pStyle w:val="paragraph"/>
        <w:spacing w:before="0" w:beforeAutospacing="0" w:after="0" w:afterAutospacing="0"/>
        <w:textAlignment w:val="baseline"/>
        <w:rPr>
          <w:lang w:val="es-419"/>
        </w:rPr>
      </w:pPr>
      <w:r w:rsidRPr="007D1897">
        <w:rPr>
          <w:rStyle w:val="eop"/>
          <w:color w:val="000000"/>
          <w:lang w:val="es-419"/>
        </w:rPr>
        <w:t> </w:t>
      </w:r>
    </w:p>
    <w:p w14:paraId="32037EB9" w14:textId="4257BEDF" w:rsidR="00523F56" w:rsidRPr="007D1897" w:rsidRDefault="00694B52" w:rsidP="00523F56">
      <w:pPr>
        <w:pStyle w:val="paragraph"/>
        <w:spacing w:before="0" w:beforeAutospacing="0" w:after="0" w:afterAutospacing="0"/>
        <w:textAlignment w:val="baseline"/>
        <w:rPr>
          <w:lang w:val="es-419"/>
        </w:rPr>
      </w:pPr>
      <w:r w:rsidRPr="007D1897">
        <w:rPr>
          <w:rStyle w:val="normaltextrun"/>
          <w:lang w:val="es-419"/>
        </w:rPr>
        <w:t>Si tiene preguntas acerca de los procesos de la CPUC, puede comunicarse a la Oficina del Asesor Público de la CPUC:</w:t>
      </w:r>
    </w:p>
    <w:p w14:paraId="4B213EE5" w14:textId="02888F44" w:rsidR="00523F56" w:rsidRPr="007D1897" w:rsidRDefault="00694B52" w:rsidP="00523F56">
      <w:pPr>
        <w:pStyle w:val="paragraph"/>
        <w:spacing w:before="0" w:beforeAutospacing="0" w:after="0" w:afterAutospacing="0"/>
        <w:ind w:left="720"/>
        <w:textAlignment w:val="baseline"/>
        <w:rPr>
          <w:lang w:val="es-419"/>
        </w:rPr>
      </w:pPr>
      <w:r w:rsidRPr="007D1897">
        <w:rPr>
          <w:rStyle w:val="normaltextrun"/>
          <w:lang w:val="es-419"/>
        </w:rPr>
        <w:t xml:space="preserve">Llamando al: </w:t>
      </w:r>
      <w:r w:rsidRPr="007D1897">
        <w:rPr>
          <w:rStyle w:val="normaltextrun"/>
          <w:b/>
          <w:bCs/>
          <w:lang w:val="es-419"/>
        </w:rPr>
        <w:t>1-866-849-8390</w:t>
      </w:r>
      <w:r w:rsidRPr="007D1897">
        <w:rPr>
          <w:rStyle w:val="normaltextrun"/>
          <w:lang w:val="es-419"/>
        </w:rPr>
        <w:t xml:space="preserve"> (sin costo) o al </w:t>
      </w:r>
      <w:r w:rsidRPr="007D1897">
        <w:rPr>
          <w:rStyle w:val="normaltextrun"/>
          <w:b/>
          <w:bCs/>
          <w:lang w:val="es-419"/>
        </w:rPr>
        <w:t>1-415-703-2074</w:t>
      </w:r>
    </w:p>
    <w:p w14:paraId="5576C02A" w14:textId="0BBCDD42" w:rsidR="00523F56" w:rsidRPr="007D1897" w:rsidRDefault="00694B52" w:rsidP="00523F56">
      <w:pPr>
        <w:pStyle w:val="paragraph"/>
        <w:spacing w:before="0" w:beforeAutospacing="0" w:after="0" w:afterAutospacing="0"/>
        <w:ind w:left="720"/>
        <w:textAlignment w:val="baseline"/>
        <w:rPr>
          <w:lang w:val="es-419"/>
        </w:rPr>
      </w:pPr>
      <w:r w:rsidRPr="007D1897">
        <w:rPr>
          <w:rStyle w:val="normaltextrun"/>
          <w:lang w:val="es-419"/>
        </w:rPr>
        <w:t>Enviando un mensaje de correo electrónico a: Public.Advisor@cpuc.ca.gov</w:t>
      </w:r>
    </w:p>
    <w:p w14:paraId="47B6F774" w14:textId="27944C71" w:rsidR="00523F56" w:rsidRPr="007D1897" w:rsidRDefault="00694B52" w:rsidP="00523F56">
      <w:pPr>
        <w:pStyle w:val="paragraph"/>
        <w:spacing w:before="0" w:beforeAutospacing="0" w:after="0" w:afterAutospacing="0"/>
        <w:ind w:left="720"/>
        <w:textAlignment w:val="baseline"/>
        <w:rPr>
          <w:lang w:val="es-419"/>
        </w:rPr>
      </w:pPr>
      <w:r w:rsidRPr="007D1897">
        <w:rPr>
          <w:rStyle w:val="normaltextrun"/>
          <w:lang w:val="es-419"/>
        </w:rPr>
        <w:t xml:space="preserve">Escribiendo a: </w:t>
      </w:r>
      <w:r w:rsidRPr="007D1897">
        <w:rPr>
          <w:rStyle w:val="normaltextrun"/>
          <w:lang w:val="es-419"/>
        </w:rPr>
        <w:tab/>
        <w:t>CPUC Public Advisor’s Office</w:t>
      </w:r>
    </w:p>
    <w:p w14:paraId="51400211" w14:textId="7F455D05" w:rsidR="00523F56" w:rsidRPr="007D1897" w:rsidRDefault="00694B52" w:rsidP="00CF2E93">
      <w:pPr>
        <w:pStyle w:val="paragraph"/>
        <w:spacing w:before="0" w:beforeAutospacing="0" w:after="0" w:afterAutospacing="0"/>
        <w:ind w:left="1440" w:firstLine="720"/>
        <w:textAlignment w:val="baseline"/>
        <w:rPr>
          <w:lang w:val="es-419"/>
        </w:rPr>
      </w:pPr>
      <w:r w:rsidRPr="007D1897">
        <w:rPr>
          <w:rStyle w:val="normaltextrun"/>
          <w:lang w:val="es-419"/>
        </w:rPr>
        <w:t>505 Van Ness Avenue</w:t>
      </w:r>
    </w:p>
    <w:p w14:paraId="1F9C39B8" w14:textId="230E7E15" w:rsidR="00523F56" w:rsidRPr="007D1897" w:rsidRDefault="00694B52" w:rsidP="00CF2E93">
      <w:pPr>
        <w:pStyle w:val="paragraph"/>
        <w:spacing w:before="0" w:beforeAutospacing="0" w:after="0" w:afterAutospacing="0"/>
        <w:ind w:left="1440" w:firstLine="720"/>
        <w:textAlignment w:val="baseline"/>
        <w:rPr>
          <w:lang w:val="es-419"/>
        </w:rPr>
      </w:pPr>
      <w:r w:rsidRPr="007D1897">
        <w:rPr>
          <w:rStyle w:val="normaltextrun"/>
          <w:lang w:val="es-419"/>
        </w:rPr>
        <w:t>San Francisco, CA 94102</w:t>
      </w:r>
    </w:p>
    <w:p w14:paraId="475EFEC4" w14:textId="77777777" w:rsidR="00523F56" w:rsidRPr="007D1897" w:rsidRDefault="00694B52" w:rsidP="00523F56">
      <w:pPr>
        <w:pStyle w:val="paragraph"/>
        <w:spacing w:before="0" w:beforeAutospacing="0" w:after="0" w:afterAutospacing="0"/>
        <w:textAlignment w:val="baseline"/>
        <w:rPr>
          <w:lang w:val="es-419"/>
        </w:rPr>
      </w:pPr>
      <w:r w:rsidRPr="007D1897">
        <w:rPr>
          <w:rStyle w:val="eop"/>
          <w:lang w:val="es-419"/>
        </w:rPr>
        <w:t> </w:t>
      </w:r>
    </w:p>
    <w:p w14:paraId="1D199A44" w14:textId="7D51FB56" w:rsidR="002D3487" w:rsidRPr="007D1897" w:rsidRDefault="00694B52" w:rsidP="000D64C1">
      <w:pPr>
        <w:pStyle w:val="paragraph"/>
        <w:spacing w:before="0" w:beforeAutospacing="0" w:after="0" w:afterAutospacing="0"/>
        <w:textAlignment w:val="baseline"/>
        <w:rPr>
          <w:lang w:val="es-419"/>
        </w:rPr>
      </w:pPr>
      <w:r w:rsidRPr="007D1897">
        <w:rPr>
          <w:rStyle w:val="normaltextrun"/>
          <w:lang w:val="es-419"/>
        </w:rPr>
        <w:t xml:space="preserve">Por favor, haga referencia a la solicitud </w:t>
      </w:r>
      <w:r w:rsidRPr="007D1897">
        <w:rPr>
          <w:rStyle w:val="normaltextrun"/>
          <w:b/>
          <w:bCs/>
          <w:lang w:val="es-419"/>
        </w:rPr>
        <w:t>Application A.21-07-017</w:t>
      </w:r>
      <w:r w:rsidR="003F14AF" w:rsidRPr="007D1897">
        <w:rPr>
          <w:rStyle w:val="normaltextrun"/>
          <w:b/>
          <w:bCs/>
          <w:lang w:val="es-419"/>
        </w:rPr>
        <w:t xml:space="preserve"> </w:t>
      </w:r>
      <w:r w:rsidRPr="007D1897">
        <w:rPr>
          <w:rStyle w:val="normaltextrun"/>
          <w:lang w:val="es-419"/>
        </w:rPr>
        <w:t>en cualesquiera comunicaciones que sostenga con la CPUC en relación con este asunto.</w:t>
      </w:r>
    </w:p>
    <w:sectPr w:rsidR="002D3487" w:rsidRPr="007D1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7C66" w14:textId="77777777" w:rsidR="008A07FE" w:rsidRDefault="008A07FE">
      <w:r>
        <w:separator/>
      </w:r>
    </w:p>
  </w:endnote>
  <w:endnote w:type="continuationSeparator" w:id="0">
    <w:p w14:paraId="1E85A0E2" w14:textId="77777777" w:rsidR="008A07FE" w:rsidRDefault="008A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stateCondensed">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32B5" w14:textId="77777777" w:rsidR="008A07FE" w:rsidRDefault="008A07FE" w:rsidP="00BB4510">
      <w:r>
        <w:separator/>
      </w:r>
    </w:p>
  </w:footnote>
  <w:footnote w:type="continuationSeparator" w:id="0">
    <w:p w14:paraId="03B0AE45" w14:textId="77777777" w:rsidR="008A07FE" w:rsidRDefault="008A07FE" w:rsidP="00BB4510">
      <w:r>
        <w:continuationSeparator/>
      </w:r>
    </w:p>
  </w:footnote>
  <w:footnote w:type="continuationNotice" w:id="1">
    <w:p w14:paraId="0681224B" w14:textId="77777777" w:rsidR="008A07FE" w:rsidRDefault="008A07FE"/>
  </w:footnote>
  <w:footnote w:id="2">
    <w:p w14:paraId="40BB43C1" w14:textId="59F878F8" w:rsidR="00130061" w:rsidRPr="003F14AF" w:rsidRDefault="00694B52">
      <w:pPr>
        <w:pStyle w:val="FootnoteText"/>
        <w:rPr>
          <w:sz w:val="22"/>
          <w:szCs w:val="22"/>
          <w:lang w:val="es-MX"/>
        </w:rPr>
      </w:pPr>
      <w:r w:rsidRPr="00130061">
        <w:rPr>
          <w:rStyle w:val="FootnoteReference"/>
          <w:sz w:val="22"/>
          <w:szCs w:val="22"/>
        </w:rPr>
        <w:footnoteRef/>
      </w:r>
      <w:r w:rsidR="002A02F4">
        <w:rPr>
          <w:sz w:val="22"/>
          <w:szCs w:val="22"/>
          <w:lang w:val="es-ES_tradnl"/>
        </w:rPr>
        <w:t xml:space="preserve"> </w:t>
      </w:r>
      <w:r>
        <w:rPr>
          <w:sz w:val="22"/>
          <w:szCs w:val="22"/>
          <w:lang w:val="es-ES_tradnl"/>
        </w:rPr>
        <w:t xml:space="preserve">Un cliente con servicios en paquete es aquel que recibe tanto el servicio de la compañía de distribución de servicios públicos </w:t>
      </w:r>
      <w:r w:rsidR="006443BD">
        <w:rPr>
          <w:sz w:val="22"/>
          <w:szCs w:val="22"/>
          <w:lang w:val="es-ES_tradnl"/>
        </w:rPr>
        <w:t>(</w:t>
      </w:r>
      <w:r>
        <w:rPr>
          <w:sz w:val="22"/>
          <w:szCs w:val="22"/>
          <w:lang w:val="es-ES_tradnl"/>
        </w:rPr>
        <w:t>Utility Distribution Company</w:t>
      </w:r>
      <w:r w:rsidR="006443BD">
        <w:rPr>
          <w:sz w:val="22"/>
          <w:szCs w:val="22"/>
          <w:lang w:val="es-ES_tradnl"/>
        </w:rPr>
        <w:t>,</w:t>
      </w:r>
      <w:r>
        <w:rPr>
          <w:sz w:val="22"/>
          <w:szCs w:val="22"/>
          <w:lang w:val="es-ES_tradnl"/>
        </w:rPr>
        <w:t xml:space="preserve"> UDC) como el servicio de producto básico de SDG&amp;E, como </w:t>
      </w:r>
      <w:r w:rsidR="008615BE">
        <w:rPr>
          <w:sz w:val="22"/>
          <w:szCs w:val="22"/>
          <w:lang w:val="es-ES_tradnl"/>
        </w:rPr>
        <w:t xml:space="preserve">con el Plan </w:t>
      </w:r>
      <w:r>
        <w:rPr>
          <w:sz w:val="22"/>
          <w:szCs w:val="22"/>
          <w:lang w:val="es-ES_tradnl"/>
        </w:rPr>
        <w:t>tarifario TOU-DR1.</w:t>
      </w:r>
    </w:p>
  </w:footnote>
  <w:footnote w:id="3">
    <w:p w14:paraId="71D52B54" w14:textId="018BF703" w:rsidR="005F3D41" w:rsidRPr="003F14AF" w:rsidRDefault="00694B52">
      <w:pPr>
        <w:pStyle w:val="FootnoteText"/>
        <w:rPr>
          <w:sz w:val="22"/>
          <w:szCs w:val="22"/>
          <w:lang w:val="es-MX"/>
        </w:rPr>
      </w:pPr>
      <w:r w:rsidRPr="008F7891">
        <w:rPr>
          <w:rStyle w:val="FootnoteReference"/>
          <w:sz w:val="22"/>
          <w:szCs w:val="22"/>
        </w:rPr>
        <w:footnoteRef/>
      </w:r>
      <w:r>
        <w:rPr>
          <w:sz w:val="22"/>
          <w:szCs w:val="22"/>
          <w:lang w:val="es-ES_tradnl"/>
        </w:rPr>
        <w:t xml:space="preserve"> Representa a clientes que reciben servicio en paquete.</w:t>
      </w:r>
    </w:p>
  </w:footnote>
  <w:footnote w:id="4">
    <w:p w14:paraId="243E060C" w14:textId="113F0D45" w:rsidR="001F6086" w:rsidRPr="003F14AF" w:rsidRDefault="00694B52">
      <w:pPr>
        <w:pStyle w:val="FootnoteText"/>
        <w:rPr>
          <w:sz w:val="22"/>
          <w:szCs w:val="22"/>
          <w:lang w:val="es-MX"/>
        </w:rPr>
      </w:pPr>
      <w:r w:rsidRPr="008F7891">
        <w:rPr>
          <w:rStyle w:val="FootnoteReference"/>
          <w:sz w:val="22"/>
          <w:szCs w:val="22"/>
        </w:rPr>
        <w:footnoteRef/>
      </w:r>
      <w:r w:rsidR="00E753A8">
        <w:rPr>
          <w:sz w:val="22"/>
          <w:szCs w:val="22"/>
          <w:lang w:val="es-ES_tradnl"/>
        </w:rPr>
        <w:t xml:space="preserve"> </w:t>
      </w:r>
      <w:r>
        <w:rPr>
          <w:sz w:val="22"/>
          <w:szCs w:val="22"/>
          <w:lang w:val="es-ES_tradnl"/>
        </w:rPr>
        <w:t>Tarifas en vigor a partir del 3/1/2021 conforme a la Carta de Aviso 3756-E.</w:t>
      </w:r>
    </w:p>
  </w:footnote>
  <w:footnote w:id="5">
    <w:p w14:paraId="6FA9BEE5" w14:textId="26C38AF6" w:rsidR="0A4726E2" w:rsidRPr="003F14AF" w:rsidRDefault="00694B52">
      <w:pPr>
        <w:pStyle w:val="FootnoteText"/>
        <w:rPr>
          <w:lang w:val="es-MX"/>
        </w:rPr>
      </w:pPr>
      <w:r>
        <w:rPr>
          <w:rStyle w:val="FootnoteReference"/>
        </w:rPr>
        <w:footnoteRef/>
      </w:r>
      <w:r w:rsidR="00E753A8">
        <w:rPr>
          <w:lang w:val="es-ES_tradnl"/>
        </w:rPr>
        <w:t xml:space="preserve"> </w:t>
      </w:r>
      <w:r>
        <w:rPr>
          <w:lang w:val="es-ES_tradnl"/>
        </w:rPr>
        <w:t>La factura promedio mensual muestra la factura promedio para un cliente que vive en el interior y la zona costera, no participa en CARE, tiene un plan TOU-DR1 y consume 400</w:t>
      </w:r>
      <w:r w:rsidR="009D489A">
        <w:rPr>
          <w:lang w:val="es-ES_tradnl"/>
        </w:rPr>
        <w:t xml:space="preserve"> </w:t>
      </w:r>
      <w:r>
        <w:rPr>
          <w:lang w:val="es-ES_tradnl"/>
        </w:rPr>
        <w:t>kWh.</w:t>
      </w:r>
      <w:r w:rsidR="00EB2F66">
        <w:rPr>
          <w:lang w:val="es-ES_tradnl"/>
        </w:rPr>
        <w:t xml:space="preserve"> </w:t>
      </w:r>
      <w:r>
        <w:rPr>
          <w:lang w:val="es-ES_tradnl"/>
        </w:rPr>
        <w:t xml:space="preserve">Tarifas en vigor </w:t>
      </w:r>
      <w:r w:rsidR="00393243">
        <w:rPr>
          <w:lang w:val="es-ES_tradnl"/>
        </w:rPr>
        <w:t>a</w:t>
      </w:r>
      <w:r>
        <w:rPr>
          <w:lang w:val="es-ES_tradnl"/>
        </w:rPr>
        <w:t>l 3/1/21 conforme a la Carta de Aviso (AL) 3756-E.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CF6"/>
    <w:multiLevelType w:val="hybridMultilevel"/>
    <w:tmpl w:val="BB7C1042"/>
    <w:lvl w:ilvl="0" w:tplc="D30E5D34">
      <w:start w:val="1"/>
      <w:numFmt w:val="bullet"/>
      <w:lvlText w:val=""/>
      <w:lvlJc w:val="left"/>
      <w:pPr>
        <w:ind w:left="720" w:hanging="360"/>
      </w:pPr>
      <w:rPr>
        <w:rFonts w:ascii="Symbol" w:hAnsi="Symbol" w:hint="default"/>
      </w:rPr>
    </w:lvl>
    <w:lvl w:ilvl="1" w:tplc="233E6804" w:tentative="1">
      <w:start w:val="1"/>
      <w:numFmt w:val="bullet"/>
      <w:lvlText w:val="o"/>
      <w:lvlJc w:val="left"/>
      <w:pPr>
        <w:ind w:left="1440" w:hanging="360"/>
      </w:pPr>
      <w:rPr>
        <w:rFonts w:ascii="Courier New" w:hAnsi="Courier New" w:cs="Courier New" w:hint="default"/>
      </w:rPr>
    </w:lvl>
    <w:lvl w:ilvl="2" w:tplc="0154368A" w:tentative="1">
      <w:start w:val="1"/>
      <w:numFmt w:val="bullet"/>
      <w:lvlText w:val=""/>
      <w:lvlJc w:val="left"/>
      <w:pPr>
        <w:ind w:left="2160" w:hanging="360"/>
      </w:pPr>
      <w:rPr>
        <w:rFonts w:ascii="Wingdings" w:hAnsi="Wingdings" w:hint="default"/>
      </w:rPr>
    </w:lvl>
    <w:lvl w:ilvl="3" w:tplc="A47CD5C0" w:tentative="1">
      <w:start w:val="1"/>
      <w:numFmt w:val="bullet"/>
      <w:lvlText w:val=""/>
      <w:lvlJc w:val="left"/>
      <w:pPr>
        <w:ind w:left="2880" w:hanging="360"/>
      </w:pPr>
      <w:rPr>
        <w:rFonts w:ascii="Symbol" w:hAnsi="Symbol" w:hint="default"/>
      </w:rPr>
    </w:lvl>
    <w:lvl w:ilvl="4" w:tplc="C4825912" w:tentative="1">
      <w:start w:val="1"/>
      <w:numFmt w:val="bullet"/>
      <w:lvlText w:val="o"/>
      <w:lvlJc w:val="left"/>
      <w:pPr>
        <w:ind w:left="3600" w:hanging="360"/>
      </w:pPr>
      <w:rPr>
        <w:rFonts w:ascii="Courier New" w:hAnsi="Courier New" w:cs="Courier New" w:hint="default"/>
      </w:rPr>
    </w:lvl>
    <w:lvl w:ilvl="5" w:tplc="8104F778" w:tentative="1">
      <w:start w:val="1"/>
      <w:numFmt w:val="bullet"/>
      <w:lvlText w:val=""/>
      <w:lvlJc w:val="left"/>
      <w:pPr>
        <w:ind w:left="4320" w:hanging="360"/>
      </w:pPr>
      <w:rPr>
        <w:rFonts w:ascii="Wingdings" w:hAnsi="Wingdings" w:hint="default"/>
      </w:rPr>
    </w:lvl>
    <w:lvl w:ilvl="6" w:tplc="3EB4D7EE" w:tentative="1">
      <w:start w:val="1"/>
      <w:numFmt w:val="bullet"/>
      <w:lvlText w:val=""/>
      <w:lvlJc w:val="left"/>
      <w:pPr>
        <w:ind w:left="5040" w:hanging="360"/>
      </w:pPr>
      <w:rPr>
        <w:rFonts w:ascii="Symbol" w:hAnsi="Symbol" w:hint="default"/>
      </w:rPr>
    </w:lvl>
    <w:lvl w:ilvl="7" w:tplc="43B2775A" w:tentative="1">
      <w:start w:val="1"/>
      <w:numFmt w:val="bullet"/>
      <w:lvlText w:val="o"/>
      <w:lvlJc w:val="left"/>
      <w:pPr>
        <w:ind w:left="5760" w:hanging="360"/>
      </w:pPr>
      <w:rPr>
        <w:rFonts w:ascii="Courier New" w:hAnsi="Courier New" w:cs="Courier New" w:hint="default"/>
      </w:rPr>
    </w:lvl>
    <w:lvl w:ilvl="8" w:tplc="266EBECA" w:tentative="1">
      <w:start w:val="1"/>
      <w:numFmt w:val="bullet"/>
      <w:lvlText w:val=""/>
      <w:lvlJc w:val="left"/>
      <w:pPr>
        <w:ind w:left="6480" w:hanging="360"/>
      </w:pPr>
      <w:rPr>
        <w:rFonts w:ascii="Wingdings" w:hAnsi="Wingdings" w:hint="default"/>
      </w:rPr>
    </w:lvl>
  </w:abstractNum>
  <w:abstractNum w:abstractNumId="1" w15:restartNumberingAfterBreak="0">
    <w:nsid w:val="0AE34E9F"/>
    <w:multiLevelType w:val="hybridMultilevel"/>
    <w:tmpl w:val="F8461AE4"/>
    <w:lvl w:ilvl="0" w:tplc="4C24672C">
      <w:start w:val="1"/>
      <w:numFmt w:val="bullet"/>
      <w:lvlText w:val=""/>
      <w:lvlJc w:val="left"/>
      <w:pPr>
        <w:ind w:left="720" w:hanging="360"/>
      </w:pPr>
      <w:rPr>
        <w:rFonts w:ascii="Symbol" w:hAnsi="Symbol" w:hint="default"/>
      </w:rPr>
    </w:lvl>
    <w:lvl w:ilvl="1" w:tplc="6F323F60" w:tentative="1">
      <w:start w:val="1"/>
      <w:numFmt w:val="bullet"/>
      <w:lvlText w:val="o"/>
      <w:lvlJc w:val="left"/>
      <w:pPr>
        <w:ind w:left="1440" w:hanging="360"/>
      </w:pPr>
      <w:rPr>
        <w:rFonts w:ascii="Courier New" w:hAnsi="Courier New" w:cs="Courier New" w:hint="default"/>
      </w:rPr>
    </w:lvl>
    <w:lvl w:ilvl="2" w:tplc="975E6292" w:tentative="1">
      <w:start w:val="1"/>
      <w:numFmt w:val="bullet"/>
      <w:lvlText w:val=""/>
      <w:lvlJc w:val="left"/>
      <w:pPr>
        <w:ind w:left="2160" w:hanging="360"/>
      </w:pPr>
      <w:rPr>
        <w:rFonts w:ascii="Wingdings" w:hAnsi="Wingdings" w:hint="default"/>
      </w:rPr>
    </w:lvl>
    <w:lvl w:ilvl="3" w:tplc="F92800BC" w:tentative="1">
      <w:start w:val="1"/>
      <w:numFmt w:val="bullet"/>
      <w:lvlText w:val=""/>
      <w:lvlJc w:val="left"/>
      <w:pPr>
        <w:ind w:left="2880" w:hanging="360"/>
      </w:pPr>
      <w:rPr>
        <w:rFonts w:ascii="Symbol" w:hAnsi="Symbol" w:hint="default"/>
      </w:rPr>
    </w:lvl>
    <w:lvl w:ilvl="4" w:tplc="701AF654" w:tentative="1">
      <w:start w:val="1"/>
      <w:numFmt w:val="bullet"/>
      <w:lvlText w:val="o"/>
      <w:lvlJc w:val="left"/>
      <w:pPr>
        <w:ind w:left="3600" w:hanging="360"/>
      </w:pPr>
      <w:rPr>
        <w:rFonts w:ascii="Courier New" w:hAnsi="Courier New" w:cs="Courier New" w:hint="default"/>
      </w:rPr>
    </w:lvl>
    <w:lvl w:ilvl="5" w:tplc="B13844B6" w:tentative="1">
      <w:start w:val="1"/>
      <w:numFmt w:val="bullet"/>
      <w:lvlText w:val=""/>
      <w:lvlJc w:val="left"/>
      <w:pPr>
        <w:ind w:left="4320" w:hanging="360"/>
      </w:pPr>
      <w:rPr>
        <w:rFonts w:ascii="Wingdings" w:hAnsi="Wingdings" w:hint="default"/>
      </w:rPr>
    </w:lvl>
    <w:lvl w:ilvl="6" w:tplc="5D9ECBE8" w:tentative="1">
      <w:start w:val="1"/>
      <w:numFmt w:val="bullet"/>
      <w:lvlText w:val=""/>
      <w:lvlJc w:val="left"/>
      <w:pPr>
        <w:ind w:left="5040" w:hanging="360"/>
      </w:pPr>
      <w:rPr>
        <w:rFonts w:ascii="Symbol" w:hAnsi="Symbol" w:hint="default"/>
      </w:rPr>
    </w:lvl>
    <w:lvl w:ilvl="7" w:tplc="2E2E1C52" w:tentative="1">
      <w:start w:val="1"/>
      <w:numFmt w:val="bullet"/>
      <w:lvlText w:val="o"/>
      <w:lvlJc w:val="left"/>
      <w:pPr>
        <w:ind w:left="5760" w:hanging="360"/>
      </w:pPr>
      <w:rPr>
        <w:rFonts w:ascii="Courier New" w:hAnsi="Courier New" w:cs="Courier New" w:hint="default"/>
      </w:rPr>
    </w:lvl>
    <w:lvl w:ilvl="8" w:tplc="CB482B92" w:tentative="1">
      <w:start w:val="1"/>
      <w:numFmt w:val="bullet"/>
      <w:lvlText w:val=""/>
      <w:lvlJc w:val="left"/>
      <w:pPr>
        <w:ind w:left="6480" w:hanging="360"/>
      </w:pPr>
      <w:rPr>
        <w:rFonts w:ascii="Wingdings" w:hAnsi="Wingdings" w:hint="default"/>
      </w:rPr>
    </w:lvl>
  </w:abstractNum>
  <w:abstractNum w:abstractNumId="2" w15:restartNumberingAfterBreak="0">
    <w:nsid w:val="117F5BC4"/>
    <w:multiLevelType w:val="hybridMultilevel"/>
    <w:tmpl w:val="54D860CC"/>
    <w:lvl w:ilvl="0" w:tplc="7F10319A">
      <w:start w:val="1"/>
      <w:numFmt w:val="bullet"/>
      <w:lvlText w:val=""/>
      <w:lvlJc w:val="left"/>
      <w:pPr>
        <w:tabs>
          <w:tab w:val="num" w:pos="720"/>
        </w:tabs>
        <w:ind w:left="720" w:hanging="360"/>
      </w:pPr>
      <w:rPr>
        <w:rFonts w:ascii="Wingdings" w:hAnsi="Wingdings" w:hint="default"/>
      </w:rPr>
    </w:lvl>
    <w:lvl w:ilvl="1" w:tplc="6C44E7A0" w:tentative="1">
      <w:start w:val="1"/>
      <w:numFmt w:val="bullet"/>
      <w:lvlText w:val="o"/>
      <w:lvlJc w:val="left"/>
      <w:pPr>
        <w:tabs>
          <w:tab w:val="num" w:pos="1440"/>
        </w:tabs>
        <w:ind w:left="1440" w:hanging="360"/>
      </w:pPr>
      <w:rPr>
        <w:rFonts w:ascii="Courier New" w:hAnsi="Courier New" w:hint="default"/>
      </w:rPr>
    </w:lvl>
    <w:lvl w:ilvl="2" w:tplc="90CED242" w:tentative="1">
      <w:start w:val="1"/>
      <w:numFmt w:val="bullet"/>
      <w:lvlText w:val=""/>
      <w:lvlJc w:val="left"/>
      <w:pPr>
        <w:tabs>
          <w:tab w:val="num" w:pos="2160"/>
        </w:tabs>
        <w:ind w:left="2160" w:hanging="360"/>
      </w:pPr>
      <w:rPr>
        <w:rFonts w:ascii="Wingdings" w:hAnsi="Wingdings" w:hint="default"/>
      </w:rPr>
    </w:lvl>
    <w:lvl w:ilvl="3" w:tplc="C7BCFB88" w:tentative="1">
      <w:start w:val="1"/>
      <w:numFmt w:val="bullet"/>
      <w:lvlText w:val=""/>
      <w:lvlJc w:val="left"/>
      <w:pPr>
        <w:tabs>
          <w:tab w:val="num" w:pos="2880"/>
        </w:tabs>
        <w:ind w:left="2880" w:hanging="360"/>
      </w:pPr>
      <w:rPr>
        <w:rFonts w:ascii="Symbol" w:hAnsi="Symbol" w:hint="default"/>
      </w:rPr>
    </w:lvl>
    <w:lvl w:ilvl="4" w:tplc="2156211E" w:tentative="1">
      <w:start w:val="1"/>
      <w:numFmt w:val="bullet"/>
      <w:lvlText w:val="o"/>
      <w:lvlJc w:val="left"/>
      <w:pPr>
        <w:tabs>
          <w:tab w:val="num" w:pos="3600"/>
        </w:tabs>
        <w:ind w:left="3600" w:hanging="360"/>
      </w:pPr>
      <w:rPr>
        <w:rFonts w:ascii="Courier New" w:hAnsi="Courier New" w:hint="default"/>
      </w:rPr>
    </w:lvl>
    <w:lvl w:ilvl="5" w:tplc="F134DE0A" w:tentative="1">
      <w:start w:val="1"/>
      <w:numFmt w:val="bullet"/>
      <w:lvlText w:val=""/>
      <w:lvlJc w:val="left"/>
      <w:pPr>
        <w:tabs>
          <w:tab w:val="num" w:pos="4320"/>
        </w:tabs>
        <w:ind w:left="4320" w:hanging="360"/>
      </w:pPr>
      <w:rPr>
        <w:rFonts w:ascii="Wingdings" w:hAnsi="Wingdings" w:hint="default"/>
      </w:rPr>
    </w:lvl>
    <w:lvl w:ilvl="6" w:tplc="B2CE00A4" w:tentative="1">
      <w:start w:val="1"/>
      <w:numFmt w:val="bullet"/>
      <w:lvlText w:val=""/>
      <w:lvlJc w:val="left"/>
      <w:pPr>
        <w:tabs>
          <w:tab w:val="num" w:pos="5040"/>
        </w:tabs>
        <w:ind w:left="5040" w:hanging="360"/>
      </w:pPr>
      <w:rPr>
        <w:rFonts w:ascii="Symbol" w:hAnsi="Symbol" w:hint="default"/>
      </w:rPr>
    </w:lvl>
    <w:lvl w:ilvl="7" w:tplc="D682DED6" w:tentative="1">
      <w:start w:val="1"/>
      <w:numFmt w:val="bullet"/>
      <w:lvlText w:val="o"/>
      <w:lvlJc w:val="left"/>
      <w:pPr>
        <w:tabs>
          <w:tab w:val="num" w:pos="5760"/>
        </w:tabs>
        <w:ind w:left="5760" w:hanging="360"/>
      </w:pPr>
      <w:rPr>
        <w:rFonts w:ascii="Courier New" w:hAnsi="Courier New" w:hint="default"/>
      </w:rPr>
    </w:lvl>
    <w:lvl w:ilvl="8" w:tplc="58DEA3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1561D"/>
    <w:multiLevelType w:val="hybridMultilevel"/>
    <w:tmpl w:val="60A2C16C"/>
    <w:lvl w:ilvl="0" w:tplc="85207C8C">
      <w:start w:val="1"/>
      <w:numFmt w:val="decimal"/>
      <w:lvlText w:val="%1)"/>
      <w:lvlJc w:val="left"/>
      <w:pPr>
        <w:ind w:left="720" w:hanging="360"/>
      </w:pPr>
      <w:rPr>
        <w:rFonts w:hint="default"/>
      </w:rPr>
    </w:lvl>
    <w:lvl w:ilvl="1" w:tplc="7ADE16F4" w:tentative="1">
      <w:start w:val="1"/>
      <w:numFmt w:val="lowerLetter"/>
      <w:lvlText w:val="%2."/>
      <w:lvlJc w:val="left"/>
      <w:pPr>
        <w:ind w:left="1440" w:hanging="360"/>
      </w:pPr>
    </w:lvl>
    <w:lvl w:ilvl="2" w:tplc="00B6A35C" w:tentative="1">
      <w:start w:val="1"/>
      <w:numFmt w:val="lowerRoman"/>
      <w:lvlText w:val="%3."/>
      <w:lvlJc w:val="right"/>
      <w:pPr>
        <w:ind w:left="2160" w:hanging="180"/>
      </w:pPr>
    </w:lvl>
    <w:lvl w:ilvl="3" w:tplc="9F680340" w:tentative="1">
      <w:start w:val="1"/>
      <w:numFmt w:val="decimal"/>
      <w:lvlText w:val="%4."/>
      <w:lvlJc w:val="left"/>
      <w:pPr>
        <w:ind w:left="2880" w:hanging="360"/>
      </w:pPr>
    </w:lvl>
    <w:lvl w:ilvl="4" w:tplc="1938FA1C" w:tentative="1">
      <w:start w:val="1"/>
      <w:numFmt w:val="lowerLetter"/>
      <w:lvlText w:val="%5."/>
      <w:lvlJc w:val="left"/>
      <w:pPr>
        <w:ind w:left="3600" w:hanging="360"/>
      </w:pPr>
    </w:lvl>
    <w:lvl w:ilvl="5" w:tplc="86D4D704" w:tentative="1">
      <w:start w:val="1"/>
      <w:numFmt w:val="lowerRoman"/>
      <w:lvlText w:val="%6."/>
      <w:lvlJc w:val="right"/>
      <w:pPr>
        <w:ind w:left="4320" w:hanging="180"/>
      </w:pPr>
    </w:lvl>
    <w:lvl w:ilvl="6" w:tplc="5CD8529A" w:tentative="1">
      <w:start w:val="1"/>
      <w:numFmt w:val="decimal"/>
      <w:lvlText w:val="%7."/>
      <w:lvlJc w:val="left"/>
      <w:pPr>
        <w:ind w:left="5040" w:hanging="360"/>
      </w:pPr>
    </w:lvl>
    <w:lvl w:ilvl="7" w:tplc="65223FBC" w:tentative="1">
      <w:start w:val="1"/>
      <w:numFmt w:val="lowerLetter"/>
      <w:lvlText w:val="%8."/>
      <w:lvlJc w:val="left"/>
      <w:pPr>
        <w:ind w:left="5760" w:hanging="360"/>
      </w:pPr>
    </w:lvl>
    <w:lvl w:ilvl="8" w:tplc="7A0ED606" w:tentative="1">
      <w:start w:val="1"/>
      <w:numFmt w:val="lowerRoman"/>
      <w:lvlText w:val="%9."/>
      <w:lvlJc w:val="right"/>
      <w:pPr>
        <w:ind w:left="6480" w:hanging="180"/>
      </w:pPr>
    </w:lvl>
  </w:abstractNum>
  <w:abstractNum w:abstractNumId="4" w15:restartNumberingAfterBreak="0">
    <w:nsid w:val="36FD3542"/>
    <w:multiLevelType w:val="hybridMultilevel"/>
    <w:tmpl w:val="BFF01396"/>
    <w:lvl w:ilvl="0" w:tplc="EB8AA5FE">
      <w:start w:val="1"/>
      <w:numFmt w:val="decimal"/>
      <w:lvlText w:val="%1."/>
      <w:lvlJc w:val="left"/>
      <w:pPr>
        <w:ind w:left="720" w:hanging="360"/>
      </w:pPr>
      <w:rPr>
        <w:rFonts w:hint="default"/>
      </w:rPr>
    </w:lvl>
    <w:lvl w:ilvl="1" w:tplc="960A7AD4" w:tentative="1">
      <w:start w:val="1"/>
      <w:numFmt w:val="lowerLetter"/>
      <w:lvlText w:val="%2."/>
      <w:lvlJc w:val="left"/>
      <w:pPr>
        <w:ind w:left="1440" w:hanging="360"/>
      </w:pPr>
    </w:lvl>
    <w:lvl w:ilvl="2" w:tplc="B6D829A2" w:tentative="1">
      <w:start w:val="1"/>
      <w:numFmt w:val="lowerRoman"/>
      <w:lvlText w:val="%3."/>
      <w:lvlJc w:val="right"/>
      <w:pPr>
        <w:ind w:left="2160" w:hanging="180"/>
      </w:pPr>
    </w:lvl>
    <w:lvl w:ilvl="3" w:tplc="B1B877BE" w:tentative="1">
      <w:start w:val="1"/>
      <w:numFmt w:val="decimal"/>
      <w:lvlText w:val="%4."/>
      <w:lvlJc w:val="left"/>
      <w:pPr>
        <w:ind w:left="2880" w:hanging="360"/>
      </w:pPr>
    </w:lvl>
    <w:lvl w:ilvl="4" w:tplc="23B6679E" w:tentative="1">
      <w:start w:val="1"/>
      <w:numFmt w:val="lowerLetter"/>
      <w:lvlText w:val="%5."/>
      <w:lvlJc w:val="left"/>
      <w:pPr>
        <w:ind w:left="3600" w:hanging="360"/>
      </w:pPr>
    </w:lvl>
    <w:lvl w:ilvl="5" w:tplc="7E424C78" w:tentative="1">
      <w:start w:val="1"/>
      <w:numFmt w:val="lowerRoman"/>
      <w:lvlText w:val="%6."/>
      <w:lvlJc w:val="right"/>
      <w:pPr>
        <w:ind w:left="4320" w:hanging="180"/>
      </w:pPr>
    </w:lvl>
    <w:lvl w:ilvl="6" w:tplc="ED8A61EA" w:tentative="1">
      <w:start w:val="1"/>
      <w:numFmt w:val="decimal"/>
      <w:lvlText w:val="%7."/>
      <w:lvlJc w:val="left"/>
      <w:pPr>
        <w:ind w:left="5040" w:hanging="360"/>
      </w:pPr>
    </w:lvl>
    <w:lvl w:ilvl="7" w:tplc="DF7AE3B8" w:tentative="1">
      <w:start w:val="1"/>
      <w:numFmt w:val="lowerLetter"/>
      <w:lvlText w:val="%8."/>
      <w:lvlJc w:val="left"/>
      <w:pPr>
        <w:ind w:left="5760" w:hanging="360"/>
      </w:pPr>
    </w:lvl>
    <w:lvl w:ilvl="8" w:tplc="AA4C9EAC" w:tentative="1">
      <w:start w:val="1"/>
      <w:numFmt w:val="lowerRoman"/>
      <w:lvlText w:val="%9."/>
      <w:lvlJc w:val="right"/>
      <w:pPr>
        <w:ind w:left="6480" w:hanging="180"/>
      </w:pPr>
    </w:lvl>
  </w:abstractNum>
  <w:abstractNum w:abstractNumId="5" w15:restartNumberingAfterBreak="0">
    <w:nsid w:val="41330063"/>
    <w:multiLevelType w:val="hybridMultilevel"/>
    <w:tmpl w:val="FE081180"/>
    <w:lvl w:ilvl="0" w:tplc="7298B3FC">
      <w:start w:val="1"/>
      <w:numFmt w:val="bullet"/>
      <w:lvlText w:val=""/>
      <w:lvlJc w:val="left"/>
      <w:pPr>
        <w:ind w:left="720" w:hanging="360"/>
      </w:pPr>
      <w:rPr>
        <w:rFonts w:ascii="Symbol" w:hAnsi="Symbol" w:hint="default"/>
      </w:rPr>
    </w:lvl>
    <w:lvl w:ilvl="1" w:tplc="63FAFEEC" w:tentative="1">
      <w:start w:val="1"/>
      <w:numFmt w:val="bullet"/>
      <w:lvlText w:val="o"/>
      <w:lvlJc w:val="left"/>
      <w:pPr>
        <w:ind w:left="1440" w:hanging="360"/>
      </w:pPr>
      <w:rPr>
        <w:rFonts w:ascii="Courier New" w:hAnsi="Courier New" w:cs="Courier New" w:hint="default"/>
      </w:rPr>
    </w:lvl>
    <w:lvl w:ilvl="2" w:tplc="6A8A9D06" w:tentative="1">
      <w:start w:val="1"/>
      <w:numFmt w:val="bullet"/>
      <w:lvlText w:val=""/>
      <w:lvlJc w:val="left"/>
      <w:pPr>
        <w:ind w:left="2160" w:hanging="360"/>
      </w:pPr>
      <w:rPr>
        <w:rFonts w:ascii="Wingdings" w:hAnsi="Wingdings" w:hint="default"/>
      </w:rPr>
    </w:lvl>
    <w:lvl w:ilvl="3" w:tplc="680640D2" w:tentative="1">
      <w:start w:val="1"/>
      <w:numFmt w:val="bullet"/>
      <w:lvlText w:val=""/>
      <w:lvlJc w:val="left"/>
      <w:pPr>
        <w:ind w:left="2880" w:hanging="360"/>
      </w:pPr>
      <w:rPr>
        <w:rFonts w:ascii="Symbol" w:hAnsi="Symbol" w:hint="default"/>
      </w:rPr>
    </w:lvl>
    <w:lvl w:ilvl="4" w:tplc="1312FF70" w:tentative="1">
      <w:start w:val="1"/>
      <w:numFmt w:val="bullet"/>
      <w:lvlText w:val="o"/>
      <w:lvlJc w:val="left"/>
      <w:pPr>
        <w:ind w:left="3600" w:hanging="360"/>
      </w:pPr>
      <w:rPr>
        <w:rFonts w:ascii="Courier New" w:hAnsi="Courier New" w:cs="Courier New" w:hint="default"/>
      </w:rPr>
    </w:lvl>
    <w:lvl w:ilvl="5" w:tplc="30D4A518" w:tentative="1">
      <w:start w:val="1"/>
      <w:numFmt w:val="bullet"/>
      <w:lvlText w:val=""/>
      <w:lvlJc w:val="left"/>
      <w:pPr>
        <w:ind w:left="4320" w:hanging="360"/>
      </w:pPr>
      <w:rPr>
        <w:rFonts w:ascii="Wingdings" w:hAnsi="Wingdings" w:hint="default"/>
      </w:rPr>
    </w:lvl>
    <w:lvl w:ilvl="6" w:tplc="F47007E4" w:tentative="1">
      <w:start w:val="1"/>
      <w:numFmt w:val="bullet"/>
      <w:lvlText w:val=""/>
      <w:lvlJc w:val="left"/>
      <w:pPr>
        <w:ind w:left="5040" w:hanging="360"/>
      </w:pPr>
      <w:rPr>
        <w:rFonts w:ascii="Symbol" w:hAnsi="Symbol" w:hint="default"/>
      </w:rPr>
    </w:lvl>
    <w:lvl w:ilvl="7" w:tplc="2FD41FCA" w:tentative="1">
      <w:start w:val="1"/>
      <w:numFmt w:val="bullet"/>
      <w:lvlText w:val="o"/>
      <w:lvlJc w:val="left"/>
      <w:pPr>
        <w:ind w:left="5760" w:hanging="360"/>
      </w:pPr>
      <w:rPr>
        <w:rFonts w:ascii="Courier New" w:hAnsi="Courier New" w:cs="Courier New" w:hint="default"/>
      </w:rPr>
    </w:lvl>
    <w:lvl w:ilvl="8" w:tplc="D8909E74" w:tentative="1">
      <w:start w:val="1"/>
      <w:numFmt w:val="bullet"/>
      <w:lvlText w:val=""/>
      <w:lvlJc w:val="left"/>
      <w:pPr>
        <w:ind w:left="6480" w:hanging="360"/>
      </w:pPr>
      <w:rPr>
        <w:rFonts w:ascii="Wingdings" w:hAnsi="Wingdings" w:hint="default"/>
      </w:rPr>
    </w:lvl>
  </w:abstractNum>
  <w:abstractNum w:abstractNumId="6" w15:restartNumberingAfterBreak="0">
    <w:nsid w:val="488E3C33"/>
    <w:multiLevelType w:val="hybridMultilevel"/>
    <w:tmpl w:val="1F821DB2"/>
    <w:lvl w:ilvl="0" w:tplc="0F581070">
      <w:start w:val="1"/>
      <w:numFmt w:val="bullet"/>
      <w:lvlText w:val=""/>
      <w:lvlJc w:val="left"/>
      <w:pPr>
        <w:ind w:left="720" w:hanging="360"/>
      </w:pPr>
      <w:rPr>
        <w:rFonts w:ascii="Symbol" w:hAnsi="Symbol" w:hint="default"/>
      </w:rPr>
    </w:lvl>
    <w:lvl w:ilvl="1" w:tplc="E2EC19B4" w:tentative="1">
      <w:start w:val="1"/>
      <w:numFmt w:val="bullet"/>
      <w:lvlText w:val="o"/>
      <w:lvlJc w:val="left"/>
      <w:pPr>
        <w:ind w:left="1440" w:hanging="360"/>
      </w:pPr>
      <w:rPr>
        <w:rFonts w:ascii="Courier New" w:hAnsi="Courier New" w:cs="Courier New" w:hint="default"/>
      </w:rPr>
    </w:lvl>
    <w:lvl w:ilvl="2" w:tplc="8196B788" w:tentative="1">
      <w:start w:val="1"/>
      <w:numFmt w:val="bullet"/>
      <w:lvlText w:val=""/>
      <w:lvlJc w:val="left"/>
      <w:pPr>
        <w:ind w:left="2160" w:hanging="360"/>
      </w:pPr>
      <w:rPr>
        <w:rFonts w:ascii="Wingdings" w:hAnsi="Wingdings" w:hint="default"/>
      </w:rPr>
    </w:lvl>
    <w:lvl w:ilvl="3" w:tplc="7CD689C6" w:tentative="1">
      <w:start w:val="1"/>
      <w:numFmt w:val="bullet"/>
      <w:lvlText w:val=""/>
      <w:lvlJc w:val="left"/>
      <w:pPr>
        <w:ind w:left="2880" w:hanging="360"/>
      </w:pPr>
      <w:rPr>
        <w:rFonts w:ascii="Symbol" w:hAnsi="Symbol" w:hint="default"/>
      </w:rPr>
    </w:lvl>
    <w:lvl w:ilvl="4" w:tplc="0EDC4C32" w:tentative="1">
      <w:start w:val="1"/>
      <w:numFmt w:val="bullet"/>
      <w:lvlText w:val="o"/>
      <w:lvlJc w:val="left"/>
      <w:pPr>
        <w:ind w:left="3600" w:hanging="360"/>
      </w:pPr>
      <w:rPr>
        <w:rFonts w:ascii="Courier New" w:hAnsi="Courier New" w:cs="Courier New" w:hint="default"/>
      </w:rPr>
    </w:lvl>
    <w:lvl w:ilvl="5" w:tplc="72E2A9C6" w:tentative="1">
      <w:start w:val="1"/>
      <w:numFmt w:val="bullet"/>
      <w:lvlText w:val=""/>
      <w:lvlJc w:val="left"/>
      <w:pPr>
        <w:ind w:left="4320" w:hanging="360"/>
      </w:pPr>
      <w:rPr>
        <w:rFonts w:ascii="Wingdings" w:hAnsi="Wingdings" w:hint="default"/>
      </w:rPr>
    </w:lvl>
    <w:lvl w:ilvl="6" w:tplc="938CDC48" w:tentative="1">
      <w:start w:val="1"/>
      <w:numFmt w:val="bullet"/>
      <w:lvlText w:val=""/>
      <w:lvlJc w:val="left"/>
      <w:pPr>
        <w:ind w:left="5040" w:hanging="360"/>
      </w:pPr>
      <w:rPr>
        <w:rFonts w:ascii="Symbol" w:hAnsi="Symbol" w:hint="default"/>
      </w:rPr>
    </w:lvl>
    <w:lvl w:ilvl="7" w:tplc="6CF8C392" w:tentative="1">
      <w:start w:val="1"/>
      <w:numFmt w:val="bullet"/>
      <w:lvlText w:val="o"/>
      <w:lvlJc w:val="left"/>
      <w:pPr>
        <w:ind w:left="5760" w:hanging="360"/>
      </w:pPr>
      <w:rPr>
        <w:rFonts w:ascii="Courier New" w:hAnsi="Courier New" w:cs="Courier New" w:hint="default"/>
      </w:rPr>
    </w:lvl>
    <w:lvl w:ilvl="8" w:tplc="70E6A314" w:tentative="1">
      <w:start w:val="1"/>
      <w:numFmt w:val="bullet"/>
      <w:lvlText w:val=""/>
      <w:lvlJc w:val="left"/>
      <w:pPr>
        <w:ind w:left="6480" w:hanging="360"/>
      </w:pPr>
      <w:rPr>
        <w:rFonts w:ascii="Wingdings" w:hAnsi="Wingdings" w:hint="default"/>
      </w:rPr>
    </w:lvl>
  </w:abstractNum>
  <w:abstractNum w:abstractNumId="7" w15:restartNumberingAfterBreak="0">
    <w:nsid w:val="4E211257"/>
    <w:multiLevelType w:val="hybridMultilevel"/>
    <w:tmpl w:val="090441FC"/>
    <w:lvl w:ilvl="0" w:tplc="5E88F0D8">
      <w:start w:val="1"/>
      <w:numFmt w:val="decimal"/>
      <w:lvlText w:val="%1."/>
      <w:lvlJc w:val="left"/>
      <w:pPr>
        <w:ind w:left="720" w:hanging="360"/>
      </w:pPr>
      <w:rPr>
        <w:rFonts w:hint="default"/>
      </w:rPr>
    </w:lvl>
    <w:lvl w:ilvl="1" w:tplc="4BFA163C" w:tentative="1">
      <w:start w:val="1"/>
      <w:numFmt w:val="lowerLetter"/>
      <w:lvlText w:val="%2."/>
      <w:lvlJc w:val="left"/>
      <w:pPr>
        <w:ind w:left="1440" w:hanging="360"/>
      </w:pPr>
    </w:lvl>
    <w:lvl w:ilvl="2" w:tplc="7202475A" w:tentative="1">
      <w:start w:val="1"/>
      <w:numFmt w:val="lowerRoman"/>
      <w:lvlText w:val="%3."/>
      <w:lvlJc w:val="right"/>
      <w:pPr>
        <w:ind w:left="2160" w:hanging="180"/>
      </w:pPr>
    </w:lvl>
    <w:lvl w:ilvl="3" w:tplc="B242168A" w:tentative="1">
      <w:start w:val="1"/>
      <w:numFmt w:val="decimal"/>
      <w:lvlText w:val="%4."/>
      <w:lvlJc w:val="left"/>
      <w:pPr>
        <w:ind w:left="2880" w:hanging="360"/>
      </w:pPr>
    </w:lvl>
    <w:lvl w:ilvl="4" w:tplc="34A6176E" w:tentative="1">
      <w:start w:val="1"/>
      <w:numFmt w:val="lowerLetter"/>
      <w:lvlText w:val="%5."/>
      <w:lvlJc w:val="left"/>
      <w:pPr>
        <w:ind w:left="3600" w:hanging="360"/>
      </w:pPr>
    </w:lvl>
    <w:lvl w:ilvl="5" w:tplc="380C999E" w:tentative="1">
      <w:start w:val="1"/>
      <w:numFmt w:val="lowerRoman"/>
      <w:lvlText w:val="%6."/>
      <w:lvlJc w:val="right"/>
      <w:pPr>
        <w:ind w:left="4320" w:hanging="180"/>
      </w:pPr>
    </w:lvl>
    <w:lvl w:ilvl="6" w:tplc="A9A83FE0" w:tentative="1">
      <w:start w:val="1"/>
      <w:numFmt w:val="decimal"/>
      <w:lvlText w:val="%7."/>
      <w:lvlJc w:val="left"/>
      <w:pPr>
        <w:ind w:left="5040" w:hanging="360"/>
      </w:pPr>
    </w:lvl>
    <w:lvl w:ilvl="7" w:tplc="D71838C0" w:tentative="1">
      <w:start w:val="1"/>
      <w:numFmt w:val="lowerLetter"/>
      <w:lvlText w:val="%8."/>
      <w:lvlJc w:val="left"/>
      <w:pPr>
        <w:ind w:left="5760" w:hanging="360"/>
      </w:pPr>
    </w:lvl>
    <w:lvl w:ilvl="8" w:tplc="A4A03C50" w:tentative="1">
      <w:start w:val="1"/>
      <w:numFmt w:val="lowerRoman"/>
      <w:lvlText w:val="%9."/>
      <w:lvlJc w:val="right"/>
      <w:pPr>
        <w:ind w:left="6480" w:hanging="180"/>
      </w:pPr>
    </w:lvl>
  </w:abstractNum>
  <w:abstractNum w:abstractNumId="8" w15:restartNumberingAfterBreak="0">
    <w:nsid w:val="7D306339"/>
    <w:multiLevelType w:val="hybridMultilevel"/>
    <w:tmpl w:val="A310363E"/>
    <w:lvl w:ilvl="0" w:tplc="0BDA131E">
      <w:start w:val="1"/>
      <w:numFmt w:val="decimal"/>
      <w:lvlText w:val="%1."/>
      <w:lvlJc w:val="left"/>
      <w:pPr>
        <w:ind w:left="720" w:hanging="360"/>
      </w:pPr>
      <w:rPr>
        <w:rFonts w:hint="default"/>
      </w:rPr>
    </w:lvl>
    <w:lvl w:ilvl="1" w:tplc="EC4E089C" w:tentative="1">
      <w:start w:val="1"/>
      <w:numFmt w:val="lowerLetter"/>
      <w:lvlText w:val="%2."/>
      <w:lvlJc w:val="left"/>
      <w:pPr>
        <w:ind w:left="1440" w:hanging="360"/>
      </w:pPr>
    </w:lvl>
    <w:lvl w:ilvl="2" w:tplc="83443CB6" w:tentative="1">
      <w:start w:val="1"/>
      <w:numFmt w:val="lowerRoman"/>
      <w:lvlText w:val="%3."/>
      <w:lvlJc w:val="right"/>
      <w:pPr>
        <w:ind w:left="2160" w:hanging="180"/>
      </w:pPr>
    </w:lvl>
    <w:lvl w:ilvl="3" w:tplc="81C86A02" w:tentative="1">
      <w:start w:val="1"/>
      <w:numFmt w:val="decimal"/>
      <w:lvlText w:val="%4."/>
      <w:lvlJc w:val="left"/>
      <w:pPr>
        <w:ind w:left="2880" w:hanging="360"/>
      </w:pPr>
    </w:lvl>
    <w:lvl w:ilvl="4" w:tplc="59EACF38" w:tentative="1">
      <w:start w:val="1"/>
      <w:numFmt w:val="lowerLetter"/>
      <w:lvlText w:val="%5."/>
      <w:lvlJc w:val="left"/>
      <w:pPr>
        <w:ind w:left="3600" w:hanging="360"/>
      </w:pPr>
    </w:lvl>
    <w:lvl w:ilvl="5" w:tplc="2586D26A" w:tentative="1">
      <w:start w:val="1"/>
      <w:numFmt w:val="lowerRoman"/>
      <w:lvlText w:val="%6."/>
      <w:lvlJc w:val="right"/>
      <w:pPr>
        <w:ind w:left="4320" w:hanging="180"/>
      </w:pPr>
    </w:lvl>
    <w:lvl w:ilvl="6" w:tplc="D45454A8" w:tentative="1">
      <w:start w:val="1"/>
      <w:numFmt w:val="decimal"/>
      <w:lvlText w:val="%7."/>
      <w:lvlJc w:val="left"/>
      <w:pPr>
        <w:ind w:left="5040" w:hanging="360"/>
      </w:pPr>
    </w:lvl>
    <w:lvl w:ilvl="7" w:tplc="380C76E8" w:tentative="1">
      <w:start w:val="1"/>
      <w:numFmt w:val="lowerLetter"/>
      <w:lvlText w:val="%8."/>
      <w:lvlJc w:val="left"/>
      <w:pPr>
        <w:ind w:left="5760" w:hanging="360"/>
      </w:pPr>
    </w:lvl>
    <w:lvl w:ilvl="8" w:tplc="059A4ABC"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8"/>
  </w:num>
  <w:num w:numId="5">
    <w:abstractNumId w:val="7"/>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9E"/>
    <w:rsid w:val="000027C9"/>
    <w:rsid w:val="00003126"/>
    <w:rsid w:val="00006940"/>
    <w:rsid w:val="00010E12"/>
    <w:rsid w:val="00015649"/>
    <w:rsid w:val="00016F7A"/>
    <w:rsid w:val="00033693"/>
    <w:rsid w:val="00041241"/>
    <w:rsid w:val="0004504E"/>
    <w:rsid w:val="000523CB"/>
    <w:rsid w:val="000721B8"/>
    <w:rsid w:val="0007684A"/>
    <w:rsid w:val="00086239"/>
    <w:rsid w:val="0009055B"/>
    <w:rsid w:val="00091523"/>
    <w:rsid w:val="00092238"/>
    <w:rsid w:val="00093A37"/>
    <w:rsid w:val="000942F7"/>
    <w:rsid w:val="0009432B"/>
    <w:rsid w:val="00095492"/>
    <w:rsid w:val="000A38BC"/>
    <w:rsid w:val="000A7EA3"/>
    <w:rsid w:val="000B2A3C"/>
    <w:rsid w:val="000B5E7F"/>
    <w:rsid w:val="000C1795"/>
    <w:rsid w:val="000C71E9"/>
    <w:rsid w:val="000D0F84"/>
    <w:rsid w:val="000D3C4D"/>
    <w:rsid w:val="000D4ED1"/>
    <w:rsid w:val="000D64C1"/>
    <w:rsid w:val="000D6ADA"/>
    <w:rsid w:val="000E0136"/>
    <w:rsid w:val="000E09A4"/>
    <w:rsid w:val="000E11A6"/>
    <w:rsid w:val="000E70C1"/>
    <w:rsid w:val="000F1A20"/>
    <w:rsid w:val="000F1EB6"/>
    <w:rsid w:val="00104905"/>
    <w:rsid w:val="00110713"/>
    <w:rsid w:val="00115718"/>
    <w:rsid w:val="00116A5F"/>
    <w:rsid w:val="00117013"/>
    <w:rsid w:val="0012259E"/>
    <w:rsid w:val="00122CB2"/>
    <w:rsid w:val="0012607F"/>
    <w:rsid w:val="0012658F"/>
    <w:rsid w:val="001266B2"/>
    <w:rsid w:val="001277F2"/>
    <w:rsid w:val="00130061"/>
    <w:rsid w:val="00130879"/>
    <w:rsid w:val="001413A9"/>
    <w:rsid w:val="00143E6E"/>
    <w:rsid w:val="001472EE"/>
    <w:rsid w:val="001474DB"/>
    <w:rsid w:val="00153D8E"/>
    <w:rsid w:val="001552CD"/>
    <w:rsid w:val="00156188"/>
    <w:rsid w:val="00156815"/>
    <w:rsid w:val="00156D8C"/>
    <w:rsid w:val="00160A1F"/>
    <w:rsid w:val="00161A52"/>
    <w:rsid w:val="00171CEE"/>
    <w:rsid w:val="00173440"/>
    <w:rsid w:val="001761CD"/>
    <w:rsid w:val="001765CE"/>
    <w:rsid w:val="001768E8"/>
    <w:rsid w:val="00177458"/>
    <w:rsid w:val="00185EFC"/>
    <w:rsid w:val="00191F52"/>
    <w:rsid w:val="001925F4"/>
    <w:rsid w:val="00192BD3"/>
    <w:rsid w:val="00192C7F"/>
    <w:rsid w:val="001957FB"/>
    <w:rsid w:val="001A0051"/>
    <w:rsid w:val="001A04E3"/>
    <w:rsid w:val="001A7E89"/>
    <w:rsid w:val="001B67F2"/>
    <w:rsid w:val="001B6BD3"/>
    <w:rsid w:val="001B6C69"/>
    <w:rsid w:val="001B7CDE"/>
    <w:rsid w:val="001C10E5"/>
    <w:rsid w:val="001C2B4B"/>
    <w:rsid w:val="001D19F3"/>
    <w:rsid w:val="001D5C5F"/>
    <w:rsid w:val="001D6EC7"/>
    <w:rsid w:val="001E1EA5"/>
    <w:rsid w:val="001E5135"/>
    <w:rsid w:val="001E5518"/>
    <w:rsid w:val="001E69C1"/>
    <w:rsid w:val="001F1400"/>
    <w:rsid w:val="001F2846"/>
    <w:rsid w:val="001F6086"/>
    <w:rsid w:val="002009C2"/>
    <w:rsid w:val="0020111E"/>
    <w:rsid w:val="002107AB"/>
    <w:rsid w:val="00211418"/>
    <w:rsid w:val="002117C5"/>
    <w:rsid w:val="00212083"/>
    <w:rsid w:val="00212BE6"/>
    <w:rsid w:val="00215549"/>
    <w:rsid w:val="0021655D"/>
    <w:rsid w:val="00216CAE"/>
    <w:rsid w:val="00217125"/>
    <w:rsid w:val="00220865"/>
    <w:rsid w:val="00222A3E"/>
    <w:rsid w:val="00223647"/>
    <w:rsid w:val="002303F5"/>
    <w:rsid w:val="0023162C"/>
    <w:rsid w:val="0023492C"/>
    <w:rsid w:val="00234BFA"/>
    <w:rsid w:val="00235A36"/>
    <w:rsid w:val="00236ACD"/>
    <w:rsid w:val="00244BFB"/>
    <w:rsid w:val="00251C16"/>
    <w:rsid w:val="00252CF6"/>
    <w:rsid w:val="00255E82"/>
    <w:rsid w:val="0025687E"/>
    <w:rsid w:val="0026343C"/>
    <w:rsid w:val="002641F1"/>
    <w:rsid w:val="00264BBA"/>
    <w:rsid w:val="0027256E"/>
    <w:rsid w:val="00283AC5"/>
    <w:rsid w:val="00284CE6"/>
    <w:rsid w:val="002864DF"/>
    <w:rsid w:val="00287054"/>
    <w:rsid w:val="00290314"/>
    <w:rsid w:val="002916FB"/>
    <w:rsid w:val="002958DE"/>
    <w:rsid w:val="0029749C"/>
    <w:rsid w:val="002A02F4"/>
    <w:rsid w:val="002A0AC1"/>
    <w:rsid w:val="002A3207"/>
    <w:rsid w:val="002B130F"/>
    <w:rsid w:val="002B6B65"/>
    <w:rsid w:val="002C3B61"/>
    <w:rsid w:val="002D0B5A"/>
    <w:rsid w:val="002D1A99"/>
    <w:rsid w:val="002D1F1D"/>
    <w:rsid w:val="002D3487"/>
    <w:rsid w:val="002D4235"/>
    <w:rsid w:val="002E71D8"/>
    <w:rsid w:val="002F1680"/>
    <w:rsid w:val="002F698E"/>
    <w:rsid w:val="002F782F"/>
    <w:rsid w:val="003001DA"/>
    <w:rsid w:val="0030054E"/>
    <w:rsid w:val="00300DF4"/>
    <w:rsid w:val="00306E6D"/>
    <w:rsid w:val="00312B1D"/>
    <w:rsid w:val="00312CEA"/>
    <w:rsid w:val="00325F3E"/>
    <w:rsid w:val="00327D09"/>
    <w:rsid w:val="003348E2"/>
    <w:rsid w:val="003437FB"/>
    <w:rsid w:val="00343ECB"/>
    <w:rsid w:val="00345A36"/>
    <w:rsid w:val="00351E68"/>
    <w:rsid w:val="0035203F"/>
    <w:rsid w:val="00360A74"/>
    <w:rsid w:val="003647B8"/>
    <w:rsid w:val="003658F9"/>
    <w:rsid w:val="00373032"/>
    <w:rsid w:val="00373FBE"/>
    <w:rsid w:val="0038065F"/>
    <w:rsid w:val="00387599"/>
    <w:rsid w:val="00393243"/>
    <w:rsid w:val="00394472"/>
    <w:rsid w:val="00394595"/>
    <w:rsid w:val="003A2B73"/>
    <w:rsid w:val="003C0D81"/>
    <w:rsid w:val="003C2B98"/>
    <w:rsid w:val="003D20DC"/>
    <w:rsid w:val="003D35F6"/>
    <w:rsid w:val="003D3E7F"/>
    <w:rsid w:val="003E363A"/>
    <w:rsid w:val="003F14AF"/>
    <w:rsid w:val="003F27E4"/>
    <w:rsid w:val="003F6571"/>
    <w:rsid w:val="003F69E8"/>
    <w:rsid w:val="00402DA1"/>
    <w:rsid w:val="0040600A"/>
    <w:rsid w:val="00412C85"/>
    <w:rsid w:val="004143AF"/>
    <w:rsid w:val="0041442C"/>
    <w:rsid w:val="00415205"/>
    <w:rsid w:val="0041716C"/>
    <w:rsid w:val="00430B06"/>
    <w:rsid w:val="00433193"/>
    <w:rsid w:val="00433A4B"/>
    <w:rsid w:val="00435197"/>
    <w:rsid w:val="004376A3"/>
    <w:rsid w:val="00437E46"/>
    <w:rsid w:val="00440548"/>
    <w:rsid w:val="00446E91"/>
    <w:rsid w:val="004508DF"/>
    <w:rsid w:val="0045644B"/>
    <w:rsid w:val="00461939"/>
    <w:rsid w:val="004660D6"/>
    <w:rsid w:val="004813F9"/>
    <w:rsid w:val="00482421"/>
    <w:rsid w:val="00484ECE"/>
    <w:rsid w:val="00487255"/>
    <w:rsid w:val="00491FC2"/>
    <w:rsid w:val="00494591"/>
    <w:rsid w:val="004967AA"/>
    <w:rsid w:val="004A4FAC"/>
    <w:rsid w:val="004B599A"/>
    <w:rsid w:val="004B6D6A"/>
    <w:rsid w:val="004B7864"/>
    <w:rsid w:val="004C09C9"/>
    <w:rsid w:val="004C1D92"/>
    <w:rsid w:val="004C355B"/>
    <w:rsid w:val="004C6EFF"/>
    <w:rsid w:val="004D3680"/>
    <w:rsid w:val="004D4A1D"/>
    <w:rsid w:val="004D51D2"/>
    <w:rsid w:val="004D7717"/>
    <w:rsid w:val="004E2B76"/>
    <w:rsid w:val="004E3934"/>
    <w:rsid w:val="004E6923"/>
    <w:rsid w:val="0050227B"/>
    <w:rsid w:val="00502E60"/>
    <w:rsid w:val="0050343F"/>
    <w:rsid w:val="00505E0E"/>
    <w:rsid w:val="00521669"/>
    <w:rsid w:val="00523F56"/>
    <w:rsid w:val="0053187B"/>
    <w:rsid w:val="0053675E"/>
    <w:rsid w:val="00537B19"/>
    <w:rsid w:val="00542052"/>
    <w:rsid w:val="0054308D"/>
    <w:rsid w:val="00543AF3"/>
    <w:rsid w:val="00553E56"/>
    <w:rsid w:val="00566246"/>
    <w:rsid w:val="00566E9F"/>
    <w:rsid w:val="005753C6"/>
    <w:rsid w:val="00581FBD"/>
    <w:rsid w:val="00583211"/>
    <w:rsid w:val="00583CBC"/>
    <w:rsid w:val="00586D44"/>
    <w:rsid w:val="00596B8D"/>
    <w:rsid w:val="00596D93"/>
    <w:rsid w:val="005B12EE"/>
    <w:rsid w:val="005B34E6"/>
    <w:rsid w:val="005B3FA5"/>
    <w:rsid w:val="005C2F13"/>
    <w:rsid w:val="005C3EEE"/>
    <w:rsid w:val="005C5413"/>
    <w:rsid w:val="005C5DCD"/>
    <w:rsid w:val="005D0FE1"/>
    <w:rsid w:val="005D49D7"/>
    <w:rsid w:val="005D4F33"/>
    <w:rsid w:val="005D61CE"/>
    <w:rsid w:val="005E00B8"/>
    <w:rsid w:val="005E72F3"/>
    <w:rsid w:val="005F2494"/>
    <w:rsid w:val="005F3D41"/>
    <w:rsid w:val="005F5C72"/>
    <w:rsid w:val="005F6ACF"/>
    <w:rsid w:val="005F6E11"/>
    <w:rsid w:val="00601B6E"/>
    <w:rsid w:val="00603C6C"/>
    <w:rsid w:val="00604F81"/>
    <w:rsid w:val="00611C8D"/>
    <w:rsid w:val="006126D6"/>
    <w:rsid w:val="00612CEE"/>
    <w:rsid w:val="00614046"/>
    <w:rsid w:val="00614493"/>
    <w:rsid w:val="00615EEE"/>
    <w:rsid w:val="006207B0"/>
    <w:rsid w:val="00622426"/>
    <w:rsid w:val="00630DE3"/>
    <w:rsid w:val="0063143B"/>
    <w:rsid w:val="00633704"/>
    <w:rsid w:val="0063414A"/>
    <w:rsid w:val="00637729"/>
    <w:rsid w:val="006443BD"/>
    <w:rsid w:val="00651D84"/>
    <w:rsid w:val="006552FA"/>
    <w:rsid w:val="00656C13"/>
    <w:rsid w:val="006664ED"/>
    <w:rsid w:val="00671960"/>
    <w:rsid w:val="00672253"/>
    <w:rsid w:val="00676DAC"/>
    <w:rsid w:val="006868F5"/>
    <w:rsid w:val="00692444"/>
    <w:rsid w:val="00692AD1"/>
    <w:rsid w:val="00693F8C"/>
    <w:rsid w:val="006948BA"/>
    <w:rsid w:val="00694B52"/>
    <w:rsid w:val="006A0D38"/>
    <w:rsid w:val="006A1DDB"/>
    <w:rsid w:val="006A5443"/>
    <w:rsid w:val="006A5C87"/>
    <w:rsid w:val="006B254B"/>
    <w:rsid w:val="006B2CCE"/>
    <w:rsid w:val="006B3FCB"/>
    <w:rsid w:val="006B4473"/>
    <w:rsid w:val="006B6AA3"/>
    <w:rsid w:val="006C13C4"/>
    <w:rsid w:val="006C3F26"/>
    <w:rsid w:val="006E1A3A"/>
    <w:rsid w:val="006E1D43"/>
    <w:rsid w:val="006E25BE"/>
    <w:rsid w:val="006E478E"/>
    <w:rsid w:val="006E7A9D"/>
    <w:rsid w:val="006F002D"/>
    <w:rsid w:val="00703DAC"/>
    <w:rsid w:val="00704742"/>
    <w:rsid w:val="007058FB"/>
    <w:rsid w:val="00711CB4"/>
    <w:rsid w:val="007122FA"/>
    <w:rsid w:val="00713B41"/>
    <w:rsid w:val="007145C9"/>
    <w:rsid w:val="00715C4B"/>
    <w:rsid w:val="0071769A"/>
    <w:rsid w:val="0072769E"/>
    <w:rsid w:val="00737ACB"/>
    <w:rsid w:val="007420A0"/>
    <w:rsid w:val="00746EA7"/>
    <w:rsid w:val="007553A2"/>
    <w:rsid w:val="0076029C"/>
    <w:rsid w:val="00760B62"/>
    <w:rsid w:val="00763A04"/>
    <w:rsid w:val="00763EA2"/>
    <w:rsid w:val="00770EDB"/>
    <w:rsid w:val="007767EF"/>
    <w:rsid w:val="007771BB"/>
    <w:rsid w:val="00780C6B"/>
    <w:rsid w:val="00785017"/>
    <w:rsid w:val="00790267"/>
    <w:rsid w:val="00794339"/>
    <w:rsid w:val="0079586B"/>
    <w:rsid w:val="00797379"/>
    <w:rsid w:val="007A032D"/>
    <w:rsid w:val="007A3453"/>
    <w:rsid w:val="007A465C"/>
    <w:rsid w:val="007A5C3B"/>
    <w:rsid w:val="007B22F5"/>
    <w:rsid w:val="007B44CD"/>
    <w:rsid w:val="007B7DD9"/>
    <w:rsid w:val="007C151E"/>
    <w:rsid w:val="007D0A45"/>
    <w:rsid w:val="007D1897"/>
    <w:rsid w:val="007D329D"/>
    <w:rsid w:val="007E197F"/>
    <w:rsid w:val="007E1B56"/>
    <w:rsid w:val="007E7BAF"/>
    <w:rsid w:val="007E7C16"/>
    <w:rsid w:val="007F08EE"/>
    <w:rsid w:val="007F400B"/>
    <w:rsid w:val="007F640A"/>
    <w:rsid w:val="00803142"/>
    <w:rsid w:val="0080769D"/>
    <w:rsid w:val="00813802"/>
    <w:rsid w:val="00813BDE"/>
    <w:rsid w:val="0081436D"/>
    <w:rsid w:val="00825E69"/>
    <w:rsid w:val="00830CB6"/>
    <w:rsid w:val="00834529"/>
    <w:rsid w:val="00835F20"/>
    <w:rsid w:val="00836C1C"/>
    <w:rsid w:val="00841F8F"/>
    <w:rsid w:val="00845D9B"/>
    <w:rsid w:val="008513FD"/>
    <w:rsid w:val="00852CEB"/>
    <w:rsid w:val="00855041"/>
    <w:rsid w:val="00860998"/>
    <w:rsid w:val="008615BE"/>
    <w:rsid w:val="00865571"/>
    <w:rsid w:val="00865804"/>
    <w:rsid w:val="00872795"/>
    <w:rsid w:val="00872E1B"/>
    <w:rsid w:val="00872F59"/>
    <w:rsid w:val="0087471C"/>
    <w:rsid w:val="00875C37"/>
    <w:rsid w:val="0088082B"/>
    <w:rsid w:val="0088208B"/>
    <w:rsid w:val="00890C75"/>
    <w:rsid w:val="00897166"/>
    <w:rsid w:val="00897331"/>
    <w:rsid w:val="00897B98"/>
    <w:rsid w:val="008A07FE"/>
    <w:rsid w:val="008A1417"/>
    <w:rsid w:val="008A2634"/>
    <w:rsid w:val="008B3C09"/>
    <w:rsid w:val="008C08E9"/>
    <w:rsid w:val="008C3F4D"/>
    <w:rsid w:val="008D059E"/>
    <w:rsid w:val="008D4092"/>
    <w:rsid w:val="008D667E"/>
    <w:rsid w:val="008E40C5"/>
    <w:rsid w:val="008E4233"/>
    <w:rsid w:val="008F24A2"/>
    <w:rsid w:val="008F2B19"/>
    <w:rsid w:val="008F7891"/>
    <w:rsid w:val="009009F5"/>
    <w:rsid w:val="009063CB"/>
    <w:rsid w:val="00912C4C"/>
    <w:rsid w:val="009179C1"/>
    <w:rsid w:val="009232A8"/>
    <w:rsid w:val="009241F1"/>
    <w:rsid w:val="0093032D"/>
    <w:rsid w:val="00934C69"/>
    <w:rsid w:val="00935485"/>
    <w:rsid w:val="00936367"/>
    <w:rsid w:val="009430F4"/>
    <w:rsid w:val="00947860"/>
    <w:rsid w:val="00951BF0"/>
    <w:rsid w:val="00953BE9"/>
    <w:rsid w:val="00955457"/>
    <w:rsid w:val="0095626C"/>
    <w:rsid w:val="00956938"/>
    <w:rsid w:val="00963A06"/>
    <w:rsid w:val="009646EF"/>
    <w:rsid w:val="0096566C"/>
    <w:rsid w:val="00965ADA"/>
    <w:rsid w:val="00970BC2"/>
    <w:rsid w:val="0098254D"/>
    <w:rsid w:val="0098348B"/>
    <w:rsid w:val="00984647"/>
    <w:rsid w:val="00992D3E"/>
    <w:rsid w:val="00996D1A"/>
    <w:rsid w:val="009A21BD"/>
    <w:rsid w:val="009A3F14"/>
    <w:rsid w:val="009A5E78"/>
    <w:rsid w:val="009B1D16"/>
    <w:rsid w:val="009C0FF3"/>
    <w:rsid w:val="009D383E"/>
    <w:rsid w:val="009D489A"/>
    <w:rsid w:val="009D5641"/>
    <w:rsid w:val="009D57CF"/>
    <w:rsid w:val="009D5868"/>
    <w:rsid w:val="009D5982"/>
    <w:rsid w:val="009E0CE0"/>
    <w:rsid w:val="009E31DC"/>
    <w:rsid w:val="009E3F82"/>
    <w:rsid w:val="009E442E"/>
    <w:rsid w:val="009E61DE"/>
    <w:rsid w:val="009F0908"/>
    <w:rsid w:val="009F0DA9"/>
    <w:rsid w:val="009F1FBD"/>
    <w:rsid w:val="009F2965"/>
    <w:rsid w:val="009F46F8"/>
    <w:rsid w:val="009F7DA2"/>
    <w:rsid w:val="00A1123C"/>
    <w:rsid w:val="00A11422"/>
    <w:rsid w:val="00A14A79"/>
    <w:rsid w:val="00A14A81"/>
    <w:rsid w:val="00A25F39"/>
    <w:rsid w:val="00A271F3"/>
    <w:rsid w:val="00A32C67"/>
    <w:rsid w:val="00A4139E"/>
    <w:rsid w:val="00A53F76"/>
    <w:rsid w:val="00A56754"/>
    <w:rsid w:val="00A57C2E"/>
    <w:rsid w:val="00A6078C"/>
    <w:rsid w:val="00A65235"/>
    <w:rsid w:val="00A713B8"/>
    <w:rsid w:val="00A85F53"/>
    <w:rsid w:val="00A9232A"/>
    <w:rsid w:val="00A92F2F"/>
    <w:rsid w:val="00AA1715"/>
    <w:rsid w:val="00AA3FE3"/>
    <w:rsid w:val="00AA47EC"/>
    <w:rsid w:val="00AA7F7D"/>
    <w:rsid w:val="00AB0F1F"/>
    <w:rsid w:val="00AB1017"/>
    <w:rsid w:val="00AB3ADC"/>
    <w:rsid w:val="00AB5DD5"/>
    <w:rsid w:val="00AB6E6B"/>
    <w:rsid w:val="00AC02FD"/>
    <w:rsid w:val="00AC0522"/>
    <w:rsid w:val="00AD0E1D"/>
    <w:rsid w:val="00AD6E86"/>
    <w:rsid w:val="00AD7257"/>
    <w:rsid w:val="00AE152C"/>
    <w:rsid w:val="00AE616C"/>
    <w:rsid w:val="00AE7615"/>
    <w:rsid w:val="00AF048A"/>
    <w:rsid w:val="00AF0C64"/>
    <w:rsid w:val="00AF118D"/>
    <w:rsid w:val="00AF1B06"/>
    <w:rsid w:val="00AF7ECE"/>
    <w:rsid w:val="00B079FA"/>
    <w:rsid w:val="00B11CA5"/>
    <w:rsid w:val="00B13856"/>
    <w:rsid w:val="00B1578B"/>
    <w:rsid w:val="00B172B8"/>
    <w:rsid w:val="00B17852"/>
    <w:rsid w:val="00B33672"/>
    <w:rsid w:val="00B35B6C"/>
    <w:rsid w:val="00B3708D"/>
    <w:rsid w:val="00B46014"/>
    <w:rsid w:val="00B466B9"/>
    <w:rsid w:val="00B46DD0"/>
    <w:rsid w:val="00B52564"/>
    <w:rsid w:val="00B52B6B"/>
    <w:rsid w:val="00B72487"/>
    <w:rsid w:val="00B75677"/>
    <w:rsid w:val="00B829B9"/>
    <w:rsid w:val="00B92116"/>
    <w:rsid w:val="00B936E1"/>
    <w:rsid w:val="00B9670E"/>
    <w:rsid w:val="00BA4E81"/>
    <w:rsid w:val="00BB183D"/>
    <w:rsid w:val="00BB4510"/>
    <w:rsid w:val="00BB741A"/>
    <w:rsid w:val="00BC03A9"/>
    <w:rsid w:val="00BC427A"/>
    <w:rsid w:val="00BC43A2"/>
    <w:rsid w:val="00BC4A9D"/>
    <w:rsid w:val="00BC7355"/>
    <w:rsid w:val="00BD20E6"/>
    <w:rsid w:val="00BD2C79"/>
    <w:rsid w:val="00BD3334"/>
    <w:rsid w:val="00BD6C13"/>
    <w:rsid w:val="00BD7F64"/>
    <w:rsid w:val="00BE0930"/>
    <w:rsid w:val="00BE73E6"/>
    <w:rsid w:val="00C001B6"/>
    <w:rsid w:val="00C003D9"/>
    <w:rsid w:val="00C01A91"/>
    <w:rsid w:val="00C02019"/>
    <w:rsid w:val="00C13F9F"/>
    <w:rsid w:val="00C16257"/>
    <w:rsid w:val="00C327D2"/>
    <w:rsid w:val="00C35612"/>
    <w:rsid w:val="00C43B18"/>
    <w:rsid w:val="00C47735"/>
    <w:rsid w:val="00C51758"/>
    <w:rsid w:val="00C5287C"/>
    <w:rsid w:val="00C532BB"/>
    <w:rsid w:val="00C539CB"/>
    <w:rsid w:val="00C630C5"/>
    <w:rsid w:val="00C646BF"/>
    <w:rsid w:val="00C742BF"/>
    <w:rsid w:val="00C7452D"/>
    <w:rsid w:val="00C75454"/>
    <w:rsid w:val="00C77806"/>
    <w:rsid w:val="00C821EE"/>
    <w:rsid w:val="00C83C63"/>
    <w:rsid w:val="00C940DC"/>
    <w:rsid w:val="00C95557"/>
    <w:rsid w:val="00C95E67"/>
    <w:rsid w:val="00CA176F"/>
    <w:rsid w:val="00CA369D"/>
    <w:rsid w:val="00CA564A"/>
    <w:rsid w:val="00CA575F"/>
    <w:rsid w:val="00CA60F8"/>
    <w:rsid w:val="00CA753A"/>
    <w:rsid w:val="00CD4E66"/>
    <w:rsid w:val="00CD694B"/>
    <w:rsid w:val="00CE492E"/>
    <w:rsid w:val="00CE5A03"/>
    <w:rsid w:val="00CF0900"/>
    <w:rsid w:val="00CF2E93"/>
    <w:rsid w:val="00CF377F"/>
    <w:rsid w:val="00D043BF"/>
    <w:rsid w:val="00D0464C"/>
    <w:rsid w:val="00D10C31"/>
    <w:rsid w:val="00D13121"/>
    <w:rsid w:val="00D15156"/>
    <w:rsid w:val="00D1710B"/>
    <w:rsid w:val="00D217E3"/>
    <w:rsid w:val="00D23734"/>
    <w:rsid w:val="00D34332"/>
    <w:rsid w:val="00D34E15"/>
    <w:rsid w:val="00D37172"/>
    <w:rsid w:val="00D43140"/>
    <w:rsid w:val="00D512FD"/>
    <w:rsid w:val="00D56F53"/>
    <w:rsid w:val="00D63779"/>
    <w:rsid w:val="00D646B7"/>
    <w:rsid w:val="00D674F0"/>
    <w:rsid w:val="00D74ADC"/>
    <w:rsid w:val="00D74D85"/>
    <w:rsid w:val="00D763CA"/>
    <w:rsid w:val="00D9266E"/>
    <w:rsid w:val="00DA06D2"/>
    <w:rsid w:val="00DA1BB5"/>
    <w:rsid w:val="00DA25DE"/>
    <w:rsid w:val="00DA4ADF"/>
    <w:rsid w:val="00DA75D5"/>
    <w:rsid w:val="00DB4662"/>
    <w:rsid w:val="00DB4FC8"/>
    <w:rsid w:val="00DB626C"/>
    <w:rsid w:val="00DC1521"/>
    <w:rsid w:val="00DC43F1"/>
    <w:rsid w:val="00DC697F"/>
    <w:rsid w:val="00DE0334"/>
    <w:rsid w:val="00DE308D"/>
    <w:rsid w:val="00DE799B"/>
    <w:rsid w:val="00DF204B"/>
    <w:rsid w:val="00DF231E"/>
    <w:rsid w:val="00DF319E"/>
    <w:rsid w:val="00DF33ED"/>
    <w:rsid w:val="00DF7F5C"/>
    <w:rsid w:val="00E0287E"/>
    <w:rsid w:val="00E04E01"/>
    <w:rsid w:val="00E058D9"/>
    <w:rsid w:val="00E07C23"/>
    <w:rsid w:val="00E1539C"/>
    <w:rsid w:val="00E16AA4"/>
    <w:rsid w:val="00E16B93"/>
    <w:rsid w:val="00E23F04"/>
    <w:rsid w:val="00E37E48"/>
    <w:rsid w:val="00E408CD"/>
    <w:rsid w:val="00E40D04"/>
    <w:rsid w:val="00E411CE"/>
    <w:rsid w:val="00E4161D"/>
    <w:rsid w:val="00E41E4E"/>
    <w:rsid w:val="00E43033"/>
    <w:rsid w:val="00E45018"/>
    <w:rsid w:val="00E46080"/>
    <w:rsid w:val="00E53451"/>
    <w:rsid w:val="00E5512C"/>
    <w:rsid w:val="00E55A5F"/>
    <w:rsid w:val="00E60C43"/>
    <w:rsid w:val="00E66E75"/>
    <w:rsid w:val="00E74D94"/>
    <w:rsid w:val="00E753A8"/>
    <w:rsid w:val="00E86EB7"/>
    <w:rsid w:val="00E90018"/>
    <w:rsid w:val="00E92C64"/>
    <w:rsid w:val="00E93C2A"/>
    <w:rsid w:val="00E946EC"/>
    <w:rsid w:val="00E9569F"/>
    <w:rsid w:val="00EA3EE1"/>
    <w:rsid w:val="00EA7896"/>
    <w:rsid w:val="00EB119B"/>
    <w:rsid w:val="00EB155E"/>
    <w:rsid w:val="00EB1BCC"/>
    <w:rsid w:val="00EB1DA5"/>
    <w:rsid w:val="00EB2F66"/>
    <w:rsid w:val="00EC3413"/>
    <w:rsid w:val="00EC3789"/>
    <w:rsid w:val="00EC380F"/>
    <w:rsid w:val="00EC6B95"/>
    <w:rsid w:val="00ED280A"/>
    <w:rsid w:val="00EE0B0C"/>
    <w:rsid w:val="00EE5A50"/>
    <w:rsid w:val="00EF1757"/>
    <w:rsid w:val="00EF2071"/>
    <w:rsid w:val="00EF2500"/>
    <w:rsid w:val="00EF64AF"/>
    <w:rsid w:val="00F00BC7"/>
    <w:rsid w:val="00F04354"/>
    <w:rsid w:val="00F0704A"/>
    <w:rsid w:val="00F10E41"/>
    <w:rsid w:val="00F136CF"/>
    <w:rsid w:val="00F15A44"/>
    <w:rsid w:val="00F23419"/>
    <w:rsid w:val="00F235B3"/>
    <w:rsid w:val="00F3329A"/>
    <w:rsid w:val="00F431A3"/>
    <w:rsid w:val="00F61ADE"/>
    <w:rsid w:val="00F62510"/>
    <w:rsid w:val="00F76253"/>
    <w:rsid w:val="00F84422"/>
    <w:rsid w:val="00F9354A"/>
    <w:rsid w:val="00F93774"/>
    <w:rsid w:val="00F967B8"/>
    <w:rsid w:val="00FA39CF"/>
    <w:rsid w:val="00FA5A56"/>
    <w:rsid w:val="00FA5E07"/>
    <w:rsid w:val="00FA7793"/>
    <w:rsid w:val="00FB15CF"/>
    <w:rsid w:val="00FC1012"/>
    <w:rsid w:val="00FC2A9E"/>
    <w:rsid w:val="00FC73C3"/>
    <w:rsid w:val="00FD28E7"/>
    <w:rsid w:val="00FE1A9E"/>
    <w:rsid w:val="00FE7973"/>
    <w:rsid w:val="00FE7B12"/>
    <w:rsid w:val="00FF0FB8"/>
    <w:rsid w:val="00FF278E"/>
    <w:rsid w:val="00FF599B"/>
    <w:rsid w:val="05D60275"/>
    <w:rsid w:val="06FA6A2E"/>
    <w:rsid w:val="097A1BCD"/>
    <w:rsid w:val="0A4726E2"/>
    <w:rsid w:val="0D89FEDA"/>
    <w:rsid w:val="0DC28FA3"/>
    <w:rsid w:val="1114516E"/>
    <w:rsid w:val="11D9F208"/>
    <w:rsid w:val="129AF2E8"/>
    <w:rsid w:val="13AB30F4"/>
    <w:rsid w:val="14E5FAFB"/>
    <w:rsid w:val="15877FF0"/>
    <w:rsid w:val="18BA2538"/>
    <w:rsid w:val="18FE1745"/>
    <w:rsid w:val="19F9053D"/>
    <w:rsid w:val="1B62438E"/>
    <w:rsid w:val="1BD0053D"/>
    <w:rsid w:val="1F2ED4DA"/>
    <w:rsid w:val="2148C846"/>
    <w:rsid w:val="21CC907D"/>
    <w:rsid w:val="23A41663"/>
    <w:rsid w:val="23B9FFE9"/>
    <w:rsid w:val="247E3FBB"/>
    <w:rsid w:val="27A32276"/>
    <w:rsid w:val="27BB70DB"/>
    <w:rsid w:val="28A17C25"/>
    <w:rsid w:val="2ACC7C57"/>
    <w:rsid w:val="2B0E9E47"/>
    <w:rsid w:val="2BDCD76A"/>
    <w:rsid w:val="2E537B1A"/>
    <w:rsid w:val="2EC80120"/>
    <w:rsid w:val="308E9B9C"/>
    <w:rsid w:val="3590DB21"/>
    <w:rsid w:val="36E44CE5"/>
    <w:rsid w:val="37C7D389"/>
    <w:rsid w:val="384FDE7C"/>
    <w:rsid w:val="397FEB78"/>
    <w:rsid w:val="3ACEFA91"/>
    <w:rsid w:val="3C0A11FC"/>
    <w:rsid w:val="3C4E0FE8"/>
    <w:rsid w:val="40886111"/>
    <w:rsid w:val="426B7164"/>
    <w:rsid w:val="42DE414D"/>
    <w:rsid w:val="43F889E9"/>
    <w:rsid w:val="44DF5A92"/>
    <w:rsid w:val="44F85F11"/>
    <w:rsid w:val="44FE0325"/>
    <w:rsid w:val="45050B7B"/>
    <w:rsid w:val="473AD85F"/>
    <w:rsid w:val="497DCD7A"/>
    <w:rsid w:val="49D17448"/>
    <w:rsid w:val="4C81384F"/>
    <w:rsid w:val="4DC2C845"/>
    <w:rsid w:val="4E830D14"/>
    <w:rsid w:val="4F2334B4"/>
    <w:rsid w:val="50C845CA"/>
    <w:rsid w:val="51995DF4"/>
    <w:rsid w:val="51EDD209"/>
    <w:rsid w:val="563A08A2"/>
    <w:rsid w:val="5703B844"/>
    <w:rsid w:val="57329FF4"/>
    <w:rsid w:val="578A91E6"/>
    <w:rsid w:val="587F0C7A"/>
    <w:rsid w:val="58E20525"/>
    <w:rsid w:val="5B7D2A5D"/>
    <w:rsid w:val="5BFE8D31"/>
    <w:rsid w:val="5C238AE5"/>
    <w:rsid w:val="5C30B339"/>
    <w:rsid w:val="5C315D02"/>
    <w:rsid w:val="5F489B89"/>
    <w:rsid w:val="6270A613"/>
    <w:rsid w:val="63F07ACC"/>
    <w:rsid w:val="65323029"/>
    <w:rsid w:val="689478A3"/>
    <w:rsid w:val="6B1C1E71"/>
    <w:rsid w:val="6D28C598"/>
    <w:rsid w:val="6D67E9C6"/>
    <w:rsid w:val="6FE34771"/>
    <w:rsid w:val="70CD725A"/>
    <w:rsid w:val="72937DDC"/>
    <w:rsid w:val="7419A646"/>
    <w:rsid w:val="74E62559"/>
    <w:rsid w:val="7561D731"/>
    <w:rsid w:val="761907FF"/>
    <w:rsid w:val="7849597F"/>
    <w:rsid w:val="791D4A23"/>
    <w:rsid w:val="79572564"/>
    <w:rsid w:val="7D3FF353"/>
    <w:rsid w:val="7D493B6D"/>
    <w:rsid w:val="7DAEBBFD"/>
    <w:rsid w:val="7EB08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1A1C"/>
  <w15:chartTrackingRefBased/>
  <w15:docId w15:val="{70CE2D2E-3837-4A9F-84E5-1DE9C22D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2769E"/>
    <w:pPr>
      <w:widowControl w:val="0"/>
      <w:spacing w:after="240"/>
    </w:pPr>
    <w:rPr>
      <w:lang w:val="x-none" w:eastAsia="x-none"/>
    </w:rPr>
  </w:style>
  <w:style w:type="character" w:customStyle="1" w:styleId="BodyTextChar">
    <w:name w:val="Body Text Char"/>
    <w:link w:val="BodyText"/>
    <w:uiPriority w:val="99"/>
    <w:rsid w:val="0072769E"/>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72769E"/>
    <w:pPr>
      <w:tabs>
        <w:tab w:val="center" w:pos="4680"/>
        <w:tab w:val="right" w:pos="9360"/>
      </w:tabs>
    </w:pPr>
    <w:rPr>
      <w:lang w:val="x-none" w:eastAsia="x-none"/>
    </w:rPr>
  </w:style>
  <w:style w:type="character" w:customStyle="1" w:styleId="HeaderChar">
    <w:name w:val="Header Char"/>
    <w:link w:val="Header"/>
    <w:uiPriority w:val="99"/>
    <w:rsid w:val="0072769E"/>
    <w:rPr>
      <w:rFonts w:ascii="Times New Roman" w:eastAsia="Times New Roman" w:hAnsi="Times New Roman" w:cs="Times New Roman"/>
      <w:sz w:val="24"/>
      <w:szCs w:val="24"/>
      <w:lang w:val="x-none" w:eastAsia="x-none"/>
    </w:rPr>
  </w:style>
  <w:style w:type="paragraph" w:customStyle="1" w:styleId="TableCaption">
    <w:name w:val="Table Caption"/>
    <w:basedOn w:val="Normal"/>
    <w:next w:val="Table"/>
    <w:uiPriority w:val="99"/>
    <w:rsid w:val="0072769E"/>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72769E"/>
    <w:pPr>
      <w:keepNext/>
      <w:keepLines/>
    </w:pPr>
    <w:rPr>
      <w:rFonts w:ascii="Arial" w:hAnsi="Arial" w:cs="Arial"/>
      <w:sz w:val="20"/>
      <w:szCs w:val="20"/>
    </w:rPr>
  </w:style>
  <w:style w:type="character" w:styleId="Hyperlink">
    <w:name w:val="Hyperlink"/>
    <w:uiPriority w:val="99"/>
    <w:rsid w:val="0072769E"/>
    <w:rPr>
      <w:rFonts w:cs="Times New Roman"/>
      <w:color w:val="0000FF"/>
      <w:u w:val="single"/>
    </w:rPr>
  </w:style>
  <w:style w:type="paragraph" w:customStyle="1" w:styleId="NormalEx24">
    <w:name w:val="NormalEx24"/>
    <w:basedOn w:val="Normal"/>
    <w:uiPriority w:val="99"/>
    <w:rsid w:val="0072769E"/>
    <w:pPr>
      <w:overflowPunct w:val="0"/>
      <w:autoSpaceDE w:val="0"/>
      <w:autoSpaceDN w:val="0"/>
      <w:adjustRightInd w:val="0"/>
      <w:spacing w:line="480" w:lineRule="exact"/>
      <w:ind w:firstLine="720"/>
      <w:textAlignment w:val="baseline"/>
    </w:pPr>
    <w:rPr>
      <w:rFonts w:ascii="Courier New" w:hAnsi="Courier New" w:cs="Courier New"/>
    </w:rPr>
  </w:style>
  <w:style w:type="paragraph" w:styleId="ListParagraph">
    <w:name w:val="List Paragraph"/>
    <w:basedOn w:val="Normal"/>
    <w:uiPriority w:val="34"/>
    <w:qFormat/>
    <w:rsid w:val="0072769E"/>
    <w:pPr>
      <w:ind w:left="720"/>
    </w:pPr>
  </w:style>
  <w:style w:type="character" w:styleId="CommentReference">
    <w:name w:val="annotation reference"/>
    <w:semiHidden/>
    <w:unhideWhenUsed/>
    <w:rsid w:val="0072769E"/>
    <w:rPr>
      <w:sz w:val="16"/>
      <w:szCs w:val="16"/>
    </w:rPr>
  </w:style>
  <w:style w:type="paragraph" w:styleId="CommentText">
    <w:name w:val="annotation text"/>
    <w:basedOn w:val="Normal"/>
    <w:link w:val="CommentTextChar"/>
    <w:unhideWhenUsed/>
    <w:rsid w:val="0072769E"/>
    <w:rPr>
      <w:sz w:val="20"/>
      <w:szCs w:val="20"/>
    </w:rPr>
  </w:style>
  <w:style w:type="character" w:customStyle="1" w:styleId="CommentTextChar">
    <w:name w:val="Comment Text Char"/>
    <w:link w:val="CommentText"/>
    <w:rsid w:val="0072769E"/>
    <w:rPr>
      <w:rFonts w:ascii="Times New Roman" w:eastAsia="Times New Roman" w:hAnsi="Times New Roman" w:cs="Times New Roman"/>
      <w:sz w:val="20"/>
      <w:szCs w:val="20"/>
    </w:rPr>
  </w:style>
  <w:style w:type="table" w:styleId="TableGrid">
    <w:name w:val="Table Grid"/>
    <w:basedOn w:val="TableNormal"/>
    <w:rsid w:val="007276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69E"/>
    <w:rPr>
      <w:rFonts w:ascii="Segoe UI" w:hAnsi="Segoe UI" w:cs="Segoe UI"/>
      <w:sz w:val="18"/>
      <w:szCs w:val="18"/>
    </w:rPr>
  </w:style>
  <w:style w:type="character" w:customStyle="1" w:styleId="BalloonTextChar">
    <w:name w:val="Balloon Text Char"/>
    <w:link w:val="BalloonText"/>
    <w:uiPriority w:val="99"/>
    <w:semiHidden/>
    <w:rsid w:val="0072769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327D2"/>
    <w:rPr>
      <w:b/>
      <w:bCs/>
    </w:rPr>
  </w:style>
  <w:style w:type="character" w:customStyle="1" w:styleId="CommentSubjectChar">
    <w:name w:val="Comment Subject Char"/>
    <w:link w:val="CommentSubject"/>
    <w:uiPriority w:val="99"/>
    <w:semiHidden/>
    <w:rsid w:val="00C327D2"/>
    <w:rPr>
      <w:rFonts w:ascii="Times New Roman" w:eastAsia="Times New Roman" w:hAnsi="Times New Roman" w:cs="Times New Roman"/>
      <w:b/>
      <w:bCs/>
      <w:sz w:val="20"/>
      <w:szCs w:val="20"/>
    </w:rPr>
  </w:style>
  <w:style w:type="paragraph" w:styleId="FootnoteText">
    <w:name w:val="footnote text"/>
    <w:aliases w:val="Char,Footnote Text Char Char,Footnote Text Char Char Char,Footnote Text Char Char Char Char Char,Footnote Text Char1,Footnote Text Char2 Char,Footnote Text Char2 Char Char Char,Footnote Text Char2 Char Char Char Char1 Char,f,fn"/>
    <w:basedOn w:val="Normal"/>
    <w:link w:val="FootnoteTextChar"/>
    <w:unhideWhenUsed/>
    <w:rsid w:val="00BB4510"/>
    <w:rPr>
      <w:sz w:val="20"/>
      <w:szCs w:val="20"/>
    </w:rPr>
  </w:style>
  <w:style w:type="character" w:customStyle="1" w:styleId="FootnoteTextChar">
    <w:name w:val="Footnote Text Char"/>
    <w:aliases w:val="Char Char,Footnote Text Char Char Char1,Footnote Text Char Char Char Char,Footnote Text Char Char Char Char Char Char,Footnote Text Char1 Char,Footnote Text Char2 Char Char,Footnote Text Char2 Char Char Char Char,f Char,fn Char"/>
    <w:link w:val="FootnoteText"/>
    <w:rsid w:val="00BB4510"/>
    <w:rPr>
      <w:rFonts w:ascii="Times New Roman" w:eastAsia="Times New Roman" w:hAnsi="Times New Roman" w:cs="Times New Roman"/>
      <w:sz w:val="20"/>
      <w:szCs w:val="20"/>
    </w:rPr>
  </w:style>
  <w:style w:type="character" w:styleId="FootnoteReference">
    <w:name w:val="footnote reference"/>
    <w:aliases w:val="(NECG) Footnote Reference,Appel note de bas de p,Style 12,Style 124,Style 3,fr,o,o + Times New Roman,o1,o11,o2,o21,o3,o4,o5,o6,o7"/>
    <w:uiPriority w:val="99"/>
    <w:unhideWhenUsed/>
    <w:rsid w:val="00BB4510"/>
    <w:rPr>
      <w:vertAlign w:val="superscript"/>
    </w:rPr>
  </w:style>
  <w:style w:type="paragraph" w:styleId="Revision">
    <w:name w:val="Revision"/>
    <w:hidden/>
    <w:uiPriority w:val="99"/>
    <w:semiHidden/>
    <w:rsid w:val="006E25BE"/>
    <w:rPr>
      <w:rFonts w:ascii="Times New Roman" w:eastAsia="Times New Roman" w:hAnsi="Times New Roman"/>
      <w:sz w:val="24"/>
      <w:szCs w:val="24"/>
    </w:rPr>
  </w:style>
  <w:style w:type="character" w:customStyle="1" w:styleId="Mencinsinresolver1">
    <w:name w:val="Mención sin resolver1"/>
    <w:uiPriority w:val="99"/>
    <w:unhideWhenUsed/>
    <w:rsid w:val="00C001B6"/>
    <w:rPr>
      <w:color w:val="605E5C"/>
      <w:shd w:val="clear" w:color="auto" w:fill="E1DFDD"/>
    </w:rPr>
  </w:style>
  <w:style w:type="character" w:customStyle="1" w:styleId="Mencionar1">
    <w:name w:val="Mencionar1"/>
    <w:basedOn w:val="DefaultParagraphFont"/>
    <w:uiPriority w:val="99"/>
    <w:unhideWhenUsed/>
    <w:rsid w:val="003D35F6"/>
    <w:rPr>
      <w:color w:val="2B579A"/>
      <w:shd w:val="clear" w:color="auto" w:fill="E1DFDD"/>
    </w:rPr>
  </w:style>
  <w:style w:type="paragraph" w:styleId="Footer">
    <w:name w:val="footer"/>
    <w:basedOn w:val="Normal"/>
    <w:link w:val="FooterChar"/>
    <w:uiPriority w:val="99"/>
    <w:semiHidden/>
    <w:unhideWhenUsed/>
    <w:rsid w:val="009D5868"/>
    <w:pPr>
      <w:tabs>
        <w:tab w:val="center" w:pos="4680"/>
        <w:tab w:val="right" w:pos="9360"/>
      </w:tabs>
    </w:pPr>
  </w:style>
  <w:style w:type="character" w:customStyle="1" w:styleId="FooterChar">
    <w:name w:val="Footer Char"/>
    <w:basedOn w:val="DefaultParagraphFont"/>
    <w:link w:val="Footer"/>
    <w:uiPriority w:val="99"/>
    <w:semiHidden/>
    <w:rsid w:val="009D5868"/>
    <w:rPr>
      <w:rFonts w:ascii="Times New Roman" w:eastAsia="Times New Roman" w:hAnsi="Times New Roman"/>
      <w:sz w:val="24"/>
      <w:szCs w:val="24"/>
    </w:rPr>
  </w:style>
  <w:style w:type="paragraph" w:customStyle="1" w:styleId="paragraph">
    <w:name w:val="paragraph"/>
    <w:basedOn w:val="Normal"/>
    <w:rsid w:val="00FE7B12"/>
    <w:pPr>
      <w:spacing w:before="100" w:beforeAutospacing="1" w:after="100" w:afterAutospacing="1"/>
    </w:pPr>
  </w:style>
  <w:style w:type="character" w:customStyle="1" w:styleId="normaltextrun">
    <w:name w:val="normaltextrun"/>
    <w:basedOn w:val="DefaultParagraphFont"/>
    <w:rsid w:val="00FE7B12"/>
  </w:style>
  <w:style w:type="character" w:customStyle="1" w:styleId="eop">
    <w:name w:val="eop"/>
    <w:basedOn w:val="DefaultParagraphFont"/>
    <w:rsid w:val="00FE7B12"/>
  </w:style>
  <w:style w:type="character" w:customStyle="1" w:styleId="tabchar">
    <w:name w:val="tabchar"/>
    <w:basedOn w:val="DefaultParagraphFont"/>
    <w:rsid w:val="00523F56"/>
  </w:style>
  <w:style w:type="paragraph" w:customStyle="1" w:styleId="Default">
    <w:name w:val="Default"/>
    <w:rsid w:val="00956938"/>
    <w:pPr>
      <w:autoSpaceDE w:val="0"/>
      <w:autoSpaceDN w:val="0"/>
      <w:adjustRightInd w:val="0"/>
    </w:pPr>
    <w:rPr>
      <w:rFonts w:ascii="InterstateCondensed" w:hAnsi="InterstateCondensed" w:cs="InterstateCondensed"/>
      <w:color w:val="000000"/>
      <w:sz w:val="24"/>
      <w:szCs w:val="24"/>
    </w:rPr>
  </w:style>
  <w:style w:type="character" w:customStyle="1" w:styleId="A1">
    <w:name w:val="A1"/>
    <w:uiPriority w:val="99"/>
    <w:rsid w:val="00956938"/>
    <w:rPr>
      <w:rFonts w:cs="InterstateCondensed"/>
      <w:b/>
      <w:bCs/>
      <w:color w:val="211D1E"/>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ge.com/rates-and-regulations/proceeding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B50076D91E440B6F95FBD148A44F5" ma:contentTypeVersion="13" ma:contentTypeDescription="Create a new document." ma:contentTypeScope="" ma:versionID="f61a7c20efd89f9fbe0bdf338cd5bcb6">
  <xsd:schema xmlns:xsd="http://www.w3.org/2001/XMLSchema" xmlns:xs="http://www.w3.org/2001/XMLSchema" xmlns:p="http://schemas.microsoft.com/office/2006/metadata/properties" xmlns:ns3="dc2efe41-82d2-4e14-8de0-fa767e6aca34" xmlns:ns4="dec18204-92a2-4ff1-93bd-bbfeb3773f30" targetNamespace="http://schemas.microsoft.com/office/2006/metadata/properties" ma:root="true" ma:fieldsID="a45d9703676e91e1426197f24c59a836" ns3:_="" ns4:_="">
    <xsd:import namespace="dc2efe41-82d2-4e14-8de0-fa767e6aca34"/>
    <xsd:import namespace="dec18204-92a2-4ff1-93bd-bbfeb3773f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efe41-82d2-4e14-8de0-fa767e6aca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c18204-92a2-4ff1-93bd-bbfeb3773f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52130-A1BF-4AB5-8CAB-05650A440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efe41-82d2-4e14-8de0-fa767e6aca34"/>
    <ds:schemaRef ds:uri="dec18204-92a2-4ff1-93bd-bbfeb3773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514E3-2DE4-414C-945C-5445C7C0805E}">
  <ds:schemaRefs>
    <ds:schemaRef ds:uri="http://schemas.microsoft.com/sharepoint/v3/contenttype/forms"/>
  </ds:schemaRefs>
</ds:datastoreItem>
</file>

<file path=customXml/itemProps3.xml><?xml version="1.0" encoding="utf-8"?>
<ds:datastoreItem xmlns:ds="http://schemas.openxmlformats.org/officeDocument/2006/customXml" ds:itemID="{D358056C-A261-4FF7-9D8B-18BDCD16E24C}">
  <ds:schemaRefs>
    <ds:schemaRef ds:uri="http://schemas.openxmlformats.org/officeDocument/2006/bibliography"/>
  </ds:schemaRefs>
</ds:datastoreItem>
</file>

<file path=customXml/itemProps4.xml><?xml version="1.0" encoding="utf-8"?>
<ds:datastoreItem xmlns:ds="http://schemas.openxmlformats.org/officeDocument/2006/customXml" ds:itemID="{4229F39E-AC02-4F1F-BB0F-530384462B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CPUC</Company>
  <LinksUpToDate>false</LinksUpToDate>
  <CharactersWithSpaces>6942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Jessica "Jessie"</dc:creator>
  <cp:keywords/>
  <dc:description/>
  <cp:lastModifiedBy>Tilos, Mary Ann</cp:lastModifiedBy>
  <cp:revision>2</cp:revision>
  <cp:lastPrinted>1900-01-01T08:00:00Z</cp:lastPrinted>
  <dcterms:created xsi:type="dcterms:W3CDTF">2021-08-10T19:52:00Z</dcterms:created>
  <dcterms:modified xsi:type="dcterms:W3CDTF">2021-08-10T19:52:00Z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0x0101003B5B50076D91E440B6F95FBD148A44F5</vt:lpwstr>
  </property>
  <property fmtid="{D5CDD505-2E9C-101B-9397-08002B2CF9AE}" pid="3" name="LINKTEK-FILE-ID">
    <vt:lpwstr>01EC-7C48-88C6-850C</vt:lpwstr>
  </property>
</Properties>
</file>