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5516B" w14:textId="7F66D104" w:rsidR="00876793" w:rsidRPr="009F4B4B" w:rsidRDefault="00876793" w:rsidP="003474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9F4B4B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Para más información </w:t>
      </w:r>
      <w:r w:rsidR="003A6E22" w:rsidRPr="009F4B4B">
        <w:rPr>
          <w:rFonts w:ascii="Times New Roman" w:eastAsia="Calibri" w:hAnsi="Times New Roman" w:cs="Times New Roman"/>
          <w:sz w:val="24"/>
          <w:szCs w:val="24"/>
          <w:lang w:val="es-ES_tradnl"/>
        </w:rPr>
        <w:t>sobre</w:t>
      </w:r>
      <w:r w:rsidRPr="009F4B4B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cómo este cambio impactará su factura, llame al </w:t>
      </w:r>
      <w:r w:rsidR="00D0287B" w:rsidRPr="009F4B4B">
        <w:rPr>
          <w:rFonts w:ascii="Times New Roman" w:hAnsi="Times New Roman" w:cs="Times New Roman"/>
          <w:sz w:val="24"/>
          <w:szCs w:val="24"/>
          <w:lang w:val="es-ES_tradnl"/>
        </w:rPr>
        <w:t>1-800-311-7343</w:t>
      </w:r>
    </w:p>
    <w:p w14:paraId="5F732329" w14:textId="77777777" w:rsidR="002A790E" w:rsidRPr="009F4B4B" w:rsidRDefault="002A790E" w:rsidP="002A790E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val="es-ES_tradnl"/>
        </w:rPr>
      </w:pPr>
    </w:p>
    <w:p w14:paraId="369DF88F" w14:textId="72222E56" w:rsidR="00FB2763" w:rsidRPr="009F4B4B" w:rsidRDefault="003A6E22" w:rsidP="002A79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9F4B4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AVISO DE SOLICITUD</w:t>
      </w:r>
    </w:p>
    <w:p w14:paraId="0594E10E" w14:textId="2B77757D" w:rsidR="00600BBA" w:rsidRPr="009F4B4B" w:rsidRDefault="003A6E22" w:rsidP="00600BBA">
      <w:pPr>
        <w:pStyle w:val="TableCaption"/>
        <w:keepNext w:val="0"/>
        <w:keepLines w:val="0"/>
        <w:autoSpaceDE w:val="0"/>
        <w:autoSpaceDN w:val="0"/>
        <w:adjustRightInd w:val="0"/>
        <w:spacing w:before="0" w:after="0" w:line="240" w:lineRule="auto"/>
        <w:outlineLvl w:val="0"/>
        <w:rPr>
          <w:rFonts w:ascii="Times New Roman" w:hAnsi="Times New Roman" w:cs="Times New Roman"/>
          <w:caps w:val="0"/>
          <w:sz w:val="24"/>
          <w:szCs w:val="24"/>
          <w:lang w:val="es-ES_tradnl"/>
        </w:rPr>
      </w:pPr>
      <w:r w:rsidRPr="009F4B4B">
        <w:rPr>
          <w:rFonts w:ascii="Times New Roman" w:hAnsi="Times New Roman" w:cs="Times New Roman"/>
          <w:caps w:val="0"/>
          <w:sz w:val="24"/>
          <w:szCs w:val="24"/>
          <w:lang w:val="es-ES_tradnl"/>
        </w:rPr>
        <w:t xml:space="preserve">PETICIÓN DE </w:t>
      </w:r>
      <w:r w:rsidR="00600BBA" w:rsidRPr="009F4B4B">
        <w:rPr>
          <w:rFonts w:ascii="Times New Roman" w:hAnsi="Times New Roman" w:cs="Times New Roman"/>
          <w:caps w:val="0"/>
          <w:sz w:val="24"/>
          <w:szCs w:val="24"/>
          <w:lang w:val="es-ES_tradnl"/>
        </w:rPr>
        <w:t>SAN DIEGO GAS &amp; ELECTRIC COMPANY</w:t>
      </w:r>
      <w:r w:rsidRPr="009F4B4B">
        <w:rPr>
          <w:rFonts w:ascii="Times New Roman" w:hAnsi="Times New Roman" w:cs="Times New Roman"/>
          <w:caps w:val="0"/>
          <w:sz w:val="24"/>
          <w:szCs w:val="24"/>
          <w:lang w:val="es-ES_tradnl"/>
        </w:rPr>
        <w:t xml:space="preserve"> </w:t>
      </w:r>
      <w:r w:rsidR="00D95B14" w:rsidRPr="009F4B4B">
        <w:rPr>
          <w:rFonts w:ascii="Times New Roman" w:hAnsi="Times New Roman" w:cs="Times New Roman"/>
          <w:caps w:val="0"/>
          <w:sz w:val="24"/>
          <w:szCs w:val="24"/>
          <w:lang w:val="es-ES_tradnl"/>
        </w:rPr>
        <w:t>A FIN DE</w:t>
      </w:r>
      <w:r w:rsidRPr="009F4B4B">
        <w:rPr>
          <w:rFonts w:ascii="Times New Roman" w:hAnsi="Times New Roman" w:cs="Times New Roman"/>
          <w:caps w:val="0"/>
          <w:sz w:val="24"/>
          <w:szCs w:val="24"/>
          <w:lang w:val="es-ES_tradnl"/>
        </w:rPr>
        <w:t xml:space="preserve"> AUMENTAR LAS TARIFAS Y LOS INGRESOS</w:t>
      </w:r>
      <w:r w:rsidR="00D95B14" w:rsidRPr="009F4B4B">
        <w:rPr>
          <w:rFonts w:ascii="Times New Roman" w:hAnsi="Times New Roman" w:cs="Times New Roman"/>
          <w:caps w:val="0"/>
          <w:sz w:val="24"/>
          <w:szCs w:val="24"/>
          <w:lang w:val="es-ES_tradnl"/>
        </w:rPr>
        <w:t xml:space="preserve"> PARA LA</w:t>
      </w:r>
      <w:r w:rsidR="00B37B3E" w:rsidRPr="009F4B4B">
        <w:rPr>
          <w:rFonts w:ascii="Times New Roman" w:hAnsi="Times New Roman" w:cs="Times New Roman"/>
          <w:caps w:val="0"/>
          <w:sz w:val="24"/>
          <w:szCs w:val="24"/>
          <w:lang w:val="es-ES_tradnl"/>
        </w:rPr>
        <w:t xml:space="preserve"> CUENTA DE MEMORANDO EN CASO DE EVENTOS </w:t>
      </w:r>
      <w:r w:rsidR="00E87890" w:rsidRPr="009F4B4B">
        <w:rPr>
          <w:rFonts w:ascii="Times New Roman" w:hAnsi="Times New Roman" w:cs="Times New Roman"/>
          <w:caps w:val="0"/>
          <w:sz w:val="24"/>
          <w:szCs w:val="24"/>
          <w:lang w:val="es-ES_tradnl"/>
        </w:rPr>
        <w:t>CATASTR</w:t>
      </w:r>
      <w:r w:rsidR="00B37B3E" w:rsidRPr="009F4B4B">
        <w:rPr>
          <w:rFonts w:ascii="Times New Roman" w:hAnsi="Times New Roman" w:cs="Times New Roman"/>
          <w:caps w:val="0"/>
          <w:sz w:val="24"/>
          <w:szCs w:val="24"/>
          <w:lang w:val="es-ES_tradnl"/>
        </w:rPr>
        <w:t>ÓFICOS</w:t>
      </w:r>
    </w:p>
    <w:p w14:paraId="3B8A9A45" w14:textId="76F522B9" w:rsidR="00600BBA" w:rsidRPr="009F4B4B" w:rsidRDefault="00F33E2B" w:rsidP="00600BBA">
      <w:pPr>
        <w:pStyle w:val="TableCaption"/>
        <w:keepNext w:val="0"/>
        <w:keepLines w:val="0"/>
        <w:autoSpaceDE w:val="0"/>
        <w:autoSpaceDN w:val="0"/>
        <w:adjustRightInd w:val="0"/>
        <w:spacing w:before="0" w:after="0" w:line="240" w:lineRule="auto"/>
        <w:outlineLvl w:val="0"/>
        <w:rPr>
          <w:rFonts w:ascii="Times New Roman" w:hAnsi="Times New Roman" w:cs="Times New Roman"/>
          <w:caps w:val="0"/>
          <w:sz w:val="24"/>
          <w:szCs w:val="24"/>
          <w:lang w:val="es-ES_tradnl"/>
        </w:rPr>
      </w:pPr>
      <w:r w:rsidRPr="009F4B4B">
        <w:rPr>
          <w:rFonts w:ascii="Times New Roman" w:hAnsi="Times New Roman" w:cs="Times New Roman"/>
          <w:caps w:val="0"/>
          <w:sz w:val="24"/>
          <w:szCs w:val="24"/>
          <w:lang w:val="es-ES_tradnl"/>
        </w:rPr>
        <w:t xml:space="preserve">PRESENTACIÓN DE SOLICITUD </w:t>
      </w:r>
      <w:r w:rsidR="00600BBA" w:rsidRPr="009F4B4B">
        <w:rPr>
          <w:rFonts w:ascii="Times New Roman" w:hAnsi="Times New Roman" w:cs="Times New Roman"/>
          <w:sz w:val="24"/>
          <w:szCs w:val="24"/>
          <w:lang w:val="es-ES_tradnl"/>
        </w:rPr>
        <w:t>A.22-</w:t>
      </w:r>
      <w:r w:rsidR="00FC31A8" w:rsidRPr="009F4B4B">
        <w:rPr>
          <w:rFonts w:ascii="Times New Roman" w:hAnsi="Times New Roman" w:cs="Times New Roman"/>
          <w:sz w:val="24"/>
          <w:szCs w:val="24"/>
          <w:lang w:val="es-ES_tradnl"/>
        </w:rPr>
        <w:t>10</w:t>
      </w:r>
      <w:r w:rsidR="00600BBA" w:rsidRPr="009F4B4B">
        <w:rPr>
          <w:rFonts w:ascii="Times New Roman" w:hAnsi="Times New Roman" w:cs="Times New Roman"/>
          <w:sz w:val="24"/>
          <w:szCs w:val="24"/>
          <w:lang w:val="es-ES_tradnl"/>
        </w:rPr>
        <w:t>-</w:t>
      </w:r>
      <w:r w:rsidR="00936FAE" w:rsidRPr="009F4B4B">
        <w:rPr>
          <w:rFonts w:ascii="Times New Roman" w:hAnsi="Times New Roman" w:cs="Times New Roman"/>
          <w:sz w:val="24"/>
          <w:szCs w:val="24"/>
          <w:lang w:val="es-ES_tradnl"/>
        </w:rPr>
        <w:t>021</w:t>
      </w:r>
    </w:p>
    <w:p w14:paraId="27BE69B4" w14:textId="77777777" w:rsidR="008656A5" w:rsidRPr="009F4B4B" w:rsidRDefault="008656A5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7940A4BD" w14:textId="53559815" w:rsidR="0C6EBB1B" w:rsidRPr="009F4B4B" w:rsidRDefault="00FF78C5" w:rsidP="002A7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9F4B4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¿Por qué estoy recibiendo este aviso</w:t>
      </w:r>
      <w:r w:rsidR="0C6EBB1B" w:rsidRPr="009F4B4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? </w:t>
      </w:r>
    </w:p>
    <w:p w14:paraId="3DBEDF05" w14:textId="749822CD" w:rsidR="718C7AD5" w:rsidRPr="009F4B4B" w:rsidRDefault="00FF78C5" w:rsidP="002A7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El </w:t>
      </w:r>
      <w:r w:rsidR="00DB13DD" w:rsidRPr="009F4B4B">
        <w:rPr>
          <w:rFonts w:ascii="Times New Roman" w:hAnsi="Times New Roman" w:cs="Times New Roman"/>
          <w:sz w:val="24"/>
          <w:szCs w:val="24"/>
          <w:lang w:val="es-ES_tradnl"/>
        </w:rPr>
        <w:t>31</w:t>
      </w:r>
      <w:r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 de octubre de</w:t>
      </w:r>
      <w:r w:rsidR="00600BBA"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 2022</w:t>
      </w:r>
      <w:r w:rsidR="4A26F8EC"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600BBA"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San Diego Gas </w:t>
      </w:r>
      <w:r w:rsidR="00662B66"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&amp; </w:t>
      </w:r>
      <w:r w:rsidR="00600BBA" w:rsidRPr="009F4B4B">
        <w:rPr>
          <w:rFonts w:ascii="Times New Roman" w:hAnsi="Times New Roman" w:cs="Times New Roman"/>
          <w:sz w:val="24"/>
          <w:szCs w:val="24"/>
          <w:lang w:val="es-ES_tradnl"/>
        </w:rPr>
        <w:t>Electric</w:t>
      </w:r>
      <w:r w:rsidR="00662B66" w:rsidRPr="009F4B4B"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  <w:t>®</w:t>
      </w:r>
      <w:r w:rsidR="00600BBA"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 (SDG&amp;E</w:t>
      </w:r>
      <w:r w:rsidR="00600BBA" w:rsidRPr="009F4B4B"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  <w:t>®</w:t>
      </w:r>
      <w:r w:rsidR="00600BBA"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) </w:t>
      </w:r>
      <w:r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presentó </w:t>
      </w:r>
      <w:r w:rsidR="00255E4B"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ante la Comisión de Servicios Públicos de California (CPUC) </w:t>
      </w:r>
      <w:r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su Solicitud </w:t>
      </w:r>
      <w:r w:rsidR="002F766B" w:rsidRPr="009F4B4B">
        <w:rPr>
          <w:rFonts w:ascii="Times New Roman" w:hAnsi="Times New Roman" w:cs="Times New Roman"/>
          <w:sz w:val="24"/>
          <w:szCs w:val="24"/>
          <w:lang w:val="es-ES_tradnl"/>
        </w:rPr>
        <w:t>Cuenta de Memor</w:t>
      </w:r>
      <w:r w:rsidR="001860C2" w:rsidRPr="009F4B4B">
        <w:rPr>
          <w:rFonts w:ascii="Times New Roman" w:hAnsi="Times New Roman" w:cs="Times New Roman"/>
          <w:sz w:val="24"/>
          <w:szCs w:val="24"/>
          <w:lang w:val="es-ES_tradnl"/>
        </w:rPr>
        <w:t>ando</w:t>
      </w:r>
      <w:r w:rsidR="002F766B"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D143A4"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en Caso </w:t>
      </w:r>
      <w:r w:rsidR="002F766B"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de </w:t>
      </w:r>
      <w:r w:rsidR="00255E4B"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Eventos Catastróficos </w:t>
      </w:r>
      <w:r w:rsidR="00B85F09" w:rsidRPr="009F4B4B">
        <w:rPr>
          <w:rFonts w:ascii="Times New Roman" w:hAnsi="Times New Roman" w:cs="Times New Roman"/>
          <w:sz w:val="24"/>
          <w:szCs w:val="24"/>
          <w:lang w:val="es-ES_tradnl"/>
        </w:rPr>
        <w:t>(</w:t>
      </w:r>
      <w:proofErr w:type="spellStart"/>
      <w:r w:rsidR="00FB38C8" w:rsidRPr="009F4B4B">
        <w:rPr>
          <w:rFonts w:ascii="Times New Roman" w:hAnsi="Times New Roman" w:cs="Times New Roman"/>
          <w:sz w:val="24"/>
          <w:szCs w:val="24"/>
          <w:lang w:val="es-ES_tradnl"/>
        </w:rPr>
        <w:t>Catastrophic</w:t>
      </w:r>
      <w:proofErr w:type="spellEnd"/>
      <w:r w:rsidR="00FB38C8"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FB38C8" w:rsidRPr="009F4B4B">
        <w:rPr>
          <w:rFonts w:ascii="Times New Roman" w:hAnsi="Times New Roman" w:cs="Times New Roman"/>
          <w:sz w:val="24"/>
          <w:szCs w:val="24"/>
          <w:lang w:val="es-ES_tradnl"/>
        </w:rPr>
        <w:t>Event</w:t>
      </w:r>
      <w:proofErr w:type="spellEnd"/>
      <w:r w:rsidR="00FB38C8"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FB38C8" w:rsidRPr="009F4B4B">
        <w:rPr>
          <w:rFonts w:ascii="Times New Roman" w:hAnsi="Times New Roman" w:cs="Times New Roman"/>
          <w:sz w:val="24"/>
          <w:szCs w:val="24"/>
          <w:lang w:val="es-ES_tradnl"/>
        </w:rPr>
        <w:t>Memorandum</w:t>
      </w:r>
      <w:proofErr w:type="spellEnd"/>
      <w:r w:rsidR="00FB38C8"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FB38C8" w:rsidRPr="009F4B4B">
        <w:rPr>
          <w:rFonts w:ascii="Times New Roman" w:hAnsi="Times New Roman" w:cs="Times New Roman"/>
          <w:sz w:val="24"/>
          <w:szCs w:val="24"/>
          <w:lang w:val="es-ES_tradnl"/>
        </w:rPr>
        <w:t>Account</w:t>
      </w:r>
      <w:proofErr w:type="spellEnd"/>
      <w:r w:rsidR="00FB38C8"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B85F09" w:rsidRPr="009F4B4B">
        <w:rPr>
          <w:rFonts w:ascii="Times New Roman" w:hAnsi="Times New Roman" w:cs="Times New Roman"/>
          <w:sz w:val="24"/>
          <w:szCs w:val="24"/>
          <w:lang w:val="es-ES_tradnl"/>
        </w:rPr>
        <w:t>CEMA)</w:t>
      </w:r>
      <w:r w:rsidR="00A813FC"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. En la solicitud se </w:t>
      </w:r>
      <w:r w:rsidR="00434D3C"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pide un incremento </w:t>
      </w:r>
      <w:r w:rsidR="122CDE4F" w:rsidRPr="009F4B4B">
        <w:rPr>
          <w:rFonts w:ascii="Times New Roman" w:hAnsi="Times New Roman" w:cs="Times New Roman"/>
          <w:sz w:val="24"/>
          <w:szCs w:val="24"/>
          <w:lang w:val="es-ES_tradnl"/>
        </w:rPr>
        <w:t>total</w:t>
      </w:r>
      <w:r w:rsidR="00EB2A23"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434D3C"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en el requerimiento de ingresos de </w:t>
      </w:r>
      <w:r w:rsidR="122CDE4F" w:rsidRPr="009F4B4B">
        <w:rPr>
          <w:rFonts w:ascii="Times New Roman" w:hAnsi="Times New Roman" w:cs="Times New Roman"/>
          <w:sz w:val="24"/>
          <w:szCs w:val="24"/>
          <w:lang w:val="es-ES_tradnl"/>
        </w:rPr>
        <w:t>$</w:t>
      </w:r>
      <w:r w:rsidR="005A3588" w:rsidRPr="009F4B4B">
        <w:rPr>
          <w:rFonts w:ascii="Times New Roman" w:hAnsi="Times New Roman" w:cs="Times New Roman"/>
          <w:sz w:val="24"/>
          <w:szCs w:val="24"/>
          <w:lang w:val="es-ES_tradnl"/>
        </w:rPr>
        <w:t>41.6 millon</w:t>
      </w:r>
      <w:r w:rsidR="00434D3C" w:rsidRPr="009F4B4B">
        <w:rPr>
          <w:rFonts w:ascii="Times New Roman" w:hAnsi="Times New Roman" w:cs="Times New Roman"/>
          <w:sz w:val="24"/>
          <w:szCs w:val="24"/>
          <w:lang w:val="es-ES_tradnl"/>
        </w:rPr>
        <w:t>es</w:t>
      </w:r>
      <w:r w:rsidR="04BD2DC6" w:rsidRPr="009F4B4B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B85F09"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14:paraId="56605CA2" w14:textId="77777777" w:rsidR="002A790E" w:rsidRPr="009F4B4B" w:rsidRDefault="002A790E" w:rsidP="002A7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41F1452" w14:textId="749D9BD3" w:rsidR="5FB3F594" w:rsidRPr="009F4B4B" w:rsidRDefault="00775687" w:rsidP="002A7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9F4B4B">
        <w:rPr>
          <w:rFonts w:ascii="Times New Roman" w:hAnsi="Times New Roman" w:cs="Times New Roman"/>
          <w:sz w:val="24"/>
          <w:szCs w:val="24"/>
          <w:lang w:val="es-ES_tradnl"/>
        </w:rPr>
        <w:t>Si la CPUC aprueba esta solicitud</w:t>
      </w:r>
      <w:r w:rsidR="5FB3F594" w:rsidRPr="009F4B4B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346A12BC"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600BBA" w:rsidRPr="009F4B4B">
        <w:rPr>
          <w:rFonts w:ascii="Times New Roman" w:hAnsi="Times New Roman" w:cs="Times New Roman"/>
          <w:sz w:val="24"/>
          <w:szCs w:val="24"/>
          <w:lang w:val="es-ES_tradnl"/>
        </w:rPr>
        <w:t>SDG&amp;E</w:t>
      </w:r>
      <w:r w:rsidR="5FB3F594"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9F4B4B">
        <w:rPr>
          <w:rFonts w:ascii="Times New Roman" w:hAnsi="Times New Roman" w:cs="Times New Roman"/>
          <w:sz w:val="24"/>
          <w:szCs w:val="24"/>
          <w:lang w:val="es-ES_tradnl"/>
        </w:rPr>
        <w:t>recuperará la mayoría</w:t>
      </w:r>
      <w:r w:rsidRPr="009F4B4B">
        <w:rPr>
          <w:rFonts w:ascii="Times New Roman" w:hAnsi="Times New Roman" w:cs="Times New Roman"/>
          <w:lang w:val="es-ES_tradnl"/>
        </w:rPr>
        <w:t xml:space="preserve"> de </w:t>
      </w:r>
      <w:r w:rsidRPr="009F4B4B">
        <w:rPr>
          <w:rFonts w:ascii="Times New Roman" w:hAnsi="Times New Roman" w:cs="Times New Roman"/>
          <w:sz w:val="24"/>
          <w:szCs w:val="24"/>
          <w:lang w:val="es-ES_tradnl"/>
        </w:rPr>
        <w:t>los costos registrados en tarifas de electricidad y gas durante un per</w:t>
      </w:r>
      <w:r w:rsidR="005F0692" w:rsidRPr="009F4B4B">
        <w:rPr>
          <w:rFonts w:ascii="Times New Roman" w:hAnsi="Times New Roman" w:cs="Times New Roman"/>
          <w:sz w:val="24"/>
          <w:szCs w:val="24"/>
          <w:lang w:val="es-ES_tradnl"/>
        </w:rPr>
        <w:t>i</w:t>
      </w:r>
      <w:r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odo de un año a partir del 1 de enero de 2024, o tras una </w:t>
      </w:r>
      <w:r w:rsidR="001467BE"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resolución definitiva </w:t>
      </w:r>
      <w:r w:rsidRPr="009F4B4B">
        <w:rPr>
          <w:rFonts w:ascii="Times New Roman" w:hAnsi="Times New Roman" w:cs="Times New Roman"/>
          <w:sz w:val="24"/>
          <w:szCs w:val="24"/>
          <w:lang w:val="es-ES_tradnl"/>
        </w:rPr>
        <w:t>en este procedimiento. Esto afectará su factura mensual</w:t>
      </w:r>
      <w:r w:rsidR="001467BE" w:rsidRPr="009F4B4B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010FDF2B" w14:textId="77777777" w:rsidR="008656A5" w:rsidRPr="009F4B4B" w:rsidRDefault="008656A5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61EE9630" w14:textId="7BE1CB6E" w:rsidR="00775687" w:rsidRPr="009F4B4B" w:rsidRDefault="00775687" w:rsidP="00B966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9F4B4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¿Por qué </w:t>
      </w:r>
      <w:r w:rsidR="004D0E19" w:rsidRPr="009F4B4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está solicitando </w:t>
      </w:r>
      <w:r w:rsidRPr="009F4B4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SDG&amp;E este aumento </w:t>
      </w:r>
      <w:r w:rsidR="004D0E19" w:rsidRPr="009F4B4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en</w:t>
      </w:r>
      <w:r w:rsidRPr="009F4B4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tarifas?</w:t>
      </w:r>
    </w:p>
    <w:p w14:paraId="4EB99824" w14:textId="1904A8F9" w:rsidR="4E5FCC20" w:rsidRPr="009F4B4B" w:rsidRDefault="4E5FCC20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18A33F67" w14:textId="0C74FE04" w:rsidR="005C4E99" w:rsidRPr="009F4B4B" w:rsidRDefault="004D0E19" w:rsidP="005C4E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9F4B4B">
        <w:rPr>
          <w:rFonts w:ascii="Times New Roman" w:eastAsia="Calibri" w:hAnsi="Times New Roman" w:cs="Times New Roman"/>
          <w:sz w:val="24"/>
          <w:szCs w:val="24"/>
          <w:lang w:val="es-ES_tradnl"/>
        </w:rPr>
        <w:t>A fin de</w:t>
      </w:r>
      <w:r w:rsidR="00301BF6" w:rsidRPr="009F4B4B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recuperar los costos incurridos </w:t>
      </w:r>
      <w:r w:rsidR="0047219C" w:rsidRPr="009F4B4B">
        <w:rPr>
          <w:rFonts w:ascii="Times New Roman" w:eastAsia="Calibri" w:hAnsi="Times New Roman" w:cs="Times New Roman"/>
          <w:sz w:val="24"/>
          <w:szCs w:val="24"/>
          <w:lang w:val="es-ES_tradnl"/>
        </w:rPr>
        <w:t>por</w:t>
      </w:r>
      <w:r w:rsidR="00301BF6" w:rsidRPr="009F4B4B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restablecer servicio a los clientes, reparar o reemplazar instalaciones dañadas, y cumplir con órdenes de </w:t>
      </w:r>
      <w:r w:rsidR="0047219C" w:rsidRPr="009F4B4B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dependencias </w:t>
      </w:r>
      <w:r w:rsidR="00301BF6" w:rsidRPr="009F4B4B">
        <w:rPr>
          <w:rFonts w:ascii="Times New Roman" w:eastAsia="Calibri" w:hAnsi="Times New Roman" w:cs="Times New Roman"/>
          <w:sz w:val="24"/>
          <w:szCs w:val="24"/>
          <w:lang w:val="es-ES_tradnl"/>
        </w:rPr>
        <w:t>gubernamental</w:t>
      </w:r>
      <w:r w:rsidR="0047219C" w:rsidRPr="009F4B4B">
        <w:rPr>
          <w:rFonts w:ascii="Times New Roman" w:eastAsia="Calibri" w:hAnsi="Times New Roman" w:cs="Times New Roman"/>
          <w:sz w:val="24"/>
          <w:szCs w:val="24"/>
          <w:lang w:val="es-ES_tradnl"/>
        </w:rPr>
        <w:t>es</w:t>
      </w:r>
      <w:r w:rsidR="00301BF6" w:rsidRPr="009F4B4B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después de eventos declarados como desastres o estado de emergencia por las autoridades estatales o federales. Eso incluye la sequía en 2014, las tormentas inv</w:t>
      </w:r>
      <w:r w:rsidR="0047219C" w:rsidRPr="009F4B4B">
        <w:rPr>
          <w:rFonts w:ascii="Times New Roman" w:eastAsia="Calibri" w:hAnsi="Times New Roman" w:cs="Times New Roman"/>
          <w:sz w:val="24"/>
          <w:szCs w:val="24"/>
          <w:lang w:val="es-ES_tradnl"/>
        </w:rPr>
        <w:t>ernales</w:t>
      </w:r>
      <w:r w:rsidR="00301BF6" w:rsidRPr="009F4B4B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en 2017, </w:t>
      </w:r>
      <w:r w:rsidR="0047219C" w:rsidRPr="009F4B4B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el </w:t>
      </w:r>
      <w:r w:rsidR="00395887" w:rsidRPr="009F4B4B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incendio </w:t>
      </w:r>
      <w:r w:rsidR="00301BF6" w:rsidRPr="009F4B4B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West </w:t>
      </w:r>
      <w:proofErr w:type="spellStart"/>
      <w:r w:rsidR="00301BF6" w:rsidRPr="009F4B4B">
        <w:rPr>
          <w:rFonts w:ascii="Times New Roman" w:eastAsia="Calibri" w:hAnsi="Times New Roman" w:cs="Times New Roman"/>
          <w:sz w:val="24"/>
          <w:szCs w:val="24"/>
          <w:lang w:val="es-ES_tradnl"/>
        </w:rPr>
        <w:t>Fire</w:t>
      </w:r>
      <w:proofErr w:type="spellEnd"/>
      <w:r w:rsidR="00301BF6" w:rsidRPr="009F4B4B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en 2017, los incendios </w:t>
      </w:r>
      <w:r w:rsidR="00044F1D" w:rsidRPr="009F4B4B">
        <w:rPr>
          <w:rFonts w:ascii="Times New Roman" w:eastAsia="Calibri" w:hAnsi="Times New Roman" w:cs="Times New Roman"/>
          <w:sz w:val="24"/>
          <w:szCs w:val="24"/>
          <w:lang w:val="es-ES_tradnl"/>
        </w:rPr>
        <w:t>Lilac</w:t>
      </w:r>
      <w:r w:rsidR="00301BF6" w:rsidRPr="009F4B4B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en 2018, las tormentas </w:t>
      </w:r>
      <w:r w:rsidR="00044F1D" w:rsidRPr="009F4B4B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invernales </w:t>
      </w:r>
      <w:r w:rsidR="00301BF6" w:rsidRPr="009F4B4B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en 2019, las olas de calor en 2020 y la pandemia de COVID-19 que comenzó en 2020. </w:t>
      </w:r>
    </w:p>
    <w:p w14:paraId="38C6DFCC" w14:textId="77777777" w:rsidR="008656A5" w:rsidRPr="009F4B4B" w:rsidRDefault="008656A5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7A98C665" w14:textId="1EF6ACBA" w:rsidR="4E5FCC20" w:rsidRPr="009F4B4B" w:rsidRDefault="00301BF6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9F4B4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¿Cómo podría afectar esto mis tarifas eléctricas mensuales?</w:t>
      </w:r>
      <w:r w:rsidR="4E5FCC20" w:rsidRPr="009F4B4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? </w:t>
      </w:r>
    </w:p>
    <w:p w14:paraId="1BC05B05" w14:textId="4FB240E1" w:rsidR="596D81FA" w:rsidRPr="009F4B4B" w:rsidRDefault="00301BF6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Si la </w:t>
      </w:r>
      <w:r w:rsidR="009A1868"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CPUC aprueba la </w:t>
      </w:r>
      <w:r w:rsidRPr="009F4B4B">
        <w:rPr>
          <w:rFonts w:ascii="Times New Roman" w:hAnsi="Times New Roman" w:cs="Times New Roman"/>
          <w:sz w:val="24"/>
          <w:szCs w:val="24"/>
          <w:lang w:val="es-ES_tradnl"/>
        </w:rPr>
        <w:t>solicitud tarifa</w:t>
      </w:r>
      <w:r w:rsidR="009A1868" w:rsidRPr="009F4B4B">
        <w:rPr>
          <w:rFonts w:ascii="Times New Roman" w:hAnsi="Times New Roman" w:cs="Times New Roman"/>
          <w:sz w:val="24"/>
          <w:szCs w:val="24"/>
          <w:lang w:val="es-ES_tradnl"/>
        </w:rPr>
        <w:t>ria</w:t>
      </w:r>
      <w:r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 de SDG&amp;E, la factura mensual residencial típica </w:t>
      </w:r>
      <w:r w:rsidR="00716C5D"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de servicios en paquete </w:t>
      </w:r>
      <w:r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que </w:t>
      </w:r>
      <w:r w:rsidR="00716C5D" w:rsidRPr="009F4B4B">
        <w:rPr>
          <w:rFonts w:ascii="Times New Roman" w:hAnsi="Times New Roman" w:cs="Times New Roman"/>
          <w:sz w:val="24"/>
          <w:szCs w:val="24"/>
          <w:lang w:val="es-ES_tradnl"/>
        </w:rPr>
        <w:t>consume</w:t>
      </w:r>
      <w:r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 400 kWh </w:t>
      </w:r>
      <w:r w:rsidR="009A1868"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al </w:t>
      </w:r>
      <w:r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mes podría aumentar en aproximadamente $0.93 o 0.6% </w:t>
      </w:r>
      <w:r w:rsidR="009A1868" w:rsidRPr="009F4B4B">
        <w:rPr>
          <w:rFonts w:ascii="Times New Roman" w:hAnsi="Times New Roman" w:cs="Times New Roman"/>
          <w:sz w:val="24"/>
          <w:szCs w:val="24"/>
          <w:lang w:val="es-ES_tradnl"/>
        </w:rPr>
        <w:t>al</w:t>
      </w:r>
      <w:r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 mes en 2024, en comparación con las tarifas actuales. Las facturas de los clientes </w:t>
      </w:r>
      <w:r w:rsidR="00C7360C"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individuales </w:t>
      </w:r>
      <w:r w:rsidRPr="009F4B4B">
        <w:rPr>
          <w:rFonts w:ascii="Times New Roman" w:hAnsi="Times New Roman" w:cs="Times New Roman"/>
          <w:sz w:val="24"/>
          <w:szCs w:val="24"/>
          <w:lang w:val="es-ES_tradnl"/>
        </w:rPr>
        <w:t>pueden variar</w:t>
      </w:r>
      <w:r w:rsidR="00C7360C" w:rsidRPr="009F4B4B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644C1638" w14:textId="77777777" w:rsidR="008656A5" w:rsidRPr="009F4B4B" w:rsidRDefault="008656A5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47CBB5AF" w14:textId="3154DA18" w:rsidR="242C1A71" w:rsidRPr="009F4B4B" w:rsidRDefault="00301BF6" w:rsidP="002A790E">
      <w:pPr>
        <w:pStyle w:val="Heading2"/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</w:pPr>
      <w:r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AUMENTO </w:t>
      </w:r>
      <w:r w:rsidR="00C7360C"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PROPUESTO EN </w:t>
      </w:r>
      <w:r w:rsidRPr="009F4B4B">
        <w:rPr>
          <w:rFonts w:ascii="Times New Roman" w:hAnsi="Times New Roman" w:cs="Times New Roman"/>
          <w:sz w:val="24"/>
          <w:szCs w:val="24"/>
          <w:lang w:val="es-ES_tradnl"/>
        </w:rPr>
        <w:t>LA TARIFA ELÉCTRICA</w:t>
      </w:r>
    </w:p>
    <w:p w14:paraId="720E454F" w14:textId="4BA6F1D9" w:rsidR="008656A5" w:rsidRPr="009F4B4B" w:rsidRDefault="008656A5" w:rsidP="006C79B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tbl>
      <w:tblPr>
        <w:tblStyle w:val="TableGrid"/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185"/>
        <w:gridCol w:w="1380"/>
        <w:gridCol w:w="1545"/>
        <w:gridCol w:w="1215"/>
        <w:gridCol w:w="1144"/>
      </w:tblGrid>
      <w:tr w:rsidR="487F7BE9" w:rsidRPr="009F4B4B" w14:paraId="515A9DA7" w14:textId="77777777" w:rsidTr="006637AB">
        <w:trPr>
          <w:trHeight w:val="810"/>
        </w:trPr>
        <w:tc>
          <w:tcPr>
            <w:tcW w:w="4185" w:type="dxa"/>
            <w:vAlign w:val="center"/>
          </w:tcPr>
          <w:p w14:paraId="44346368" w14:textId="0FED50F6" w:rsidR="487F7BE9" w:rsidRPr="009F4B4B" w:rsidRDefault="00301BF6" w:rsidP="00AA0134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s-ES_tradnl"/>
              </w:rPr>
            </w:pPr>
            <w:r w:rsidRPr="009F4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  <w:t>Clasificación de clientes</w:t>
            </w:r>
          </w:p>
        </w:tc>
        <w:tc>
          <w:tcPr>
            <w:tcW w:w="1380" w:type="dxa"/>
            <w:vAlign w:val="center"/>
          </w:tcPr>
          <w:p w14:paraId="1274AF27" w14:textId="74767AA8" w:rsidR="487F7BE9" w:rsidRPr="009F4B4B" w:rsidRDefault="00301BF6" w:rsidP="00AA0134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s-ES_tradnl"/>
              </w:rPr>
            </w:pPr>
            <w:r w:rsidRPr="009F4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  <w:t xml:space="preserve">Tarifas actuales </w:t>
            </w:r>
          </w:p>
        </w:tc>
        <w:tc>
          <w:tcPr>
            <w:tcW w:w="1545" w:type="dxa"/>
            <w:vAlign w:val="center"/>
          </w:tcPr>
          <w:p w14:paraId="0E56AA6A" w14:textId="1DD1952C" w:rsidR="487F7BE9" w:rsidRPr="009F4B4B" w:rsidRDefault="00680EBD" w:rsidP="00AA01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</w:pPr>
            <w:r w:rsidRPr="009F4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  <w:t xml:space="preserve">Aumento </w:t>
            </w:r>
            <w:r w:rsidR="00C7360C" w:rsidRPr="009F4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  <w:t>propuesto en las</w:t>
            </w:r>
            <w:r w:rsidRPr="009F4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  <w:t xml:space="preserve"> tarifas </w:t>
            </w:r>
          </w:p>
        </w:tc>
        <w:tc>
          <w:tcPr>
            <w:tcW w:w="2359" w:type="dxa"/>
            <w:gridSpan w:val="2"/>
            <w:vAlign w:val="center"/>
          </w:tcPr>
          <w:p w14:paraId="19BD9732" w14:textId="649F475C" w:rsidR="487F7BE9" w:rsidRPr="009F4B4B" w:rsidRDefault="00680EBD" w:rsidP="00AA0134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s-ES_tradnl"/>
              </w:rPr>
            </w:pPr>
            <w:r w:rsidRPr="009F4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  <w:t>Aumento</w:t>
            </w:r>
          </w:p>
        </w:tc>
      </w:tr>
      <w:tr w:rsidR="487F7BE9" w:rsidRPr="009F4B4B" w14:paraId="322DE8A4" w14:textId="77777777" w:rsidTr="006637AB">
        <w:trPr>
          <w:trHeight w:val="270"/>
        </w:trPr>
        <w:tc>
          <w:tcPr>
            <w:tcW w:w="4185" w:type="dxa"/>
            <w:vAlign w:val="center"/>
          </w:tcPr>
          <w:p w14:paraId="31DD76B0" w14:textId="76F7FC33" w:rsidR="487F7BE9" w:rsidRPr="009F4B4B" w:rsidRDefault="487F7BE9" w:rsidP="487F7BE9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1380" w:type="dxa"/>
            <w:vAlign w:val="center"/>
          </w:tcPr>
          <w:p w14:paraId="3DB488A9" w14:textId="7C1E5792" w:rsidR="487F7BE9" w:rsidRPr="009F4B4B" w:rsidRDefault="487F7BE9" w:rsidP="004E5126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s-ES_tradnl"/>
              </w:rPr>
            </w:pPr>
            <w:r w:rsidRPr="009F4B4B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s-ES_tradnl"/>
              </w:rPr>
              <w:t>(6/1/2022)</w:t>
            </w:r>
          </w:p>
        </w:tc>
        <w:tc>
          <w:tcPr>
            <w:tcW w:w="1545" w:type="dxa"/>
            <w:vAlign w:val="center"/>
          </w:tcPr>
          <w:p w14:paraId="58102F89" w14:textId="68D2EED7" w:rsidR="487F7BE9" w:rsidRPr="009F4B4B" w:rsidRDefault="487F7BE9" w:rsidP="004E5126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s-ES_tradnl"/>
              </w:rPr>
            </w:pPr>
            <w:r w:rsidRPr="009F4B4B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s-ES_tradnl"/>
              </w:rPr>
              <w:t>2024</w:t>
            </w:r>
          </w:p>
        </w:tc>
        <w:tc>
          <w:tcPr>
            <w:tcW w:w="1215" w:type="dxa"/>
            <w:vAlign w:val="center"/>
          </w:tcPr>
          <w:p w14:paraId="25D28C10" w14:textId="5AE58189" w:rsidR="487F7BE9" w:rsidRPr="009F4B4B" w:rsidRDefault="487F7BE9" w:rsidP="487F7BE9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1144" w:type="dxa"/>
            <w:vAlign w:val="center"/>
          </w:tcPr>
          <w:p w14:paraId="172A812A" w14:textId="7D65AAA7" w:rsidR="487F7BE9" w:rsidRPr="009F4B4B" w:rsidRDefault="487F7BE9" w:rsidP="487F7BE9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s-ES_tradnl"/>
              </w:rPr>
            </w:pPr>
          </w:p>
        </w:tc>
      </w:tr>
      <w:tr w:rsidR="487F7BE9" w:rsidRPr="009F4B4B" w14:paraId="363AEFAB" w14:textId="77777777" w:rsidTr="006637AB">
        <w:trPr>
          <w:trHeight w:val="360"/>
        </w:trPr>
        <w:tc>
          <w:tcPr>
            <w:tcW w:w="4185" w:type="dxa"/>
            <w:vAlign w:val="center"/>
          </w:tcPr>
          <w:p w14:paraId="5097AF61" w14:textId="24F0B9D6" w:rsidR="487F7BE9" w:rsidRPr="009F4B4B" w:rsidRDefault="487F7BE9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380" w:type="dxa"/>
            <w:vAlign w:val="center"/>
          </w:tcPr>
          <w:p w14:paraId="7FF4A7C3" w14:textId="5E826C57" w:rsidR="487F7BE9" w:rsidRPr="009F4B4B" w:rsidRDefault="487F7BE9" w:rsidP="004E5126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s-ES_tradnl"/>
              </w:rPr>
            </w:pPr>
            <w:r w:rsidRPr="009F4B4B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s-ES_tradnl"/>
              </w:rPr>
              <w:t>¢/kWh</w:t>
            </w:r>
          </w:p>
        </w:tc>
        <w:tc>
          <w:tcPr>
            <w:tcW w:w="1545" w:type="dxa"/>
            <w:vAlign w:val="center"/>
          </w:tcPr>
          <w:p w14:paraId="38493974" w14:textId="2F228DAC" w:rsidR="487F7BE9" w:rsidRPr="009F4B4B" w:rsidRDefault="487F7BE9" w:rsidP="004E5126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s-ES_tradnl"/>
              </w:rPr>
            </w:pPr>
            <w:r w:rsidRPr="009F4B4B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s-ES_tradnl"/>
              </w:rPr>
              <w:t>¢/kWh</w:t>
            </w:r>
          </w:p>
        </w:tc>
        <w:tc>
          <w:tcPr>
            <w:tcW w:w="1215" w:type="dxa"/>
            <w:vAlign w:val="center"/>
          </w:tcPr>
          <w:p w14:paraId="1D18DA3D" w14:textId="3ED482AB" w:rsidR="487F7BE9" w:rsidRPr="009F4B4B" w:rsidRDefault="487F7BE9" w:rsidP="004E5126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s-ES_tradnl"/>
              </w:rPr>
            </w:pPr>
            <w:r w:rsidRPr="009F4B4B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s-ES_tradnl"/>
              </w:rPr>
              <w:t>¢</w:t>
            </w:r>
          </w:p>
        </w:tc>
        <w:tc>
          <w:tcPr>
            <w:tcW w:w="1144" w:type="dxa"/>
            <w:vAlign w:val="center"/>
          </w:tcPr>
          <w:p w14:paraId="2B10658A" w14:textId="01CC07FB" w:rsidR="487F7BE9" w:rsidRPr="009F4B4B" w:rsidRDefault="487F7BE9" w:rsidP="004E5126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s-ES_tradnl"/>
              </w:rPr>
            </w:pPr>
            <w:r w:rsidRPr="009F4B4B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s-ES_tradnl"/>
              </w:rPr>
              <w:t>%</w:t>
            </w:r>
          </w:p>
        </w:tc>
      </w:tr>
      <w:tr w:rsidR="0090029D" w:rsidRPr="009F4B4B" w14:paraId="0D17DE1E" w14:textId="77777777" w:rsidTr="006637AB">
        <w:trPr>
          <w:trHeight w:val="270"/>
        </w:trPr>
        <w:tc>
          <w:tcPr>
            <w:tcW w:w="4185" w:type="dxa"/>
            <w:vAlign w:val="center"/>
          </w:tcPr>
          <w:p w14:paraId="45464400" w14:textId="6FAC5D49" w:rsidR="0090029D" w:rsidRPr="009F4B4B" w:rsidRDefault="00680EBD" w:rsidP="0090029D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F4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  <w:t>Residencial</w:t>
            </w:r>
          </w:p>
        </w:tc>
        <w:tc>
          <w:tcPr>
            <w:tcW w:w="1380" w:type="dxa"/>
            <w:vAlign w:val="center"/>
          </w:tcPr>
          <w:p w14:paraId="6B51226C" w14:textId="6EE88D24" w:rsidR="0090029D" w:rsidRPr="009F4B4B" w:rsidRDefault="0090029D" w:rsidP="0090029D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s-ES_tradnl"/>
              </w:rPr>
            </w:pPr>
            <w:r w:rsidRPr="009F4B4B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s-ES_tradnl"/>
              </w:rPr>
              <w:t>34.034</w:t>
            </w:r>
          </w:p>
        </w:tc>
        <w:tc>
          <w:tcPr>
            <w:tcW w:w="1545" w:type="dxa"/>
            <w:vAlign w:val="center"/>
          </w:tcPr>
          <w:p w14:paraId="24301801" w14:textId="015978C9" w:rsidR="0090029D" w:rsidRPr="009F4B4B" w:rsidRDefault="0090029D" w:rsidP="0090029D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s-ES_tradnl"/>
              </w:rPr>
            </w:pPr>
            <w:r w:rsidRPr="009F4B4B">
              <w:rPr>
                <w:rStyle w:val="normaltextrun"/>
                <w:rFonts w:ascii="Times New Roman" w:hAnsi="Times New Roman" w:cs="Times New Roman"/>
                <w:color w:val="000000"/>
                <w:lang w:val="es-ES_tradnl"/>
              </w:rPr>
              <w:t>34.268</w:t>
            </w:r>
            <w:r w:rsidRPr="009F4B4B">
              <w:rPr>
                <w:rStyle w:val="eop"/>
                <w:rFonts w:ascii="Times New Roman" w:hAnsi="Times New Roman" w:cs="Times New Roman"/>
                <w:color w:val="000000"/>
                <w:lang w:val="es-ES_tradnl"/>
              </w:rPr>
              <w:t> </w:t>
            </w:r>
          </w:p>
        </w:tc>
        <w:tc>
          <w:tcPr>
            <w:tcW w:w="1215" w:type="dxa"/>
            <w:vAlign w:val="center"/>
          </w:tcPr>
          <w:p w14:paraId="3C2315D6" w14:textId="607B7968" w:rsidR="0090029D" w:rsidRPr="009F4B4B" w:rsidRDefault="0090029D" w:rsidP="0090029D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s-ES_tradnl"/>
              </w:rPr>
            </w:pPr>
            <w:r w:rsidRPr="009F4B4B">
              <w:rPr>
                <w:rStyle w:val="normaltextrun"/>
                <w:rFonts w:ascii="Times New Roman" w:hAnsi="Times New Roman" w:cs="Times New Roman"/>
                <w:color w:val="000000"/>
                <w:lang w:val="es-ES_tradnl"/>
              </w:rPr>
              <w:t>0.234</w:t>
            </w:r>
            <w:r w:rsidRPr="009F4B4B">
              <w:rPr>
                <w:rStyle w:val="eop"/>
                <w:rFonts w:ascii="Times New Roman" w:hAnsi="Times New Roman" w:cs="Times New Roman"/>
                <w:color w:val="000000"/>
                <w:lang w:val="es-ES_tradnl"/>
              </w:rPr>
              <w:t> </w:t>
            </w:r>
          </w:p>
        </w:tc>
        <w:tc>
          <w:tcPr>
            <w:tcW w:w="1144" w:type="dxa"/>
            <w:vAlign w:val="center"/>
          </w:tcPr>
          <w:p w14:paraId="31AEDA7F" w14:textId="7BED6212" w:rsidR="0090029D" w:rsidRPr="009F4B4B" w:rsidRDefault="0090029D" w:rsidP="0090029D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s-ES_tradnl"/>
              </w:rPr>
            </w:pPr>
            <w:r w:rsidRPr="009F4B4B">
              <w:rPr>
                <w:rStyle w:val="normaltextrun"/>
                <w:rFonts w:ascii="Times New Roman" w:hAnsi="Times New Roman" w:cs="Times New Roman"/>
                <w:color w:val="000000"/>
                <w:lang w:val="es-ES_tradnl"/>
              </w:rPr>
              <w:t>0.69%</w:t>
            </w:r>
            <w:r w:rsidRPr="009F4B4B">
              <w:rPr>
                <w:rStyle w:val="eop"/>
                <w:rFonts w:ascii="Times New Roman" w:hAnsi="Times New Roman" w:cs="Times New Roman"/>
                <w:color w:val="000000"/>
                <w:lang w:val="es-ES_tradnl"/>
              </w:rPr>
              <w:t> </w:t>
            </w:r>
          </w:p>
        </w:tc>
      </w:tr>
      <w:tr w:rsidR="0090029D" w:rsidRPr="009F4B4B" w14:paraId="69C351A2" w14:textId="77777777" w:rsidTr="006637AB">
        <w:trPr>
          <w:trHeight w:val="270"/>
        </w:trPr>
        <w:tc>
          <w:tcPr>
            <w:tcW w:w="4185" w:type="dxa"/>
            <w:vAlign w:val="center"/>
          </w:tcPr>
          <w:p w14:paraId="509A4858" w14:textId="3F21A637" w:rsidR="0090029D" w:rsidRPr="009F4B4B" w:rsidRDefault="00680EBD" w:rsidP="0090029D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F4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  <w:t>Pequeño Comercial</w:t>
            </w:r>
          </w:p>
        </w:tc>
        <w:tc>
          <w:tcPr>
            <w:tcW w:w="1380" w:type="dxa"/>
            <w:vAlign w:val="center"/>
          </w:tcPr>
          <w:p w14:paraId="08CE9D41" w14:textId="6A749EE4" w:rsidR="0090029D" w:rsidRPr="009F4B4B" w:rsidRDefault="0090029D" w:rsidP="0090029D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s-ES_tradnl"/>
              </w:rPr>
            </w:pPr>
            <w:r w:rsidRPr="009F4B4B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s-ES_tradnl"/>
              </w:rPr>
              <w:t>31.877</w:t>
            </w:r>
          </w:p>
        </w:tc>
        <w:tc>
          <w:tcPr>
            <w:tcW w:w="1545" w:type="dxa"/>
            <w:vAlign w:val="center"/>
          </w:tcPr>
          <w:p w14:paraId="19F59038" w14:textId="5CD8494B" w:rsidR="0090029D" w:rsidRPr="009F4B4B" w:rsidRDefault="0090029D" w:rsidP="0090029D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s-ES_tradnl"/>
              </w:rPr>
            </w:pPr>
            <w:r w:rsidRPr="009F4B4B">
              <w:rPr>
                <w:rStyle w:val="normaltextrun"/>
                <w:rFonts w:ascii="Times New Roman" w:hAnsi="Times New Roman" w:cs="Times New Roman"/>
                <w:color w:val="000000"/>
                <w:lang w:val="es-ES_tradnl"/>
              </w:rPr>
              <w:t>32.101</w:t>
            </w:r>
            <w:r w:rsidRPr="009F4B4B">
              <w:rPr>
                <w:rStyle w:val="eop"/>
                <w:rFonts w:ascii="Times New Roman" w:hAnsi="Times New Roman" w:cs="Times New Roman"/>
                <w:color w:val="000000"/>
                <w:lang w:val="es-ES_tradnl"/>
              </w:rPr>
              <w:t> </w:t>
            </w:r>
          </w:p>
        </w:tc>
        <w:tc>
          <w:tcPr>
            <w:tcW w:w="1215" w:type="dxa"/>
            <w:vAlign w:val="center"/>
          </w:tcPr>
          <w:p w14:paraId="4B9B659A" w14:textId="7080ACB7" w:rsidR="0090029D" w:rsidRPr="009F4B4B" w:rsidRDefault="0090029D" w:rsidP="0090029D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s-ES_tradnl"/>
              </w:rPr>
            </w:pPr>
            <w:r w:rsidRPr="009F4B4B">
              <w:rPr>
                <w:rStyle w:val="normaltextrun"/>
                <w:rFonts w:ascii="Times New Roman" w:hAnsi="Times New Roman" w:cs="Times New Roman"/>
                <w:color w:val="000000"/>
                <w:lang w:val="es-ES_tradnl"/>
              </w:rPr>
              <w:t>0.224</w:t>
            </w:r>
            <w:r w:rsidRPr="009F4B4B">
              <w:rPr>
                <w:rStyle w:val="eop"/>
                <w:rFonts w:ascii="Times New Roman" w:hAnsi="Times New Roman" w:cs="Times New Roman"/>
                <w:color w:val="000000"/>
                <w:lang w:val="es-ES_tradnl"/>
              </w:rPr>
              <w:t> </w:t>
            </w:r>
          </w:p>
        </w:tc>
        <w:tc>
          <w:tcPr>
            <w:tcW w:w="1144" w:type="dxa"/>
            <w:vAlign w:val="center"/>
          </w:tcPr>
          <w:p w14:paraId="59D2AF68" w14:textId="136EECF5" w:rsidR="0090029D" w:rsidRPr="009F4B4B" w:rsidRDefault="0090029D" w:rsidP="0090029D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s-ES_tradnl"/>
              </w:rPr>
            </w:pPr>
            <w:r w:rsidRPr="009F4B4B">
              <w:rPr>
                <w:rStyle w:val="normaltextrun"/>
                <w:rFonts w:ascii="Times New Roman" w:hAnsi="Times New Roman" w:cs="Times New Roman"/>
                <w:color w:val="000000"/>
                <w:lang w:val="es-ES_tradnl"/>
              </w:rPr>
              <w:t>0.70%</w:t>
            </w:r>
            <w:r w:rsidRPr="009F4B4B">
              <w:rPr>
                <w:rStyle w:val="eop"/>
                <w:rFonts w:ascii="Times New Roman" w:hAnsi="Times New Roman" w:cs="Times New Roman"/>
                <w:color w:val="000000"/>
                <w:lang w:val="es-ES_tradnl"/>
              </w:rPr>
              <w:t> </w:t>
            </w:r>
          </w:p>
        </w:tc>
      </w:tr>
      <w:tr w:rsidR="0090029D" w:rsidRPr="009F4B4B" w14:paraId="2B5AA79F" w14:textId="77777777" w:rsidTr="006637AB">
        <w:trPr>
          <w:trHeight w:val="270"/>
        </w:trPr>
        <w:tc>
          <w:tcPr>
            <w:tcW w:w="4185" w:type="dxa"/>
            <w:vAlign w:val="center"/>
          </w:tcPr>
          <w:p w14:paraId="41A77B4A" w14:textId="34CBE7BC" w:rsidR="0090029D" w:rsidRPr="009F4B4B" w:rsidRDefault="00680EBD" w:rsidP="0090029D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F4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  <w:t>Comercial</w:t>
            </w:r>
            <w:r w:rsidR="00C7360C" w:rsidRPr="009F4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  <w:t xml:space="preserve"> e i</w:t>
            </w:r>
            <w:r w:rsidRPr="009F4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  <w:t>ndustrial</w:t>
            </w:r>
            <w:r w:rsidR="00C7360C" w:rsidRPr="009F4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  <w:t xml:space="preserve"> mediano y grande</w:t>
            </w:r>
          </w:p>
        </w:tc>
        <w:tc>
          <w:tcPr>
            <w:tcW w:w="1380" w:type="dxa"/>
            <w:vAlign w:val="center"/>
          </w:tcPr>
          <w:p w14:paraId="0E84778C" w14:textId="18088D1E" w:rsidR="0090029D" w:rsidRPr="009F4B4B" w:rsidRDefault="0090029D" w:rsidP="0090029D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s-ES_tradnl"/>
              </w:rPr>
            </w:pPr>
            <w:r w:rsidRPr="009F4B4B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s-ES_tradnl"/>
              </w:rPr>
              <w:t>28.472</w:t>
            </w:r>
          </w:p>
        </w:tc>
        <w:tc>
          <w:tcPr>
            <w:tcW w:w="1545" w:type="dxa"/>
            <w:vAlign w:val="center"/>
          </w:tcPr>
          <w:p w14:paraId="069FB3AA" w14:textId="21852BE0" w:rsidR="0090029D" w:rsidRPr="009F4B4B" w:rsidRDefault="0090029D" w:rsidP="0090029D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s-ES_tradnl"/>
              </w:rPr>
            </w:pPr>
            <w:r w:rsidRPr="009F4B4B">
              <w:rPr>
                <w:rStyle w:val="normaltextrun"/>
                <w:rFonts w:ascii="Times New Roman" w:hAnsi="Times New Roman" w:cs="Times New Roman"/>
                <w:color w:val="000000"/>
                <w:lang w:val="es-ES_tradnl"/>
              </w:rPr>
              <w:t>28.601</w:t>
            </w:r>
            <w:r w:rsidRPr="009F4B4B">
              <w:rPr>
                <w:rStyle w:val="eop"/>
                <w:rFonts w:ascii="Times New Roman" w:hAnsi="Times New Roman" w:cs="Times New Roman"/>
                <w:color w:val="000000"/>
                <w:lang w:val="es-ES_tradnl"/>
              </w:rPr>
              <w:t> </w:t>
            </w:r>
          </w:p>
        </w:tc>
        <w:tc>
          <w:tcPr>
            <w:tcW w:w="1215" w:type="dxa"/>
            <w:vAlign w:val="center"/>
          </w:tcPr>
          <w:p w14:paraId="6FBD8DDC" w14:textId="0CF1050C" w:rsidR="0090029D" w:rsidRPr="009F4B4B" w:rsidRDefault="0090029D" w:rsidP="0090029D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s-ES_tradnl"/>
              </w:rPr>
            </w:pPr>
            <w:r w:rsidRPr="009F4B4B">
              <w:rPr>
                <w:rStyle w:val="normaltextrun"/>
                <w:rFonts w:ascii="Times New Roman" w:hAnsi="Times New Roman" w:cs="Times New Roman"/>
                <w:color w:val="000000"/>
                <w:lang w:val="es-ES_tradnl"/>
              </w:rPr>
              <w:t>0.129</w:t>
            </w:r>
            <w:r w:rsidRPr="009F4B4B">
              <w:rPr>
                <w:rStyle w:val="eop"/>
                <w:rFonts w:ascii="Times New Roman" w:hAnsi="Times New Roman" w:cs="Times New Roman"/>
                <w:color w:val="000000"/>
                <w:lang w:val="es-ES_tradnl"/>
              </w:rPr>
              <w:t> </w:t>
            </w:r>
          </w:p>
        </w:tc>
        <w:tc>
          <w:tcPr>
            <w:tcW w:w="1144" w:type="dxa"/>
            <w:vAlign w:val="center"/>
          </w:tcPr>
          <w:p w14:paraId="663F7DF9" w14:textId="155B5A94" w:rsidR="0090029D" w:rsidRPr="009F4B4B" w:rsidRDefault="0090029D" w:rsidP="0090029D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s-ES_tradnl"/>
              </w:rPr>
            </w:pPr>
            <w:r w:rsidRPr="009F4B4B">
              <w:rPr>
                <w:rStyle w:val="normaltextrun"/>
                <w:rFonts w:ascii="Times New Roman" w:hAnsi="Times New Roman" w:cs="Times New Roman"/>
                <w:color w:val="000000"/>
                <w:lang w:val="es-ES_tradnl"/>
              </w:rPr>
              <w:t>0.45%</w:t>
            </w:r>
            <w:r w:rsidRPr="009F4B4B">
              <w:rPr>
                <w:rStyle w:val="eop"/>
                <w:rFonts w:ascii="Times New Roman" w:hAnsi="Times New Roman" w:cs="Times New Roman"/>
                <w:color w:val="000000"/>
                <w:lang w:val="es-ES_tradnl"/>
              </w:rPr>
              <w:t> </w:t>
            </w:r>
          </w:p>
        </w:tc>
      </w:tr>
      <w:tr w:rsidR="0090029D" w:rsidRPr="009F4B4B" w14:paraId="15F0B0AF" w14:textId="77777777" w:rsidTr="006637AB">
        <w:trPr>
          <w:trHeight w:val="270"/>
        </w:trPr>
        <w:tc>
          <w:tcPr>
            <w:tcW w:w="4185" w:type="dxa"/>
            <w:vAlign w:val="center"/>
          </w:tcPr>
          <w:p w14:paraId="4275C318" w14:textId="3A702FA7" w:rsidR="0090029D" w:rsidRPr="009F4B4B" w:rsidRDefault="00680EBD" w:rsidP="0090029D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F4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  <w:t>Agricultura</w:t>
            </w:r>
          </w:p>
        </w:tc>
        <w:tc>
          <w:tcPr>
            <w:tcW w:w="1380" w:type="dxa"/>
            <w:vAlign w:val="center"/>
          </w:tcPr>
          <w:p w14:paraId="5E40C719" w14:textId="33B18BE9" w:rsidR="0090029D" w:rsidRPr="009F4B4B" w:rsidRDefault="0090029D" w:rsidP="0090029D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s-ES_tradnl"/>
              </w:rPr>
            </w:pPr>
            <w:r w:rsidRPr="009F4B4B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s-ES_tradnl"/>
              </w:rPr>
              <w:t>22.709</w:t>
            </w:r>
          </w:p>
        </w:tc>
        <w:tc>
          <w:tcPr>
            <w:tcW w:w="1545" w:type="dxa"/>
            <w:vAlign w:val="center"/>
          </w:tcPr>
          <w:p w14:paraId="6A3EA665" w14:textId="6CAEA299" w:rsidR="0090029D" w:rsidRPr="009F4B4B" w:rsidRDefault="0090029D" w:rsidP="0090029D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s-ES_tradnl"/>
              </w:rPr>
            </w:pPr>
            <w:r w:rsidRPr="009F4B4B">
              <w:rPr>
                <w:rStyle w:val="normaltextrun"/>
                <w:rFonts w:ascii="Times New Roman" w:hAnsi="Times New Roman" w:cs="Times New Roman"/>
                <w:color w:val="000000"/>
                <w:lang w:val="es-ES_tradnl"/>
              </w:rPr>
              <w:t>22.842</w:t>
            </w:r>
            <w:r w:rsidRPr="009F4B4B">
              <w:rPr>
                <w:rStyle w:val="eop"/>
                <w:rFonts w:ascii="Times New Roman" w:hAnsi="Times New Roman" w:cs="Times New Roman"/>
                <w:color w:val="000000"/>
                <w:lang w:val="es-ES_tradnl"/>
              </w:rPr>
              <w:t> </w:t>
            </w:r>
          </w:p>
        </w:tc>
        <w:tc>
          <w:tcPr>
            <w:tcW w:w="1215" w:type="dxa"/>
            <w:vAlign w:val="center"/>
          </w:tcPr>
          <w:p w14:paraId="010C4F17" w14:textId="02A0C8B0" w:rsidR="0090029D" w:rsidRPr="009F4B4B" w:rsidRDefault="0090029D" w:rsidP="0090029D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s-ES_tradnl"/>
              </w:rPr>
            </w:pPr>
            <w:r w:rsidRPr="009F4B4B">
              <w:rPr>
                <w:rStyle w:val="normaltextrun"/>
                <w:rFonts w:ascii="Times New Roman" w:hAnsi="Times New Roman" w:cs="Times New Roman"/>
                <w:color w:val="000000"/>
                <w:lang w:val="es-ES_tradnl"/>
              </w:rPr>
              <w:t>0.133</w:t>
            </w:r>
            <w:r w:rsidRPr="009F4B4B">
              <w:rPr>
                <w:rStyle w:val="eop"/>
                <w:rFonts w:ascii="Times New Roman" w:hAnsi="Times New Roman" w:cs="Times New Roman"/>
                <w:color w:val="000000"/>
                <w:lang w:val="es-ES_tradnl"/>
              </w:rPr>
              <w:t> </w:t>
            </w:r>
          </w:p>
        </w:tc>
        <w:tc>
          <w:tcPr>
            <w:tcW w:w="1144" w:type="dxa"/>
            <w:vAlign w:val="center"/>
          </w:tcPr>
          <w:p w14:paraId="4F05E309" w14:textId="6D3FBA36" w:rsidR="0090029D" w:rsidRPr="009F4B4B" w:rsidRDefault="0090029D" w:rsidP="0090029D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s-ES_tradnl"/>
              </w:rPr>
            </w:pPr>
            <w:r w:rsidRPr="009F4B4B">
              <w:rPr>
                <w:rStyle w:val="normaltextrun"/>
                <w:rFonts w:ascii="Times New Roman" w:hAnsi="Times New Roman" w:cs="Times New Roman"/>
                <w:color w:val="000000"/>
                <w:lang w:val="es-ES_tradnl"/>
              </w:rPr>
              <w:t>0.59%</w:t>
            </w:r>
            <w:r w:rsidRPr="009F4B4B">
              <w:rPr>
                <w:rStyle w:val="eop"/>
                <w:rFonts w:ascii="Times New Roman" w:hAnsi="Times New Roman" w:cs="Times New Roman"/>
                <w:color w:val="000000"/>
                <w:lang w:val="es-ES_tradnl"/>
              </w:rPr>
              <w:t> </w:t>
            </w:r>
          </w:p>
        </w:tc>
      </w:tr>
      <w:tr w:rsidR="0090029D" w:rsidRPr="009F4B4B" w14:paraId="71291B9F" w14:textId="77777777" w:rsidTr="006637AB">
        <w:trPr>
          <w:trHeight w:val="270"/>
        </w:trPr>
        <w:tc>
          <w:tcPr>
            <w:tcW w:w="4185" w:type="dxa"/>
            <w:vAlign w:val="center"/>
          </w:tcPr>
          <w:p w14:paraId="7CBD5329" w14:textId="65024E96" w:rsidR="0090029D" w:rsidRPr="009F4B4B" w:rsidRDefault="00680EBD" w:rsidP="0090029D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F4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  <w:t xml:space="preserve">Alumbrado </w:t>
            </w:r>
            <w:r w:rsidR="00C7360C" w:rsidRPr="009F4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  <w:t>p</w:t>
            </w:r>
            <w:r w:rsidRPr="009F4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  <w:t>úblico</w:t>
            </w:r>
          </w:p>
        </w:tc>
        <w:tc>
          <w:tcPr>
            <w:tcW w:w="1380" w:type="dxa"/>
            <w:vAlign w:val="center"/>
          </w:tcPr>
          <w:p w14:paraId="5F9F139E" w14:textId="22081EDD" w:rsidR="0090029D" w:rsidRPr="009F4B4B" w:rsidRDefault="0090029D" w:rsidP="0090029D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s-ES_tradnl"/>
              </w:rPr>
            </w:pPr>
            <w:r w:rsidRPr="009F4B4B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s-ES_tradnl"/>
              </w:rPr>
              <w:t>28.835</w:t>
            </w:r>
          </w:p>
        </w:tc>
        <w:tc>
          <w:tcPr>
            <w:tcW w:w="1545" w:type="dxa"/>
            <w:vAlign w:val="center"/>
          </w:tcPr>
          <w:p w14:paraId="63D1A37E" w14:textId="40D7A540" w:rsidR="0090029D" w:rsidRPr="009F4B4B" w:rsidRDefault="0090029D" w:rsidP="0090029D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s-ES_tradnl"/>
              </w:rPr>
            </w:pPr>
            <w:r w:rsidRPr="009F4B4B">
              <w:rPr>
                <w:rStyle w:val="normaltextrun"/>
                <w:rFonts w:ascii="Times New Roman" w:hAnsi="Times New Roman" w:cs="Times New Roman"/>
                <w:color w:val="000000"/>
                <w:lang w:val="es-ES_tradnl"/>
              </w:rPr>
              <w:t>29.099</w:t>
            </w:r>
            <w:r w:rsidRPr="009F4B4B">
              <w:rPr>
                <w:rStyle w:val="eop"/>
                <w:rFonts w:ascii="Times New Roman" w:hAnsi="Times New Roman" w:cs="Times New Roman"/>
                <w:color w:val="000000"/>
                <w:lang w:val="es-ES_tradnl"/>
              </w:rPr>
              <w:t> </w:t>
            </w:r>
          </w:p>
        </w:tc>
        <w:tc>
          <w:tcPr>
            <w:tcW w:w="1215" w:type="dxa"/>
            <w:vAlign w:val="center"/>
          </w:tcPr>
          <w:p w14:paraId="0697619A" w14:textId="2BEB6DEE" w:rsidR="0090029D" w:rsidRPr="009F4B4B" w:rsidRDefault="0090029D" w:rsidP="0090029D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s-ES_tradnl"/>
              </w:rPr>
            </w:pPr>
            <w:r w:rsidRPr="009F4B4B">
              <w:rPr>
                <w:rStyle w:val="normaltextrun"/>
                <w:rFonts w:ascii="Times New Roman" w:hAnsi="Times New Roman" w:cs="Times New Roman"/>
                <w:color w:val="000000"/>
                <w:lang w:val="es-ES_tradnl"/>
              </w:rPr>
              <w:t>0.264</w:t>
            </w:r>
            <w:r w:rsidRPr="009F4B4B">
              <w:rPr>
                <w:rStyle w:val="eop"/>
                <w:rFonts w:ascii="Times New Roman" w:hAnsi="Times New Roman" w:cs="Times New Roman"/>
                <w:color w:val="000000"/>
                <w:lang w:val="es-ES_tradnl"/>
              </w:rPr>
              <w:t> </w:t>
            </w:r>
          </w:p>
        </w:tc>
        <w:tc>
          <w:tcPr>
            <w:tcW w:w="1144" w:type="dxa"/>
            <w:vAlign w:val="center"/>
          </w:tcPr>
          <w:p w14:paraId="3CABE00A" w14:textId="01E50999" w:rsidR="0090029D" w:rsidRPr="009F4B4B" w:rsidRDefault="0090029D" w:rsidP="0090029D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s-ES_tradnl"/>
              </w:rPr>
            </w:pPr>
            <w:r w:rsidRPr="009F4B4B">
              <w:rPr>
                <w:rStyle w:val="normaltextrun"/>
                <w:rFonts w:ascii="Times New Roman" w:hAnsi="Times New Roman" w:cs="Times New Roman"/>
                <w:color w:val="000000"/>
                <w:lang w:val="es-ES_tradnl"/>
              </w:rPr>
              <w:t>0.92%</w:t>
            </w:r>
            <w:r w:rsidRPr="009F4B4B">
              <w:rPr>
                <w:rStyle w:val="eop"/>
                <w:rFonts w:ascii="Times New Roman" w:hAnsi="Times New Roman" w:cs="Times New Roman"/>
                <w:color w:val="000000"/>
                <w:lang w:val="es-ES_tradnl"/>
              </w:rPr>
              <w:t> </w:t>
            </w:r>
          </w:p>
        </w:tc>
      </w:tr>
      <w:tr w:rsidR="0090029D" w:rsidRPr="009F4B4B" w14:paraId="43905E4F" w14:textId="77777777" w:rsidTr="006637AB">
        <w:trPr>
          <w:trHeight w:val="270"/>
        </w:trPr>
        <w:tc>
          <w:tcPr>
            <w:tcW w:w="4185" w:type="dxa"/>
            <w:vAlign w:val="center"/>
          </w:tcPr>
          <w:p w14:paraId="09972B44" w14:textId="5906B47E" w:rsidR="0090029D" w:rsidRPr="009F4B4B" w:rsidRDefault="00680EBD" w:rsidP="0090029D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F4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  <w:t>Total del sistema</w:t>
            </w:r>
          </w:p>
        </w:tc>
        <w:tc>
          <w:tcPr>
            <w:tcW w:w="1380" w:type="dxa"/>
            <w:vAlign w:val="center"/>
          </w:tcPr>
          <w:p w14:paraId="034C4C03" w14:textId="6059A191" w:rsidR="0090029D" w:rsidRPr="009F4B4B" w:rsidRDefault="0090029D" w:rsidP="0090029D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s-ES_tradnl"/>
              </w:rPr>
            </w:pPr>
            <w:r w:rsidRPr="009F4B4B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s-ES_tradnl"/>
              </w:rPr>
              <w:t>30.510</w:t>
            </w:r>
          </w:p>
        </w:tc>
        <w:tc>
          <w:tcPr>
            <w:tcW w:w="1545" w:type="dxa"/>
            <w:vAlign w:val="center"/>
          </w:tcPr>
          <w:p w14:paraId="23FFBF4D" w14:textId="4AADE6A8" w:rsidR="0090029D" w:rsidRPr="009F4B4B" w:rsidRDefault="0090029D" w:rsidP="0090029D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s-ES_tradnl"/>
              </w:rPr>
            </w:pPr>
            <w:r w:rsidRPr="009F4B4B">
              <w:rPr>
                <w:rStyle w:val="normaltextrun"/>
                <w:rFonts w:ascii="Times New Roman" w:hAnsi="Times New Roman" w:cs="Times New Roman"/>
                <w:color w:val="000000"/>
                <w:lang w:val="es-ES_tradnl"/>
              </w:rPr>
              <w:t>30.684</w:t>
            </w:r>
            <w:r w:rsidRPr="009F4B4B">
              <w:rPr>
                <w:rStyle w:val="eop"/>
                <w:rFonts w:ascii="Times New Roman" w:hAnsi="Times New Roman" w:cs="Times New Roman"/>
                <w:color w:val="000000"/>
                <w:lang w:val="es-ES_tradnl"/>
              </w:rPr>
              <w:t> </w:t>
            </w:r>
          </w:p>
        </w:tc>
        <w:tc>
          <w:tcPr>
            <w:tcW w:w="1215" w:type="dxa"/>
            <w:vAlign w:val="center"/>
          </w:tcPr>
          <w:p w14:paraId="3A4F802F" w14:textId="0C769E18" w:rsidR="0090029D" w:rsidRPr="009F4B4B" w:rsidRDefault="0090029D" w:rsidP="0090029D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s-ES_tradnl"/>
              </w:rPr>
            </w:pPr>
            <w:r w:rsidRPr="009F4B4B">
              <w:rPr>
                <w:rStyle w:val="normaltextrun"/>
                <w:rFonts w:ascii="Times New Roman" w:hAnsi="Times New Roman" w:cs="Times New Roman"/>
                <w:color w:val="000000"/>
                <w:lang w:val="es-ES_tradnl"/>
              </w:rPr>
              <w:t>0.174</w:t>
            </w:r>
            <w:r w:rsidRPr="009F4B4B">
              <w:rPr>
                <w:rStyle w:val="eop"/>
                <w:rFonts w:ascii="Times New Roman" w:hAnsi="Times New Roman" w:cs="Times New Roman"/>
                <w:color w:val="000000"/>
                <w:lang w:val="es-ES_tradnl"/>
              </w:rPr>
              <w:t> </w:t>
            </w:r>
          </w:p>
        </w:tc>
        <w:tc>
          <w:tcPr>
            <w:tcW w:w="1144" w:type="dxa"/>
            <w:vAlign w:val="center"/>
          </w:tcPr>
          <w:p w14:paraId="0A337430" w14:textId="3D9BA7C8" w:rsidR="0090029D" w:rsidRPr="009F4B4B" w:rsidRDefault="002A7E31" w:rsidP="0090029D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s-ES_tradnl"/>
              </w:rPr>
            </w:pPr>
            <w:r w:rsidRPr="009F4B4B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  <w:lang w:val="es-ES_tradnl"/>
              </w:rPr>
              <w:t>0.57%</w:t>
            </w:r>
            <w:r w:rsidRPr="009F4B4B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  <w:lang w:val="es-ES_tradnl"/>
              </w:rPr>
              <w:t> </w:t>
            </w:r>
          </w:p>
        </w:tc>
      </w:tr>
    </w:tbl>
    <w:p w14:paraId="33BFA8B1" w14:textId="5131A989" w:rsidR="487F7BE9" w:rsidRPr="009F4B4B" w:rsidRDefault="487F7BE9" w:rsidP="487F7B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067CF6A" w14:textId="3543F0E7" w:rsidR="00F80164" w:rsidRPr="009F4B4B" w:rsidRDefault="00680EBD" w:rsidP="00F801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9F4B4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¿Cómo podría afectar esto mis tarifas mensuales de gas?</w:t>
      </w:r>
      <w:r w:rsidR="00F80164" w:rsidRPr="009F4B4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</w:p>
    <w:p w14:paraId="198CF1E6" w14:textId="27C2F660" w:rsidR="00F80164" w:rsidRPr="009F4B4B" w:rsidRDefault="00680EBD" w:rsidP="00F801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Si la </w:t>
      </w:r>
      <w:r w:rsidR="00844190"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CPUC aprueba la </w:t>
      </w:r>
      <w:r w:rsidRPr="009F4B4B">
        <w:rPr>
          <w:rFonts w:ascii="Times New Roman" w:hAnsi="Times New Roman" w:cs="Times New Roman"/>
          <w:sz w:val="24"/>
          <w:szCs w:val="24"/>
          <w:lang w:val="es-ES_tradnl"/>
        </w:rPr>
        <w:t>solicitud tarifa</w:t>
      </w:r>
      <w:r w:rsidR="00844190" w:rsidRPr="009F4B4B">
        <w:rPr>
          <w:rFonts w:ascii="Times New Roman" w:hAnsi="Times New Roman" w:cs="Times New Roman"/>
          <w:sz w:val="24"/>
          <w:szCs w:val="24"/>
          <w:lang w:val="es-ES_tradnl"/>
        </w:rPr>
        <w:t>ria</w:t>
      </w:r>
      <w:r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 de SDG&amp;E, la factura mensual residencial promedio que </w:t>
      </w:r>
      <w:r w:rsidR="00716C5D" w:rsidRPr="009F4B4B">
        <w:rPr>
          <w:rFonts w:ascii="Times New Roman" w:hAnsi="Times New Roman" w:cs="Times New Roman"/>
          <w:sz w:val="24"/>
          <w:szCs w:val="24"/>
          <w:lang w:val="es-ES_tradnl"/>
        </w:rPr>
        <w:t>consume</w:t>
      </w:r>
      <w:r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 24 term</w:t>
      </w:r>
      <w:r w:rsidR="00C4365E" w:rsidRPr="009F4B4B">
        <w:rPr>
          <w:rFonts w:ascii="Times New Roman" w:hAnsi="Times New Roman" w:cs="Times New Roman"/>
          <w:sz w:val="24"/>
          <w:szCs w:val="24"/>
          <w:lang w:val="es-ES_tradnl"/>
        </w:rPr>
        <w:t>ias al</w:t>
      </w:r>
      <w:r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 mes podría aumentar en aproximadamente $0.45 o 0.9% </w:t>
      </w:r>
      <w:r w:rsidR="00C4365E" w:rsidRPr="009F4B4B">
        <w:rPr>
          <w:rFonts w:ascii="Times New Roman" w:hAnsi="Times New Roman" w:cs="Times New Roman"/>
          <w:sz w:val="24"/>
          <w:szCs w:val="24"/>
          <w:lang w:val="es-ES_tradnl"/>
        </w:rPr>
        <w:t>al</w:t>
      </w:r>
      <w:r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 mes en 2024</w:t>
      </w:r>
      <w:r w:rsidR="00C4365E" w:rsidRPr="009F4B4B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4F28B69B" w14:textId="77777777" w:rsidR="00F80164" w:rsidRPr="009F4B4B" w:rsidRDefault="00F80164" w:rsidP="00F801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67F23F08" w14:textId="23FC825B" w:rsidR="00F80164" w:rsidRPr="009F4B4B" w:rsidRDefault="00680EBD" w:rsidP="00F80164">
      <w:pPr>
        <w:pStyle w:val="Heading2"/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</w:pPr>
      <w:r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AUMENTO </w:t>
      </w:r>
      <w:r w:rsidR="00D30107"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PROPUESTO </w:t>
      </w:r>
      <w:r w:rsidR="00C4365E" w:rsidRPr="009F4B4B">
        <w:rPr>
          <w:rFonts w:ascii="Times New Roman" w:hAnsi="Times New Roman" w:cs="Times New Roman"/>
          <w:sz w:val="24"/>
          <w:szCs w:val="24"/>
          <w:lang w:val="es-ES_tradnl"/>
        </w:rPr>
        <w:t>EN</w:t>
      </w:r>
      <w:r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 LA TARIFA DE GAS</w:t>
      </w:r>
    </w:p>
    <w:p w14:paraId="69ADC937" w14:textId="18A06429" w:rsidR="00F80164" w:rsidRPr="009F4B4B" w:rsidRDefault="00F80164" w:rsidP="00F801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3780"/>
        <w:gridCol w:w="1360"/>
        <w:gridCol w:w="1400"/>
        <w:gridCol w:w="1320"/>
        <w:gridCol w:w="2120"/>
      </w:tblGrid>
      <w:tr w:rsidR="00392509" w:rsidRPr="009F4B4B" w14:paraId="3F8B9B0B" w14:textId="77777777" w:rsidTr="00392509">
        <w:trPr>
          <w:trHeight w:val="948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E8C02" w14:textId="29697818" w:rsidR="00392509" w:rsidRPr="009F4B4B" w:rsidRDefault="00680EBD" w:rsidP="0039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9F4B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Clasificación de clientes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E2FD2" w14:textId="522C45EB" w:rsidR="00392509" w:rsidRPr="009F4B4B" w:rsidRDefault="00B1579F" w:rsidP="0039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9F4B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Ta</w:t>
            </w:r>
            <w:r w:rsidR="00C4365E" w:rsidRPr="009F4B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rifas</w:t>
            </w:r>
            <w:r w:rsidRPr="009F4B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 promedio actuales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D784F" w14:textId="132AE4E0" w:rsidR="00392509" w:rsidRPr="009F4B4B" w:rsidRDefault="00C4365E" w:rsidP="0039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9F4B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Tarifas </w:t>
            </w:r>
            <w:r w:rsidR="00A33FBF" w:rsidRPr="009F4B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promedio </w:t>
            </w:r>
            <w:r w:rsidR="00B1579F" w:rsidRPr="009F4B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propuestas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D53A1" w14:textId="07C8037A" w:rsidR="00392509" w:rsidRPr="009F4B4B" w:rsidRDefault="00B1579F" w:rsidP="0039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9F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Aumento </w:t>
            </w:r>
            <w:r w:rsidR="00392509" w:rsidRPr="009F4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% 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E14AB" w14:textId="7D72988A" w:rsidR="00392509" w:rsidRPr="009F4B4B" w:rsidRDefault="00B1579F" w:rsidP="0039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9F4B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Aumento </w:t>
            </w:r>
            <w:r w:rsidR="00C4365E" w:rsidRPr="009F4B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tarifario</w:t>
            </w:r>
            <w:r w:rsidRPr="009F4B4B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Pr="009F4B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(en centavos/dólares) </w:t>
            </w:r>
          </w:p>
        </w:tc>
      </w:tr>
      <w:tr w:rsidR="00FD17A2" w:rsidRPr="009F4B4B" w14:paraId="17D8AD4B" w14:textId="77777777" w:rsidTr="00392509">
        <w:trPr>
          <w:trHeight w:val="324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7D44D" w14:textId="5F0BE625" w:rsidR="00FD17A2" w:rsidRPr="009F4B4B" w:rsidRDefault="00B1579F" w:rsidP="00FD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9F4B4B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Residencial </w:t>
            </w:r>
            <w:r w:rsidR="00FD17A2" w:rsidRPr="009F4B4B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c/t</w:t>
            </w:r>
            <w:r w:rsidR="007E02CA" w:rsidRPr="009F4B4B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ermia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88FF9" w14:textId="77777777" w:rsidR="00FD17A2" w:rsidRPr="009F4B4B" w:rsidRDefault="00FD17A2" w:rsidP="00FD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9F4B4B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147.125 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822EA" w14:textId="34B4E155" w:rsidR="00FD17A2" w:rsidRPr="009F4B4B" w:rsidRDefault="00FD17A2" w:rsidP="00FD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9F4B4B">
              <w:rPr>
                <w:rStyle w:val="normaltextrun"/>
                <w:rFonts w:ascii="Times New Roman" w:hAnsi="Times New Roman" w:cs="Times New Roman"/>
                <w:lang w:val="es-ES_tradnl"/>
              </w:rPr>
              <w:t>149.018 ¢</w:t>
            </w:r>
            <w:r w:rsidRPr="009F4B4B">
              <w:rPr>
                <w:rStyle w:val="eop"/>
                <w:rFonts w:ascii="Times New Roman" w:hAnsi="Times New Roman" w:cs="Times New Roman"/>
                <w:lang w:val="es-ES_tradn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05494" w14:textId="1A353A65" w:rsidR="00FD17A2" w:rsidRPr="009F4B4B" w:rsidRDefault="00FD17A2" w:rsidP="00FD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9F4B4B">
              <w:rPr>
                <w:rStyle w:val="normaltextrun"/>
                <w:rFonts w:ascii="Times New Roman" w:hAnsi="Times New Roman" w:cs="Times New Roman"/>
                <w:lang w:val="es-ES_tradnl"/>
              </w:rPr>
              <w:t>1.3%</w:t>
            </w:r>
            <w:r w:rsidRPr="009F4B4B">
              <w:rPr>
                <w:rStyle w:val="eop"/>
                <w:rFonts w:ascii="Times New Roman" w:hAnsi="Times New Roman" w:cs="Times New Roman"/>
                <w:lang w:val="es-ES_tradnl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9AF59" w14:textId="070DF73B" w:rsidR="00FD17A2" w:rsidRPr="009F4B4B" w:rsidRDefault="00FD17A2" w:rsidP="00FD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9F4B4B">
              <w:rPr>
                <w:rStyle w:val="normaltextrun"/>
                <w:rFonts w:ascii="Times New Roman" w:hAnsi="Times New Roman" w:cs="Times New Roman"/>
                <w:lang w:val="es-ES_tradnl"/>
              </w:rPr>
              <w:t>1.893 ¢</w:t>
            </w:r>
            <w:r w:rsidRPr="009F4B4B">
              <w:rPr>
                <w:rStyle w:val="eop"/>
                <w:rFonts w:ascii="Times New Roman" w:hAnsi="Times New Roman" w:cs="Times New Roman"/>
                <w:lang w:val="es-ES_tradnl"/>
              </w:rPr>
              <w:t> </w:t>
            </w:r>
          </w:p>
        </w:tc>
      </w:tr>
      <w:tr w:rsidR="00FD17A2" w:rsidRPr="009F4B4B" w14:paraId="340EFAA5" w14:textId="77777777" w:rsidTr="00392509">
        <w:trPr>
          <w:trHeight w:val="324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CE66B" w14:textId="473C110B" w:rsidR="00FD17A2" w:rsidRPr="009F4B4B" w:rsidRDefault="00B1579F" w:rsidP="00FD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9F4B4B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Comercial </w:t>
            </w:r>
            <w:r w:rsidR="00FD17A2" w:rsidRPr="009F4B4B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c/</w:t>
            </w:r>
            <w:r w:rsidR="007E02CA" w:rsidRPr="009F4B4B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termia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07E59" w14:textId="77777777" w:rsidR="00FD17A2" w:rsidRPr="009F4B4B" w:rsidRDefault="00FD17A2" w:rsidP="00FD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9F4B4B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61.067 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BF053" w14:textId="3DD2514D" w:rsidR="00FD17A2" w:rsidRPr="009F4B4B" w:rsidRDefault="00FD17A2" w:rsidP="00FD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9F4B4B">
              <w:rPr>
                <w:rStyle w:val="normaltextrun"/>
                <w:rFonts w:ascii="Times New Roman" w:hAnsi="Times New Roman" w:cs="Times New Roman"/>
                <w:lang w:val="es-ES_tradnl"/>
              </w:rPr>
              <w:t>61.573 ¢</w:t>
            </w:r>
            <w:r w:rsidRPr="009F4B4B">
              <w:rPr>
                <w:rStyle w:val="eop"/>
                <w:rFonts w:ascii="Times New Roman" w:hAnsi="Times New Roman" w:cs="Times New Roman"/>
                <w:lang w:val="es-ES_tradn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F91BE" w14:textId="4885B9A9" w:rsidR="00FD17A2" w:rsidRPr="009F4B4B" w:rsidRDefault="00FD17A2" w:rsidP="00FD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9F4B4B">
              <w:rPr>
                <w:rStyle w:val="normaltextrun"/>
                <w:rFonts w:ascii="Times New Roman" w:hAnsi="Times New Roman" w:cs="Times New Roman"/>
                <w:lang w:val="es-ES_tradnl"/>
              </w:rPr>
              <w:t>0.8%</w:t>
            </w:r>
            <w:r w:rsidRPr="009F4B4B">
              <w:rPr>
                <w:rStyle w:val="eop"/>
                <w:rFonts w:ascii="Times New Roman" w:hAnsi="Times New Roman" w:cs="Times New Roman"/>
                <w:lang w:val="es-ES_tradnl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70DF3" w14:textId="4D305532" w:rsidR="00FD17A2" w:rsidRPr="009F4B4B" w:rsidRDefault="00FD17A2" w:rsidP="00FD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9F4B4B">
              <w:rPr>
                <w:rStyle w:val="normaltextrun"/>
                <w:rFonts w:ascii="Times New Roman" w:hAnsi="Times New Roman" w:cs="Times New Roman"/>
                <w:lang w:val="es-ES_tradnl"/>
              </w:rPr>
              <w:t>0.506 ¢</w:t>
            </w:r>
            <w:r w:rsidRPr="009F4B4B">
              <w:rPr>
                <w:rStyle w:val="eop"/>
                <w:rFonts w:ascii="Times New Roman" w:hAnsi="Times New Roman" w:cs="Times New Roman"/>
                <w:lang w:val="es-ES_tradnl"/>
              </w:rPr>
              <w:t> </w:t>
            </w:r>
          </w:p>
        </w:tc>
      </w:tr>
      <w:tr w:rsidR="00FD17A2" w:rsidRPr="009F4B4B" w14:paraId="6821C4F7" w14:textId="77777777" w:rsidTr="00392509">
        <w:trPr>
          <w:trHeight w:val="324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25DD7" w14:textId="6163D170" w:rsidR="00FD17A2" w:rsidRPr="009F4B4B" w:rsidRDefault="00B1579F" w:rsidP="00FD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9F4B4B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Vehículos de gas natural </w:t>
            </w:r>
            <w:r w:rsidR="007E02CA" w:rsidRPr="009F4B4B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c/termia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C6C908" w14:textId="77777777" w:rsidR="00FD17A2" w:rsidRPr="009F4B4B" w:rsidRDefault="00FD17A2" w:rsidP="00FD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9F4B4B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35.496 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B467F" w14:textId="52413FF8" w:rsidR="00FD17A2" w:rsidRPr="009F4B4B" w:rsidRDefault="00FD17A2" w:rsidP="00FD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9F4B4B">
              <w:rPr>
                <w:rStyle w:val="normaltextrun"/>
                <w:rFonts w:ascii="Times New Roman" w:hAnsi="Times New Roman" w:cs="Times New Roman"/>
                <w:lang w:val="es-ES_tradnl"/>
              </w:rPr>
              <w:t>35.517 ¢</w:t>
            </w:r>
            <w:r w:rsidRPr="009F4B4B">
              <w:rPr>
                <w:rStyle w:val="eop"/>
                <w:rFonts w:ascii="Times New Roman" w:hAnsi="Times New Roman" w:cs="Times New Roman"/>
                <w:lang w:val="es-ES_tradn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C4316" w14:textId="2C400102" w:rsidR="00FD17A2" w:rsidRPr="009F4B4B" w:rsidRDefault="00FD17A2" w:rsidP="00FD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9F4B4B">
              <w:rPr>
                <w:rStyle w:val="normaltextrun"/>
                <w:rFonts w:ascii="Times New Roman" w:hAnsi="Times New Roman" w:cs="Times New Roman"/>
                <w:lang w:val="es-ES_tradnl"/>
              </w:rPr>
              <w:t>0.1%</w:t>
            </w:r>
            <w:r w:rsidRPr="009F4B4B">
              <w:rPr>
                <w:rStyle w:val="eop"/>
                <w:rFonts w:ascii="Times New Roman" w:hAnsi="Times New Roman" w:cs="Times New Roman"/>
                <w:lang w:val="es-ES_tradnl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691BC" w14:textId="2E73837E" w:rsidR="00FD17A2" w:rsidRPr="009F4B4B" w:rsidRDefault="00FD17A2" w:rsidP="00FD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9F4B4B">
              <w:rPr>
                <w:rStyle w:val="normaltextrun"/>
                <w:rFonts w:ascii="Times New Roman" w:hAnsi="Times New Roman" w:cs="Times New Roman"/>
                <w:lang w:val="es-ES_tradnl"/>
              </w:rPr>
              <w:t>0.021 ¢</w:t>
            </w:r>
            <w:r w:rsidRPr="009F4B4B">
              <w:rPr>
                <w:rStyle w:val="eop"/>
                <w:rFonts w:ascii="Times New Roman" w:hAnsi="Times New Roman" w:cs="Times New Roman"/>
                <w:lang w:val="es-ES_tradnl"/>
              </w:rPr>
              <w:t> </w:t>
            </w:r>
          </w:p>
        </w:tc>
      </w:tr>
      <w:tr w:rsidR="00FD17A2" w:rsidRPr="009F4B4B" w14:paraId="1E6FEBA1" w14:textId="77777777" w:rsidTr="00392509">
        <w:trPr>
          <w:trHeight w:val="636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E389B" w14:textId="746BCAE4" w:rsidR="00FD17A2" w:rsidRPr="009F4B4B" w:rsidRDefault="00FD17A2" w:rsidP="00FD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9F4B4B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Industrial </w:t>
            </w:r>
            <w:r w:rsidR="00922C21" w:rsidRPr="009F4B4B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grande </w:t>
            </w:r>
            <w:r w:rsidRPr="009F4B4B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(</w:t>
            </w:r>
            <w:r w:rsidR="00922C21" w:rsidRPr="009F4B4B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servicio a nivel de </w:t>
            </w:r>
            <w:r w:rsidRPr="009F4B4B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distribu</w:t>
            </w:r>
            <w:r w:rsidR="00922C21" w:rsidRPr="009F4B4B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c</w:t>
            </w:r>
            <w:r w:rsidRPr="009F4B4B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i</w:t>
            </w:r>
            <w:r w:rsidR="00922C21" w:rsidRPr="009F4B4B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ón</w:t>
            </w:r>
            <w:r w:rsidRPr="009F4B4B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) </w:t>
            </w:r>
            <w:r w:rsidR="007E02CA" w:rsidRPr="009F4B4B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c/termia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E7C55" w14:textId="77777777" w:rsidR="00FD17A2" w:rsidRPr="009F4B4B" w:rsidRDefault="00FD17A2" w:rsidP="00FD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9F4B4B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16.284 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4A39F" w14:textId="2088437B" w:rsidR="00FD17A2" w:rsidRPr="009F4B4B" w:rsidRDefault="00FD17A2" w:rsidP="00FD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9F4B4B">
              <w:rPr>
                <w:rStyle w:val="normaltextrun"/>
                <w:rFonts w:ascii="Times New Roman" w:hAnsi="Times New Roman" w:cs="Times New Roman"/>
                <w:lang w:val="es-ES_tradnl"/>
              </w:rPr>
              <w:t>16.436 ¢</w:t>
            </w:r>
            <w:r w:rsidRPr="009F4B4B">
              <w:rPr>
                <w:rStyle w:val="eop"/>
                <w:rFonts w:ascii="Times New Roman" w:hAnsi="Times New Roman" w:cs="Times New Roman"/>
                <w:lang w:val="es-ES_tradn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5BCF7" w14:textId="26917CD5" w:rsidR="00FD17A2" w:rsidRPr="009F4B4B" w:rsidRDefault="00FD17A2" w:rsidP="00FD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9F4B4B">
              <w:rPr>
                <w:rStyle w:val="normaltextrun"/>
                <w:rFonts w:ascii="Times New Roman" w:hAnsi="Times New Roman" w:cs="Times New Roman"/>
                <w:lang w:val="es-ES_tradnl"/>
              </w:rPr>
              <w:t>0.9%</w:t>
            </w:r>
            <w:r w:rsidRPr="009F4B4B">
              <w:rPr>
                <w:rStyle w:val="eop"/>
                <w:rFonts w:ascii="Times New Roman" w:hAnsi="Times New Roman" w:cs="Times New Roman"/>
                <w:lang w:val="es-ES_tradnl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F1E07" w14:textId="366EC53B" w:rsidR="00FD17A2" w:rsidRPr="009F4B4B" w:rsidRDefault="00FD17A2" w:rsidP="00FD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9F4B4B">
              <w:rPr>
                <w:rStyle w:val="normaltextrun"/>
                <w:rFonts w:ascii="Times New Roman" w:hAnsi="Times New Roman" w:cs="Times New Roman"/>
                <w:lang w:val="es-ES_tradnl"/>
              </w:rPr>
              <w:t>0.152 ¢</w:t>
            </w:r>
            <w:r w:rsidRPr="009F4B4B">
              <w:rPr>
                <w:rStyle w:val="eop"/>
                <w:rFonts w:ascii="Times New Roman" w:hAnsi="Times New Roman" w:cs="Times New Roman"/>
                <w:lang w:val="es-ES_tradnl"/>
              </w:rPr>
              <w:t> </w:t>
            </w:r>
          </w:p>
        </w:tc>
      </w:tr>
      <w:tr w:rsidR="00FD17A2" w:rsidRPr="009F4B4B" w14:paraId="3E849E3A" w14:textId="77777777" w:rsidTr="00392509">
        <w:trPr>
          <w:trHeight w:val="636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F4758" w14:textId="2C92F209" w:rsidR="00FD17A2" w:rsidRPr="009F4B4B" w:rsidRDefault="00922C21" w:rsidP="00FD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9F4B4B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Industrial grande (servicio a nivel de </w:t>
            </w:r>
            <w:r w:rsidR="00FD17A2" w:rsidRPr="009F4B4B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transmis</w:t>
            </w:r>
            <w:r w:rsidRPr="009F4B4B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ión</w:t>
            </w:r>
            <w:r w:rsidR="00FD17A2" w:rsidRPr="009F4B4B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) </w:t>
            </w:r>
            <w:r w:rsidR="007E02CA" w:rsidRPr="009F4B4B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c/termia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0DC3A" w14:textId="77777777" w:rsidR="00FD17A2" w:rsidRPr="009F4B4B" w:rsidRDefault="00FD17A2" w:rsidP="00FD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9F4B4B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3.423 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D6E12" w14:textId="529137B5" w:rsidR="00FD17A2" w:rsidRPr="009F4B4B" w:rsidRDefault="00FD17A2" w:rsidP="00FD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9F4B4B">
              <w:rPr>
                <w:rStyle w:val="normaltextrun"/>
                <w:rFonts w:ascii="Times New Roman" w:hAnsi="Times New Roman" w:cs="Times New Roman"/>
                <w:lang w:val="es-ES_tradnl"/>
              </w:rPr>
              <w:t>3.425 ¢</w:t>
            </w:r>
            <w:r w:rsidRPr="009F4B4B">
              <w:rPr>
                <w:rStyle w:val="eop"/>
                <w:rFonts w:ascii="Times New Roman" w:hAnsi="Times New Roman" w:cs="Times New Roman"/>
                <w:lang w:val="es-ES_tradn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46994" w14:textId="2812FB57" w:rsidR="00FD17A2" w:rsidRPr="009F4B4B" w:rsidRDefault="00FD17A2" w:rsidP="00FD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9F4B4B">
              <w:rPr>
                <w:rStyle w:val="normaltextrun"/>
                <w:rFonts w:ascii="Times New Roman" w:hAnsi="Times New Roman" w:cs="Times New Roman"/>
                <w:lang w:val="es-ES_tradnl"/>
              </w:rPr>
              <w:t>0.0%</w:t>
            </w:r>
            <w:r w:rsidRPr="009F4B4B">
              <w:rPr>
                <w:rStyle w:val="eop"/>
                <w:rFonts w:ascii="Times New Roman" w:hAnsi="Times New Roman" w:cs="Times New Roman"/>
                <w:lang w:val="es-ES_tradnl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31FB7" w14:textId="7B40F13F" w:rsidR="00FD17A2" w:rsidRPr="009F4B4B" w:rsidRDefault="00FD17A2" w:rsidP="00FD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9F4B4B">
              <w:rPr>
                <w:rStyle w:val="normaltextrun"/>
                <w:rFonts w:ascii="Times New Roman" w:hAnsi="Times New Roman" w:cs="Times New Roman"/>
                <w:lang w:val="es-ES_tradnl"/>
              </w:rPr>
              <w:t>0.001 ¢</w:t>
            </w:r>
            <w:r w:rsidRPr="009F4B4B">
              <w:rPr>
                <w:rStyle w:val="eop"/>
                <w:rFonts w:ascii="Times New Roman" w:hAnsi="Times New Roman" w:cs="Times New Roman"/>
                <w:lang w:val="es-ES_tradnl"/>
              </w:rPr>
              <w:t> </w:t>
            </w:r>
          </w:p>
        </w:tc>
      </w:tr>
      <w:tr w:rsidR="00FD17A2" w:rsidRPr="009F4B4B" w14:paraId="6555F233" w14:textId="77777777" w:rsidTr="00392509">
        <w:trPr>
          <w:trHeight w:val="324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6DC62" w14:textId="1054E0B5" w:rsidR="00FD17A2" w:rsidRPr="009F4B4B" w:rsidRDefault="00922C21" w:rsidP="00FD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9F4B4B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Total del sistema </w:t>
            </w:r>
            <w:r w:rsidR="007E02CA" w:rsidRPr="009F4B4B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c/termia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14FC1" w14:textId="77777777" w:rsidR="00FD17A2" w:rsidRPr="009F4B4B" w:rsidRDefault="00FD17A2" w:rsidP="00FD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9F4B4B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55.869 ¢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D62C7" w14:textId="05740A62" w:rsidR="00FD17A2" w:rsidRPr="009F4B4B" w:rsidRDefault="00FD17A2" w:rsidP="00FD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9F4B4B">
              <w:rPr>
                <w:rStyle w:val="normaltextrun"/>
                <w:rFonts w:ascii="Times New Roman" w:hAnsi="Times New Roman" w:cs="Times New Roman"/>
                <w:lang w:val="es-ES_tradnl"/>
              </w:rPr>
              <w:t>56.499 ¢</w:t>
            </w:r>
            <w:r w:rsidRPr="009F4B4B">
              <w:rPr>
                <w:rStyle w:val="eop"/>
                <w:rFonts w:ascii="Times New Roman" w:hAnsi="Times New Roman" w:cs="Times New Roman"/>
                <w:lang w:val="es-ES_tradn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32C18" w14:textId="4FBEF4E4" w:rsidR="00FD17A2" w:rsidRPr="009F4B4B" w:rsidRDefault="00FD17A2" w:rsidP="00FD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9F4B4B">
              <w:rPr>
                <w:rStyle w:val="normaltextrun"/>
                <w:rFonts w:ascii="Times New Roman" w:hAnsi="Times New Roman" w:cs="Times New Roman"/>
                <w:lang w:val="es-ES_tradnl"/>
              </w:rPr>
              <w:t>1.1%</w:t>
            </w:r>
            <w:r w:rsidRPr="009F4B4B">
              <w:rPr>
                <w:rStyle w:val="eop"/>
                <w:rFonts w:ascii="Times New Roman" w:hAnsi="Times New Roman" w:cs="Times New Roman"/>
                <w:lang w:val="es-ES_tradnl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F5E00" w14:textId="6BC5BDDF" w:rsidR="00FD17A2" w:rsidRPr="009F4B4B" w:rsidRDefault="00FD17A2" w:rsidP="00FD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9F4B4B">
              <w:rPr>
                <w:rStyle w:val="normaltextrun"/>
                <w:rFonts w:ascii="Times New Roman" w:hAnsi="Times New Roman" w:cs="Times New Roman"/>
                <w:lang w:val="es-ES_tradnl"/>
              </w:rPr>
              <w:t>0.630 ¢</w:t>
            </w:r>
            <w:r w:rsidRPr="009F4B4B">
              <w:rPr>
                <w:rStyle w:val="eop"/>
                <w:rFonts w:ascii="Times New Roman" w:hAnsi="Times New Roman" w:cs="Times New Roman"/>
                <w:lang w:val="es-ES_tradnl"/>
              </w:rPr>
              <w:t> </w:t>
            </w:r>
          </w:p>
        </w:tc>
      </w:tr>
    </w:tbl>
    <w:p w14:paraId="528B34F9" w14:textId="417C0D23" w:rsidR="00F80164" w:rsidRPr="009F4B4B" w:rsidRDefault="00F80164" w:rsidP="002A790E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lang w:val="es-ES_tradnl"/>
        </w:rPr>
      </w:pPr>
    </w:p>
    <w:p w14:paraId="3726D2FF" w14:textId="77777777" w:rsidR="00F80164" w:rsidRPr="009F4B4B" w:rsidRDefault="00F80164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7D656D89" w14:textId="4302D574" w:rsidR="003844D4" w:rsidRPr="009F4B4B" w:rsidRDefault="00691275" w:rsidP="002A790E">
      <w:pPr>
        <w:pStyle w:val="NormalWeb"/>
        <w:rPr>
          <w:rFonts w:ascii="Times New Roman" w:hAnsi="Times New Roman" w:cs="Times New Roman"/>
          <w:sz w:val="24"/>
          <w:szCs w:val="24"/>
          <w:lang w:val="es-ES_tradnl"/>
        </w:rPr>
      </w:pPr>
      <w:r w:rsidRPr="009F4B4B">
        <w:rPr>
          <w:rFonts w:ascii="Times New Roman" w:hAnsi="Times New Roman" w:cs="Times New Roman"/>
          <w:b/>
          <w:bCs/>
          <w:color w:val="000000"/>
          <w:sz w:val="24"/>
          <w:szCs w:val="24"/>
          <w:lang w:val="es-ES_tradnl"/>
        </w:rPr>
        <w:t>¿Cómo funciona el resto de este proceso?</w:t>
      </w:r>
      <w:r w:rsidR="003844D4" w:rsidRPr="009F4B4B">
        <w:rPr>
          <w:rFonts w:ascii="Times New Roman" w:hAnsi="Times New Roman" w:cs="Times New Roman"/>
          <w:b/>
          <w:bCs/>
          <w:color w:val="000000"/>
          <w:sz w:val="24"/>
          <w:szCs w:val="24"/>
          <w:lang w:val="es-ES_tradnl"/>
        </w:rPr>
        <w:t xml:space="preserve"> </w:t>
      </w:r>
    </w:p>
    <w:p w14:paraId="3EED5CD0" w14:textId="728140AB" w:rsidR="004275E6" w:rsidRPr="009F4B4B" w:rsidRDefault="0071054E" w:rsidP="002A790E">
      <w:pPr>
        <w:pStyle w:val="NormalWeb"/>
        <w:rPr>
          <w:rFonts w:ascii="Times New Roman" w:hAnsi="Times New Roman" w:cs="Times New Roman"/>
          <w:sz w:val="24"/>
          <w:szCs w:val="24"/>
          <w:lang w:val="es-ES_tradnl"/>
        </w:rPr>
      </w:pPr>
      <w:r w:rsidRPr="009F4B4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La presente</w:t>
      </w:r>
      <w:r w:rsidR="00691275" w:rsidRPr="009F4B4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solicitud se asignará a un Juez de Derecho Administrativo de la CPUC</w:t>
      </w:r>
      <w:r w:rsidRPr="009F4B4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, quien</w:t>
      </w:r>
      <w:r w:rsidR="00691275" w:rsidRPr="009F4B4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considerará las propuestas y pruebas presentadas durante el proceso formal de las audiencias</w:t>
      </w:r>
      <w:r w:rsidR="004275E6" w:rsidRPr="009F4B4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. </w:t>
      </w:r>
      <w:r w:rsidR="00691275" w:rsidRPr="009F4B4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El Juez de Derecho Administrativo emitirá una propuesta de decisión que </w:t>
      </w:r>
      <w:r w:rsidR="009A06D5" w:rsidRPr="009F4B4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tal vez adopte la </w:t>
      </w:r>
      <w:r w:rsidR="00691275" w:rsidRPr="009F4B4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solicitud de </w:t>
      </w:r>
      <w:r w:rsidR="00691275" w:rsidRPr="009F4B4B">
        <w:rPr>
          <w:rFonts w:ascii="Times New Roman" w:hAnsi="Times New Roman" w:cs="Times New Roman"/>
          <w:sz w:val="24"/>
          <w:szCs w:val="24"/>
          <w:lang w:val="es-ES_tradnl"/>
        </w:rPr>
        <w:t>SDG&amp;E</w:t>
      </w:r>
      <w:r w:rsidR="00691275" w:rsidRPr="009F4B4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, </w:t>
      </w:r>
      <w:r w:rsidR="009A06D5" w:rsidRPr="009F4B4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la modifique o la deniegue</w:t>
      </w:r>
      <w:r w:rsidR="00691275" w:rsidRPr="009F4B4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. </w:t>
      </w:r>
      <w:r w:rsidR="00517343" w:rsidRPr="009F4B4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Cualquier Comisionado de la CPUC puede proponer una decisión alterna</w:t>
      </w:r>
      <w:r w:rsidR="007427C6" w:rsidRPr="009F4B4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con un resultado distinto</w:t>
      </w:r>
      <w:r w:rsidR="00517343" w:rsidRPr="009F4B4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. La decisión propuesta y cualquier decisión alterna se discutirán y someterán a voto </w:t>
      </w:r>
      <w:r w:rsidR="00F57F36" w:rsidRPr="009F4B4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de los Comisionados de la CPUC </w:t>
      </w:r>
      <w:r w:rsidR="00517343" w:rsidRPr="009F4B4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en una Reunión de Votación </w:t>
      </w:r>
      <w:r w:rsidR="00F57F36" w:rsidRPr="009F4B4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pública </w:t>
      </w:r>
      <w:r w:rsidR="00517343" w:rsidRPr="009F4B4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de la CPUC</w:t>
      </w:r>
      <w:r w:rsidR="004275E6" w:rsidRPr="009F4B4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. </w:t>
      </w:r>
    </w:p>
    <w:p w14:paraId="1556E433" w14:textId="77777777" w:rsidR="002A790E" w:rsidRPr="009F4B4B" w:rsidRDefault="002A790E" w:rsidP="002A790E">
      <w:pPr>
        <w:pStyle w:val="NormalWeb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</w:p>
    <w:p w14:paraId="330E7A52" w14:textId="3052D3E7" w:rsidR="004275E6" w:rsidRPr="009F4B4B" w:rsidRDefault="00691275" w:rsidP="002A790E">
      <w:pPr>
        <w:pStyle w:val="NormalWeb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  <w:r w:rsidRPr="009F4B4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Las partes en el procedimiento</w:t>
      </w:r>
      <w:r w:rsidR="00027A0E" w:rsidRPr="009F4B4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, entre las que se incluye la Oficina de Defensores Públicos, </w:t>
      </w:r>
      <w:r w:rsidRPr="009F4B4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pueden </w:t>
      </w:r>
      <w:r w:rsidR="00027A0E" w:rsidRPr="009F4B4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examinar</w:t>
      </w:r>
      <w:r w:rsidRPr="009F4B4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la solicitud de SDG&amp;E. La Oficina de Defensores Públicos es un defensor independiente del consumidor dentro de la CPUC que representa a los clientes para obtener la tarifa más baja posible </w:t>
      </w:r>
      <w:r w:rsidR="00DA51D5" w:rsidRPr="009F4B4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por un servicio </w:t>
      </w:r>
      <w:r w:rsidR="00231EE6" w:rsidRPr="009F4B4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acorde con niveles </w:t>
      </w:r>
      <w:r w:rsidRPr="009F4B4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de servicio confiables y seguros.</w:t>
      </w:r>
      <w:r w:rsidR="004275E6" w:rsidRPr="009F4B4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r w:rsidRPr="009F4B4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Para obtener más información, llame al </w:t>
      </w:r>
      <w:r w:rsidR="004275E6" w:rsidRPr="009F4B4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1-415-703-1584, </w:t>
      </w:r>
      <w:r w:rsidR="00281697" w:rsidRPr="009F4B4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envíe un mensaje de correo electrónico a </w:t>
      </w:r>
      <w:hyperlink r:id="rId7" w:history="1">
        <w:r w:rsidR="00281697" w:rsidRPr="009F4B4B">
          <w:rPr>
            <w:rStyle w:val="Hyperlink"/>
            <w:rFonts w:ascii="Times New Roman" w:hAnsi="Times New Roman" w:cs="Times New Roman"/>
            <w:sz w:val="24"/>
            <w:szCs w:val="24"/>
            <w:lang w:val="es-ES_tradnl"/>
          </w:rPr>
          <w:t>PublicAdvocatesOffice@cpuc.ca.gov</w:t>
        </w:r>
      </w:hyperlink>
      <w:r w:rsidR="009723BF" w:rsidRPr="009F4B4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, o</w:t>
      </w:r>
      <w:r w:rsidR="004275E6" w:rsidRPr="009F4B4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visit</w:t>
      </w:r>
      <w:r w:rsidR="00281697" w:rsidRPr="009F4B4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e</w:t>
      </w:r>
      <w:r w:rsidR="004275E6" w:rsidRPr="009F4B4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PublicAdvocates.cpuc.ca.gov.</w:t>
      </w:r>
    </w:p>
    <w:p w14:paraId="79617BCB" w14:textId="77777777" w:rsidR="002A790E" w:rsidRPr="009F4B4B" w:rsidRDefault="002A790E" w:rsidP="002A790E">
      <w:pPr>
        <w:pStyle w:val="xmsonormal"/>
        <w:rPr>
          <w:rFonts w:ascii="Times New Roman" w:hAnsi="Times New Roman" w:cs="Times New Roman"/>
          <w:color w:val="000000"/>
          <w:sz w:val="12"/>
          <w:szCs w:val="12"/>
          <w:lang w:val="es-ES_tradnl"/>
        </w:rPr>
      </w:pPr>
    </w:p>
    <w:p w14:paraId="6A75EC52" w14:textId="77777777" w:rsidR="00AA7B01" w:rsidRPr="009F4B4B" w:rsidRDefault="00AA7B01" w:rsidP="00185886">
      <w:pPr>
        <w:pStyle w:val="xmsonormal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231D73F6" w14:textId="1B73BDCD" w:rsidR="4E5FCC20" w:rsidRPr="009F4B4B" w:rsidRDefault="00281697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9F4B4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¿Dónde puedo obtener más información? </w:t>
      </w:r>
    </w:p>
    <w:p w14:paraId="29B062C7" w14:textId="2AF7B248" w:rsidR="4E5FCC20" w:rsidRPr="009F4B4B" w:rsidRDefault="4E5FCC20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9F4B4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Contact</w:t>
      </w:r>
      <w:r w:rsidR="00281697" w:rsidRPr="009F4B4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e a</w:t>
      </w:r>
      <w:r w:rsidRPr="009F4B4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="007D3B37" w:rsidRPr="009F4B4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SDG&amp;E</w:t>
      </w:r>
    </w:p>
    <w:p w14:paraId="1F12B1C5" w14:textId="5DB15830" w:rsidR="2CB045C7" w:rsidRPr="009F4B4B" w:rsidRDefault="00EA60EA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9F4B4B">
        <w:rPr>
          <w:rFonts w:ascii="Times New Roman" w:hAnsi="Times New Roman" w:cs="Times New Roman"/>
          <w:sz w:val="24"/>
          <w:szCs w:val="24"/>
          <w:lang w:val="es-ES_tradnl"/>
        </w:rPr>
        <w:t>Enviando un mensaje por correo electrónico a</w:t>
      </w:r>
      <w:r w:rsidR="2CB045C7"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: </w:t>
      </w:r>
      <w:hyperlink r:id="rId8" w:history="1">
        <w:r w:rsidR="00333768" w:rsidRPr="009F4B4B">
          <w:rPr>
            <w:rStyle w:val="Hyperlink"/>
            <w:rFonts w:ascii="Times New Roman" w:hAnsi="Times New Roman" w:cs="Times New Roman"/>
            <w:sz w:val="24"/>
            <w:szCs w:val="24"/>
            <w:lang w:val="es-ES_tradnl"/>
          </w:rPr>
          <w:t>mstrutner</w:t>
        </w:r>
        <w:r w:rsidR="007404C1" w:rsidRPr="009F4B4B">
          <w:rPr>
            <w:rStyle w:val="Hyperlink"/>
            <w:rFonts w:ascii="Times New Roman" w:hAnsi="Times New Roman" w:cs="Times New Roman"/>
            <w:sz w:val="24"/>
            <w:szCs w:val="24"/>
            <w:lang w:val="es-ES_tradnl"/>
          </w:rPr>
          <w:t>@sdge.com</w:t>
        </w:r>
      </w:hyperlink>
      <w:r w:rsidR="007404C1"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14:paraId="4365A3D3" w14:textId="7AF85EEE" w:rsidR="00795610" w:rsidRPr="009F4B4B" w:rsidRDefault="00281697" w:rsidP="00077E8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9F4B4B">
        <w:rPr>
          <w:rFonts w:ascii="Times New Roman" w:hAnsi="Times New Roman" w:cs="Times New Roman"/>
          <w:sz w:val="24"/>
          <w:szCs w:val="24"/>
          <w:lang w:val="es-ES_tradnl"/>
        </w:rPr>
        <w:t>E</w:t>
      </w:r>
      <w:r w:rsidR="00EA60EA" w:rsidRPr="009F4B4B">
        <w:rPr>
          <w:rFonts w:ascii="Times New Roman" w:hAnsi="Times New Roman" w:cs="Times New Roman"/>
          <w:sz w:val="24"/>
          <w:szCs w:val="24"/>
          <w:lang w:val="es-ES_tradnl"/>
        </w:rPr>
        <w:t>scribiendo a</w:t>
      </w:r>
      <w:r w:rsidR="77B9011C"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: </w:t>
      </w:r>
      <w:r w:rsidR="00333768"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Maddy </w:t>
      </w:r>
      <w:proofErr w:type="spellStart"/>
      <w:r w:rsidR="00333768" w:rsidRPr="009F4B4B">
        <w:rPr>
          <w:rFonts w:ascii="Times New Roman" w:hAnsi="Times New Roman" w:cs="Times New Roman"/>
          <w:sz w:val="24"/>
          <w:szCs w:val="24"/>
          <w:lang w:val="es-ES_tradnl"/>
        </w:rPr>
        <w:t>Strutner</w:t>
      </w:r>
      <w:proofErr w:type="spellEnd"/>
      <w:r w:rsidR="00795610"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="00795610" w:rsidRPr="009F4B4B">
        <w:rPr>
          <w:rFonts w:ascii="Times New Roman" w:hAnsi="Times New Roman" w:cs="Times New Roman"/>
          <w:sz w:val="24"/>
          <w:szCs w:val="24"/>
          <w:lang w:val="es-ES_tradnl"/>
        </w:rPr>
        <w:t>Regulatory</w:t>
      </w:r>
      <w:proofErr w:type="spellEnd"/>
      <w:r w:rsidR="00795610"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 Case Manager for </w:t>
      </w:r>
    </w:p>
    <w:p w14:paraId="2D4AB2A4" w14:textId="77777777" w:rsidR="00795610" w:rsidRPr="009F4B4B" w:rsidRDefault="00795610" w:rsidP="00EA60EA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San Diego Gas &amp; Electric Company </w:t>
      </w:r>
    </w:p>
    <w:p w14:paraId="71101523" w14:textId="2466AA58" w:rsidR="77B9011C" w:rsidRPr="009F4B4B" w:rsidRDefault="00795610" w:rsidP="00EA60EA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8330 Century Park </w:t>
      </w:r>
      <w:proofErr w:type="spellStart"/>
      <w:r w:rsidRPr="009F4B4B">
        <w:rPr>
          <w:rFonts w:ascii="Times New Roman" w:hAnsi="Times New Roman" w:cs="Times New Roman"/>
          <w:sz w:val="24"/>
          <w:szCs w:val="24"/>
          <w:lang w:val="es-ES_tradnl"/>
        </w:rPr>
        <w:t>Court</w:t>
      </w:r>
      <w:proofErr w:type="spellEnd"/>
      <w:r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 #CP32E</w:t>
      </w:r>
    </w:p>
    <w:p w14:paraId="11A1B7F4" w14:textId="6C258194" w:rsidR="00482264" w:rsidRPr="009F4B4B" w:rsidRDefault="00482264" w:rsidP="00EA60EA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San Diego, CA </w:t>
      </w:r>
      <w:r w:rsidR="00D62113" w:rsidRPr="009F4B4B">
        <w:rPr>
          <w:rFonts w:ascii="Times New Roman" w:hAnsi="Times New Roman" w:cs="Times New Roman"/>
          <w:sz w:val="24"/>
          <w:szCs w:val="24"/>
          <w:lang w:val="es-ES_tradnl"/>
        </w:rPr>
        <w:t>92123</w:t>
      </w:r>
    </w:p>
    <w:p w14:paraId="1685AB89" w14:textId="310AF088" w:rsidR="00F72708" w:rsidRPr="009F4B4B" w:rsidRDefault="00EA60EA" w:rsidP="00795610">
      <w:pPr>
        <w:spacing w:after="0" w:line="240" w:lineRule="auto"/>
        <w:rPr>
          <w:rStyle w:val="Hyperlink"/>
          <w:rFonts w:ascii="Times New Roman" w:hAnsi="Times New Roman" w:cs="Times New Roman"/>
          <w:lang w:val="es-ES_tradnl"/>
        </w:rPr>
      </w:pPr>
      <w:r w:rsidRPr="009F4B4B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 xml:space="preserve">Una copia de la Solicitud y cualquier documento relacionado también pueden </w:t>
      </w:r>
      <w:r w:rsidR="00231EE6" w:rsidRPr="009F4B4B">
        <w:rPr>
          <w:rFonts w:ascii="Times New Roman" w:hAnsi="Times New Roman" w:cs="Times New Roman"/>
          <w:sz w:val="24"/>
          <w:szCs w:val="24"/>
          <w:lang w:val="es-ES_tradnl"/>
        </w:rPr>
        <w:t>examinar</w:t>
      </w:r>
      <w:r w:rsidRPr="009F4B4B">
        <w:rPr>
          <w:rFonts w:ascii="Times New Roman" w:hAnsi="Times New Roman" w:cs="Times New Roman"/>
          <w:sz w:val="24"/>
          <w:szCs w:val="24"/>
          <w:lang w:val="es-ES_tradnl"/>
        </w:rPr>
        <w:t>se en</w:t>
      </w:r>
      <w:r w:rsidR="00231EE6" w:rsidRPr="009F4B4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hyperlink r:id="rId9" w:history="1">
        <w:r w:rsidR="00231EE6" w:rsidRPr="009F4B4B">
          <w:rPr>
            <w:rStyle w:val="Hyperlink"/>
            <w:rFonts w:ascii="Times New Roman" w:hAnsi="Times New Roman" w:cs="Times New Roman"/>
            <w:lang w:val="es-ES_tradnl"/>
          </w:rPr>
          <w:t>http://www.sdge.com/proceedings</w:t>
        </w:r>
      </w:hyperlink>
      <w:r w:rsidR="00662B66" w:rsidRPr="009F4B4B">
        <w:rPr>
          <w:rStyle w:val="Hyperlink"/>
          <w:rFonts w:ascii="Times New Roman" w:hAnsi="Times New Roman" w:cs="Times New Roman"/>
          <w:lang w:val="es-ES_tradnl"/>
        </w:rPr>
        <w:t>.</w:t>
      </w:r>
      <w:r w:rsidR="007D3B37" w:rsidRPr="009F4B4B">
        <w:rPr>
          <w:rStyle w:val="Hyperlink"/>
          <w:rFonts w:ascii="Times New Roman" w:hAnsi="Times New Roman" w:cs="Times New Roman"/>
          <w:lang w:val="es-ES_tradnl"/>
        </w:rPr>
        <w:t xml:space="preserve"> </w:t>
      </w:r>
    </w:p>
    <w:p w14:paraId="5DF0C260" w14:textId="77777777" w:rsidR="007D3B37" w:rsidRPr="009F4B4B" w:rsidRDefault="007D3B37" w:rsidP="007D3B37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74591D8B" w14:textId="554A17E1" w:rsidR="4E5FCC20" w:rsidRPr="009F4B4B" w:rsidRDefault="4E5FCC20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9F4B4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Contact</w:t>
      </w:r>
      <w:r w:rsidR="00EA60EA" w:rsidRPr="009F4B4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e a la</w:t>
      </w:r>
      <w:r w:rsidRPr="009F4B4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CPUC</w:t>
      </w:r>
    </w:p>
    <w:p w14:paraId="6496496C" w14:textId="679D688D" w:rsidR="00102460" w:rsidRPr="009F4B4B" w:rsidRDefault="00BE06FE" w:rsidP="00A3691C">
      <w:pPr>
        <w:spacing w:after="0" w:line="240" w:lineRule="auto"/>
        <w:rPr>
          <w:rFonts w:ascii="Times New Roman" w:hAnsi="Times New Roman" w:cs="Times New Roman"/>
          <w:lang w:val="es-ES_tradnl"/>
        </w:rPr>
      </w:pPr>
      <w:r w:rsidRPr="009F4B4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V</w:t>
      </w:r>
      <w:r w:rsidR="006C7C57" w:rsidRPr="009F4B4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isit</w:t>
      </w:r>
      <w:r w:rsidRPr="009F4B4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e </w:t>
      </w:r>
      <w:r w:rsidR="007D3B37" w:rsidRPr="009F4B4B">
        <w:rPr>
          <w:rFonts w:ascii="Times New Roman" w:hAnsi="Times New Roman" w:cs="Times New Roman"/>
          <w:b/>
          <w:bCs/>
          <w:lang w:val="es-ES_tradnl"/>
        </w:rPr>
        <w:t>apps.cpuc.ca.gov/c/</w:t>
      </w:r>
      <w:r w:rsidR="00936FAE" w:rsidRPr="009F4B4B">
        <w:rPr>
          <w:rFonts w:ascii="Times New Roman" w:hAnsi="Times New Roman" w:cs="Times New Roman"/>
          <w:b/>
          <w:bCs/>
          <w:color w:val="000000"/>
          <w:sz w:val="24"/>
          <w:szCs w:val="24"/>
          <w:lang w:val="es-ES_tradnl"/>
        </w:rPr>
        <w:t>A2210021</w:t>
      </w:r>
      <w:r w:rsidRPr="009F4B4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para enviar un comentario acerca de este procedimiento </w:t>
      </w:r>
      <w:r w:rsidR="008A0835" w:rsidRPr="009F4B4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en la Ficha del Expediente de la </w:t>
      </w:r>
      <w:r w:rsidR="006C7C57" w:rsidRPr="009F4B4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CPUC. </w:t>
      </w:r>
      <w:r w:rsidR="00AB2D4C" w:rsidRPr="009F4B4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Aquí también puede ver documentos y otros comentarios públicos relacionados con este procedimiento</w:t>
      </w:r>
      <w:r w:rsidR="006C7C57" w:rsidRPr="009F4B4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.</w:t>
      </w:r>
      <w:r w:rsidR="0011370D" w:rsidRPr="009F4B4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r w:rsidR="009A090B" w:rsidRPr="009F4B4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Su participación al proporcionar su opinión acerca de la petición de </w:t>
      </w:r>
      <w:r w:rsidR="0011370D" w:rsidRPr="009F4B4B">
        <w:rPr>
          <w:rFonts w:ascii="Times New Roman" w:hAnsi="Times New Roman" w:cs="Times New Roman"/>
          <w:sz w:val="24"/>
          <w:szCs w:val="24"/>
          <w:lang w:val="es-ES_tradnl"/>
        </w:rPr>
        <w:t>SDG&amp;E</w:t>
      </w:r>
      <w:r w:rsidR="0011370D" w:rsidRPr="009F4B4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r w:rsidR="00617F74" w:rsidRPr="009F4B4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puede ayudar a la CPUC a tomar una decisión fundamentada</w:t>
      </w:r>
      <w:r w:rsidR="0011370D" w:rsidRPr="009F4B4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.</w:t>
      </w:r>
    </w:p>
    <w:p w14:paraId="23AD7E2A" w14:textId="77777777" w:rsidR="006C7C57" w:rsidRPr="009F4B4B" w:rsidRDefault="006C7C57" w:rsidP="002A790E">
      <w:pPr>
        <w:pStyle w:val="xmsonormal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</w:p>
    <w:p w14:paraId="6E8E55BF" w14:textId="2BDF2975" w:rsidR="4E5FCC20" w:rsidRPr="009F4B4B" w:rsidRDefault="00ED4BA6" w:rsidP="002A7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9F4B4B">
        <w:rPr>
          <w:rFonts w:ascii="Times New Roman" w:eastAsia="Calibri" w:hAnsi="Times New Roman" w:cs="Times New Roman"/>
          <w:sz w:val="24"/>
          <w:szCs w:val="24"/>
          <w:lang w:val="es-ES_tradnl"/>
        </w:rPr>
        <w:t>Si tiene preguntas acerca de los procesos de la CPUC, puede comunicarse a la Oficina del Asesor Público de la CPUC</w:t>
      </w:r>
      <w:r w:rsidR="4E5FCC20" w:rsidRPr="009F4B4B">
        <w:rPr>
          <w:rFonts w:ascii="Times New Roman" w:eastAsia="Calibri" w:hAnsi="Times New Roman" w:cs="Times New Roman"/>
          <w:sz w:val="24"/>
          <w:szCs w:val="24"/>
          <w:lang w:val="es-ES_tradnl"/>
        </w:rPr>
        <w:t>:</w:t>
      </w:r>
    </w:p>
    <w:p w14:paraId="33FA69CE" w14:textId="4B5CCE53" w:rsidR="4E5FCC20" w:rsidRPr="009F4B4B" w:rsidRDefault="00FE1E2E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9F4B4B">
        <w:rPr>
          <w:rFonts w:ascii="Times New Roman" w:eastAsia="Calibri" w:hAnsi="Times New Roman" w:cs="Times New Roman"/>
          <w:sz w:val="24"/>
          <w:szCs w:val="24"/>
          <w:lang w:val="es-ES_tradnl"/>
        </w:rPr>
        <w:t>Llamando al</w:t>
      </w:r>
      <w:r w:rsidR="4E5FCC20" w:rsidRPr="009F4B4B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: </w:t>
      </w:r>
      <w:r w:rsidR="4E5FCC20" w:rsidRPr="009F4B4B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1-866-849-8390 </w:t>
      </w:r>
      <w:r w:rsidR="4E5FCC20" w:rsidRPr="009F4B4B">
        <w:rPr>
          <w:rFonts w:ascii="Times New Roman" w:eastAsia="Calibri" w:hAnsi="Times New Roman" w:cs="Times New Roman"/>
          <w:sz w:val="24"/>
          <w:szCs w:val="24"/>
          <w:lang w:val="es-ES_tradnl"/>
        </w:rPr>
        <w:t>(</w:t>
      </w:r>
      <w:r w:rsidR="001367FC" w:rsidRPr="009F4B4B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sin costo) o al </w:t>
      </w:r>
      <w:r w:rsidR="4E5FCC20" w:rsidRPr="009F4B4B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1-415-703-2074</w:t>
      </w:r>
    </w:p>
    <w:p w14:paraId="05B2B57C" w14:textId="2F8CD298" w:rsidR="0DC8C6A9" w:rsidRPr="009F4B4B" w:rsidRDefault="0011692E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9F4B4B">
        <w:rPr>
          <w:rFonts w:ascii="Times New Roman" w:eastAsia="Calibri" w:hAnsi="Times New Roman" w:cs="Times New Roman"/>
          <w:sz w:val="24"/>
          <w:szCs w:val="24"/>
          <w:lang w:val="es-ES_tradnl"/>
        </w:rPr>
        <w:t>Enviando un mensaje de correo electrónico a</w:t>
      </w:r>
      <w:r w:rsidR="0DC8C6A9" w:rsidRPr="009F4B4B">
        <w:rPr>
          <w:rFonts w:ascii="Times New Roman" w:eastAsia="Calibri" w:hAnsi="Times New Roman" w:cs="Times New Roman"/>
          <w:sz w:val="24"/>
          <w:szCs w:val="24"/>
          <w:lang w:val="es-ES_tradnl"/>
        </w:rPr>
        <w:t>:</w:t>
      </w:r>
      <w:r w:rsidR="002276EA" w:rsidRPr="009F4B4B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r w:rsidR="00B4350F" w:rsidRPr="009F4B4B">
        <w:rPr>
          <w:rFonts w:ascii="Times New Roman" w:hAnsi="Times New Roman" w:cs="Times New Roman"/>
          <w:sz w:val="24"/>
          <w:szCs w:val="24"/>
          <w:lang w:val="es-ES_tradnl"/>
        </w:rPr>
        <w:t>Public.Advisor@cpuc.ca.gov</w:t>
      </w:r>
      <w:r w:rsidR="0DC8C6A9" w:rsidRPr="009F4B4B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</w:t>
      </w:r>
    </w:p>
    <w:p w14:paraId="7C5A6AFB" w14:textId="20D91F96" w:rsidR="4E5FCC20" w:rsidRPr="009F4B4B" w:rsidRDefault="002276EA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9F4B4B">
        <w:rPr>
          <w:rFonts w:ascii="Times New Roman" w:eastAsia="Calibri" w:hAnsi="Times New Roman" w:cs="Times New Roman"/>
          <w:sz w:val="24"/>
          <w:szCs w:val="24"/>
          <w:lang w:val="es-ES_tradnl"/>
        </w:rPr>
        <w:t>Escribiendo a</w:t>
      </w:r>
      <w:r w:rsidR="4E5FCC20" w:rsidRPr="009F4B4B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: </w:t>
      </w:r>
      <w:r w:rsidR="004746F5" w:rsidRPr="009F4B4B">
        <w:rPr>
          <w:rFonts w:ascii="Times New Roman" w:eastAsia="Calibri" w:hAnsi="Times New Roman" w:cs="Times New Roman"/>
          <w:sz w:val="24"/>
          <w:szCs w:val="24"/>
          <w:lang w:val="es-ES_tradnl"/>
        </w:rPr>
        <w:tab/>
      </w:r>
      <w:r w:rsidR="4E5FCC20" w:rsidRPr="009F4B4B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CPUC </w:t>
      </w:r>
      <w:proofErr w:type="spellStart"/>
      <w:r w:rsidR="4E5FCC20" w:rsidRPr="009F4B4B">
        <w:rPr>
          <w:rFonts w:ascii="Times New Roman" w:eastAsia="Calibri" w:hAnsi="Times New Roman" w:cs="Times New Roman"/>
          <w:sz w:val="24"/>
          <w:szCs w:val="24"/>
          <w:lang w:val="es-ES_tradnl"/>
        </w:rPr>
        <w:t>Public</w:t>
      </w:r>
      <w:proofErr w:type="spellEnd"/>
      <w:r w:rsidR="4E5FCC20" w:rsidRPr="009F4B4B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4E5FCC20" w:rsidRPr="009F4B4B">
        <w:rPr>
          <w:rFonts w:ascii="Times New Roman" w:eastAsia="Calibri" w:hAnsi="Times New Roman" w:cs="Times New Roman"/>
          <w:sz w:val="24"/>
          <w:szCs w:val="24"/>
          <w:lang w:val="es-ES_tradnl"/>
        </w:rPr>
        <w:t>Advisor’s</w:t>
      </w:r>
      <w:proofErr w:type="spellEnd"/>
      <w:r w:rsidR="4E5FCC20" w:rsidRPr="009F4B4B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Office</w:t>
      </w:r>
    </w:p>
    <w:p w14:paraId="5037BF13" w14:textId="7FF2BD1A" w:rsidR="4E5FCC20" w:rsidRPr="009F4B4B" w:rsidRDefault="4E5FCC20" w:rsidP="002276EA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9F4B4B">
        <w:rPr>
          <w:rFonts w:ascii="Times New Roman" w:eastAsia="Calibri" w:hAnsi="Times New Roman" w:cs="Times New Roman"/>
          <w:sz w:val="24"/>
          <w:szCs w:val="24"/>
          <w:lang w:val="es-ES_tradnl"/>
        </w:rPr>
        <w:t>505 Van Ness Avenue</w:t>
      </w:r>
    </w:p>
    <w:p w14:paraId="325F00CE" w14:textId="1F59DF95" w:rsidR="4E5FCC20" w:rsidRPr="009F4B4B" w:rsidRDefault="4E5FCC20" w:rsidP="002276EA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9F4B4B">
        <w:rPr>
          <w:rFonts w:ascii="Times New Roman" w:eastAsia="Calibri" w:hAnsi="Times New Roman" w:cs="Times New Roman"/>
          <w:sz w:val="24"/>
          <w:szCs w:val="24"/>
          <w:lang w:val="es-ES_tradnl"/>
        </w:rPr>
        <w:t>San Francisco, CA 94102</w:t>
      </w:r>
    </w:p>
    <w:p w14:paraId="5E30404D" w14:textId="364ADD49" w:rsidR="77F120CB" w:rsidRPr="009F4B4B" w:rsidRDefault="77F120CB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52845A56" w14:textId="54FE2A6E" w:rsidR="4E5FCC20" w:rsidRPr="009F4B4B" w:rsidRDefault="001909B0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9F4B4B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Por favor haga referencia a la solicitud </w:t>
      </w:r>
      <w:proofErr w:type="spellStart"/>
      <w:r w:rsidR="4242A7D1" w:rsidRPr="009F4B4B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A</w:t>
      </w:r>
      <w:r w:rsidR="4E5FCC20" w:rsidRPr="009F4B4B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pplication</w:t>
      </w:r>
      <w:proofErr w:type="spellEnd"/>
      <w:r w:rsidR="4E5FCC20" w:rsidRPr="009F4B4B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A.</w:t>
      </w:r>
      <w:r w:rsidR="007D3B37" w:rsidRPr="009F4B4B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22</w:t>
      </w:r>
      <w:r w:rsidR="4798B7D8" w:rsidRPr="009F4B4B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-</w:t>
      </w:r>
      <w:r w:rsidR="002D6917" w:rsidRPr="009F4B4B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10</w:t>
      </w:r>
      <w:r w:rsidR="4798B7D8" w:rsidRPr="009F4B4B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-</w:t>
      </w:r>
      <w:r w:rsidR="002D6917" w:rsidRPr="009F4B4B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021 </w:t>
      </w:r>
      <w:r w:rsidR="00BE06FE" w:rsidRPr="009F4B4B">
        <w:rPr>
          <w:rFonts w:ascii="Times New Roman" w:eastAsia="Calibri" w:hAnsi="Times New Roman" w:cs="Times New Roman"/>
          <w:sz w:val="24"/>
          <w:szCs w:val="24"/>
          <w:lang w:val="es-ES_tradnl"/>
        </w:rPr>
        <w:t>en cualesquiera comunicaciones que sostenga con la CPUC en relación con este asunto.</w:t>
      </w:r>
    </w:p>
    <w:p w14:paraId="5E6F4B7F" w14:textId="48F9E6FF" w:rsidR="77F120CB" w:rsidRPr="009F4B4B" w:rsidRDefault="77F120CB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sectPr w:rsidR="77F120CB" w:rsidRPr="009F4B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0D8C4" w14:textId="77777777" w:rsidR="00422012" w:rsidRDefault="00422012" w:rsidP="00787D42">
      <w:pPr>
        <w:spacing w:after="0" w:line="240" w:lineRule="auto"/>
      </w:pPr>
      <w:r>
        <w:separator/>
      </w:r>
    </w:p>
  </w:endnote>
  <w:endnote w:type="continuationSeparator" w:id="0">
    <w:p w14:paraId="20D4C2D8" w14:textId="77777777" w:rsidR="00422012" w:rsidRDefault="00422012" w:rsidP="00787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7BF8A" w14:textId="77777777" w:rsidR="00422012" w:rsidRDefault="00422012" w:rsidP="00787D42">
      <w:pPr>
        <w:spacing w:after="0" w:line="240" w:lineRule="auto"/>
      </w:pPr>
      <w:r>
        <w:separator/>
      </w:r>
    </w:p>
  </w:footnote>
  <w:footnote w:type="continuationSeparator" w:id="0">
    <w:p w14:paraId="2EAECE08" w14:textId="77777777" w:rsidR="00422012" w:rsidRDefault="00422012" w:rsidP="00787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30478"/>
    <w:multiLevelType w:val="hybridMultilevel"/>
    <w:tmpl w:val="4B8CC61A"/>
    <w:lvl w:ilvl="0" w:tplc="6A666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501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BAE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E41B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A7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06B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0D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C5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289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10AD0"/>
    <w:multiLevelType w:val="hybridMultilevel"/>
    <w:tmpl w:val="F27E6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524974">
    <w:abstractNumId w:val="0"/>
  </w:num>
  <w:num w:numId="2" w16cid:durableId="1220437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94018C"/>
    <w:rsid w:val="00027A0E"/>
    <w:rsid w:val="00044F1D"/>
    <w:rsid w:val="000636BC"/>
    <w:rsid w:val="00071CC2"/>
    <w:rsid w:val="00077E8E"/>
    <w:rsid w:val="000827F1"/>
    <w:rsid w:val="00090A7E"/>
    <w:rsid w:val="0009347B"/>
    <w:rsid w:val="000972FE"/>
    <w:rsid w:val="000B23A8"/>
    <w:rsid w:val="000C1E2F"/>
    <w:rsid w:val="000C4887"/>
    <w:rsid w:val="000D67D5"/>
    <w:rsid w:val="000E67EB"/>
    <w:rsid w:val="000F746B"/>
    <w:rsid w:val="00102460"/>
    <w:rsid w:val="00112491"/>
    <w:rsid w:val="0011370D"/>
    <w:rsid w:val="0011692E"/>
    <w:rsid w:val="0011717C"/>
    <w:rsid w:val="001367FC"/>
    <w:rsid w:val="00137F33"/>
    <w:rsid w:val="0014158E"/>
    <w:rsid w:val="001467BE"/>
    <w:rsid w:val="0015092A"/>
    <w:rsid w:val="001627FC"/>
    <w:rsid w:val="00174F8B"/>
    <w:rsid w:val="00185886"/>
    <w:rsid w:val="001860C2"/>
    <w:rsid w:val="001909B0"/>
    <w:rsid w:val="001A233B"/>
    <w:rsid w:val="001D4C67"/>
    <w:rsid w:val="002150CF"/>
    <w:rsid w:val="002276EA"/>
    <w:rsid w:val="002313FD"/>
    <w:rsid w:val="00231EE6"/>
    <w:rsid w:val="002406A4"/>
    <w:rsid w:val="002505D9"/>
    <w:rsid w:val="00255E4B"/>
    <w:rsid w:val="00281697"/>
    <w:rsid w:val="002954AD"/>
    <w:rsid w:val="002A0BCD"/>
    <w:rsid w:val="002A790E"/>
    <w:rsid w:val="002A7E31"/>
    <w:rsid w:val="002B2D9F"/>
    <w:rsid w:val="002B7993"/>
    <w:rsid w:val="002D6917"/>
    <w:rsid w:val="002F2141"/>
    <w:rsid w:val="002F766B"/>
    <w:rsid w:val="00301BF6"/>
    <w:rsid w:val="00317324"/>
    <w:rsid w:val="00333768"/>
    <w:rsid w:val="003474EE"/>
    <w:rsid w:val="00350F9C"/>
    <w:rsid w:val="00371A2D"/>
    <w:rsid w:val="00375CA8"/>
    <w:rsid w:val="003844D4"/>
    <w:rsid w:val="00392509"/>
    <w:rsid w:val="00395887"/>
    <w:rsid w:val="003A6E22"/>
    <w:rsid w:val="003B013F"/>
    <w:rsid w:val="003D2472"/>
    <w:rsid w:val="003D2B03"/>
    <w:rsid w:val="003D7742"/>
    <w:rsid w:val="003F488E"/>
    <w:rsid w:val="00411DC2"/>
    <w:rsid w:val="004128D1"/>
    <w:rsid w:val="00417A91"/>
    <w:rsid w:val="00422012"/>
    <w:rsid w:val="004275E6"/>
    <w:rsid w:val="00434D3C"/>
    <w:rsid w:val="00445537"/>
    <w:rsid w:val="0047219C"/>
    <w:rsid w:val="00473411"/>
    <w:rsid w:val="004746F5"/>
    <w:rsid w:val="00482264"/>
    <w:rsid w:val="00482D84"/>
    <w:rsid w:val="00485BD2"/>
    <w:rsid w:val="00486E88"/>
    <w:rsid w:val="004A0AD2"/>
    <w:rsid w:val="004D0E19"/>
    <w:rsid w:val="004D1C9B"/>
    <w:rsid w:val="004D70F5"/>
    <w:rsid w:val="004E3092"/>
    <w:rsid w:val="004E5126"/>
    <w:rsid w:val="00501E9B"/>
    <w:rsid w:val="00517343"/>
    <w:rsid w:val="005272F2"/>
    <w:rsid w:val="00536E3E"/>
    <w:rsid w:val="00582522"/>
    <w:rsid w:val="005A3588"/>
    <w:rsid w:val="005C4E99"/>
    <w:rsid w:val="005F0692"/>
    <w:rsid w:val="00600BBA"/>
    <w:rsid w:val="00617F74"/>
    <w:rsid w:val="0064357C"/>
    <w:rsid w:val="00650B05"/>
    <w:rsid w:val="00662B66"/>
    <w:rsid w:val="006637AB"/>
    <w:rsid w:val="00680EBD"/>
    <w:rsid w:val="00691275"/>
    <w:rsid w:val="0069657E"/>
    <w:rsid w:val="00696A2D"/>
    <w:rsid w:val="006C79B5"/>
    <w:rsid w:val="006C7C57"/>
    <w:rsid w:val="006D00C9"/>
    <w:rsid w:val="006E1EDA"/>
    <w:rsid w:val="007040B8"/>
    <w:rsid w:val="0071054E"/>
    <w:rsid w:val="00716C5D"/>
    <w:rsid w:val="00721069"/>
    <w:rsid w:val="007404C1"/>
    <w:rsid w:val="007427C6"/>
    <w:rsid w:val="00746F67"/>
    <w:rsid w:val="00757C5E"/>
    <w:rsid w:val="00767786"/>
    <w:rsid w:val="00775687"/>
    <w:rsid w:val="007819B7"/>
    <w:rsid w:val="00787D42"/>
    <w:rsid w:val="00795610"/>
    <w:rsid w:val="00795B77"/>
    <w:rsid w:val="007C23CA"/>
    <w:rsid w:val="007D3B37"/>
    <w:rsid w:val="007E02CA"/>
    <w:rsid w:val="007F57AC"/>
    <w:rsid w:val="007F6971"/>
    <w:rsid w:val="008107F6"/>
    <w:rsid w:val="00844190"/>
    <w:rsid w:val="008656A5"/>
    <w:rsid w:val="00867F5B"/>
    <w:rsid w:val="00876793"/>
    <w:rsid w:val="008A0835"/>
    <w:rsid w:val="008AFE75"/>
    <w:rsid w:val="008D2664"/>
    <w:rsid w:val="008E2202"/>
    <w:rsid w:val="008E363A"/>
    <w:rsid w:val="008F60E6"/>
    <w:rsid w:val="0090029D"/>
    <w:rsid w:val="0090602D"/>
    <w:rsid w:val="00922C21"/>
    <w:rsid w:val="00931DF2"/>
    <w:rsid w:val="00936FAE"/>
    <w:rsid w:val="00942091"/>
    <w:rsid w:val="0094587C"/>
    <w:rsid w:val="009603C1"/>
    <w:rsid w:val="00960FB8"/>
    <w:rsid w:val="009723BF"/>
    <w:rsid w:val="00980582"/>
    <w:rsid w:val="009868D5"/>
    <w:rsid w:val="009954A1"/>
    <w:rsid w:val="009A06D5"/>
    <w:rsid w:val="009A090B"/>
    <w:rsid w:val="009A1868"/>
    <w:rsid w:val="009C527F"/>
    <w:rsid w:val="009E5C65"/>
    <w:rsid w:val="009F4B4B"/>
    <w:rsid w:val="009F715F"/>
    <w:rsid w:val="00A14B67"/>
    <w:rsid w:val="00A16646"/>
    <w:rsid w:val="00A33FBF"/>
    <w:rsid w:val="00A3691C"/>
    <w:rsid w:val="00A47FE0"/>
    <w:rsid w:val="00A51A38"/>
    <w:rsid w:val="00A52C65"/>
    <w:rsid w:val="00A813FC"/>
    <w:rsid w:val="00AA0134"/>
    <w:rsid w:val="00AA3640"/>
    <w:rsid w:val="00AA380E"/>
    <w:rsid w:val="00AA7B01"/>
    <w:rsid w:val="00AB1B6E"/>
    <w:rsid w:val="00AB2D4C"/>
    <w:rsid w:val="00AB5240"/>
    <w:rsid w:val="00AC5868"/>
    <w:rsid w:val="00AD019F"/>
    <w:rsid w:val="00AE50B9"/>
    <w:rsid w:val="00AF291D"/>
    <w:rsid w:val="00B1579F"/>
    <w:rsid w:val="00B20711"/>
    <w:rsid w:val="00B306F6"/>
    <w:rsid w:val="00B319D1"/>
    <w:rsid w:val="00B37B3E"/>
    <w:rsid w:val="00B4350F"/>
    <w:rsid w:val="00B5243F"/>
    <w:rsid w:val="00B7269C"/>
    <w:rsid w:val="00B7629A"/>
    <w:rsid w:val="00B81127"/>
    <w:rsid w:val="00B85F09"/>
    <w:rsid w:val="00BA0E3D"/>
    <w:rsid w:val="00BA3B15"/>
    <w:rsid w:val="00BB1CE7"/>
    <w:rsid w:val="00BC0A1E"/>
    <w:rsid w:val="00BC4D52"/>
    <w:rsid w:val="00BD6D24"/>
    <w:rsid w:val="00BE06FE"/>
    <w:rsid w:val="00BE1FF4"/>
    <w:rsid w:val="00C22C42"/>
    <w:rsid w:val="00C275CF"/>
    <w:rsid w:val="00C4365E"/>
    <w:rsid w:val="00C56D42"/>
    <w:rsid w:val="00C7360C"/>
    <w:rsid w:val="00C771C5"/>
    <w:rsid w:val="00CA4FEF"/>
    <w:rsid w:val="00CA6FB1"/>
    <w:rsid w:val="00CC3B99"/>
    <w:rsid w:val="00CC64FF"/>
    <w:rsid w:val="00CD3569"/>
    <w:rsid w:val="00D0280D"/>
    <w:rsid w:val="00D0287B"/>
    <w:rsid w:val="00D1077A"/>
    <w:rsid w:val="00D143A4"/>
    <w:rsid w:val="00D30107"/>
    <w:rsid w:val="00D4369C"/>
    <w:rsid w:val="00D54312"/>
    <w:rsid w:val="00D62113"/>
    <w:rsid w:val="00D72336"/>
    <w:rsid w:val="00D83800"/>
    <w:rsid w:val="00D9190F"/>
    <w:rsid w:val="00D942D2"/>
    <w:rsid w:val="00D95B14"/>
    <w:rsid w:val="00DA51D5"/>
    <w:rsid w:val="00DA7515"/>
    <w:rsid w:val="00DB13DD"/>
    <w:rsid w:val="00DB303E"/>
    <w:rsid w:val="00DD2BF2"/>
    <w:rsid w:val="00DE4FCB"/>
    <w:rsid w:val="00E10F65"/>
    <w:rsid w:val="00E50701"/>
    <w:rsid w:val="00E6089A"/>
    <w:rsid w:val="00E832A4"/>
    <w:rsid w:val="00E87890"/>
    <w:rsid w:val="00E92755"/>
    <w:rsid w:val="00E973F3"/>
    <w:rsid w:val="00EA60EA"/>
    <w:rsid w:val="00EB0BF1"/>
    <w:rsid w:val="00EB1BC3"/>
    <w:rsid w:val="00EB2A23"/>
    <w:rsid w:val="00EB60B0"/>
    <w:rsid w:val="00EC5543"/>
    <w:rsid w:val="00EC77A0"/>
    <w:rsid w:val="00ED0640"/>
    <w:rsid w:val="00ED4BA6"/>
    <w:rsid w:val="00F33E2B"/>
    <w:rsid w:val="00F41F21"/>
    <w:rsid w:val="00F42DF5"/>
    <w:rsid w:val="00F510A8"/>
    <w:rsid w:val="00F57F36"/>
    <w:rsid w:val="00F72708"/>
    <w:rsid w:val="00F74826"/>
    <w:rsid w:val="00F80164"/>
    <w:rsid w:val="00F870DA"/>
    <w:rsid w:val="00F93944"/>
    <w:rsid w:val="00FB2763"/>
    <w:rsid w:val="00FB38C8"/>
    <w:rsid w:val="00FB6775"/>
    <w:rsid w:val="00FC31A8"/>
    <w:rsid w:val="00FD17A2"/>
    <w:rsid w:val="00FE1E2E"/>
    <w:rsid w:val="00FF409F"/>
    <w:rsid w:val="00FF78C5"/>
    <w:rsid w:val="01A3B0A1"/>
    <w:rsid w:val="02240415"/>
    <w:rsid w:val="033A56A5"/>
    <w:rsid w:val="04258FDE"/>
    <w:rsid w:val="0460819A"/>
    <w:rsid w:val="049E1B7A"/>
    <w:rsid w:val="04BB41CF"/>
    <w:rsid w:val="04BD2DC6"/>
    <w:rsid w:val="04E45752"/>
    <w:rsid w:val="0544B46C"/>
    <w:rsid w:val="0544D7A3"/>
    <w:rsid w:val="05BB9313"/>
    <w:rsid w:val="0667D6F1"/>
    <w:rsid w:val="068FA506"/>
    <w:rsid w:val="06923BE4"/>
    <w:rsid w:val="06DD180F"/>
    <w:rsid w:val="06E5E88C"/>
    <w:rsid w:val="080E189C"/>
    <w:rsid w:val="098C22E3"/>
    <w:rsid w:val="09AAA287"/>
    <w:rsid w:val="09C6701F"/>
    <w:rsid w:val="09CF6C4C"/>
    <w:rsid w:val="0A1EF1BA"/>
    <w:rsid w:val="0A4FCB2B"/>
    <w:rsid w:val="0AC9F0F7"/>
    <w:rsid w:val="0BE48420"/>
    <w:rsid w:val="0C0E8046"/>
    <w:rsid w:val="0C6EBB1B"/>
    <w:rsid w:val="0C7E9234"/>
    <w:rsid w:val="0CD15D85"/>
    <w:rsid w:val="0D0A6C6D"/>
    <w:rsid w:val="0D0CD438"/>
    <w:rsid w:val="0D34A6D6"/>
    <w:rsid w:val="0D3715FA"/>
    <w:rsid w:val="0DC20190"/>
    <w:rsid w:val="0DC8C6A9"/>
    <w:rsid w:val="0F3400A8"/>
    <w:rsid w:val="0F9AAACD"/>
    <w:rsid w:val="0FCA8873"/>
    <w:rsid w:val="108282C5"/>
    <w:rsid w:val="110CC04A"/>
    <w:rsid w:val="1157FE87"/>
    <w:rsid w:val="11FEA313"/>
    <w:rsid w:val="1220837D"/>
    <w:rsid w:val="122CDE4F"/>
    <w:rsid w:val="125F5DC9"/>
    <w:rsid w:val="12753F9D"/>
    <w:rsid w:val="12A772E1"/>
    <w:rsid w:val="132FE97A"/>
    <w:rsid w:val="1350F123"/>
    <w:rsid w:val="137396A3"/>
    <w:rsid w:val="13C5F43A"/>
    <w:rsid w:val="146715F5"/>
    <w:rsid w:val="146DAA2D"/>
    <w:rsid w:val="14719E30"/>
    <w:rsid w:val="14D1AADA"/>
    <w:rsid w:val="1500AD82"/>
    <w:rsid w:val="15A5C776"/>
    <w:rsid w:val="15BD6FE9"/>
    <w:rsid w:val="16FF98CD"/>
    <w:rsid w:val="17DB79B7"/>
    <w:rsid w:val="17E64436"/>
    <w:rsid w:val="186661D9"/>
    <w:rsid w:val="1874749D"/>
    <w:rsid w:val="1985876A"/>
    <w:rsid w:val="1A122E47"/>
    <w:rsid w:val="1A471BD7"/>
    <w:rsid w:val="1A788503"/>
    <w:rsid w:val="1B71A055"/>
    <w:rsid w:val="1CCE964A"/>
    <w:rsid w:val="1DA2379B"/>
    <w:rsid w:val="1F184B80"/>
    <w:rsid w:val="1F480775"/>
    <w:rsid w:val="204313A6"/>
    <w:rsid w:val="204D34B0"/>
    <w:rsid w:val="20A5DD7F"/>
    <w:rsid w:val="20BBCE9F"/>
    <w:rsid w:val="2116539A"/>
    <w:rsid w:val="2155C606"/>
    <w:rsid w:val="216AD76A"/>
    <w:rsid w:val="22028209"/>
    <w:rsid w:val="22F2EE51"/>
    <w:rsid w:val="23615921"/>
    <w:rsid w:val="23AB83A3"/>
    <w:rsid w:val="23F75264"/>
    <w:rsid w:val="242C1A71"/>
    <w:rsid w:val="248A2092"/>
    <w:rsid w:val="24C432AA"/>
    <w:rsid w:val="25727034"/>
    <w:rsid w:val="2586D8FC"/>
    <w:rsid w:val="25EBD56D"/>
    <w:rsid w:val="26BB11EB"/>
    <w:rsid w:val="27452761"/>
    <w:rsid w:val="27658C8D"/>
    <w:rsid w:val="2799A473"/>
    <w:rsid w:val="280FBFF5"/>
    <w:rsid w:val="28617264"/>
    <w:rsid w:val="2866DB1A"/>
    <w:rsid w:val="296A30A5"/>
    <w:rsid w:val="2A047267"/>
    <w:rsid w:val="2A293B48"/>
    <w:rsid w:val="2A75F4DB"/>
    <w:rsid w:val="2AFC796B"/>
    <w:rsid w:val="2BAFBBA6"/>
    <w:rsid w:val="2C495338"/>
    <w:rsid w:val="2C9C81B2"/>
    <w:rsid w:val="2CB045C7"/>
    <w:rsid w:val="2CE89210"/>
    <w:rsid w:val="2D2E2A45"/>
    <w:rsid w:val="2DA38BC7"/>
    <w:rsid w:val="2DC9053F"/>
    <w:rsid w:val="2DFE28FC"/>
    <w:rsid w:val="2E16AC03"/>
    <w:rsid w:val="2F6B17A8"/>
    <w:rsid w:val="2FB75138"/>
    <w:rsid w:val="2FBA51E5"/>
    <w:rsid w:val="307C4AF2"/>
    <w:rsid w:val="3080B62E"/>
    <w:rsid w:val="30B07131"/>
    <w:rsid w:val="3177D5A5"/>
    <w:rsid w:val="3197E3EF"/>
    <w:rsid w:val="319E20AB"/>
    <w:rsid w:val="321558FF"/>
    <w:rsid w:val="322CE1B2"/>
    <w:rsid w:val="32D9438A"/>
    <w:rsid w:val="330221DF"/>
    <w:rsid w:val="331E6A66"/>
    <w:rsid w:val="333CE6EC"/>
    <w:rsid w:val="33D1D8A6"/>
    <w:rsid w:val="346A12BC"/>
    <w:rsid w:val="34D81FC4"/>
    <w:rsid w:val="35A5911B"/>
    <w:rsid w:val="35B9D5AF"/>
    <w:rsid w:val="364D12CB"/>
    <w:rsid w:val="375D9964"/>
    <w:rsid w:val="37D20B4B"/>
    <w:rsid w:val="37FA4BB1"/>
    <w:rsid w:val="3823C002"/>
    <w:rsid w:val="38549ECD"/>
    <w:rsid w:val="38CFA1C3"/>
    <w:rsid w:val="39226DA1"/>
    <w:rsid w:val="3929C9D0"/>
    <w:rsid w:val="39B6B629"/>
    <w:rsid w:val="3A151B7E"/>
    <w:rsid w:val="3A1537EF"/>
    <w:rsid w:val="3B4F501B"/>
    <w:rsid w:val="3C012D54"/>
    <w:rsid w:val="3C053A97"/>
    <w:rsid w:val="3C1B3435"/>
    <w:rsid w:val="3C41737B"/>
    <w:rsid w:val="3C4FFF26"/>
    <w:rsid w:val="3D1B411F"/>
    <w:rsid w:val="3D42C5C4"/>
    <w:rsid w:val="3D5942CD"/>
    <w:rsid w:val="3E4E208B"/>
    <w:rsid w:val="3EA14229"/>
    <w:rsid w:val="3F42A1ED"/>
    <w:rsid w:val="3F5387C7"/>
    <w:rsid w:val="400D6E45"/>
    <w:rsid w:val="402363A1"/>
    <w:rsid w:val="4085C6A4"/>
    <w:rsid w:val="414F2243"/>
    <w:rsid w:val="41D85B3E"/>
    <w:rsid w:val="420A443F"/>
    <w:rsid w:val="4242A7D1"/>
    <w:rsid w:val="428F37B6"/>
    <w:rsid w:val="429D82DA"/>
    <w:rsid w:val="42A64904"/>
    <w:rsid w:val="4314C5B6"/>
    <w:rsid w:val="43558CDB"/>
    <w:rsid w:val="438FC6DC"/>
    <w:rsid w:val="4394018C"/>
    <w:rsid w:val="44E4849A"/>
    <w:rsid w:val="44F1C620"/>
    <w:rsid w:val="45274580"/>
    <w:rsid w:val="452C9A2D"/>
    <w:rsid w:val="4557C5D8"/>
    <w:rsid w:val="45BFA517"/>
    <w:rsid w:val="45D71E04"/>
    <w:rsid w:val="45FAD157"/>
    <w:rsid w:val="46757A21"/>
    <w:rsid w:val="4760C57B"/>
    <w:rsid w:val="4798B7D8"/>
    <w:rsid w:val="47B49EFE"/>
    <w:rsid w:val="47FA8FBC"/>
    <w:rsid w:val="4825769E"/>
    <w:rsid w:val="482E0216"/>
    <w:rsid w:val="48447E93"/>
    <w:rsid w:val="487F7BE9"/>
    <w:rsid w:val="495FFC7B"/>
    <w:rsid w:val="4A26F8EC"/>
    <w:rsid w:val="4A6964D2"/>
    <w:rsid w:val="4A810EC6"/>
    <w:rsid w:val="4A8E9A4A"/>
    <w:rsid w:val="4C2B2F13"/>
    <w:rsid w:val="4CD4FF1C"/>
    <w:rsid w:val="4D1EAB09"/>
    <w:rsid w:val="4E1C284F"/>
    <w:rsid w:val="4E5FCC20"/>
    <w:rsid w:val="4F1B8560"/>
    <w:rsid w:val="509B05DD"/>
    <w:rsid w:val="50A2AA29"/>
    <w:rsid w:val="50B6E2A3"/>
    <w:rsid w:val="50D5D34D"/>
    <w:rsid w:val="510DD929"/>
    <w:rsid w:val="513C0E04"/>
    <w:rsid w:val="5161E5EF"/>
    <w:rsid w:val="51A48996"/>
    <w:rsid w:val="51C4848F"/>
    <w:rsid w:val="51F98276"/>
    <w:rsid w:val="530E7F5E"/>
    <w:rsid w:val="534D6B12"/>
    <w:rsid w:val="53ADA92A"/>
    <w:rsid w:val="53C3241D"/>
    <w:rsid w:val="54207F1B"/>
    <w:rsid w:val="55CA46DA"/>
    <w:rsid w:val="5669CEE8"/>
    <w:rsid w:val="58DFA3A0"/>
    <w:rsid w:val="593ACDB1"/>
    <w:rsid w:val="596D81FA"/>
    <w:rsid w:val="59B8EEB3"/>
    <w:rsid w:val="59EDC020"/>
    <w:rsid w:val="5A2319E8"/>
    <w:rsid w:val="5A5EA7E8"/>
    <w:rsid w:val="5A7216F7"/>
    <w:rsid w:val="5AE017DA"/>
    <w:rsid w:val="5B2F00A5"/>
    <w:rsid w:val="5B61577F"/>
    <w:rsid w:val="5BAC5B9E"/>
    <w:rsid w:val="5C2061AE"/>
    <w:rsid w:val="5C932350"/>
    <w:rsid w:val="5CB58B23"/>
    <w:rsid w:val="5D12EB1A"/>
    <w:rsid w:val="5D496435"/>
    <w:rsid w:val="5D6CD6FD"/>
    <w:rsid w:val="5E184902"/>
    <w:rsid w:val="5E5C790D"/>
    <w:rsid w:val="5F88681C"/>
    <w:rsid w:val="5FB3F594"/>
    <w:rsid w:val="6063C956"/>
    <w:rsid w:val="60A33D95"/>
    <w:rsid w:val="60FFB266"/>
    <w:rsid w:val="6158AEE5"/>
    <w:rsid w:val="61615C25"/>
    <w:rsid w:val="61C341DF"/>
    <w:rsid w:val="622E4D6E"/>
    <w:rsid w:val="629E9522"/>
    <w:rsid w:val="6338BA6A"/>
    <w:rsid w:val="63EB3AEE"/>
    <w:rsid w:val="641DF9AE"/>
    <w:rsid w:val="6464FEAD"/>
    <w:rsid w:val="64AC881D"/>
    <w:rsid w:val="64C69FB8"/>
    <w:rsid w:val="6570E7A1"/>
    <w:rsid w:val="65C4C715"/>
    <w:rsid w:val="65DFB67A"/>
    <w:rsid w:val="65E5EBDC"/>
    <w:rsid w:val="66177531"/>
    <w:rsid w:val="66214A20"/>
    <w:rsid w:val="665163BE"/>
    <w:rsid w:val="6680DA3F"/>
    <w:rsid w:val="669E6D64"/>
    <w:rsid w:val="66C01FC3"/>
    <w:rsid w:val="67552B2C"/>
    <w:rsid w:val="67B8AE0B"/>
    <w:rsid w:val="689B2D78"/>
    <w:rsid w:val="6979869B"/>
    <w:rsid w:val="69967BEC"/>
    <w:rsid w:val="69E2592F"/>
    <w:rsid w:val="6A397526"/>
    <w:rsid w:val="6A47F465"/>
    <w:rsid w:val="6BCC0B25"/>
    <w:rsid w:val="6BD589ED"/>
    <w:rsid w:val="6C11DB7D"/>
    <w:rsid w:val="6C4E7DC5"/>
    <w:rsid w:val="6C9CF8CD"/>
    <w:rsid w:val="6D182478"/>
    <w:rsid w:val="6DAEFDBC"/>
    <w:rsid w:val="6E975A60"/>
    <w:rsid w:val="6F17FF9C"/>
    <w:rsid w:val="6F5698BC"/>
    <w:rsid w:val="704FC53A"/>
    <w:rsid w:val="70BDDAA1"/>
    <w:rsid w:val="70E97218"/>
    <w:rsid w:val="718C7AD5"/>
    <w:rsid w:val="71AD3BB6"/>
    <w:rsid w:val="722B46A7"/>
    <w:rsid w:val="72D3634B"/>
    <w:rsid w:val="72D9D262"/>
    <w:rsid w:val="73738E7D"/>
    <w:rsid w:val="74238B2C"/>
    <w:rsid w:val="758BAECC"/>
    <w:rsid w:val="75A020B1"/>
    <w:rsid w:val="761279F2"/>
    <w:rsid w:val="7649663E"/>
    <w:rsid w:val="7686B77B"/>
    <w:rsid w:val="769E27F6"/>
    <w:rsid w:val="76EAAE2E"/>
    <w:rsid w:val="7780F6DE"/>
    <w:rsid w:val="77820B78"/>
    <w:rsid w:val="779ED073"/>
    <w:rsid w:val="77B9011C"/>
    <w:rsid w:val="77F120CB"/>
    <w:rsid w:val="78480696"/>
    <w:rsid w:val="78520CDD"/>
    <w:rsid w:val="78911EFD"/>
    <w:rsid w:val="796E191A"/>
    <w:rsid w:val="7981A5C3"/>
    <w:rsid w:val="79BBB7A4"/>
    <w:rsid w:val="79CDD3F8"/>
    <w:rsid w:val="7A860ED4"/>
    <w:rsid w:val="7AAFC97D"/>
    <w:rsid w:val="7AFA5DAA"/>
    <w:rsid w:val="7B1D5A40"/>
    <w:rsid w:val="7BBE78D9"/>
    <w:rsid w:val="7C171BEB"/>
    <w:rsid w:val="7CE5B210"/>
    <w:rsid w:val="7CE6D37D"/>
    <w:rsid w:val="7D94505D"/>
    <w:rsid w:val="7D9B9333"/>
    <w:rsid w:val="7D9F81E8"/>
    <w:rsid w:val="7E97F8D1"/>
    <w:rsid w:val="7F2BC5DF"/>
    <w:rsid w:val="7F4F267A"/>
    <w:rsid w:val="7F9DCFB2"/>
    <w:rsid w:val="7FAE9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401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C6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64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64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4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4F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4FF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954A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844D4"/>
    <w:pPr>
      <w:spacing w:after="0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3844D4"/>
    <w:pPr>
      <w:spacing w:after="0" w:line="240" w:lineRule="auto"/>
    </w:pPr>
    <w:rPr>
      <w:rFonts w:ascii="Calibri" w:hAnsi="Calibri" w:cs="Calibri"/>
    </w:rPr>
  </w:style>
  <w:style w:type="paragraph" w:customStyle="1" w:styleId="TableCaption">
    <w:name w:val="Table Caption"/>
    <w:basedOn w:val="Normal"/>
    <w:next w:val="Normal"/>
    <w:uiPriority w:val="99"/>
    <w:rsid w:val="00600BBA"/>
    <w:pPr>
      <w:keepNext/>
      <w:keepLines/>
      <w:spacing w:before="440" w:after="440" w:line="240" w:lineRule="atLeast"/>
      <w:jc w:val="center"/>
    </w:pPr>
    <w:rPr>
      <w:rFonts w:ascii="Arial" w:eastAsia="Times New Roman" w:hAnsi="Arial" w:cs="Arial"/>
      <w:b/>
      <w:bCs/>
      <w:caps/>
      <w:sz w:val="20"/>
      <w:szCs w:val="20"/>
    </w:rPr>
  </w:style>
  <w:style w:type="paragraph" w:styleId="Revision">
    <w:name w:val="Revision"/>
    <w:hidden/>
    <w:uiPriority w:val="99"/>
    <w:semiHidden/>
    <w:rsid w:val="00BD6D24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sid w:val="002505D9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6637AB"/>
  </w:style>
  <w:style w:type="character" w:customStyle="1" w:styleId="eop">
    <w:name w:val="eop"/>
    <w:basedOn w:val="DefaultParagraphFont"/>
    <w:rsid w:val="006637AB"/>
  </w:style>
  <w:style w:type="paragraph" w:styleId="Header">
    <w:name w:val="header"/>
    <w:basedOn w:val="Normal"/>
    <w:link w:val="HeaderChar"/>
    <w:uiPriority w:val="99"/>
    <w:unhideWhenUsed/>
    <w:rsid w:val="00787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D42"/>
  </w:style>
  <w:style w:type="paragraph" w:styleId="Footer">
    <w:name w:val="footer"/>
    <w:basedOn w:val="Normal"/>
    <w:link w:val="FooterChar"/>
    <w:uiPriority w:val="99"/>
    <w:unhideWhenUsed/>
    <w:rsid w:val="00787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2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0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2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1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1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1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0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6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5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8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3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3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oldegiorgis@sdg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ublicAdvocatesOffice@cpuc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dge.com/proceed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857</Words>
  <Characters>4692</Characters>
  <Application>Microsoft Office Word</Application>
  <DocSecurity>0</DocSecurity>
  <Lines>179</Lines>
  <Paragraphs>110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2022-11-07T21:47:00Z</dcterms:created>
  <dcterms:modified xsi:type="dcterms:W3CDTF">2022-11-07T21:47:00Z</dcterms:modified>
</cp:coreProperties>
</file>