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ABB0F" w14:textId="48401222" w:rsidR="00107CED" w:rsidRDefault="007E6689" w:rsidP="00A006BB">
      <w:pPr>
        <w:pStyle w:val="Title"/>
      </w:pPr>
      <w:r>
        <w:t>Attachment C</w:t>
      </w:r>
    </w:p>
    <w:p w14:paraId="3C459F99" w14:textId="564A0BBA" w:rsidR="003F0A36" w:rsidRDefault="003F0A36" w:rsidP="00A006BB">
      <w:pPr>
        <w:pStyle w:val="Title"/>
      </w:pPr>
      <w:r>
        <w:t xml:space="preserve">San Diego Gas &amp; Electric </w:t>
      </w:r>
      <w:r w:rsidR="00A006BB">
        <w:t>Company</w:t>
      </w:r>
      <w:r w:rsidR="00A006BB">
        <w:br/>
        <w:t xml:space="preserve">2020 Energy Efficiency </w:t>
      </w:r>
      <w:r>
        <w:t>Portfolio Analysis</w:t>
      </w:r>
    </w:p>
    <w:p w14:paraId="190A6F32" w14:textId="7BEE8D24" w:rsidR="00B51491" w:rsidRDefault="00B51491">
      <w:r>
        <w:br w:type="page"/>
      </w:r>
    </w:p>
    <w:p w14:paraId="254067BD" w14:textId="368698B2" w:rsidR="001B3C33" w:rsidRDefault="00A006BB" w:rsidP="00A80BAC">
      <w:pPr>
        <w:pStyle w:val="Title"/>
      </w:pPr>
      <w:r>
        <w:lastRenderedPageBreak/>
        <w:t xml:space="preserve">2020 Energy </w:t>
      </w:r>
      <w:r w:rsidRPr="00A80BAC">
        <w:t>Efficiency</w:t>
      </w:r>
      <w:r>
        <w:t xml:space="preserve"> Portfolio Analysis</w:t>
      </w:r>
    </w:p>
    <w:p w14:paraId="517B8BFC" w14:textId="5F0E4C45" w:rsidR="0027198C" w:rsidRDefault="0027198C" w:rsidP="00F82FD3">
      <w:r>
        <w:t xml:space="preserve">This </w:t>
      </w:r>
      <w:r w:rsidR="00F35304">
        <w:t>section is intended to provide a discussion of the analysis SDG&amp;</w:t>
      </w:r>
      <w:r w:rsidR="00B75ECD">
        <w:t>E</w:t>
      </w:r>
      <w:r w:rsidR="00F35304">
        <w:t xml:space="preserve"> undertook to develop its 2020 Energy Efficiency</w:t>
      </w:r>
      <w:r w:rsidR="00B75ECD">
        <w:t xml:space="preserve"> Portfolio.</w:t>
      </w:r>
    </w:p>
    <w:p w14:paraId="0D81291B" w14:textId="4C2CDE0A" w:rsidR="00F82FD3" w:rsidRDefault="00602C2C" w:rsidP="00602C2C">
      <w:pPr>
        <w:pStyle w:val="Heading3"/>
      </w:pPr>
      <w:r>
        <w:t>A.</w:t>
      </w:r>
      <w:r>
        <w:tab/>
        <w:t>Cost Effectiveness Assumptions</w:t>
      </w:r>
    </w:p>
    <w:p w14:paraId="15EF11BF" w14:textId="3C888EEA" w:rsidR="0027198C" w:rsidRPr="007E07FD" w:rsidRDefault="00967C0F" w:rsidP="0027198C">
      <w:pPr>
        <w:jc w:val="center"/>
        <w:rPr>
          <w:b/>
        </w:rPr>
      </w:pPr>
      <w:bookmarkStart w:id="0" w:name="_Hlk522798234"/>
      <w:r>
        <w:rPr>
          <w:b/>
        </w:rPr>
        <w:t xml:space="preserve">Table 1: </w:t>
      </w:r>
      <w:r w:rsidR="0027198C" w:rsidRPr="007E07FD">
        <w:rPr>
          <w:b/>
        </w:rPr>
        <w:t>2020 EE Portfolio Cost Effectiveness</w:t>
      </w:r>
    </w:p>
    <w:tbl>
      <w:tblPr>
        <w:tblStyle w:val="TableGrid"/>
        <w:tblW w:w="0" w:type="auto"/>
        <w:jc w:val="center"/>
        <w:tblBorders>
          <w:insideH w:val="single" w:sz="6" w:space="0" w:color="auto"/>
          <w:insideV w:val="single" w:sz="6" w:space="0" w:color="auto"/>
        </w:tblBorders>
        <w:tblLook w:val="04A0" w:firstRow="1" w:lastRow="0" w:firstColumn="1" w:lastColumn="0" w:noHBand="0" w:noVBand="1"/>
      </w:tblPr>
      <w:tblGrid>
        <w:gridCol w:w="3673"/>
        <w:gridCol w:w="1366"/>
        <w:gridCol w:w="1366"/>
        <w:gridCol w:w="1366"/>
      </w:tblGrid>
      <w:tr w:rsidR="0027198C" w:rsidRPr="00414200" w14:paraId="3BA40574" w14:textId="77777777" w:rsidTr="003435C3">
        <w:trPr>
          <w:jc w:val="center"/>
        </w:trPr>
        <w:tc>
          <w:tcPr>
            <w:tcW w:w="3673" w:type="dxa"/>
          </w:tcPr>
          <w:p w14:paraId="06B743C2" w14:textId="77777777" w:rsidR="0027198C" w:rsidRPr="00CA4E4C" w:rsidRDefault="0027198C" w:rsidP="003435C3"/>
        </w:tc>
        <w:tc>
          <w:tcPr>
            <w:tcW w:w="1366" w:type="dxa"/>
          </w:tcPr>
          <w:p w14:paraId="3FAF147C" w14:textId="77777777" w:rsidR="0027198C" w:rsidRPr="00414200" w:rsidRDefault="0027198C" w:rsidP="003435C3">
            <w:r w:rsidRPr="00414200">
              <w:t>TRC Ratio</w:t>
            </w:r>
          </w:p>
        </w:tc>
        <w:tc>
          <w:tcPr>
            <w:tcW w:w="1366" w:type="dxa"/>
          </w:tcPr>
          <w:p w14:paraId="3AB1BCED" w14:textId="77777777" w:rsidR="0027198C" w:rsidRPr="00414200" w:rsidRDefault="0027198C" w:rsidP="003435C3">
            <w:r w:rsidRPr="00414200">
              <w:t>PAC Ratio</w:t>
            </w:r>
          </w:p>
        </w:tc>
        <w:tc>
          <w:tcPr>
            <w:tcW w:w="1366" w:type="dxa"/>
          </w:tcPr>
          <w:p w14:paraId="4FA9AECE" w14:textId="77777777" w:rsidR="0027198C" w:rsidRPr="00414200" w:rsidRDefault="0027198C" w:rsidP="003435C3">
            <w:r w:rsidRPr="00414200">
              <w:t>RIM Ratio</w:t>
            </w:r>
          </w:p>
        </w:tc>
      </w:tr>
      <w:tr w:rsidR="0027198C" w:rsidRPr="00414200" w14:paraId="5D202FAA" w14:textId="77777777" w:rsidTr="003435C3">
        <w:trPr>
          <w:jc w:val="center"/>
        </w:trPr>
        <w:tc>
          <w:tcPr>
            <w:tcW w:w="3673" w:type="dxa"/>
          </w:tcPr>
          <w:p w14:paraId="35471619" w14:textId="77777777" w:rsidR="0027198C" w:rsidRPr="00414200" w:rsidRDefault="0027198C" w:rsidP="003435C3">
            <w:r w:rsidRPr="00414200">
              <w:t>Without Codes &amp; Standards (C&amp;S)</w:t>
            </w:r>
          </w:p>
        </w:tc>
        <w:tc>
          <w:tcPr>
            <w:tcW w:w="1366" w:type="dxa"/>
          </w:tcPr>
          <w:p w14:paraId="03277D3A" w14:textId="77777777" w:rsidR="0027198C" w:rsidRPr="00414200" w:rsidRDefault="0027198C" w:rsidP="003435C3">
            <w:r w:rsidRPr="00414200">
              <w:t>1.26</w:t>
            </w:r>
          </w:p>
        </w:tc>
        <w:tc>
          <w:tcPr>
            <w:tcW w:w="1366" w:type="dxa"/>
          </w:tcPr>
          <w:p w14:paraId="1CFBB9C4" w14:textId="2307B556" w:rsidR="0027198C" w:rsidRPr="00414200" w:rsidRDefault="0027198C" w:rsidP="003435C3">
            <w:r w:rsidRPr="00414200">
              <w:t>1.</w:t>
            </w:r>
            <w:r w:rsidR="009C4DFF">
              <w:t>49</w:t>
            </w:r>
          </w:p>
        </w:tc>
        <w:tc>
          <w:tcPr>
            <w:tcW w:w="1366" w:type="dxa"/>
          </w:tcPr>
          <w:p w14:paraId="001267AE" w14:textId="79C46E7E" w:rsidR="0027198C" w:rsidRPr="00414200" w:rsidRDefault="0027198C" w:rsidP="003435C3">
            <w:r w:rsidRPr="00414200">
              <w:t>0.</w:t>
            </w:r>
            <w:r w:rsidR="009C4DFF">
              <w:t>61</w:t>
            </w:r>
          </w:p>
        </w:tc>
      </w:tr>
      <w:tr w:rsidR="0027198C" w:rsidRPr="00CA4E4C" w14:paraId="63BF2B5F" w14:textId="77777777" w:rsidTr="003435C3">
        <w:trPr>
          <w:jc w:val="center"/>
        </w:trPr>
        <w:tc>
          <w:tcPr>
            <w:tcW w:w="3673" w:type="dxa"/>
          </w:tcPr>
          <w:p w14:paraId="36D1621A" w14:textId="77777777" w:rsidR="0027198C" w:rsidRPr="00414200" w:rsidRDefault="0027198C" w:rsidP="003435C3">
            <w:r w:rsidRPr="00414200">
              <w:t>With Codes &amp; Standards (C&amp;S)</w:t>
            </w:r>
          </w:p>
        </w:tc>
        <w:tc>
          <w:tcPr>
            <w:tcW w:w="1366" w:type="dxa"/>
            <w:shd w:val="clear" w:color="auto" w:fill="auto"/>
            <w:vAlign w:val="bottom"/>
          </w:tcPr>
          <w:p w14:paraId="19AD62A7" w14:textId="77777777" w:rsidR="0027198C" w:rsidRPr="00414200" w:rsidRDefault="0027198C" w:rsidP="003435C3">
            <w:r w:rsidRPr="00414200">
              <w:t>1.47</w:t>
            </w:r>
          </w:p>
        </w:tc>
        <w:tc>
          <w:tcPr>
            <w:tcW w:w="1366" w:type="dxa"/>
            <w:shd w:val="clear" w:color="auto" w:fill="auto"/>
            <w:vAlign w:val="bottom"/>
          </w:tcPr>
          <w:p w14:paraId="2BAE6707" w14:textId="7FCFD832" w:rsidR="0027198C" w:rsidRPr="00414200" w:rsidRDefault="0027198C" w:rsidP="003435C3">
            <w:r w:rsidRPr="00414200">
              <w:t>4.</w:t>
            </w:r>
            <w:r w:rsidR="009C4DFF">
              <w:t>12</w:t>
            </w:r>
          </w:p>
        </w:tc>
        <w:tc>
          <w:tcPr>
            <w:tcW w:w="1366" w:type="dxa"/>
          </w:tcPr>
          <w:p w14:paraId="5CB34086" w14:textId="63A60341" w:rsidR="0027198C" w:rsidRPr="00414200" w:rsidRDefault="0027198C" w:rsidP="003435C3">
            <w:r w:rsidRPr="00414200">
              <w:t>0.5</w:t>
            </w:r>
            <w:r w:rsidR="009C4DFF">
              <w:t>6</w:t>
            </w:r>
          </w:p>
        </w:tc>
      </w:tr>
    </w:tbl>
    <w:bookmarkEnd w:id="0"/>
    <w:p w14:paraId="02F5E4E5" w14:textId="77777777" w:rsidR="0027198C" w:rsidRPr="00CA4E4C" w:rsidRDefault="0027198C" w:rsidP="0027198C">
      <w:r w:rsidRPr="00CA4E4C">
        <w:t>SDG&amp;E’s 2020 TRC and PAC results reflect the following inputs:</w:t>
      </w:r>
    </w:p>
    <w:p w14:paraId="6FDD76C8" w14:textId="1E9892F7" w:rsidR="0027198C" w:rsidRPr="00CA4E4C" w:rsidRDefault="0027198C" w:rsidP="0027198C">
      <w:pPr>
        <w:pStyle w:val="ListParagraph"/>
        <w:widowControl/>
        <w:numPr>
          <w:ilvl w:val="0"/>
          <w:numId w:val="16"/>
        </w:numPr>
        <w:autoSpaceDE/>
        <w:autoSpaceDN/>
        <w:spacing w:before="0" w:after="200" w:line="276" w:lineRule="auto"/>
        <w:contextualSpacing/>
        <w:jc w:val="both"/>
      </w:pPr>
      <w:r w:rsidRPr="0050084B">
        <w:t xml:space="preserve">Updated 2020 avoided costs and </w:t>
      </w:r>
      <w:r w:rsidR="00E65F57">
        <w:t>g</w:t>
      </w:r>
      <w:r w:rsidRPr="0050084B">
        <w:t xml:space="preserve">reenhouse </w:t>
      </w:r>
      <w:r w:rsidR="00E65F57">
        <w:t>g</w:t>
      </w:r>
      <w:r w:rsidRPr="0050084B">
        <w:t>as adder consistent with Resolution E-5014</w:t>
      </w:r>
      <w:r w:rsidRPr="00CA4E4C">
        <w:t>;</w:t>
      </w:r>
    </w:p>
    <w:p w14:paraId="1E22CF12" w14:textId="77777777" w:rsidR="0027198C" w:rsidRPr="00CA4E4C" w:rsidRDefault="0027198C" w:rsidP="0027198C">
      <w:pPr>
        <w:pStyle w:val="ListParagraph"/>
        <w:widowControl/>
        <w:numPr>
          <w:ilvl w:val="0"/>
          <w:numId w:val="16"/>
        </w:numPr>
        <w:autoSpaceDE/>
        <w:autoSpaceDN/>
        <w:spacing w:before="0" w:after="200" w:line="276" w:lineRule="auto"/>
        <w:contextualSpacing/>
        <w:jc w:val="both"/>
      </w:pPr>
      <w:r w:rsidRPr="00CA4E4C">
        <w:t>Excludes Emerging Technology, On-Bill Financing (OBF) revolving loan pool, and credit enhancements;</w:t>
      </w:r>
    </w:p>
    <w:p w14:paraId="386E951F" w14:textId="77777777" w:rsidR="0027198C" w:rsidRPr="00CB150E" w:rsidRDefault="0027198C" w:rsidP="0027198C">
      <w:pPr>
        <w:pStyle w:val="ListParagraph"/>
        <w:widowControl/>
        <w:numPr>
          <w:ilvl w:val="0"/>
          <w:numId w:val="16"/>
        </w:numPr>
        <w:autoSpaceDE/>
        <w:autoSpaceDN/>
        <w:spacing w:before="0" w:after="200" w:line="276" w:lineRule="auto"/>
        <w:contextualSpacing/>
        <w:jc w:val="both"/>
      </w:pPr>
      <w:r w:rsidRPr="00CB150E">
        <w:t>Excludes Market Effects (ME) based on D.19-08-034, which eliminated the 5% spillover for resource programs;</w:t>
      </w:r>
    </w:p>
    <w:p w14:paraId="055B86DB" w14:textId="2E85571F" w:rsidR="0027198C" w:rsidRPr="00CA4E4C" w:rsidRDefault="0027198C" w:rsidP="0027198C">
      <w:pPr>
        <w:pStyle w:val="ListParagraph"/>
        <w:widowControl/>
        <w:numPr>
          <w:ilvl w:val="0"/>
          <w:numId w:val="16"/>
        </w:numPr>
        <w:autoSpaceDE/>
        <w:autoSpaceDN/>
        <w:spacing w:before="0" w:after="200" w:line="276" w:lineRule="auto"/>
        <w:contextualSpacing/>
        <w:jc w:val="both"/>
      </w:pPr>
      <w:r w:rsidRPr="00CA4E4C">
        <w:t xml:space="preserve">Uses workpapers that are approved by staff as of </w:t>
      </w:r>
      <w:r>
        <w:t xml:space="preserve">September </w:t>
      </w:r>
      <w:r w:rsidRPr="00CA4E4C">
        <w:t>1</w:t>
      </w:r>
      <w:r>
        <w:t xml:space="preserve">, </w:t>
      </w:r>
      <w:r w:rsidRPr="00CA4E4C">
        <w:t>2019;</w:t>
      </w:r>
    </w:p>
    <w:p w14:paraId="35F2D9BC" w14:textId="69FE6B71" w:rsidR="007C0942" w:rsidRDefault="007C0942" w:rsidP="007C0942">
      <w:pPr>
        <w:pStyle w:val="ListParagraph"/>
        <w:widowControl/>
        <w:numPr>
          <w:ilvl w:val="0"/>
          <w:numId w:val="16"/>
        </w:numPr>
        <w:autoSpaceDE/>
        <w:autoSpaceDN/>
        <w:spacing w:before="0" w:after="200" w:line="276" w:lineRule="auto"/>
        <w:contextualSpacing/>
        <w:jc w:val="both"/>
      </w:pPr>
      <w:r>
        <w:t>D.1</w:t>
      </w:r>
      <w:r w:rsidR="003260B0">
        <w:t>9</w:t>
      </w:r>
      <w:r>
        <w:t>-0</w:t>
      </w:r>
      <w:r w:rsidR="003260B0">
        <w:t>8</w:t>
      </w:r>
      <w:r>
        <w:t>-034 provides the direction for forecasting for solicitations:</w:t>
      </w:r>
    </w:p>
    <w:p w14:paraId="4097BEBD" w14:textId="0DEAC85B" w:rsidR="007C0942" w:rsidRDefault="007C0942" w:rsidP="007C0942">
      <w:pPr>
        <w:ind w:left="1152"/>
      </w:pPr>
      <w:r>
        <w:t xml:space="preserve">The IOUs shall align these </w:t>
      </w:r>
      <w:r w:rsidR="009C4DFF">
        <w:t>T</w:t>
      </w:r>
      <w:r w:rsidR="009D0AE7">
        <w:t>hird</w:t>
      </w:r>
      <w:r w:rsidR="009C4DFF">
        <w:t xml:space="preserve"> P</w:t>
      </w:r>
      <w:r w:rsidR="009D0AE7">
        <w:t>arty</w:t>
      </w:r>
      <w:r w:rsidR="000C11C6">
        <w:t xml:space="preserve"> </w:t>
      </w:r>
      <w:r>
        <w:t xml:space="preserve">program forecasts pending from solicitations as much as possible with the forecasting methods used for custom projects (in terms of measures and measure mix being “unknown” prior to a program year), as they develop PY 2020 </w:t>
      </w:r>
      <w:r w:rsidR="009D0AE7">
        <w:t>third-party</w:t>
      </w:r>
      <w:r w:rsidR="000C11C6">
        <w:t xml:space="preserve"> </w:t>
      </w:r>
      <w:r>
        <w:t>program savings forecasts.</w:t>
      </w:r>
      <w:r>
        <w:rPr>
          <w:rStyle w:val="FootnoteReference"/>
        </w:rPr>
        <w:footnoteReference w:id="2"/>
      </w:r>
    </w:p>
    <w:p w14:paraId="2935D979" w14:textId="615A95E5" w:rsidR="007C0942" w:rsidRDefault="007C0942" w:rsidP="00F50688">
      <w:pPr>
        <w:pStyle w:val="ListParagraph"/>
        <w:numPr>
          <w:ilvl w:val="1"/>
          <w:numId w:val="18"/>
        </w:numPr>
      </w:pPr>
      <w:r w:rsidRPr="00CA4E4C">
        <w:t xml:space="preserve">For </w:t>
      </w:r>
      <w:r>
        <w:t xml:space="preserve">local </w:t>
      </w:r>
      <w:bookmarkStart w:id="1" w:name="_Hlk18412729"/>
      <w:r w:rsidR="000C11C6">
        <w:t xml:space="preserve">Third Party </w:t>
      </w:r>
      <w:bookmarkEnd w:id="1"/>
      <w:r w:rsidRPr="00CA4E4C">
        <w:t>program forecasts pending from solicitations, SDG&amp;E used the same forecasting methods used for custom projects (in terms of measures and measure mix being “unknown” prior to a program year)</w:t>
      </w:r>
      <w:r>
        <w:t xml:space="preserve">.  </w:t>
      </w:r>
      <w:r w:rsidR="00CB746B">
        <w:t xml:space="preserve">SDG&amp;E provided its expected net benefits for </w:t>
      </w:r>
      <w:r w:rsidR="00A36282">
        <w:t xml:space="preserve">proposed programs in the Request for Proposal (RFPs).  To achieve the same </w:t>
      </w:r>
      <w:r w:rsidR="007E3A67">
        <w:t xml:space="preserve">RFP </w:t>
      </w:r>
      <w:r w:rsidR="00A36282">
        <w:t xml:space="preserve">net benefits in </w:t>
      </w:r>
      <w:r w:rsidR="007E3A67">
        <w:t xml:space="preserve">its forecast, SDG&amp;E selected </w:t>
      </w:r>
      <w:r w:rsidR="00C16281">
        <w:t xml:space="preserve">“representative” </w:t>
      </w:r>
      <w:r w:rsidR="00485236">
        <w:t xml:space="preserve">custom </w:t>
      </w:r>
      <w:r w:rsidR="007E3A67">
        <w:t>end</w:t>
      </w:r>
      <w:r w:rsidR="00485236">
        <w:t xml:space="preserve"> </w:t>
      </w:r>
      <w:r w:rsidR="007E3A67">
        <w:t>us</w:t>
      </w:r>
      <w:r w:rsidR="00C16281">
        <w:t>e measures whose savings would provide the same net benefits.</w:t>
      </w:r>
      <w:r w:rsidR="00485236">
        <w:t xml:space="preserve">  In most cases, the Retrocommissioning (RCx) and “Whole Building”</w:t>
      </w:r>
      <w:r w:rsidR="00485236" w:rsidRPr="00485236">
        <w:t xml:space="preserve"> </w:t>
      </w:r>
      <w:r w:rsidR="00485236">
        <w:t xml:space="preserve">measure </w:t>
      </w:r>
      <w:r w:rsidR="00C552BA">
        <w:t xml:space="preserve">savings </w:t>
      </w:r>
      <w:r w:rsidR="00485236">
        <w:t xml:space="preserve">provide </w:t>
      </w:r>
      <w:r w:rsidR="00C552BA">
        <w:t xml:space="preserve">the expected result.  It is important to note that these selections are not </w:t>
      </w:r>
      <w:r w:rsidR="000C52A1">
        <w:t>necessarily what bidders are expected to propose.  Rather, SDG&amp;E expect</w:t>
      </w:r>
      <w:r w:rsidR="009B2A1F">
        <w:t>s</w:t>
      </w:r>
      <w:r w:rsidR="000C52A1">
        <w:t xml:space="preserve"> that after </w:t>
      </w:r>
      <w:r w:rsidR="000C11C6">
        <w:t xml:space="preserve">Third Party </w:t>
      </w:r>
      <w:r w:rsidR="00EA3E47">
        <w:t xml:space="preserve">programs are selected with their own proposed measures, the </w:t>
      </w:r>
      <w:r w:rsidR="009B2A1F">
        <w:t xml:space="preserve">resulting portfolio of programs for the market sector will result in </w:t>
      </w:r>
      <w:r w:rsidR="00351BF5">
        <w:lastRenderedPageBreak/>
        <w:t>the expected net benefits.</w:t>
      </w:r>
      <w:r w:rsidR="00084C0D">
        <w:t xml:space="preserve">  </w:t>
      </w:r>
      <w:r w:rsidR="00193E95">
        <w:t xml:space="preserve">SDG&amp;E also expects that the selected programs will perform at least if not better that SDG&amp;E’s current program implementations.  This is consistent with the Commission’s expectation that Third Party programs can bring on more </w:t>
      </w:r>
      <w:r w:rsidR="00FB0172">
        <w:t>innovative and cost effective programs.</w:t>
      </w:r>
    </w:p>
    <w:p w14:paraId="15B6ADCC" w14:textId="6B35525C" w:rsidR="007C0942" w:rsidRDefault="007C0942" w:rsidP="00F50688">
      <w:pPr>
        <w:pStyle w:val="ListParagraph"/>
        <w:numPr>
          <w:ilvl w:val="1"/>
          <w:numId w:val="18"/>
        </w:numPr>
      </w:pPr>
      <w:r>
        <w:t xml:space="preserve">For </w:t>
      </w:r>
      <w:r w:rsidRPr="00351711">
        <w:t xml:space="preserve">statewide </w:t>
      </w:r>
      <w:r>
        <w:t>Third Party</w:t>
      </w:r>
      <w:r w:rsidRPr="00351711">
        <w:t xml:space="preserve"> programs</w:t>
      </w:r>
      <w:r>
        <w:t xml:space="preserve">, forecasted savings are based on </w:t>
      </w:r>
      <w:r w:rsidRPr="00351711">
        <w:t>the funding share method approved in the Joint IOUs Supplemental Advice Letter of the Shared Funding Mechanism Proposal submitted on November 15, 2018</w:t>
      </w:r>
      <w:r>
        <w:t>.</w:t>
      </w:r>
      <w:r>
        <w:rPr>
          <w:rStyle w:val="FootnoteReference"/>
          <w:rFonts w:cs="Arial"/>
        </w:rPr>
        <w:footnoteReference w:id="3"/>
      </w:r>
      <w:r w:rsidR="00F50688">
        <w:t xml:space="preserve">  SDG&amp;E’s portfolio</w:t>
      </w:r>
      <w:r w:rsidR="00084C0D">
        <w:t>, consistent with the other IOUs, only include</w:t>
      </w:r>
      <w:r w:rsidR="00E07126">
        <w:t>s</w:t>
      </w:r>
      <w:r w:rsidR="00084C0D">
        <w:t xml:space="preserve"> </w:t>
      </w:r>
      <w:r w:rsidR="00FB0172">
        <w:t>at this time Statewide Codes &amp; Standards</w:t>
      </w:r>
      <w:r w:rsidR="0039641E">
        <w:t xml:space="preserve"> programs.  The lead IOU, PG&amp;E, provided SDG&amp;E with its expected share of savings for the programs based on </w:t>
      </w:r>
      <w:r w:rsidR="0070600D">
        <w:t>the agreed upon budget contribution.</w:t>
      </w:r>
    </w:p>
    <w:p w14:paraId="7AAD0E22" w14:textId="0F9D5991" w:rsidR="0027198C" w:rsidRPr="00CA4E4C" w:rsidRDefault="0027198C" w:rsidP="00985E84">
      <w:pPr>
        <w:pStyle w:val="ListParagraph"/>
        <w:widowControl/>
        <w:numPr>
          <w:ilvl w:val="0"/>
          <w:numId w:val="16"/>
        </w:numPr>
        <w:autoSpaceDE/>
        <w:autoSpaceDN/>
        <w:spacing w:before="0" w:after="200" w:line="276" w:lineRule="auto"/>
        <w:contextualSpacing/>
        <w:jc w:val="both"/>
      </w:pPr>
      <w:r w:rsidRPr="00CA4E4C">
        <w:t xml:space="preserve">Includes estimated Energy Savings Performance Incentive payments of $3.5 million; </w:t>
      </w:r>
      <w:r w:rsidR="00686A5F">
        <w:t>and</w:t>
      </w:r>
    </w:p>
    <w:p w14:paraId="5C0417C6" w14:textId="6E3FCA9A" w:rsidR="0027198C" w:rsidRPr="00CA4E4C" w:rsidRDefault="0027198C" w:rsidP="00985E84">
      <w:pPr>
        <w:pStyle w:val="ListParagraph"/>
        <w:widowControl/>
        <w:numPr>
          <w:ilvl w:val="0"/>
          <w:numId w:val="16"/>
        </w:numPr>
        <w:autoSpaceDE/>
        <w:autoSpaceDN/>
        <w:spacing w:before="0" w:after="200" w:line="276" w:lineRule="auto"/>
        <w:contextualSpacing/>
        <w:jc w:val="both"/>
      </w:pPr>
      <w:r w:rsidRPr="00CA4E4C">
        <w:t>Includes indirect labor loaders adopted in SDG&amp;E’s 2016 GRC D.16-06-054</w:t>
      </w:r>
      <w:r w:rsidR="006B3841">
        <w:t>.</w:t>
      </w:r>
    </w:p>
    <w:p w14:paraId="07BFE3C2" w14:textId="788CFB74" w:rsidR="005A22AC" w:rsidRDefault="002737C4" w:rsidP="002737C4">
      <w:pPr>
        <w:pStyle w:val="Heading1"/>
      </w:pPr>
      <w:r>
        <w:t>B.</w:t>
      </w:r>
      <w:r>
        <w:tab/>
      </w:r>
      <w:r w:rsidR="006E1BC9">
        <w:t xml:space="preserve">Development of Portfolio </w:t>
      </w:r>
      <w:r w:rsidR="00D77A81">
        <w:t>Savings and Validation Against the 2019 Potential and Goals Study</w:t>
      </w:r>
    </w:p>
    <w:p w14:paraId="1B3C327F" w14:textId="77777777" w:rsidR="005C0943" w:rsidRDefault="00D77A81" w:rsidP="00541AEC">
      <w:pPr>
        <w:pStyle w:val="ListParagraph"/>
        <w:widowControl/>
        <w:numPr>
          <w:ilvl w:val="0"/>
          <w:numId w:val="19"/>
        </w:numPr>
        <w:autoSpaceDE/>
        <w:autoSpaceDN/>
        <w:spacing w:before="0" w:after="200" w:line="276" w:lineRule="auto"/>
        <w:contextualSpacing/>
        <w:jc w:val="both"/>
      </w:pPr>
      <w:r>
        <w:t>SDG&amp;E</w:t>
      </w:r>
      <w:r w:rsidR="00406AF3">
        <w:t xml:space="preserve"> reviewed its 2019 portfolio of measures and as </w:t>
      </w:r>
      <w:r w:rsidR="00104420">
        <w:t xml:space="preserve">noted in the Advice Letter, </w:t>
      </w:r>
      <w:r w:rsidR="003C2792">
        <w:t>reduced or eliminated non-cost-effective measures</w:t>
      </w:r>
      <w:r w:rsidR="00405E65">
        <w:t xml:space="preserve">, </w:t>
      </w:r>
      <w:r w:rsidR="003C2792">
        <w:t xml:space="preserve">measures that </w:t>
      </w:r>
      <w:r w:rsidR="002B4BBE">
        <w:t>will be retired due to the updated Codes and Standards (Title 24 and Title 20)</w:t>
      </w:r>
      <w:r w:rsidR="00405E65">
        <w:t>, and/or measures with low customer demand</w:t>
      </w:r>
      <w:r w:rsidR="002B4BBE">
        <w:t>.</w:t>
      </w:r>
    </w:p>
    <w:p w14:paraId="104325A7" w14:textId="7DD1F96F" w:rsidR="00541AEC" w:rsidRDefault="00601BB1" w:rsidP="00541AEC">
      <w:pPr>
        <w:pStyle w:val="ListParagraph"/>
        <w:widowControl/>
        <w:numPr>
          <w:ilvl w:val="0"/>
          <w:numId w:val="19"/>
        </w:numPr>
        <w:autoSpaceDE/>
        <w:autoSpaceDN/>
        <w:spacing w:before="0" w:after="200" w:line="276" w:lineRule="auto"/>
        <w:contextualSpacing/>
        <w:jc w:val="both"/>
      </w:pPr>
      <w:r>
        <w:t xml:space="preserve">SDG&amp;E also updated all the savings assumptions based on </w:t>
      </w:r>
      <w:r w:rsidR="00541AEC" w:rsidRPr="00CA4E4C">
        <w:t>SDG&amp;E updated the measure savings assumptions based on DEER 2020, and all applicable deemed measure work paper dispositions.</w:t>
      </w:r>
    </w:p>
    <w:p w14:paraId="7B5B0CCF" w14:textId="61C89CEA" w:rsidR="002767D4" w:rsidRDefault="002767D4" w:rsidP="002767D4">
      <w:pPr>
        <w:widowControl/>
        <w:autoSpaceDE/>
        <w:autoSpaceDN/>
        <w:spacing w:before="0" w:after="200" w:line="276" w:lineRule="auto"/>
        <w:ind w:left="360"/>
        <w:contextualSpacing/>
        <w:jc w:val="both"/>
      </w:pPr>
      <w:r>
        <w:t>The following table</w:t>
      </w:r>
      <w:r w:rsidR="00D83463">
        <w:rPr>
          <w:rStyle w:val="FootnoteReference"/>
        </w:rPr>
        <w:footnoteReference w:id="4"/>
      </w:r>
      <w:r>
        <w:t xml:space="preserve"> summarizes the impacts of the above actions:</w:t>
      </w:r>
    </w:p>
    <w:p w14:paraId="4FF67CF3" w14:textId="5EB450C4" w:rsidR="000D4100" w:rsidRPr="00596B95" w:rsidRDefault="000D4100" w:rsidP="000D4100">
      <w:pPr>
        <w:jc w:val="center"/>
        <w:rPr>
          <w:b/>
        </w:rPr>
      </w:pPr>
      <w:r w:rsidRPr="00596B95">
        <w:rPr>
          <w:b/>
        </w:rPr>
        <w:t xml:space="preserve">Table </w:t>
      </w:r>
      <w:r w:rsidR="00967C0F">
        <w:rPr>
          <w:b/>
        </w:rPr>
        <w:t>2</w:t>
      </w:r>
      <w:r w:rsidRPr="00596B95">
        <w:rPr>
          <w:b/>
        </w:rPr>
        <w:t>: Major Portfolio Changes</w:t>
      </w:r>
    </w:p>
    <w:p w14:paraId="46943459" w14:textId="77777777" w:rsidR="00D83463" w:rsidRDefault="00D83463" w:rsidP="002767D4">
      <w:pPr>
        <w:widowControl/>
        <w:autoSpaceDE/>
        <w:autoSpaceDN/>
        <w:spacing w:before="0" w:after="200" w:line="276" w:lineRule="auto"/>
        <w:ind w:left="360"/>
        <w:contextualSpacing/>
        <w:jc w:val="both"/>
      </w:pPr>
    </w:p>
    <w:tbl>
      <w:tblPr>
        <w:tblW w:w="8900" w:type="dxa"/>
        <w:jc w:val="center"/>
        <w:tblLook w:val="04A0" w:firstRow="1" w:lastRow="0" w:firstColumn="1" w:lastColumn="0" w:noHBand="0" w:noVBand="1"/>
      </w:tblPr>
      <w:tblGrid>
        <w:gridCol w:w="1763"/>
        <w:gridCol w:w="1620"/>
        <w:gridCol w:w="5517"/>
      </w:tblGrid>
      <w:tr w:rsidR="00D83463" w:rsidRPr="00D83463" w14:paraId="453E5A40" w14:textId="77777777" w:rsidTr="003435C3">
        <w:trPr>
          <w:trHeight w:val="300"/>
          <w:tblHeader/>
          <w:jc w:val="center"/>
        </w:trPr>
        <w:tc>
          <w:tcPr>
            <w:tcW w:w="14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7BA57F" w14:textId="77777777" w:rsidR="00D83463" w:rsidRPr="00D83463" w:rsidRDefault="00D83463" w:rsidP="007E0C33">
            <w:pPr>
              <w:widowControl/>
              <w:autoSpaceDE/>
              <w:autoSpaceDN/>
              <w:spacing w:before="0" w:after="200" w:line="276" w:lineRule="auto"/>
              <w:ind w:left="360"/>
              <w:contextualSpacing/>
              <w:jc w:val="center"/>
              <w:rPr>
                <w:b/>
              </w:rPr>
            </w:pPr>
            <w:r w:rsidRPr="00D83463">
              <w:rPr>
                <w:b/>
              </w:rPr>
              <w:t>2020 Change</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7688D512" w14:textId="5C21ED34" w:rsidR="00D83463" w:rsidRPr="00D83463" w:rsidRDefault="00D83463" w:rsidP="007E0C33">
            <w:pPr>
              <w:widowControl/>
              <w:autoSpaceDE/>
              <w:autoSpaceDN/>
              <w:spacing w:before="0" w:after="200" w:line="276" w:lineRule="auto"/>
              <w:ind w:left="360"/>
              <w:contextualSpacing/>
              <w:jc w:val="center"/>
              <w:rPr>
                <w:b/>
              </w:rPr>
            </w:pPr>
            <w:r w:rsidRPr="00D83463">
              <w:rPr>
                <w:b/>
              </w:rPr>
              <w:t>Portfolio Impact</w:t>
            </w:r>
            <w:r w:rsidR="007E0C33">
              <w:rPr>
                <w:b/>
              </w:rPr>
              <w:br/>
            </w:r>
            <w:r w:rsidRPr="00D83463">
              <w:rPr>
                <w:b/>
              </w:rPr>
              <w:t>(+ or -)</w:t>
            </w:r>
          </w:p>
        </w:tc>
        <w:tc>
          <w:tcPr>
            <w:tcW w:w="5850" w:type="dxa"/>
            <w:tcBorders>
              <w:top w:val="single" w:sz="8" w:space="0" w:color="auto"/>
              <w:left w:val="nil"/>
              <w:bottom w:val="single" w:sz="8" w:space="0" w:color="auto"/>
              <w:right w:val="single" w:sz="8" w:space="0" w:color="auto"/>
            </w:tcBorders>
            <w:shd w:val="clear" w:color="auto" w:fill="auto"/>
            <w:vAlign w:val="center"/>
            <w:hideMark/>
          </w:tcPr>
          <w:p w14:paraId="7A630EDE" w14:textId="77777777" w:rsidR="00D83463" w:rsidRPr="00D83463" w:rsidRDefault="00D83463" w:rsidP="007E0C33">
            <w:pPr>
              <w:widowControl/>
              <w:autoSpaceDE/>
              <w:autoSpaceDN/>
              <w:spacing w:before="0" w:after="200" w:line="276" w:lineRule="auto"/>
              <w:ind w:left="360"/>
              <w:contextualSpacing/>
              <w:jc w:val="center"/>
              <w:rPr>
                <w:b/>
              </w:rPr>
            </w:pPr>
            <w:r w:rsidRPr="00D83463">
              <w:rPr>
                <w:b/>
              </w:rPr>
              <w:t>Rationale</w:t>
            </w:r>
          </w:p>
        </w:tc>
      </w:tr>
      <w:tr w:rsidR="00D83463" w:rsidRPr="00D83463" w14:paraId="454FC5ED" w14:textId="77777777" w:rsidTr="003435C3">
        <w:trPr>
          <w:trHeight w:val="117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04192FFB" w14:textId="77777777" w:rsidR="00D83463" w:rsidRPr="00D83463" w:rsidRDefault="00D83463" w:rsidP="000C11C6">
            <w:pPr>
              <w:widowControl/>
              <w:autoSpaceDE/>
              <w:autoSpaceDN/>
              <w:spacing w:before="0" w:after="200" w:line="276" w:lineRule="auto"/>
              <w:ind w:left="360"/>
              <w:contextualSpacing/>
            </w:pPr>
            <w:r w:rsidRPr="00D83463">
              <w:t>Removal of all screw-in lighting measures</w:t>
            </w:r>
          </w:p>
        </w:tc>
        <w:tc>
          <w:tcPr>
            <w:tcW w:w="1620" w:type="dxa"/>
            <w:tcBorders>
              <w:top w:val="nil"/>
              <w:left w:val="nil"/>
              <w:bottom w:val="single" w:sz="8" w:space="0" w:color="auto"/>
              <w:right w:val="single" w:sz="8" w:space="0" w:color="auto"/>
            </w:tcBorders>
            <w:shd w:val="clear" w:color="auto" w:fill="auto"/>
            <w:noWrap/>
            <w:vAlign w:val="center"/>
            <w:hideMark/>
          </w:tcPr>
          <w:p w14:paraId="555264C8" w14:textId="77777777" w:rsidR="00D83463" w:rsidRPr="00D83463" w:rsidRDefault="00D83463" w:rsidP="000C11C6">
            <w:pPr>
              <w:widowControl/>
              <w:autoSpaceDE/>
              <w:autoSpaceDN/>
              <w:spacing w:before="0" w:after="200" w:line="276" w:lineRule="auto"/>
              <w:ind w:left="360"/>
              <w:contextualSpacing/>
            </w:pPr>
            <w:r w:rsidRPr="00D83463">
              <w:t>Negative - - - -</w:t>
            </w:r>
          </w:p>
        </w:tc>
        <w:tc>
          <w:tcPr>
            <w:tcW w:w="5850" w:type="dxa"/>
            <w:tcBorders>
              <w:top w:val="nil"/>
              <w:left w:val="nil"/>
              <w:bottom w:val="single" w:sz="8" w:space="0" w:color="auto"/>
              <w:right w:val="single" w:sz="8" w:space="0" w:color="auto"/>
            </w:tcBorders>
            <w:shd w:val="clear" w:color="auto" w:fill="auto"/>
            <w:vAlign w:val="center"/>
            <w:hideMark/>
          </w:tcPr>
          <w:p w14:paraId="54F13A20" w14:textId="746C488A" w:rsidR="00D83463" w:rsidRPr="000C11C6" w:rsidRDefault="00D83463" w:rsidP="000C11C6">
            <w:pPr>
              <w:widowControl/>
              <w:autoSpaceDE/>
              <w:autoSpaceDN/>
              <w:spacing w:before="0" w:after="200" w:line="276" w:lineRule="auto"/>
              <w:ind w:left="360"/>
              <w:contextualSpacing/>
            </w:pPr>
            <w:r w:rsidRPr="000C11C6">
              <w:t>Per CPUC memo June 14, 2019 - baseline for all screw-in lamps is considered 100% LED in upcoming DEER 2020 update. In 2019, t</w:t>
            </w:r>
            <w:r w:rsidRPr="000C11C6">
              <w:rPr>
                <w:bCs/>
              </w:rPr>
              <w:t>he primary lighting program accounted for approximately 60 GWh of Net kWh at an approximate cost of $</w:t>
            </w:r>
            <w:r w:rsidR="000C11C6" w:rsidRPr="000C11C6">
              <w:rPr>
                <w:bCs/>
              </w:rPr>
              <w:t>8million.</w:t>
            </w:r>
          </w:p>
        </w:tc>
      </w:tr>
      <w:tr w:rsidR="00D83463" w:rsidRPr="00D83463" w14:paraId="1ADC5625" w14:textId="77777777" w:rsidTr="003435C3">
        <w:trPr>
          <w:trHeight w:val="117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2068E8F2" w14:textId="77777777" w:rsidR="00D83463" w:rsidRPr="00D83463" w:rsidRDefault="00D83463" w:rsidP="000C11C6">
            <w:pPr>
              <w:widowControl/>
              <w:autoSpaceDE/>
              <w:autoSpaceDN/>
              <w:spacing w:before="0" w:after="200" w:line="276" w:lineRule="auto"/>
              <w:ind w:left="360"/>
              <w:contextualSpacing/>
            </w:pPr>
            <w:r w:rsidRPr="00D83463">
              <w:lastRenderedPageBreak/>
              <w:t>Smart Thermostat Savings Reduction</w:t>
            </w:r>
          </w:p>
        </w:tc>
        <w:tc>
          <w:tcPr>
            <w:tcW w:w="1620" w:type="dxa"/>
            <w:tcBorders>
              <w:top w:val="nil"/>
              <w:left w:val="nil"/>
              <w:bottom w:val="single" w:sz="8" w:space="0" w:color="auto"/>
              <w:right w:val="single" w:sz="8" w:space="0" w:color="auto"/>
            </w:tcBorders>
            <w:shd w:val="clear" w:color="auto" w:fill="auto"/>
            <w:noWrap/>
            <w:vAlign w:val="center"/>
            <w:hideMark/>
          </w:tcPr>
          <w:p w14:paraId="73BD4934" w14:textId="77777777" w:rsidR="00D83463" w:rsidRPr="00D83463" w:rsidRDefault="00D83463" w:rsidP="000C11C6">
            <w:pPr>
              <w:widowControl/>
              <w:autoSpaceDE/>
              <w:autoSpaceDN/>
              <w:spacing w:before="0" w:after="200" w:line="276" w:lineRule="auto"/>
              <w:ind w:left="360"/>
              <w:contextualSpacing/>
            </w:pPr>
            <w:r w:rsidRPr="00D83463">
              <w:t>Negative - -</w:t>
            </w:r>
          </w:p>
        </w:tc>
        <w:tc>
          <w:tcPr>
            <w:tcW w:w="5850" w:type="dxa"/>
            <w:tcBorders>
              <w:top w:val="nil"/>
              <w:left w:val="nil"/>
              <w:bottom w:val="single" w:sz="8" w:space="0" w:color="auto"/>
              <w:right w:val="single" w:sz="8" w:space="0" w:color="auto"/>
            </w:tcBorders>
            <w:shd w:val="clear" w:color="auto" w:fill="auto"/>
            <w:vAlign w:val="center"/>
            <w:hideMark/>
          </w:tcPr>
          <w:p w14:paraId="3FAE400F" w14:textId="7927D7FB" w:rsidR="00D83463" w:rsidRPr="00D83463" w:rsidRDefault="00D83463" w:rsidP="000C11C6">
            <w:pPr>
              <w:widowControl/>
              <w:autoSpaceDE/>
              <w:autoSpaceDN/>
              <w:spacing w:before="0" w:after="200" w:line="276" w:lineRule="auto"/>
              <w:ind w:left="360"/>
              <w:contextualSpacing/>
            </w:pPr>
            <w:r w:rsidRPr="00D83463">
              <w:t>Per 4/5/19 CPUC Memo - savings reduced for smart thermostats by approximately 75% across all CZ's and residential building types. Reducing measure TRC from approximately 1.0 to about 0.35 which significantly impacted the Plug Load &amp; Appliance net benefits</w:t>
            </w:r>
          </w:p>
        </w:tc>
      </w:tr>
      <w:tr w:rsidR="00D83463" w:rsidRPr="00D83463" w14:paraId="5E02A49D" w14:textId="77777777" w:rsidTr="003435C3">
        <w:trPr>
          <w:trHeight w:val="59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11E182FD" w14:textId="77777777" w:rsidR="00D83463" w:rsidRPr="00D83463" w:rsidRDefault="00D83463" w:rsidP="000C11C6">
            <w:pPr>
              <w:widowControl/>
              <w:autoSpaceDE/>
              <w:autoSpaceDN/>
              <w:spacing w:before="0" w:after="200" w:line="276" w:lineRule="auto"/>
              <w:ind w:left="360"/>
              <w:contextualSpacing/>
            </w:pPr>
            <w:r w:rsidRPr="00D83463">
              <w:t>Commercial LED T8 Lamps</w:t>
            </w:r>
          </w:p>
        </w:tc>
        <w:tc>
          <w:tcPr>
            <w:tcW w:w="1620" w:type="dxa"/>
            <w:tcBorders>
              <w:top w:val="nil"/>
              <w:left w:val="nil"/>
              <w:bottom w:val="single" w:sz="8" w:space="0" w:color="auto"/>
              <w:right w:val="single" w:sz="8" w:space="0" w:color="auto"/>
            </w:tcBorders>
            <w:shd w:val="clear" w:color="auto" w:fill="auto"/>
            <w:noWrap/>
            <w:vAlign w:val="center"/>
            <w:hideMark/>
          </w:tcPr>
          <w:p w14:paraId="136AEA92" w14:textId="77777777" w:rsidR="00D83463" w:rsidRPr="00D83463" w:rsidRDefault="00D83463" w:rsidP="000C11C6">
            <w:pPr>
              <w:widowControl/>
              <w:autoSpaceDE/>
              <w:autoSpaceDN/>
              <w:spacing w:before="0" w:after="200" w:line="276" w:lineRule="auto"/>
              <w:ind w:left="360"/>
              <w:contextualSpacing/>
            </w:pPr>
            <w:r w:rsidRPr="00D83463">
              <w:t xml:space="preserve">Negative - </w:t>
            </w:r>
          </w:p>
        </w:tc>
        <w:tc>
          <w:tcPr>
            <w:tcW w:w="5850" w:type="dxa"/>
            <w:tcBorders>
              <w:top w:val="nil"/>
              <w:left w:val="nil"/>
              <w:bottom w:val="single" w:sz="8" w:space="0" w:color="auto"/>
              <w:right w:val="single" w:sz="8" w:space="0" w:color="auto"/>
            </w:tcBorders>
            <w:shd w:val="clear" w:color="auto" w:fill="auto"/>
            <w:vAlign w:val="center"/>
            <w:hideMark/>
          </w:tcPr>
          <w:p w14:paraId="07B5A188" w14:textId="0895B026" w:rsidR="00D83463" w:rsidRPr="00D83463" w:rsidRDefault="00D83463" w:rsidP="000C11C6">
            <w:pPr>
              <w:widowControl/>
              <w:autoSpaceDE/>
              <w:autoSpaceDN/>
              <w:spacing w:before="0" w:after="200" w:line="276" w:lineRule="auto"/>
              <w:ind w:left="360"/>
              <w:contextualSpacing/>
            </w:pPr>
            <w:r w:rsidRPr="00D83463">
              <w:t>Due to the statewide workpaper updates, these savings decreased by approximately 25% (39 kWh/unit to 29 kWh/unit)</w:t>
            </w:r>
          </w:p>
        </w:tc>
      </w:tr>
      <w:tr w:rsidR="00D83463" w:rsidRPr="00D83463" w14:paraId="3F71A89B" w14:textId="77777777" w:rsidTr="003435C3">
        <w:trPr>
          <w:trHeight w:val="59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2671FC72" w14:textId="77777777" w:rsidR="00D83463" w:rsidRPr="00D83463" w:rsidRDefault="00D83463" w:rsidP="000C11C6">
            <w:pPr>
              <w:widowControl/>
              <w:autoSpaceDE/>
              <w:autoSpaceDN/>
              <w:spacing w:before="0" w:after="200" w:line="276" w:lineRule="auto"/>
              <w:ind w:left="360"/>
              <w:contextualSpacing/>
            </w:pPr>
            <w:r w:rsidRPr="00D83463">
              <w:t>Commercial LED Fixtures</w:t>
            </w:r>
          </w:p>
        </w:tc>
        <w:tc>
          <w:tcPr>
            <w:tcW w:w="1620" w:type="dxa"/>
            <w:tcBorders>
              <w:top w:val="nil"/>
              <w:left w:val="nil"/>
              <w:bottom w:val="single" w:sz="8" w:space="0" w:color="auto"/>
              <w:right w:val="single" w:sz="8" w:space="0" w:color="auto"/>
            </w:tcBorders>
            <w:shd w:val="clear" w:color="auto" w:fill="auto"/>
            <w:noWrap/>
            <w:vAlign w:val="center"/>
            <w:hideMark/>
          </w:tcPr>
          <w:p w14:paraId="7DEE59FB" w14:textId="77777777" w:rsidR="00D83463" w:rsidRPr="00D83463" w:rsidRDefault="00D83463" w:rsidP="000C11C6">
            <w:pPr>
              <w:widowControl/>
              <w:autoSpaceDE/>
              <w:autoSpaceDN/>
              <w:spacing w:before="0" w:after="200" w:line="276" w:lineRule="auto"/>
              <w:ind w:left="360"/>
              <w:contextualSpacing/>
            </w:pPr>
            <w:r w:rsidRPr="00D83463">
              <w:t xml:space="preserve">Negative - </w:t>
            </w:r>
          </w:p>
        </w:tc>
        <w:tc>
          <w:tcPr>
            <w:tcW w:w="5850" w:type="dxa"/>
            <w:tcBorders>
              <w:top w:val="nil"/>
              <w:left w:val="nil"/>
              <w:bottom w:val="single" w:sz="8" w:space="0" w:color="auto"/>
              <w:right w:val="single" w:sz="8" w:space="0" w:color="auto"/>
            </w:tcBorders>
            <w:shd w:val="clear" w:color="auto" w:fill="auto"/>
            <w:vAlign w:val="center"/>
            <w:hideMark/>
          </w:tcPr>
          <w:p w14:paraId="3BFEF7B5" w14:textId="71934DEF" w:rsidR="00D83463" w:rsidRPr="00D83463" w:rsidRDefault="00D83463" w:rsidP="000C11C6">
            <w:pPr>
              <w:widowControl/>
              <w:autoSpaceDE/>
              <w:autoSpaceDN/>
              <w:spacing w:before="0" w:after="200" w:line="276" w:lineRule="auto"/>
              <w:ind w:left="360"/>
              <w:contextualSpacing/>
            </w:pPr>
            <w:r w:rsidRPr="00D83463">
              <w:t>Due to the 2019 workpaper updates, these savings decreased by approximately 60%  (24kWh/unit to 9 kWh/unit)</w:t>
            </w:r>
          </w:p>
        </w:tc>
      </w:tr>
      <w:tr w:rsidR="00D83463" w:rsidRPr="00D83463" w14:paraId="264B4BC1" w14:textId="77777777" w:rsidTr="003435C3">
        <w:trPr>
          <w:trHeight w:val="88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065E1196" w14:textId="77777777" w:rsidR="00D83463" w:rsidRPr="00D83463" w:rsidRDefault="00D83463" w:rsidP="000C11C6">
            <w:pPr>
              <w:widowControl/>
              <w:autoSpaceDE/>
              <w:autoSpaceDN/>
              <w:spacing w:before="0" w:after="200" w:line="276" w:lineRule="auto"/>
              <w:ind w:left="360"/>
              <w:contextualSpacing/>
            </w:pPr>
            <w:r w:rsidRPr="00D83463">
              <w:t>Creation of Statewide Workpapers</w:t>
            </w:r>
          </w:p>
        </w:tc>
        <w:tc>
          <w:tcPr>
            <w:tcW w:w="1620" w:type="dxa"/>
            <w:tcBorders>
              <w:top w:val="nil"/>
              <w:left w:val="nil"/>
              <w:bottom w:val="single" w:sz="8" w:space="0" w:color="auto"/>
              <w:right w:val="single" w:sz="8" w:space="0" w:color="auto"/>
            </w:tcBorders>
            <w:shd w:val="clear" w:color="auto" w:fill="auto"/>
            <w:noWrap/>
            <w:vAlign w:val="center"/>
            <w:hideMark/>
          </w:tcPr>
          <w:p w14:paraId="61D561B6" w14:textId="77777777" w:rsidR="00D83463" w:rsidRPr="00D83463" w:rsidRDefault="00D83463" w:rsidP="000C11C6">
            <w:pPr>
              <w:widowControl/>
              <w:autoSpaceDE/>
              <w:autoSpaceDN/>
              <w:spacing w:before="0" w:after="200" w:line="276" w:lineRule="auto"/>
              <w:ind w:left="360"/>
              <w:contextualSpacing/>
            </w:pPr>
            <w:r w:rsidRPr="00D83463">
              <w:t>Neutral</w:t>
            </w:r>
          </w:p>
        </w:tc>
        <w:tc>
          <w:tcPr>
            <w:tcW w:w="5850" w:type="dxa"/>
            <w:tcBorders>
              <w:top w:val="nil"/>
              <w:left w:val="nil"/>
              <w:bottom w:val="single" w:sz="8" w:space="0" w:color="auto"/>
              <w:right w:val="single" w:sz="8" w:space="0" w:color="auto"/>
            </w:tcBorders>
            <w:shd w:val="clear" w:color="auto" w:fill="auto"/>
            <w:vAlign w:val="center"/>
            <w:hideMark/>
          </w:tcPr>
          <w:p w14:paraId="52126220" w14:textId="77777777" w:rsidR="00D83463" w:rsidRPr="00D83463" w:rsidRDefault="00D83463" w:rsidP="000C11C6">
            <w:pPr>
              <w:widowControl/>
              <w:autoSpaceDE/>
              <w:autoSpaceDN/>
              <w:spacing w:before="0" w:after="200" w:line="276" w:lineRule="auto"/>
              <w:ind w:left="360"/>
              <w:contextualSpacing/>
            </w:pPr>
            <w:r w:rsidRPr="00D83463">
              <w:t>IOUs were ordered to create a single statewide workpaper for all 2020+ offerings instead of 4 individual IOU workpapers for the same measure. In their creation &amp; measure update, some savings decrease while others increased.</w:t>
            </w:r>
          </w:p>
        </w:tc>
      </w:tr>
      <w:tr w:rsidR="00D83463" w:rsidRPr="00D83463" w14:paraId="3BB5F85E" w14:textId="77777777" w:rsidTr="003435C3">
        <w:trPr>
          <w:trHeight w:val="88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31A5F4B2" w14:textId="77777777" w:rsidR="00D83463" w:rsidRPr="00D83463" w:rsidRDefault="00D83463" w:rsidP="000C11C6">
            <w:pPr>
              <w:widowControl/>
              <w:autoSpaceDE/>
              <w:autoSpaceDN/>
              <w:spacing w:before="0" w:after="200" w:line="276" w:lineRule="auto"/>
              <w:ind w:left="360"/>
              <w:contextualSpacing/>
            </w:pPr>
            <w:r w:rsidRPr="00D83463">
              <w:t>Ramp Down of low TRC programs (&lt;0.1)</w:t>
            </w:r>
          </w:p>
        </w:tc>
        <w:tc>
          <w:tcPr>
            <w:tcW w:w="1620" w:type="dxa"/>
            <w:tcBorders>
              <w:top w:val="nil"/>
              <w:left w:val="nil"/>
              <w:bottom w:val="single" w:sz="8" w:space="0" w:color="auto"/>
              <w:right w:val="single" w:sz="8" w:space="0" w:color="auto"/>
            </w:tcBorders>
            <w:shd w:val="clear" w:color="auto" w:fill="auto"/>
            <w:noWrap/>
            <w:vAlign w:val="center"/>
            <w:hideMark/>
          </w:tcPr>
          <w:p w14:paraId="46A91260" w14:textId="77777777" w:rsidR="00D83463" w:rsidRPr="00D83463" w:rsidRDefault="00D83463" w:rsidP="000C11C6">
            <w:pPr>
              <w:widowControl/>
              <w:autoSpaceDE/>
              <w:autoSpaceDN/>
              <w:spacing w:before="0" w:after="200" w:line="276" w:lineRule="auto"/>
              <w:ind w:left="360"/>
              <w:contextualSpacing/>
            </w:pPr>
            <w:r w:rsidRPr="00D83463">
              <w:t>Positive +</w:t>
            </w:r>
          </w:p>
        </w:tc>
        <w:tc>
          <w:tcPr>
            <w:tcW w:w="5850" w:type="dxa"/>
            <w:tcBorders>
              <w:top w:val="nil"/>
              <w:left w:val="nil"/>
              <w:bottom w:val="single" w:sz="8" w:space="0" w:color="auto"/>
              <w:right w:val="single" w:sz="8" w:space="0" w:color="auto"/>
            </w:tcBorders>
            <w:shd w:val="clear" w:color="auto" w:fill="auto"/>
            <w:vAlign w:val="center"/>
            <w:hideMark/>
          </w:tcPr>
          <w:p w14:paraId="5F32D22D" w14:textId="77777777" w:rsidR="00D83463" w:rsidRPr="00D83463" w:rsidRDefault="00D83463" w:rsidP="000C11C6">
            <w:pPr>
              <w:widowControl/>
              <w:autoSpaceDE/>
              <w:autoSpaceDN/>
              <w:spacing w:before="0" w:after="200" w:line="276" w:lineRule="auto"/>
              <w:ind w:left="360"/>
              <w:contextualSpacing/>
            </w:pPr>
            <w:r w:rsidRPr="00D83463">
              <w:t>These programs (3212,3302, etc.) historically had very low (&lt; 0.1) TRC's. Although their overall net impact was minimal, their removal is a positive net benefit</w:t>
            </w:r>
          </w:p>
        </w:tc>
      </w:tr>
      <w:tr w:rsidR="00D83463" w:rsidRPr="00D83463" w14:paraId="15CC4D1C" w14:textId="77777777" w:rsidTr="003435C3">
        <w:trPr>
          <w:trHeight w:val="88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4F05F6D4" w14:textId="77777777" w:rsidR="00D83463" w:rsidRPr="00D83463" w:rsidRDefault="00D83463" w:rsidP="000C11C6">
            <w:pPr>
              <w:widowControl/>
              <w:autoSpaceDE/>
              <w:autoSpaceDN/>
              <w:spacing w:before="0" w:after="200" w:line="276" w:lineRule="auto"/>
              <w:ind w:left="360"/>
              <w:contextualSpacing/>
            </w:pPr>
            <w:r w:rsidRPr="00D83463">
              <w:t>Multifamily LED T8 Lamps</w:t>
            </w:r>
          </w:p>
        </w:tc>
        <w:tc>
          <w:tcPr>
            <w:tcW w:w="1620" w:type="dxa"/>
            <w:tcBorders>
              <w:top w:val="nil"/>
              <w:left w:val="nil"/>
              <w:bottom w:val="single" w:sz="8" w:space="0" w:color="auto"/>
              <w:right w:val="single" w:sz="8" w:space="0" w:color="auto"/>
            </w:tcBorders>
            <w:shd w:val="clear" w:color="auto" w:fill="auto"/>
            <w:noWrap/>
            <w:vAlign w:val="center"/>
            <w:hideMark/>
          </w:tcPr>
          <w:p w14:paraId="32DB0433" w14:textId="77777777" w:rsidR="00D83463" w:rsidRPr="00D83463" w:rsidRDefault="00D83463" w:rsidP="000C11C6">
            <w:pPr>
              <w:widowControl/>
              <w:autoSpaceDE/>
              <w:autoSpaceDN/>
              <w:spacing w:before="0" w:after="200" w:line="276" w:lineRule="auto"/>
              <w:ind w:left="360"/>
              <w:contextualSpacing/>
            </w:pPr>
            <w:r w:rsidRPr="00D83463">
              <w:t>Positive ++</w:t>
            </w:r>
          </w:p>
        </w:tc>
        <w:tc>
          <w:tcPr>
            <w:tcW w:w="5850" w:type="dxa"/>
            <w:tcBorders>
              <w:top w:val="nil"/>
              <w:left w:val="nil"/>
              <w:bottom w:val="single" w:sz="8" w:space="0" w:color="auto"/>
              <w:right w:val="single" w:sz="8" w:space="0" w:color="auto"/>
            </w:tcBorders>
            <w:shd w:val="clear" w:color="auto" w:fill="auto"/>
            <w:vAlign w:val="center"/>
            <w:hideMark/>
          </w:tcPr>
          <w:p w14:paraId="173CE28F" w14:textId="77777777" w:rsidR="00D83463" w:rsidRPr="00D83463" w:rsidRDefault="00D83463" w:rsidP="000C11C6">
            <w:pPr>
              <w:widowControl/>
              <w:autoSpaceDE/>
              <w:autoSpaceDN/>
              <w:spacing w:before="0" w:after="200" w:line="276" w:lineRule="auto"/>
              <w:ind w:left="360"/>
              <w:contextualSpacing/>
            </w:pPr>
            <w:r w:rsidRPr="00D83463">
              <w:t>Resulting from updating the statewide T8 LED workpaper - the savings increased by 97% (45 kWh to 85 kWh) for multifamily measure install types which is the main positive measure for the multifamily program</w:t>
            </w:r>
          </w:p>
        </w:tc>
      </w:tr>
      <w:tr w:rsidR="00D83463" w:rsidRPr="00D83463" w14:paraId="106038C6" w14:textId="77777777" w:rsidTr="003435C3">
        <w:trPr>
          <w:trHeight w:val="1460"/>
          <w:jc w:val="center"/>
        </w:trPr>
        <w:tc>
          <w:tcPr>
            <w:tcW w:w="1430" w:type="dxa"/>
            <w:tcBorders>
              <w:top w:val="nil"/>
              <w:left w:val="single" w:sz="8" w:space="0" w:color="auto"/>
              <w:bottom w:val="single" w:sz="8" w:space="0" w:color="auto"/>
              <w:right w:val="single" w:sz="8" w:space="0" w:color="auto"/>
            </w:tcBorders>
            <w:shd w:val="clear" w:color="auto" w:fill="auto"/>
            <w:vAlign w:val="center"/>
            <w:hideMark/>
          </w:tcPr>
          <w:p w14:paraId="59B6F7BF" w14:textId="77777777" w:rsidR="00D83463" w:rsidRPr="00D83463" w:rsidRDefault="00D83463" w:rsidP="000C11C6">
            <w:pPr>
              <w:widowControl/>
              <w:autoSpaceDE/>
              <w:autoSpaceDN/>
              <w:spacing w:before="0" w:after="200" w:line="276" w:lineRule="auto"/>
              <w:ind w:left="360"/>
              <w:contextualSpacing/>
            </w:pPr>
            <w:r w:rsidRPr="00D83463">
              <w:t>Addition of new high TRC statewide measures</w:t>
            </w:r>
          </w:p>
        </w:tc>
        <w:tc>
          <w:tcPr>
            <w:tcW w:w="1620" w:type="dxa"/>
            <w:tcBorders>
              <w:top w:val="nil"/>
              <w:left w:val="nil"/>
              <w:bottom w:val="single" w:sz="8" w:space="0" w:color="auto"/>
              <w:right w:val="single" w:sz="8" w:space="0" w:color="auto"/>
            </w:tcBorders>
            <w:shd w:val="clear" w:color="auto" w:fill="auto"/>
            <w:noWrap/>
            <w:vAlign w:val="center"/>
            <w:hideMark/>
          </w:tcPr>
          <w:p w14:paraId="5B4B4CA7" w14:textId="3B21C981" w:rsidR="00D83463" w:rsidRPr="00D83463" w:rsidRDefault="00D83463" w:rsidP="000C11C6">
            <w:pPr>
              <w:widowControl/>
              <w:autoSpaceDE/>
              <w:autoSpaceDN/>
              <w:spacing w:before="0" w:after="200" w:line="276" w:lineRule="auto"/>
              <w:ind w:left="360"/>
              <w:contextualSpacing/>
            </w:pPr>
            <w:r w:rsidRPr="00D83463">
              <w:t xml:space="preserve">Positive </w:t>
            </w:r>
            <w:r w:rsidR="0039400B">
              <w:t xml:space="preserve">   </w:t>
            </w:r>
            <w:r w:rsidRPr="00D83463">
              <w:t>++</w:t>
            </w:r>
          </w:p>
        </w:tc>
        <w:tc>
          <w:tcPr>
            <w:tcW w:w="5850" w:type="dxa"/>
            <w:tcBorders>
              <w:top w:val="nil"/>
              <w:left w:val="nil"/>
              <w:bottom w:val="single" w:sz="8" w:space="0" w:color="auto"/>
              <w:right w:val="single" w:sz="8" w:space="0" w:color="auto"/>
            </w:tcBorders>
            <w:shd w:val="clear" w:color="auto" w:fill="auto"/>
            <w:vAlign w:val="center"/>
            <w:hideMark/>
          </w:tcPr>
          <w:p w14:paraId="72C87C94" w14:textId="77777777" w:rsidR="00D83463" w:rsidRPr="00D83463" w:rsidRDefault="00D83463" w:rsidP="000C11C6">
            <w:pPr>
              <w:widowControl/>
              <w:autoSpaceDE/>
              <w:autoSpaceDN/>
              <w:spacing w:before="0" w:after="200" w:line="276" w:lineRule="auto"/>
              <w:ind w:left="360"/>
              <w:contextualSpacing/>
            </w:pPr>
            <w:r w:rsidRPr="00D83463">
              <w:t>Statewide workpaper updates increased savings significantly (2-4x) for low flow showerheads &amp; faucet aerators in the residential sector which are higher TRC measures. Additionally, statewide workpaper creation for Steam/HW pipe &amp; tank insulation measures which are high TRC measures (2.0+) in the commercial sector</w:t>
            </w:r>
          </w:p>
        </w:tc>
      </w:tr>
    </w:tbl>
    <w:p w14:paraId="68B7F137" w14:textId="77777777" w:rsidR="002767D4" w:rsidRPr="00CA4E4C" w:rsidRDefault="002767D4" w:rsidP="002767D4">
      <w:pPr>
        <w:widowControl/>
        <w:autoSpaceDE/>
        <w:autoSpaceDN/>
        <w:spacing w:before="0" w:after="200" w:line="276" w:lineRule="auto"/>
        <w:ind w:left="360"/>
        <w:contextualSpacing/>
        <w:jc w:val="both"/>
      </w:pPr>
    </w:p>
    <w:p w14:paraId="4DC63B77" w14:textId="77777777" w:rsidR="001D1FA8" w:rsidRDefault="001D1FA8" w:rsidP="009E3257">
      <w:pPr>
        <w:pStyle w:val="Heading1"/>
      </w:pPr>
      <w:r>
        <w:lastRenderedPageBreak/>
        <w:t>B. 2019 Top Ten Portfolio End Uses or Measures</w:t>
      </w:r>
    </w:p>
    <w:p w14:paraId="741476AE" w14:textId="5FA66350" w:rsidR="001D1FA8" w:rsidRDefault="001D1FA8" w:rsidP="001D1FA8">
      <w:r>
        <w:t xml:space="preserve">The following tables provides the list of top 10 electric measures and natural gas measures based on its savings contribution to the portfolio.  SDG&amp;E conducted an analysis of the SDG&amp;E service territory data provided as part of the </w:t>
      </w:r>
      <w:r w:rsidRPr="00BF20A0">
        <w:rPr>
          <w:i/>
        </w:rPr>
        <w:t>2019 Energy Efficiency Potential and Goals Study</w:t>
      </w:r>
      <w:r>
        <w:t xml:space="preserve"> (P&amp;G Study),</w:t>
      </w:r>
      <w:r>
        <w:rPr>
          <w:rStyle w:val="FootnoteReference"/>
          <w:rFonts w:cs="Arial"/>
        </w:rPr>
        <w:footnoteReference w:id="5"/>
      </w:r>
      <w:r>
        <w:t xml:space="preserve"> adopted by D.19-08-034.  The focus of determining the viability of the SDG&amp;E forecast is based on the P&amp;G Study’s SDG&amp;E market and economic potential.  This is a reasonable basis for determining the feasibility of the forecast since both the P&amp;G Study’s economic and market potential measures are selected based on a TRC of ≥ 1.00.</w:t>
      </w:r>
    </w:p>
    <w:p w14:paraId="0D3CCC08" w14:textId="2D5E68EA" w:rsidR="00CA4AB9" w:rsidRDefault="00741989" w:rsidP="00CA4AB9">
      <w:pPr>
        <w:pStyle w:val="Heading3"/>
      </w:pPr>
      <w:r>
        <w:t>1.</w:t>
      </w:r>
      <w:r>
        <w:tab/>
        <w:t>Electric Measures</w:t>
      </w:r>
    </w:p>
    <w:p w14:paraId="7C7B5AB9" w14:textId="17A76325" w:rsidR="00CB06AF" w:rsidRDefault="00741989" w:rsidP="00741989">
      <w:r>
        <w:t xml:space="preserve">The following </w:t>
      </w:r>
      <w:r w:rsidR="00CB06AF">
        <w:t>Figure illustrates contribution of electric savings to the portfolio by sector:</w:t>
      </w:r>
    </w:p>
    <w:p w14:paraId="0B93413D" w14:textId="4199A805" w:rsidR="00CB06AF" w:rsidRPr="00CB06AF" w:rsidRDefault="00CB06AF" w:rsidP="00490491">
      <w:pPr>
        <w:keepNext/>
        <w:keepLines/>
        <w:jc w:val="center"/>
        <w:rPr>
          <w:b/>
        </w:rPr>
      </w:pPr>
      <w:r w:rsidRPr="00CB06AF">
        <w:rPr>
          <w:b/>
        </w:rPr>
        <w:t>Figure 1: Electric Savings Contribution by Sector</w:t>
      </w:r>
    </w:p>
    <w:p w14:paraId="762589DB" w14:textId="031506DB" w:rsidR="00CB06AF" w:rsidRDefault="00653AD7" w:rsidP="00490491">
      <w:pPr>
        <w:keepNext/>
        <w:keepLines/>
        <w:jc w:val="center"/>
      </w:pPr>
      <w:r>
        <w:rPr>
          <w:noProof/>
        </w:rPr>
        <w:drawing>
          <wp:inline distT="0" distB="0" distL="0" distR="0" wp14:anchorId="1997B449" wp14:editId="382FF0A4">
            <wp:extent cx="4815840" cy="3844290"/>
            <wp:effectExtent l="0" t="0" r="3810" b="3810"/>
            <wp:docPr id="7" name="Chart 7">
              <a:extLst xmlns:a="http://schemas.openxmlformats.org/drawingml/2006/main">
                <a:ext uri="{FF2B5EF4-FFF2-40B4-BE49-F238E27FC236}">
                  <a16:creationId xmlns:a16="http://schemas.microsoft.com/office/drawing/2014/main" id="{B3F55EF5-A30C-4CE1-B9CD-B4C403D85B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EB958D" w14:textId="60BE5BC9" w:rsidR="00741989" w:rsidRDefault="00DB0ADC" w:rsidP="00741989">
      <w:r>
        <w:t xml:space="preserve">The following table shows </w:t>
      </w:r>
      <w:r w:rsidR="00741989">
        <w:t>the top 10 electric measures (GWH) of the portfolio</w:t>
      </w:r>
      <w:r w:rsidR="00F372DB">
        <w:t xml:space="preserve"> and the forecasted savings</w:t>
      </w:r>
      <w:r w:rsidR="00741989">
        <w:t>.</w:t>
      </w:r>
    </w:p>
    <w:p w14:paraId="0CF93093" w14:textId="397EDBA5" w:rsidR="001D1FA8" w:rsidRDefault="001D1FA8" w:rsidP="001D1FA8">
      <w:pPr>
        <w:jc w:val="center"/>
        <w:rPr>
          <w:b/>
        </w:rPr>
      </w:pPr>
      <w:bookmarkStart w:id="2" w:name="_Hlk17776063"/>
      <w:r w:rsidRPr="00FC6807">
        <w:rPr>
          <w:b/>
        </w:rPr>
        <w:lastRenderedPageBreak/>
        <w:t xml:space="preserve">Table </w:t>
      </w:r>
      <w:r>
        <w:rPr>
          <w:b/>
        </w:rPr>
        <w:t>3</w:t>
      </w:r>
      <w:r w:rsidRPr="00FC6807">
        <w:rPr>
          <w:b/>
        </w:rPr>
        <w:t>: Top 10 Electric End Uses/Measures</w:t>
      </w:r>
    </w:p>
    <w:p w14:paraId="52BD275A" w14:textId="58B4B116" w:rsidR="009379DB" w:rsidRPr="00FC6807" w:rsidRDefault="009379DB" w:rsidP="001D1FA8">
      <w:pPr>
        <w:jc w:val="center"/>
        <w:rPr>
          <w:b/>
        </w:rPr>
      </w:pPr>
    </w:p>
    <w:bookmarkEnd w:id="2"/>
    <w:p w14:paraId="152E7A8B" w14:textId="3C13B82E" w:rsidR="001D1FA8" w:rsidRDefault="00313EA9" w:rsidP="001D1FA8">
      <w:r w:rsidRPr="00313EA9">
        <w:rPr>
          <w:noProof/>
        </w:rPr>
        <w:drawing>
          <wp:inline distT="0" distB="0" distL="0" distR="0" wp14:anchorId="1FA1E34A" wp14:editId="6458DFE2">
            <wp:extent cx="5951220" cy="1701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4015" cy="1713981"/>
                    </a:xfrm>
                    <a:prstGeom prst="rect">
                      <a:avLst/>
                    </a:prstGeom>
                    <a:noFill/>
                    <a:ln>
                      <a:noFill/>
                    </a:ln>
                  </pic:spPr>
                </pic:pic>
              </a:graphicData>
            </a:graphic>
          </wp:inline>
        </w:drawing>
      </w:r>
    </w:p>
    <w:p w14:paraId="0F364576" w14:textId="762FC4F2" w:rsidR="00FF25A4" w:rsidRDefault="00FF25A4" w:rsidP="001D1FA8">
      <w:r>
        <w:t xml:space="preserve">As noted in the previous section, </w:t>
      </w:r>
      <w:r w:rsidR="00F13E2F" w:rsidRPr="00F13E2F">
        <w:t>SDG&amp;E provided its expected net benefits for proposed programs in the Request for Proposal (RFPs).  To achieve the same RFP net benefits in its forecast, SDG&amp;E selected “representative” custom end use measures whose savings would provide the same net benefits.  In most cases, the Retrocommissioning (RCx) and “Whole Building” measure savings provide the expected result.  It is important to note that these selections are not necessarily what bidders are expected to propose.  Rather, SDG&amp;E expects that after Third party programs are selected with their own proposed measures, the resulting portfolio of programs for the market sector will result in the expected net benefits.</w:t>
      </w:r>
      <w:r w:rsidR="007D1173">
        <w:t xml:space="preserve">  </w:t>
      </w:r>
      <w:r w:rsidR="008D7968">
        <w:t xml:space="preserve">The </w:t>
      </w:r>
      <w:r w:rsidR="00EB20FB">
        <w:t xml:space="preserve">new Commercial sector Third Party </w:t>
      </w:r>
      <w:r w:rsidR="008D7968">
        <w:t>programs</w:t>
      </w:r>
      <w:r w:rsidR="00EB20FB">
        <w:t xml:space="preserve"> savings forecast reflect this assumption, Commercial Small Customer Services (&lt;20KW) Program (4003) and Commercial </w:t>
      </w:r>
      <w:r w:rsidR="008B6231">
        <w:t xml:space="preserve">large </w:t>
      </w:r>
      <w:r w:rsidR="005F3E17">
        <w:t>Customer</w:t>
      </w:r>
      <w:r w:rsidR="008B6231">
        <w:t xml:space="preserve"> Services (&gt;20</w:t>
      </w:r>
      <w:r w:rsidR="00E07EC4">
        <w:t>KW</w:t>
      </w:r>
      <w:r w:rsidR="008B6231">
        <w:t>) Program (4004).</w:t>
      </w:r>
      <w:r w:rsidR="00EB20FB">
        <w:t xml:space="preserve"> </w:t>
      </w:r>
    </w:p>
    <w:p w14:paraId="6C6C596C" w14:textId="49D58C05" w:rsidR="00741989" w:rsidRDefault="00967C0F" w:rsidP="001D1FA8">
      <w:r>
        <w:t>Table 4</w:t>
      </w:r>
      <w:r w:rsidR="0075332F">
        <w:t xml:space="preserve"> below shows the comparison of the forecast with the identified economic potential for SDG&amp;E in the 2019 Potential and Goals Study.</w:t>
      </w:r>
      <w:r w:rsidR="003A3668">
        <w:rPr>
          <w:rStyle w:val="FootnoteReference"/>
        </w:rPr>
        <w:footnoteReference w:id="6"/>
      </w:r>
    </w:p>
    <w:p w14:paraId="206972F6" w14:textId="2E60C16D" w:rsidR="00B61347" w:rsidRDefault="00B61347" w:rsidP="00210F26">
      <w:pPr>
        <w:jc w:val="center"/>
        <w:rPr>
          <w:b/>
        </w:rPr>
      </w:pPr>
      <w:r w:rsidRPr="003C689A">
        <w:rPr>
          <w:b/>
        </w:rPr>
        <w:t xml:space="preserve">Table 4: Comparison of </w:t>
      </w:r>
      <w:r w:rsidR="00546C16" w:rsidRPr="003C689A">
        <w:rPr>
          <w:b/>
        </w:rPr>
        <w:t xml:space="preserve">Electric (KWH) </w:t>
      </w:r>
      <w:r w:rsidRPr="003C689A">
        <w:rPr>
          <w:b/>
        </w:rPr>
        <w:t>Forecast with Economic Potential</w:t>
      </w:r>
    </w:p>
    <w:p w14:paraId="50E9391B" w14:textId="26FA754F" w:rsidR="00FA23A5" w:rsidRDefault="00FA23A5" w:rsidP="00FD2DBA"/>
    <w:p w14:paraId="3F71E408" w14:textId="5D7FE7A1" w:rsidR="006051E0" w:rsidRDefault="005B13D6" w:rsidP="00210F26">
      <w:pPr>
        <w:jc w:val="center"/>
        <w:rPr>
          <w:b/>
        </w:rPr>
      </w:pPr>
      <w:r>
        <w:rPr>
          <w:noProof/>
        </w:rPr>
        <w:drawing>
          <wp:inline distT="0" distB="0" distL="0" distR="0" wp14:anchorId="0EE60673" wp14:editId="29922007">
            <wp:extent cx="6045200" cy="1513076"/>
            <wp:effectExtent l="0" t="0" r="0" b="0"/>
            <wp:docPr id="232" name="Picture 1">
              <a:extLst xmlns:a="http://schemas.openxmlformats.org/drawingml/2006/main">
                <a:ext uri="{FF2B5EF4-FFF2-40B4-BE49-F238E27FC236}">
                  <a16:creationId xmlns:a16="http://schemas.microsoft.com/office/drawing/2014/main" id="{3750FA2B-01F8-4BC7-BB17-6C09C980C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750FA2B-01F8-4BC7-BB17-6C09C980CB3E}"/>
                        </a:ext>
                      </a:extLst>
                    </pic:cNvPr>
                    <pic:cNvPicPr>
                      <a:picLocks noChangeAspect="1"/>
                    </pic:cNvPicPr>
                  </pic:nvPicPr>
                  <pic:blipFill>
                    <a:blip r:embed="rId13"/>
                    <a:stretch>
                      <a:fillRect/>
                    </a:stretch>
                  </pic:blipFill>
                  <pic:spPr>
                    <a:xfrm>
                      <a:off x="0" y="0"/>
                      <a:ext cx="6045200" cy="1513076"/>
                    </a:xfrm>
                    <a:prstGeom prst="rect">
                      <a:avLst/>
                    </a:prstGeom>
                  </pic:spPr>
                </pic:pic>
              </a:graphicData>
            </a:graphic>
          </wp:inline>
        </w:drawing>
      </w:r>
    </w:p>
    <w:p w14:paraId="04BDC8BB" w14:textId="7FCA53D8" w:rsidR="006051E0" w:rsidRDefault="006051E0" w:rsidP="00210F26">
      <w:pPr>
        <w:jc w:val="center"/>
        <w:rPr>
          <w:b/>
        </w:rPr>
      </w:pPr>
    </w:p>
    <w:p w14:paraId="0FFF823A" w14:textId="77777777" w:rsidR="006051E0" w:rsidRDefault="006051E0" w:rsidP="00210F26">
      <w:pPr>
        <w:jc w:val="center"/>
        <w:rPr>
          <w:b/>
        </w:rPr>
      </w:pPr>
    </w:p>
    <w:p w14:paraId="36FA09AC" w14:textId="7A41172B" w:rsidR="00FA23A5" w:rsidRDefault="00FA23A5" w:rsidP="002B077A">
      <w:r>
        <w:t xml:space="preserve">The </w:t>
      </w:r>
      <w:r w:rsidR="002B077A">
        <w:t xml:space="preserve">following </w:t>
      </w:r>
      <w:r w:rsidR="005F157F">
        <w:t xml:space="preserve">specific 2019 P&amp;G Study </w:t>
      </w:r>
      <w:r w:rsidR="002B077A">
        <w:t xml:space="preserve">measures </w:t>
      </w:r>
      <w:r w:rsidR="00797CD8">
        <w:t xml:space="preserve">were used to aggregate to </w:t>
      </w:r>
      <w:r w:rsidR="005F157F">
        <w:t xml:space="preserve">match up </w:t>
      </w:r>
      <w:r w:rsidR="00797CD8">
        <w:t>with the forecasted measure.</w:t>
      </w:r>
    </w:p>
    <w:p w14:paraId="2E22C7E1" w14:textId="1CEEE3E4" w:rsidR="00BB7186" w:rsidRPr="00BB7186" w:rsidRDefault="00BB7186" w:rsidP="00FE707F">
      <w:pPr>
        <w:keepNext/>
        <w:keepLines/>
        <w:jc w:val="center"/>
        <w:rPr>
          <w:b/>
        </w:rPr>
      </w:pPr>
      <w:r w:rsidRPr="00BB7186">
        <w:rPr>
          <w:b/>
        </w:rPr>
        <w:t xml:space="preserve">Table 5: Potential Study </w:t>
      </w:r>
      <w:r w:rsidR="00A47A26">
        <w:rPr>
          <w:b/>
        </w:rPr>
        <w:t xml:space="preserve">Electric </w:t>
      </w:r>
      <w:r w:rsidRPr="00BB7186">
        <w:rPr>
          <w:b/>
        </w:rPr>
        <w:t xml:space="preserve">Measures Used for the </w:t>
      </w:r>
      <w:r w:rsidR="00A47A26">
        <w:rPr>
          <w:b/>
        </w:rPr>
        <w:t xml:space="preserve">Electric </w:t>
      </w:r>
      <w:r w:rsidRPr="00BB7186">
        <w:rPr>
          <w:b/>
        </w:rPr>
        <w:t>Forecast</w:t>
      </w:r>
    </w:p>
    <w:p w14:paraId="25EA9F5D" w14:textId="37AA0048" w:rsidR="00797CD8" w:rsidRDefault="00797CD8" w:rsidP="00FE707F">
      <w:pPr>
        <w:keepNext/>
        <w:keepLines/>
      </w:pPr>
    </w:p>
    <w:p w14:paraId="40B57DE5" w14:textId="7C35FE3D" w:rsidR="004E4DAB" w:rsidRDefault="00DC121B" w:rsidP="00FE707F">
      <w:pPr>
        <w:keepNext/>
        <w:keepLines/>
      </w:pPr>
      <w:r>
        <w:rPr>
          <w:noProof/>
        </w:rPr>
        <w:drawing>
          <wp:inline distT="0" distB="0" distL="0" distR="0" wp14:anchorId="3E6761E5" wp14:editId="7A471F54">
            <wp:extent cx="6070600" cy="2689860"/>
            <wp:effectExtent l="0" t="0" r="6350" b="0"/>
            <wp:docPr id="233" name="Picture 4">
              <a:extLst xmlns:a="http://schemas.openxmlformats.org/drawingml/2006/main">
                <a:ext uri="{FF2B5EF4-FFF2-40B4-BE49-F238E27FC236}">
                  <a16:creationId xmlns:a16="http://schemas.microsoft.com/office/drawing/2014/main" id="{121B2940-9A25-42D6-AFAE-2D7027A69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21B2940-9A25-42D6-AFAE-2D7027A69236}"/>
                        </a:ext>
                      </a:extLst>
                    </pic:cNvPr>
                    <pic:cNvPicPr>
                      <a:picLocks noChangeAspect="1"/>
                    </pic:cNvPicPr>
                  </pic:nvPicPr>
                  <pic:blipFill>
                    <a:blip r:embed="rId14"/>
                    <a:stretch>
                      <a:fillRect/>
                    </a:stretch>
                  </pic:blipFill>
                  <pic:spPr>
                    <a:xfrm>
                      <a:off x="0" y="0"/>
                      <a:ext cx="6070600" cy="2689860"/>
                    </a:xfrm>
                    <a:prstGeom prst="rect">
                      <a:avLst/>
                    </a:prstGeom>
                  </pic:spPr>
                </pic:pic>
              </a:graphicData>
            </a:graphic>
          </wp:inline>
        </w:drawing>
      </w:r>
    </w:p>
    <w:p w14:paraId="257F36E0" w14:textId="16A31A44" w:rsidR="00BB7186" w:rsidRDefault="0011266D" w:rsidP="002B077A">
      <w:r>
        <w:t xml:space="preserve">The rankings reference the rank of the </w:t>
      </w:r>
      <w:r w:rsidR="0000179D">
        <w:t>f</w:t>
      </w:r>
      <w:r>
        <w:t xml:space="preserve">orecasted </w:t>
      </w:r>
      <w:r w:rsidR="00ED466B">
        <w:t>m</w:t>
      </w:r>
      <w:r>
        <w:t>easure</w:t>
      </w:r>
      <w:r w:rsidR="00595A68">
        <w:t xml:space="preserve"> in Table </w:t>
      </w:r>
      <w:r w:rsidR="008B1445">
        <w:t xml:space="preserve">4 </w:t>
      </w:r>
      <w:r w:rsidR="00595A68">
        <w:t xml:space="preserve">above.  </w:t>
      </w:r>
      <w:r w:rsidR="004741EB">
        <w:t xml:space="preserve">To </w:t>
      </w:r>
      <w:r w:rsidR="00EE06BE">
        <w:t xml:space="preserve">estimate the total potential savings for the </w:t>
      </w:r>
      <w:r w:rsidR="0000179D">
        <w:t>f</w:t>
      </w:r>
      <w:r w:rsidR="00EE06BE">
        <w:t xml:space="preserve">orecasted </w:t>
      </w:r>
      <w:r w:rsidR="00ED466B">
        <w:t>m</w:t>
      </w:r>
      <w:r w:rsidR="00EE06BE">
        <w:t xml:space="preserve">easure, the associated Potential </w:t>
      </w:r>
      <w:r w:rsidR="00ED466B">
        <w:t>m</w:t>
      </w:r>
      <w:r w:rsidR="00EE06BE">
        <w:t xml:space="preserve">easure savings were summed.  </w:t>
      </w:r>
      <w:r w:rsidR="00595A68">
        <w:t xml:space="preserve">If the </w:t>
      </w:r>
      <w:r w:rsidR="00274B5B">
        <w:t xml:space="preserve">Potential </w:t>
      </w:r>
      <w:r w:rsidR="00ED466B">
        <w:t>m</w:t>
      </w:r>
      <w:r w:rsidR="00595A68">
        <w:t xml:space="preserve">easure </w:t>
      </w:r>
      <w:r w:rsidR="00274B5B">
        <w:t>is assigned</w:t>
      </w:r>
      <w:r w:rsidR="00595A68">
        <w:t xml:space="preserve"> several rankings, then the Potential Savings were equally divided </w:t>
      </w:r>
      <w:r w:rsidR="004741EB">
        <w:t xml:space="preserve">between the </w:t>
      </w:r>
      <w:r w:rsidR="0000179D">
        <w:t>f</w:t>
      </w:r>
      <w:r w:rsidR="004741EB">
        <w:t xml:space="preserve">orecasted </w:t>
      </w:r>
      <w:r w:rsidR="00ED466B">
        <w:t>m</w:t>
      </w:r>
      <w:r w:rsidR="004741EB">
        <w:t>easure to estimate the Potential Savings.</w:t>
      </w:r>
    </w:p>
    <w:p w14:paraId="428E554F" w14:textId="67739B90" w:rsidR="008C0779" w:rsidRDefault="00C755DC" w:rsidP="00752315">
      <w:r w:rsidRPr="00752315">
        <w:t>Three</w:t>
      </w:r>
      <w:r w:rsidR="008C69E4" w:rsidRPr="00752315">
        <w:t xml:space="preserve"> measures exceed the economic potential, </w:t>
      </w:r>
      <w:r w:rsidRPr="00752315">
        <w:t xml:space="preserve">RCx for Industrial, </w:t>
      </w:r>
      <w:r w:rsidR="004A7B1A" w:rsidRPr="00752315">
        <w:t>LED T8 lamp retrofits</w:t>
      </w:r>
      <w:r w:rsidR="0054592B" w:rsidRPr="00752315">
        <w:t xml:space="preserve"> for </w:t>
      </w:r>
      <w:r w:rsidR="001675CA" w:rsidRPr="00752315">
        <w:t>Commercial</w:t>
      </w:r>
      <w:r w:rsidR="0054592B" w:rsidRPr="00752315">
        <w:t xml:space="preserve"> and Residential pool pump controls.  </w:t>
      </w:r>
      <w:r w:rsidR="001675CA" w:rsidRPr="00752315">
        <w:t xml:space="preserve">SDG&amp;E believes that these are reasonable stretch goals.  </w:t>
      </w:r>
      <w:r w:rsidR="00D67878" w:rsidRPr="00752315">
        <w:t xml:space="preserve">With the </w:t>
      </w:r>
      <w:r w:rsidR="000B7934">
        <w:t>Retrocommissioning</w:t>
      </w:r>
      <w:r w:rsidR="00D67878" w:rsidRPr="00752315">
        <w:t xml:space="preserve"> (</w:t>
      </w:r>
      <w:proofErr w:type="spellStart"/>
      <w:r w:rsidR="000B7934">
        <w:t>RCx</w:t>
      </w:r>
      <w:proofErr w:type="spellEnd"/>
      <w:r w:rsidR="00D67878" w:rsidRPr="00752315">
        <w:t xml:space="preserve">) program underway, SDG&amp;E believes that additional customers </w:t>
      </w:r>
      <w:r w:rsidR="00E159D5" w:rsidRPr="00752315">
        <w:t xml:space="preserve">could be added in the coming year.  The LED T8 lamps are still available </w:t>
      </w:r>
      <w:r w:rsidR="00744DB9" w:rsidRPr="00752315">
        <w:t xml:space="preserve">as viable measures such that both the Commercial Midstream Rebate and Direct Install </w:t>
      </w:r>
      <w:r w:rsidR="00C97627" w:rsidRPr="00752315">
        <w:t>programs would avail of this opportunity</w:t>
      </w:r>
      <w:r w:rsidR="00FB41D9" w:rsidRPr="00752315">
        <w:t>.  With respect to residential pool pumps, with the continued roll out of the Time-of-Use rates, pool pump</w:t>
      </w:r>
      <w:r w:rsidR="006605A2" w:rsidRPr="00752315">
        <w:t xml:space="preserve"> </w:t>
      </w:r>
      <w:r w:rsidR="00685DF9" w:rsidRPr="00752315">
        <w:t>controls</w:t>
      </w:r>
      <w:r w:rsidR="00FB41D9" w:rsidRPr="00752315">
        <w:t xml:space="preserve"> </w:t>
      </w:r>
      <w:r w:rsidR="001A1806" w:rsidRPr="00752315">
        <w:t>provide opportunities for savings to these customers</w:t>
      </w:r>
      <w:r w:rsidR="006605A2" w:rsidRPr="00752315">
        <w:t xml:space="preserve">.  </w:t>
      </w:r>
      <w:r w:rsidR="00875D37" w:rsidRPr="00752315">
        <w:t xml:space="preserve">In addition to residential pools, </w:t>
      </w:r>
      <w:r w:rsidR="00752315" w:rsidRPr="00752315">
        <w:t xml:space="preserve">San Diego’s Environmental Health department </w:t>
      </w:r>
      <w:r w:rsidR="006605A2" w:rsidRPr="00752315">
        <w:t xml:space="preserve">estimates that there are </w:t>
      </w:r>
      <w:r w:rsidR="000B7635" w:rsidRPr="00752315">
        <w:t xml:space="preserve">at </w:t>
      </w:r>
      <w:r w:rsidR="000B7635" w:rsidRPr="00685DF9">
        <w:t>approximately 4,000 public pools and spas under permit, including those located in apartments, hotels, parks, health clubs, bathhouses, and other health-regulated recreational establishments</w:t>
      </w:r>
      <w:r w:rsidR="00792E0B">
        <w:t xml:space="preserve"> that can participate in SDG&amp;E’s pool pump control </w:t>
      </w:r>
      <w:r w:rsidR="008C0779">
        <w:t>rebate through its Plug Load and Appliance program.</w:t>
      </w:r>
    </w:p>
    <w:p w14:paraId="142A993B" w14:textId="2AD60B2E" w:rsidR="00DC0EA4" w:rsidRDefault="00DC0EA4" w:rsidP="00752315">
      <w:r>
        <w:t xml:space="preserve">Note that the </w:t>
      </w:r>
      <w:r w:rsidR="00C057FB">
        <w:t xml:space="preserve">Potential </w:t>
      </w:r>
      <w:r>
        <w:t xml:space="preserve">LED measures that are identified as “Low Income” are assumed to go to </w:t>
      </w:r>
      <w:r>
        <w:lastRenderedPageBreak/>
        <w:t xml:space="preserve">common areas </w:t>
      </w:r>
      <w:r w:rsidR="00C057FB">
        <w:t xml:space="preserve">that are serviced through the Commercial programs.  The Potential measures </w:t>
      </w:r>
      <w:r w:rsidR="007E2922">
        <w:t>associated with the Behavior program savings are measures that a customer can undertake if recommended in a HER</w:t>
      </w:r>
      <w:r w:rsidR="009D5943">
        <w:t>S</w:t>
      </w:r>
      <w:r w:rsidR="007E2922">
        <w:t xml:space="preserve"> </w:t>
      </w:r>
      <w:r w:rsidR="00D107E4">
        <w:t>audit.</w:t>
      </w:r>
    </w:p>
    <w:p w14:paraId="5786D447" w14:textId="7ABF33B4" w:rsidR="00061DB6" w:rsidRDefault="008C0779" w:rsidP="008C0779">
      <w:pPr>
        <w:pStyle w:val="Heading3"/>
      </w:pPr>
      <w:r>
        <w:t>2.</w:t>
      </w:r>
      <w:r>
        <w:tab/>
        <w:t>Natural Gas Measures</w:t>
      </w:r>
      <w:r w:rsidR="001A1806" w:rsidRPr="00752315">
        <w:t xml:space="preserve"> </w:t>
      </w:r>
    </w:p>
    <w:p w14:paraId="05AD7DF2" w14:textId="4E6F2C8F" w:rsidR="008C0779" w:rsidRDefault="008C0779" w:rsidP="008C0779">
      <w:r>
        <w:t xml:space="preserve">The following </w:t>
      </w:r>
      <w:r w:rsidR="009D5943">
        <w:t>f</w:t>
      </w:r>
      <w:r>
        <w:t xml:space="preserve">igure illustrates contribution of </w:t>
      </w:r>
      <w:r w:rsidR="009D5943">
        <w:t xml:space="preserve">gas </w:t>
      </w:r>
      <w:r>
        <w:t>savings to the portfolio by sector:</w:t>
      </w:r>
    </w:p>
    <w:p w14:paraId="6BC55B11" w14:textId="66BFB1F2" w:rsidR="008C0779" w:rsidRPr="00CB06AF" w:rsidRDefault="008C0779" w:rsidP="008C0779">
      <w:pPr>
        <w:jc w:val="center"/>
        <w:rPr>
          <w:b/>
        </w:rPr>
      </w:pPr>
      <w:r w:rsidRPr="00CB06AF">
        <w:rPr>
          <w:b/>
        </w:rPr>
        <w:t xml:space="preserve">Figure </w:t>
      </w:r>
      <w:r>
        <w:rPr>
          <w:b/>
        </w:rPr>
        <w:t>2</w:t>
      </w:r>
      <w:r w:rsidRPr="00CB06AF">
        <w:rPr>
          <w:b/>
        </w:rPr>
        <w:t xml:space="preserve">: </w:t>
      </w:r>
      <w:r>
        <w:rPr>
          <w:b/>
        </w:rPr>
        <w:t>Natural Gas</w:t>
      </w:r>
      <w:r w:rsidRPr="00CB06AF">
        <w:rPr>
          <w:b/>
        </w:rPr>
        <w:t xml:space="preserve"> Savings Contribution by Sector</w:t>
      </w:r>
    </w:p>
    <w:p w14:paraId="0D43972F" w14:textId="5F18EF46" w:rsidR="008C0779" w:rsidRDefault="008746B8" w:rsidP="008C0779">
      <w:pPr>
        <w:jc w:val="center"/>
      </w:pPr>
      <w:r>
        <w:rPr>
          <w:noProof/>
        </w:rPr>
        <w:drawing>
          <wp:inline distT="0" distB="0" distL="0" distR="0" wp14:anchorId="4D2007E7" wp14:editId="60DC1A22">
            <wp:extent cx="5502275" cy="3846830"/>
            <wp:effectExtent l="0" t="0" r="3175" b="1270"/>
            <wp:docPr id="9" name="Chart 9">
              <a:extLst xmlns:a="http://schemas.openxmlformats.org/drawingml/2006/main">
                <a:ext uri="{FF2B5EF4-FFF2-40B4-BE49-F238E27FC236}">
                  <a16:creationId xmlns:a16="http://schemas.microsoft.com/office/drawing/2014/main" id="{B3F55EF5-A30C-4CE1-B9CD-B4C403D85B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0BB139" w14:textId="2E449B60" w:rsidR="008C0779" w:rsidRDefault="008C0779" w:rsidP="008C0779">
      <w:r>
        <w:t xml:space="preserve">The following table shows the top 10 </w:t>
      </w:r>
      <w:r w:rsidR="007B2952">
        <w:t>natural gas</w:t>
      </w:r>
      <w:r>
        <w:t xml:space="preserve"> measures (</w:t>
      </w:r>
      <w:r w:rsidR="007B2952">
        <w:t>M</w:t>
      </w:r>
      <w:r w:rsidR="00F52966">
        <w:t>illions of therms</w:t>
      </w:r>
      <w:r>
        <w:t>) of the portfolio and the forecasted savings.</w:t>
      </w:r>
    </w:p>
    <w:p w14:paraId="6805EFBC" w14:textId="77777777" w:rsidR="008C0779" w:rsidRPr="00752315" w:rsidRDefault="008C0779" w:rsidP="008C0779">
      <w:pPr>
        <w:pStyle w:val="Heading3"/>
      </w:pPr>
    </w:p>
    <w:p w14:paraId="3FEE6938" w14:textId="024B1E87" w:rsidR="001D1FA8" w:rsidRPr="00FC6807" w:rsidRDefault="001D1FA8" w:rsidP="00BF0417">
      <w:pPr>
        <w:keepNext/>
        <w:keepLines/>
        <w:jc w:val="center"/>
        <w:rPr>
          <w:b/>
        </w:rPr>
      </w:pPr>
      <w:r w:rsidRPr="00FC6807">
        <w:rPr>
          <w:b/>
        </w:rPr>
        <w:lastRenderedPageBreak/>
        <w:t xml:space="preserve">Table </w:t>
      </w:r>
      <w:r w:rsidR="00B95EA9">
        <w:rPr>
          <w:b/>
        </w:rPr>
        <w:t>6</w:t>
      </w:r>
      <w:r w:rsidRPr="00FC6807">
        <w:rPr>
          <w:b/>
        </w:rPr>
        <w:t>: Top 10 Natural Gas End Uses/Measures</w:t>
      </w:r>
    </w:p>
    <w:p w14:paraId="22BDF5E4" w14:textId="27CD5273" w:rsidR="001D1FA8" w:rsidRDefault="001D1FA8" w:rsidP="00BF0417">
      <w:pPr>
        <w:keepNext/>
        <w:keepLines/>
      </w:pPr>
    </w:p>
    <w:p w14:paraId="5359C769" w14:textId="5AA0494A" w:rsidR="003E45F6" w:rsidRDefault="00E6408D" w:rsidP="00BF0417">
      <w:pPr>
        <w:keepNext/>
        <w:keepLines/>
      </w:pPr>
      <w:r w:rsidRPr="00E6408D">
        <w:rPr>
          <w:noProof/>
        </w:rPr>
        <w:drawing>
          <wp:inline distT="0" distB="0" distL="0" distR="0" wp14:anchorId="7735DE6C" wp14:editId="184FB9BA">
            <wp:extent cx="6070600" cy="141859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0600" cy="1418590"/>
                    </a:xfrm>
                    <a:prstGeom prst="rect">
                      <a:avLst/>
                    </a:prstGeom>
                    <a:noFill/>
                    <a:ln>
                      <a:noFill/>
                    </a:ln>
                  </pic:spPr>
                </pic:pic>
              </a:graphicData>
            </a:graphic>
          </wp:inline>
        </w:drawing>
      </w:r>
    </w:p>
    <w:p w14:paraId="72522558" w14:textId="6472D7B6" w:rsidR="00101673" w:rsidRDefault="00101673" w:rsidP="00101673">
      <w:r>
        <w:t xml:space="preserve">As noted in the previous section, SDG&amp;E provided its expected net benefits for proposed programs in the Request for Proposal (RFPs).  To achieve the same RFP net benefits in its forecast, SDG&amp;E selected “representative” custom end use measures whose savings would provide the same net benefits.  In most cases, the Retrocommissioning (RCx) and “Whole Building” measure savings provide the expected result.  It is important to note that these selections are not necessarily what bidders are expected to propose.  Rather, SDG&amp;E expects that after </w:t>
      </w:r>
      <w:r w:rsidR="000C11C6">
        <w:t>Third Party</w:t>
      </w:r>
      <w:r>
        <w:t xml:space="preserve"> programs are selected with their own proposed measures, the resulting portfolio of programs for the market sector will result in the expected net benefits.  The new Commercial sector Third Party programs savings forecast reflect this assumption, Commercial Small Customer Services Program (4003) and Commercial large Customer Services  Program (4004). </w:t>
      </w:r>
    </w:p>
    <w:p w14:paraId="1A1A2D01" w14:textId="71B5648F" w:rsidR="00F52966" w:rsidRDefault="00101673" w:rsidP="00101673">
      <w:r>
        <w:t xml:space="preserve">Table </w:t>
      </w:r>
      <w:r w:rsidR="00B95EA9">
        <w:t>7</w:t>
      </w:r>
      <w:r>
        <w:t xml:space="preserve"> below shows the comparison of the forecast with the identified economic potential for SDG&amp;E in the 2019 Potential and Goals Study.</w:t>
      </w:r>
    </w:p>
    <w:p w14:paraId="0A11F55A" w14:textId="560A3057" w:rsidR="00101673" w:rsidRDefault="00101673" w:rsidP="00101673">
      <w:pPr>
        <w:jc w:val="center"/>
        <w:rPr>
          <w:b/>
        </w:rPr>
      </w:pPr>
      <w:r w:rsidRPr="003C689A">
        <w:rPr>
          <w:b/>
        </w:rPr>
        <w:t xml:space="preserve">Table </w:t>
      </w:r>
      <w:r w:rsidR="00B95EA9">
        <w:rPr>
          <w:b/>
        </w:rPr>
        <w:t>7</w:t>
      </w:r>
      <w:r w:rsidRPr="003C689A">
        <w:rPr>
          <w:b/>
        </w:rPr>
        <w:t xml:space="preserve">: Comparison of </w:t>
      </w:r>
      <w:r w:rsidR="00DE5A55">
        <w:rPr>
          <w:b/>
        </w:rPr>
        <w:t>Natural Gas</w:t>
      </w:r>
      <w:r w:rsidRPr="003C689A">
        <w:rPr>
          <w:b/>
        </w:rPr>
        <w:t xml:space="preserve"> (</w:t>
      </w:r>
      <w:r w:rsidR="00DE5A55">
        <w:rPr>
          <w:b/>
        </w:rPr>
        <w:t>MM</w:t>
      </w:r>
      <w:r w:rsidR="007256C2">
        <w:rPr>
          <w:b/>
        </w:rPr>
        <w:t>T</w:t>
      </w:r>
      <w:r w:rsidR="00DE5A55">
        <w:rPr>
          <w:b/>
        </w:rPr>
        <w:t>hm</w:t>
      </w:r>
      <w:r w:rsidRPr="003C689A">
        <w:rPr>
          <w:b/>
        </w:rPr>
        <w:t>) Forecast with Economic Potential</w:t>
      </w:r>
    </w:p>
    <w:p w14:paraId="400D0327" w14:textId="52287532" w:rsidR="00F52966" w:rsidRDefault="00F52966" w:rsidP="001D1FA8"/>
    <w:p w14:paraId="74B3B40B" w14:textId="0980B361" w:rsidR="00A71E27" w:rsidRDefault="00CD4075" w:rsidP="001D1FA8">
      <w:r>
        <w:rPr>
          <w:noProof/>
        </w:rPr>
        <w:drawing>
          <wp:inline distT="0" distB="0" distL="0" distR="0" wp14:anchorId="296E35C7" wp14:editId="7A1BBD77">
            <wp:extent cx="6070600" cy="1513840"/>
            <wp:effectExtent l="0" t="0" r="6350" b="0"/>
            <wp:docPr id="234" name="Picture 8">
              <a:extLst xmlns:a="http://schemas.openxmlformats.org/drawingml/2006/main">
                <a:ext uri="{FF2B5EF4-FFF2-40B4-BE49-F238E27FC236}">
                  <a16:creationId xmlns:a16="http://schemas.microsoft.com/office/drawing/2014/main" id="{B28103CB-4CA3-4D3C-8795-3B5B9CA932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28103CB-4CA3-4D3C-8795-3B5B9CA932E3}"/>
                        </a:ext>
                      </a:extLst>
                    </pic:cNvPr>
                    <pic:cNvPicPr>
                      <a:picLocks noChangeAspect="1"/>
                    </pic:cNvPicPr>
                  </pic:nvPicPr>
                  <pic:blipFill>
                    <a:blip r:embed="rId17"/>
                    <a:stretch>
                      <a:fillRect/>
                    </a:stretch>
                  </pic:blipFill>
                  <pic:spPr>
                    <a:xfrm>
                      <a:off x="0" y="0"/>
                      <a:ext cx="6070600" cy="1513840"/>
                    </a:xfrm>
                    <a:prstGeom prst="rect">
                      <a:avLst/>
                    </a:prstGeom>
                  </pic:spPr>
                </pic:pic>
              </a:graphicData>
            </a:graphic>
          </wp:inline>
        </w:drawing>
      </w:r>
    </w:p>
    <w:p w14:paraId="1204FE47" w14:textId="649BACA1" w:rsidR="00A71E27" w:rsidRDefault="00A71E27" w:rsidP="001D1FA8"/>
    <w:p w14:paraId="433A773A" w14:textId="34FCC4A3" w:rsidR="00A71E27" w:rsidRDefault="00A71E27" w:rsidP="001D1FA8"/>
    <w:p w14:paraId="60106F83" w14:textId="77777777" w:rsidR="00A71E27" w:rsidRDefault="00A71E27" w:rsidP="001D1FA8"/>
    <w:p w14:paraId="7ED386F0" w14:textId="77777777" w:rsidR="0021459E" w:rsidRDefault="0021459E" w:rsidP="0021459E">
      <w:r>
        <w:lastRenderedPageBreak/>
        <w:t>The following specific 2019 P&amp;G Study measures were used to aggregate to match up with the forecasted measure.</w:t>
      </w:r>
    </w:p>
    <w:p w14:paraId="13ECB37B" w14:textId="4F56E328" w:rsidR="0021459E" w:rsidRPr="00BB7186" w:rsidRDefault="0021459E" w:rsidP="0021459E">
      <w:pPr>
        <w:keepNext/>
        <w:keepLines/>
        <w:jc w:val="center"/>
        <w:rPr>
          <w:b/>
        </w:rPr>
      </w:pPr>
      <w:r w:rsidRPr="00BB7186">
        <w:rPr>
          <w:b/>
        </w:rPr>
        <w:t xml:space="preserve">Table </w:t>
      </w:r>
      <w:r w:rsidR="003D3863">
        <w:rPr>
          <w:b/>
        </w:rPr>
        <w:t>8</w:t>
      </w:r>
      <w:r w:rsidRPr="00BB7186">
        <w:rPr>
          <w:b/>
        </w:rPr>
        <w:t xml:space="preserve">: Potential Study </w:t>
      </w:r>
      <w:r w:rsidR="0031381F">
        <w:rPr>
          <w:b/>
        </w:rPr>
        <w:t>Natural Gas</w:t>
      </w:r>
      <w:r>
        <w:rPr>
          <w:b/>
        </w:rPr>
        <w:t xml:space="preserve"> </w:t>
      </w:r>
      <w:r w:rsidRPr="00BB7186">
        <w:rPr>
          <w:b/>
        </w:rPr>
        <w:t xml:space="preserve">Measures Used for the </w:t>
      </w:r>
      <w:r w:rsidR="0031381F">
        <w:rPr>
          <w:b/>
        </w:rPr>
        <w:t>Gas</w:t>
      </w:r>
      <w:r>
        <w:rPr>
          <w:b/>
        </w:rPr>
        <w:t xml:space="preserve"> </w:t>
      </w:r>
      <w:r w:rsidRPr="00BB7186">
        <w:rPr>
          <w:b/>
        </w:rPr>
        <w:t>Forecast</w:t>
      </w:r>
    </w:p>
    <w:p w14:paraId="0AB304FD" w14:textId="56B41FE8" w:rsidR="00FB2B18" w:rsidRDefault="000A556B" w:rsidP="0021459E">
      <w:pPr>
        <w:keepNext/>
        <w:keepLines/>
      </w:pPr>
      <w:r>
        <w:rPr>
          <w:noProof/>
        </w:rPr>
        <w:drawing>
          <wp:inline distT="0" distB="0" distL="0" distR="0" wp14:anchorId="5738FCC5" wp14:editId="618E012A">
            <wp:extent cx="6070600" cy="2414905"/>
            <wp:effectExtent l="0" t="0" r="6350" b="4445"/>
            <wp:docPr id="235" name="Picture 10">
              <a:extLst xmlns:a="http://schemas.openxmlformats.org/drawingml/2006/main">
                <a:ext uri="{FF2B5EF4-FFF2-40B4-BE49-F238E27FC236}">
                  <a16:creationId xmlns:a16="http://schemas.microsoft.com/office/drawing/2014/main" id="{2D6EBEF5-75B8-464A-9797-CA33D40D4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2D6EBEF5-75B8-464A-9797-CA33D40D4308}"/>
                        </a:ext>
                      </a:extLst>
                    </pic:cNvPr>
                    <pic:cNvPicPr>
                      <a:picLocks noChangeAspect="1"/>
                    </pic:cNvPicPr>
                  </pic:nvPicPr>
                  <pic:blipFill>
                    <a:blip r:embed="rId18"/>
                    <a:stretch>
                      <a:fillRect/>
                    </a:stretch>
                  </pic:blipFill>
                  <pic:spPr>
                    <a:xfrm>
                      <a:off x="0" y="0"/>
                      <a:ext cx="6070600" cy="2414905"/>
                    </a:xfrm>
                    <a:prstGeom prst="rect">
                      <a:avLst/>
                    </a:prstGeom>
                  </pic:spPr>
                </pic:pic>
              </a:graphicData>
            </a:graphic>
          </wp:inline>
        </w:drawing>
      </w:r>
    </w:p>
    <w:p w14:paraId="0611DFB5" w14:textId="40A39741" w:rsidR="0021459E" w:rsidRDefault="0021459E" w:rsidP="0021459E">
      <w:r>
        <w:t xml:space="preserve">The rankings reference the rank of the </w:t>
      </w:r>
      <w:r w:rsidR="008C3C60">
        <w:t>f</w:t>
      </w:r>
      <w:r>
        <w:t xml:space="preserve">orecasted measure in Table </w:t>
      </w:r>
      <w:r w:rsidR="008B1445">
        <w:t xml:space="preserve">7 </w:t>
      </w:r>
      <w:r>
        <w:t xml:space="preserve">above.  To estimate the total potential savings for the </w:t>
      </w:r>
      <w:r w:rsidR="008C3C60">
        <w:t>f</w:t>
      </w:r>
      <w:r>
        <w:t xml:space="preserve">orecasted measure, the associated Potential measure savings were summed.  If the Potential measure is assigned several rankings, then the Potential Savings were equally divided between the </w:t>
      </w:r>
      <w:r w:rsidR="008C3C60">
        <w:t>f</w:t>
      </w:r>
      <w:r>
        <w:t>orecasted measure to estimate the Potential Savings.</w:t>
      </w:r>
    </w:p>
    <w:p w14:paraId="76BFE6B6" w14:textId="5EEE66D6" w:rsidR="0021459E" w:rsidRDefault="0021459E" w:rsidP="00934D4A">
      <w:r w:rsidRPr="00752315">
        <w:t xml:space="preserve">Three measures exceed the economic potential, </w:t>
      </w:r>
      <w:r w:rsidR="00E45131">
        <w:t xml:space="preserve">Behavior Program, </w:t>
      </w:r>
      <w:r w:rsidR="00882204">
        <w:t>Recirculation Pump Timer</w:t>
      </w:r>
      <w:r w:rsidR="00531F2A">
        <w:t xml:space="preserve"> (HVAC) </w:t>
      </w:r>
      <w:r w:rsidRPr="00752315">
        <w:t xml:space="preserve">for </w:t>
      </w:r>
      <w:r w:rsidR="00531F2A">
        <w:t>Commercial</w:t>
      </w:r>
      <w:r w:rsidRPr="00752315">
        <w:t xml:space="preserve">, and </w:t>
      </w:r>
      <w:bookmarkStart w:id="3" w:name="_Hlk18315073"/>
      <w:r w:rsidR="00AA5DFB">
        <w:t xml:space="preserve">Process </w:t>
      </w:r>
      <w:r w:rsidR="00AA5DFB" w:rsidRPr="00AA5DFB">
        <w:t>Heat</w:t>
      </w:r>
      <w:r w:rsidR="006659B9">
        <w:t xml:space="preserve"> for Industrial</w:t>
      </w:r>
      <w:bookmarkEnd w:id="3"/>
      <w:r w:rsidRPr="00752315">
        <w:t xml:space="preserve">.  SDG&amp;E believes that these are reasonable stretch goals.  </w:t>
      </w:r>
      <w:r w:rsidR="008A2135">
        <w:t xml:space="preserve">With respect to the Behavior Program, SDG&amp;E is expecting to be able to increase customer participation by working with Energy Division Staff to </w:t>
      </w:r>
      <w:r w:rsidR="00ED52BC">
        <w:t xml:space="preserve">use alternative sampling methodologies to reduce the number of </w:t>
      </w:r>
      <w:r w:rsidR="00D801B6">
        <w:t xml:space="preserve">the </w:t>
      </w:r>
      <w:r w:rsidR="00ED52BC">
        <w:t>control group so that more customers can</w:t>
      </w:r>
      <w:r w:rsidR="00EE3DDB">
        <w:t xml:space="preserve"> receive HERs reports.  With respect to the </w:t>
      </w:r>
      <w:r w:rsidR="004F4714">
        <w:t xml:space="preserve">Process </w:t>
      </w:r>
      <w:r w:rsidR="004F4714" w:rsidRPr="00AA5DFB">
        <w:t>Heat</w:t>
      </w:r>
      <w:r w:rsidR="004F4714">
        <w:t xml:space="preserve"> for Industrial, the 2019 P&amp;G Study shows the following measures that would count towards this </w:t>
      </w:r>
      <w:r w:rsidR="00893B60">
        <w:t>measure end use.</w:t>
      </w:r>
      <w:r w:rsidR="00893B60">
        <w:rPr>
          <w:rStyle w:val="FootnoteReference"/>
        </w:rPr>
        <w:footnoteReference w:id="7"/>
      </w:r>
      <w:r w:rsidR="00AC3D32">
        <w:t xml:space="preserve">  The 2019 P&amp;G Study further states, “</w:t>
      </w:r>
      <w:r w:rsidR="00934D4A">
        <w:t>Among end-use categories that capture potential from discrete measures that produce deemed savings, process heat dominates gas potential in the agriculture and industrial sectors, followed by HVAC across all scenarios.”</w:t>
      </w:r>
      <w:r w:rsidR="00934D4A">
        <w:rPr>
          <w:rStyle w:val="FootnoteReference"/>
        </w:rPr>
        <w:footnoteReference w:id="8"/>
      </w:r>
      <w:r w:rsidR="00F4204C">
        <w:t xml:space="preserve">  </w:t>
      </w:r>
      <w:r w:rsidR="00257CDB">
        <w:t>Although, SDG&amp;E selected a representative measure from the 2019 P&amp;G Study, SDG&amp;E</w:t>
      </w:r>
      <w:r w:rsidR="00C84E8F">
        <w:t xml:space="preserve"> is anticipating that the potential exists in its service territory and that </w:t>
      </w:r>
      <w:r w:rsidR="00F071CA">
        <w:t>its SEM program</w:t>
      </w:r>
      <w:r w:rsidR="00AF7D41">
        <w:rPr>
          <w:rStyle w:val="FootnoteReference"/>
        </w:rPr>
        <w:footnoteReference w:id="9"/>
      </w:r>
      <w:r w:rsidR="00F071CA">
        <w:t xml:space="preserve"> and </w:t>
      </w:r>
      <w:r w:rsidR="00C84E8F">
        <w:t xml:space="preserve">new </w:t>
      </w:r>
      <w:r w:rsidR="00F071CA">
        <w:t>Third</w:t>
      </w:r>
      <w:r w:rsidR="00C84E8F">
        <w:t xml:space="preserve"> Party implementers will </w:t>
      </w:r>
      <w:r w:rsidR="00AF7D41">
        <w:t xml:space="preserve">address </w:t>
      </w:r>
      <w:r w:rsidR="00C84E8F">
        <w:t>this potential</w:t>
      </w:r>
      <w:r w:rsidR="00AF7D41">
        <w:t xml:space="preserve"> in the programs</w:t>
      </w:r>
      <w:r w:rsidR="00C84E8F">
        <w:t>.</w:t>
      </w:r>
    </w:p>
    <w:p w14:paraId="0174A194" w14:textId="2995803A" w:rsidR="004F4714" w:rsidRPr="00514C44" w:rsidRDefault="00C84E8F" w:rsidP="00FD2DBA">
      <w:pPr>
        <w:keepNext/>
        <w:keepLines/>
        <w:jc w:val="center"/>
        <w:rPr>
          <w:b/>
        </w:rPr>
      </w:pPr>
      <w:r w:rsidRPr="00514C44">
        <w:rPr>
          <w:b/>
        </w:rPr>
        <w:lastRenderedPageBreak/>
        <w:t xml:space="preserve">Figure 3: </w:t>
      </w:r>
      <w:r w:rsidR="00277535" w:rsidRPr="00514C44">
        <w:rPr>
          <w:b/>
        </w:rPr>
        <w:t xml:space="preserve">Excerpt from 2019 P&amp;G Study Regarding </w:t>
      </w:r>
      <w:r w:rsidR="00234A6D" w:rsidRPr="00514C44">
        <w:rPr>
          <w:b/>
        </w:rPr>
        <w:t>Industrial Measures Used in the Model</w:t>
      </w:r>
      <w:r w:rsidR="00234A6D" w:rsidRPr="00514C44">
        <w:rPr>
          <w:rStyle w:val="FootnoteReference"/>
          <w:b/>
        </w:rPr>
        <w:footnoteReference w:id="10"/>
      </w:r>
    </w:p>
    <w:p w14:paraId="72676DE6" w14:textId="77777777" w:rsidR="004F4714" w:rsidRDefault="004F4714" w:rsidP="00FD2DBA">
      <w:pPr>
        <w:keepNext/>
        <w:keepLines/>
      </w:pPr>
      <w:r w:rsidRPr="00696ED8">
        <w:rPr>
          <w:noProof/>
        </w:rPr>
        <w:drawing>
          <wp:inline distT="0" distB="0" distL="0" distR="0" wp14:anchorId="04F0072C" wp14:editId="074FD052">
            <wp:extent cx="5943600" cy="4400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40055"/>
                    </a:xfrm>
                    <a:prstGeom prst="rect">
                      <a:avLst/>
                    </a:prstGeom>
                  </pic:spPr>
                </pic:pic>
              </a:graphicData>
            </a:graphic>
          </wp:inline>
        </w:drawing>
      </w:r>
      <w:r w:rsidRPr="00696ED8">
        <w:rPr>
          <w:noProof/>
        </w:rPr>
        <w:drawing>
          <wp:inline distT="0" distB="0" distL="0" distR="0" wp14:anchorId="1BF78925" wp14:editId="0255227E">
            <wp:extent cx="5943600" cy="1899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899920"/>
                    </a:xfrm>
                    <a:prstGeom prst="rect">
                      <a:avLst/>
                    </a:prstGeom>
                  </pic:spPr>
                </pic:pic>
              </a:graphicData>
            </a:graphic>
          </wp:inline>
        </w:drawing>
      </w:r>
    </w:p>
    <w:p w14:paraId="5F3423DD" w14:textId="75BB84FC" w:rsidR="001F4579" w:rsidRDefault="00752715" w:rsidP="003D0423">
      <w:pPr>
        <w:pStyle w:val="Heading3"/>
      </w:pPr>
      <w:r>
        <w:t>3.</w:t>
      </w:r>
      <w:r>
        <w:tab/>
        <w:t>Net Benefits</w:t>
      </w:r>
    </w:p>
    <w:p w14:paraId="42192DFD" w14:textId="4D75F0E6" w:rsidR="001D1FA8" w:rsidRDefault="001D1FA8" w:rsidP="001D1FA8">
      <w:r>
        <w:t>The following are the top 10 End Uses</w:t>
      </w:r>
      <w:r w:rsidR="008C3C60">
        <w:t>/</w:t>
      </w:r>
      <w:r w:rsidR="005F65C6">
        <w:t>M</w:t>
      </w:r>
      <w:r>
        <w:t>easures based on their net benefits contribution to the portfolio.</w:t>
      </w:r>
    </w:p>
    <w:p w14:paraId="13C64C38" w14:textId="77777777" w:rsidR="001D1FA8" w:rsidRPr="00FC6807" w:rsidRDefault="001D1FA8" w:rsidP="001D1FA8">
      <w:pPr>
        <w:jc w:val="center"/>
        <w:rPr>
          <w:b/>
        </w:rPr>
      </w:pPr>
      <w:r w:rsidRPr="00FC6807">
        <w:rPr>
          <w:b/>
        </w:rPr>
        <w:t>Table 1</w:t>
      </w:r>
      <w:r>
        <w:rPr>
          <w:b/>
        </w:rPr>
        <w:t>5</w:t>
      </w:r>
      <w:r w:rsidRPr="00FC6807">
        <w:rPr>
          <w:b/>
        </w:rPr>
        <w:t>: Top 10 End Uses/Measures by Net Benefits</w:t>
      </w:r>
    </w:p>
    <w:p w14:paraId="460C5EB5" w14:textId="2E01B95D" w:rsidR="00A76495" w:rsidRDefault="006D0FA8" w:rsidP="001D1FA8">
      <w:r>
        <w:rPr>
          <w:noProof/>
        </w:rPr>
        <w:drawing>
          <wp:inline distT="0" distB="0" distL="0" distR="0" wp14:anchorId="1330EA2C" wp14:editId="1440E397">
            <wp:extent cx="6070600" cy="1642110"/>
            <wp:effectExtent l="0" t="0" r="6350" b="0"/>
            <wp:docPr id="15" name="Picture 14">
              <a:extLst xmlns:a="http://schemas.openxmlformats.org/drawingml/2006/main">
                <a:ext uri="{FF2B5EF4-FFF2-40B4-BE49-F238E27FC236}">
                  <a16:creationId xmlns:a16="http://schemas.microsoft.com/office/drawing/2014/main" id="{725CD52D-7C32-470A-8AD1-F0F1D0D5C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725CD52D-7C32-470A-8AD1-F0F1D0D5C171}"/>
                        </a:ext>
                      </a:extLst>
                    </pic:cNvPr>
                    <pic:cNvPicPr>
                      <a:picLocks noChangeAspect="1"/>
                    </pic:cNvPicPr>
                  </pic:nvPicPr>
                  <pic:blipFill>
                    <a:blip r:embed="rId21"/>
                    <a:stretch>
                      <a:fillRect/>
                    </a:stretch>
                  </pic:blipFill>
                  <pic:spPr>
                    <a:xfrm>
                      <a:off x="0" y="0"/>
                      <a:ext cx="6070600" cy="1642110"/>
                    </a:xfrm>
                    <a:prstGeom prst="rect">
                      <a:avLst/>
                    </a:prstGeom>
                  </pic:spPr>
                </pic:pic>
              </a:graphicData>
            </a:graphic>
          </wp:inline>
        </w:drawing>
      </w:r>
    </w:p>
    <w:p w14:paraId="0FE92513" w14:textId="40A78896" w:rsidR="00D77A81" w:rsidRPr="00E74A41" w:rsidRDefault="00752715" w:rsidP="00AA425F">
      <w:bookmarkStart w:id="4" w:name="_GoBack"/>
      <w:bookmarkEnd w:id="4"/>
      <w:r>
        <w:t xml:space="preserve">The top 10 </w:t>
      </w:r>
      <w:r w:rsidR="00E0694C">
        <w:t>f</w:t>
      </w:r>
      <w:r>
        <w:t>orecasted measures that contribute to</w:t>
      </w:r>
      <w:r w:rsidR="00325394">
        <w:t xml:space="preserve"> the majority of SDG&amp;E’s Portfolio net benefits are combinations of the measures identified as either top 10 </w:t>
      </w:r>
      <w:r w:rsidR="00243068">
        <w:t xml:space="preserve">electric and/or natural gas measures.  The 2019 P&amp;G Study does not provide net </w:t>
      </w:r>
      <w:r w:rsidR="0023661C">
        <w:t>benefits,</w:t>
      </w:r>
      <w:r w:rsidR="00243068">
        <w:t xml:space="preserve"> </w:t>
      </w:r>
      <w:r w:rsidR="0023661C">
        <w:t>therefore</w:t>
      </w:r>
      <w:r w:rsidR="00243068">
        <w:t xml:space="preserve"> the reasonableness of the net benefits is a function of the reasonableness of the electric and gas measures identified as the leading portfolio measures.</w:t>
      </w:r>
    </w:p>
    <w:sectPr w:rsidR="00D77A81" w:rsidRPr="00E74A41" w:rsidSect="00471A28">
      <w:footerReference w:type="default" r:id="rId22"/>
      <w:pgSz w:w="12240" w:h="15840" w:code="1"/>
      <w:pgMar w:top="1360" w:right="1340" w:bottom="1260" w:left="1340" w:header="0" w:footer="106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68C46" w14:textId="77777777" w:rsidR="00681C38" w:rsidRDefault="00681C38">
      <w:r>
        <w:separator/>
      </w:r>
    </w:p>
  </w:endnote>
  <w:endnote w:type="continuationSeparator" w:id="0">
    <w:p w14:paraId="1A57F838" w14:textId="77777777" w:rsidR="00681C38" w:rsidRDefault="00681C38">
      <w:r>
        <w:continuationSeparator/>
      </w:r>
    </w:p>
  </w:endnote>
  <w:endnote w:type="continuationNotice" w:id="1">
    <w:p w14:paraId="1F5130DB" w14:textId="77777777" w:rsidR="00386BC4" w:rsidRDefault="00386B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99AF" w14:textId="426346FC" w:rsidR="00A8368C" w:rsidRDefault="00A8368C">
    <w:pPr>
      <w:pStyle w:val="Footer"/>
      <w:jc w:val="center"/>
    </w:pPr>
    <w:r>
      <w:t>C-</w:t>
    </w:r>
    <w:sdt>
      <w:sdtPr>
        <w:id w:val="-1265534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EABFD1" w14:textId="77777777" w:rsidR="00107CED" w:rsidRDefault="00107C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86E7" w14:textId="77777777" w:rsidR="00681C38" w:rsidRDefault="00681C38">
      <w:r>
        <w:separator/>
      </w:r>
    </w:p>
  </w:footnote>
  <w:footnote w:type="continuationSeparator" w:id="0">
    <w:p w14:paraId="15DE703D" w14:textId="77777777" w:rsidR="00681C38" w:rsidRDefault="00681C38">
      <w:r>
        <w:continuationSeparator/>
      </w:r>
    </w:p>
  </w:footnote>
  <w:footnote w:type="continuationNotice" w:id="1">
    <w:p w14:paraId="33F784D4" w14:textId="77777777" w:rsidR="00386BC4" w:rsidRDefault="00386BC4">
      <w:pPr>
        <w:spacing w:before="0" w:after="0"/>
      </w:pPr>
    </w:p>
  </w:footnote>
  <w:footnote w:id="2">
    <w:p w14:paraId="1C361E70" w14:textId="77777777" w:rsidR="007C0942" w:rsidRDefault="007C0942" w:rsidP="007C0942">
      <w:pPr>
        <w:pStyle w:val="FootnoteText"/>
      </w:pPr>
      <w:r>
        <w:rPr>
          <w:rStyle w:val="FootnoteReference"/>
        </w:rPr>
        <w:footnoteRef/>
      </w:r>
      <w:r>
        <w:t xml:space="preserve"> D.19-09-034, p. 30.</w:t>
      </w:r>
    </w:p>
  </w:footnote>
  <w:footnote w:id="3">
    <w:p w14:paraId="54447ADD" w14:textId="2699DAB8" w:rsidR="007C0942" w:rsidRDefault="007C0942" w:rsidP="007C0942">
      <w:pPr>
        <w:pStyle w:val="FootnoteText"/>
      </w:pPr>
      <w:r>
        <w:rPr>
          <w:rStyle w:val="FootnoteReference"/>
        </w:rPr>
        <w:footnoteRef/>
      </w:r>
      <w:r>
        <w:t xml:space="preserve"> San Diego Gas and Electric Company (SDG&amp;E) Advice 3268-E-A/2701-G-A; Southern California Gas Company (SoCal Gas) Advice 5346-G-A; Southern California Edison Company (SCE) Advice 3861-E-A; and Pacific Gas and Electric Company (PG&amp;E) Advice 5373-E-A/4009-G-A).</w:t>
      </w:r>
    </w:p>
  </w:footnote>
  <w:footnote w:id="4">
    <w:p w14:paraId="68389964" w14:textId="3D2666C7" w:rsidR="00D83463" w:rsidRDefault="00D83463">
      <w:pPr>
        <w:pStyle w:val="FootnoteText"/>
      </w:pPr>
      <w:r>
        <w:rPr>
          <w:rStyle w:val="FootnoteReference"/>
        </w:rPr>
        <w:footnoteRef/>
      </w:r>
      <w:r>
        <w:t xml:space="preserve"> This is Table 12 in the Advice Letter.</w:t>
      </w:r>
    </w:p>
  </w:footnote>
  <w:footnote w:id="5">
    <w:p w14:paraId="0C58A188" w14:textId="77777777" w:rsidR="001D1FA8" w:rsidRDefault="001D1FA8" w:rsidP="001D1FA8">
      <w:pPr>
        <w:pStyle w:val="FootnoteText"/>
      </w:pPr>
      <w:r>
        <w:rPr>
          <w:rStyle w:val="FootnoteReference"/>
        </w:rPr>
        <w:footnoteRef/>
      </w:r>
      <w:r>
        <w:t xml:space="preserve"> </w:t>
      </w:r>
      <w:r w:rsidRPr="001E7433">
        <w:t>2019 Energy Efficiency Potential and Goals Study</w:t>
      </w:r>
      <w:r>
        <w:t>, Navigant Consulting, Inc., July 1, 2019.</w:t>
      </w:r>
    </w:p>
  </w:footnote>
  <w:footnote w:id="6">
    <w:p w14:paraId="3A0025E5" w14:textId="58DB2355" w:rsidR="003A3668" w:rsidRDefault="003A3668" w:rsidP="003A3668">
      <w:pPr>
        <w:pStyle w:val="FootnoteText"/>
      </w:pPr>
      <w:r>
        <w:rPr>
          <w:rStyle w:val="FootnoteReference"/>
        </w:rPr>
        <w:footnoteRef/>
      </w:r>
      <w:r>
        <w:t xml:space="preserve"> </w:t>
      </w:r>
      <w:r w:rsidRPr="001E7433">
        <w:t>2019 Energy Efficiency Potential and Goals Study</w:t>
      </w:r>
      <w:r>
        <w:t>, Navigant Consulting, Inc., July 1, 2019.</w:t>
      </w:r>
    </w:p>
    <w:p w14:paraId="713EB506" w14:textId="3DB3A899" w:rsidR="003A3668" w:rsidRDefault="003A3668">
      <w:pPr>
        <w:pStyle w:val="FootnoteText"/>
      </w:pPr>
    </w:p>
  </w:footnote>
  <w:footnote w:id="7">
    <w:p w14:paraId="3BC09E5D" w14:textId="5E154A28" w:rsidR="00893B60" w:rsidRDefault="00893B60">
      <w:pPr>
        <w:pStyle w:val="FootnoteText"/>
      </w:pPr>
      <w:r>
        <w:rPr>
          <w:rStyle w:val="FootnoteReference"/>
        </w:rPr>
        <w:footnoteRef/>
      </w:r>
      <w:r>
        <w:t xml:space="preserve"> 2019 Energy Efficiency Potential &amp; Goals Study, p. </w:t>
      </w:r>
      <w:r w:rsidR="00C745FD">
        <w:t>D-2.</w:t>
      </w:r>
    </w:p>
  </w:footnote>
  <w:footnote w:id="8">
    <w:p w14:paraId="2E2C55FF" w14:textId="152306A3" w:rsidR="00934D4A" w:rsidRDefault="00934D4A">
      <w:pPr>
        <w:pStyle w:val="FootnoteText"/>
      </w:pPr>
      <w:r>
        <w:rPr>
          <w:rStyle w:val="FootnoteReference"/>
        </w:rPr>
        <w:footnoteRef/>
      </w:r>
      <w:r>
        <w:t xml:space="preserve"> </w:t>
      </w:r>
      <w:r w:rsidRPr="00934D4A">
        <w:rPr>
          <w:i/>
        </w:rPr>
        <w:t>Id</w:t>
      </w:r>
      <w:r>
        <w:t>., p. 98.</w:t>
      </w:r>
    </w:p>
  </w:footnote>
  <w:footnote w:id="9">
    <w:p w14:paraId="5DCCC255" w14:textId="781C8918" w:rsidR="00AF7D41" w:rsidRDefault="00AF7D41">
      <w:pPr>
        <w:pStyle w:val="FootnoteText"/>
      </w:pPr>
      <w:r>
        <w:rPr>
          <w:rStyle w:val="FootnoteReference"/>
        </w:rPr>
        <w:footnoteRef/>
      </w:r>
      <w:r>
        <w:t xml:space="preserve"> </w:t>
      </w:r>
      <w:r w:rsidR="008E1C83" w:rsidRPr="008E1C83">
        <w:rPr>
          <w:i/>
        </w:rPr>
        <w:t>Id</w:t>
      </w:r>
      <w:r w:rsidR="008E1C83">
        <w:t>.</w:t>
      </w:r>
      <w:r w:rsidR="00765615">
        <w:t>, Table C-17, p. C-29.</w:t>
      </w:r>
    </w:p>
  </w:footnote>
  <w:footnote w:id="10">
    <w:p w14:paraId="6764FE52" w14:textId="7216EE33" w:rsidR="00234A6D" w:rsidRDefault="00234A6D">
      <w:pPr>
        <w:pStyle w:val="FootnoteText"/>
      </w:pPr>
      <w:r>
        <w:rPr>
          <w:rStyle w:val="FootnoteReference"/>
        </w:rPr>
        <w:footnoteRef/>
      </w:r>
      <w:r>
        <w:t xml:space="preserve"> </w:t>
      </w:r>
      <w:r w:rsidRPr="008E1C83">
        <w:rPr>
          <w:i/>
        </w:rPr>
        <w:t>Id</w:t>
      </w:r>
      <w:r w:rsidR="008E1C83">
        <w:t>.</w:t>
      </w:r>
      <w:r>
        <w:t>, p.</w:t>
      </w:r>
      <w:r w:rsidR="008E1C83">
        <w:t xml:space="preserve">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E05"/>
    <w:multiLevelType w:val="hybridMultilevel"/>
    <w:tmpl w:val="CF0A6ACE"/>
    <w:lvl w:ilvl="0" w:tplc="D1F42BBE">
      <w:start w:val="1"/>
      <w:numFmt w:val="decimal"/>
      <w:lvlText w:val="(%1)"/>
      <w:lvlJc w:val="left"/>
      <w:pPr>
        <w:ind w:left="100" w:hanging="341"/>
        <w:jc w:val="left"/>
      </w:pPr>
      <w:rPr>
        <w:rFonts w:hint="default"/>
        <w:spacing w:val="-3"/>
        <w:w w:val="100"/>
      </w:rPr>
    </w:lvl>
    <w:lvl w:ilvl="1" w:tplc="60E6DC78">
      <w:start w:val="1"/>
      <w:numFmt w:val="decimal"/>
      <w:lvlText w:val="(%2)"/>
      <w:lvlJc w:val="left"/>
      <w:pPr>
        <w:ind w:left="788" w:hanging="296"/>
        <w:jc w:val="left"/>
      </w:pPr>
      <w:rPr>
        <w:rFonts w:ascii="Calibri" w:eastAsia="Calibri" w:hAnsi="Calibri" w:cs="Calibri" w:hint="default"/>
        <w:color w:val="231F20"/>
        <w:spacing w:val="-1"/>
        <w:w w:val="100"/>
        <w:sz w:val="22"/>
        <w:szCs w:val="22"/>
      </w:rPr>
    </w:lvl>
    <w:lvl w:ilvl="2" w:tplc="928A3C60">
      <w:numFmt w:val="bullet"/>
      <w:lvlText w:val="•"/>
      <w:lvlJc w:val="left"/>
      <w:pPr>
        <w:ind w:left="1648" w:hanging="296"/>
      </w:pPr>
      <w:rPr>
        <w:rFonts w:hint="default"/>
      </w:rPr>
    </w:lvl>
    <w:lvl w:ilvl="3" w:tplc="A7AAB77C">
      <w:numFmt w:val="bullet"/>
      <w:lvlText w:val="•"/>
      <w:lvlJc w:val="left"/>
      <w:pPr>
        <w:ind w:left="2517" w:hanging="296"/>
      </w:pPr>
      <w:rPr>
        <w:rFonts w:hint="default"/>
      </w:rPr>
    </w:lvl>
    <w:lvl w:ilvl="4" w:tplc="BDAE2DA6">
      <w:numFmt w:val="bullet"/>
      <w:lvlText w:val="•"/>
      <w:lvlJc w:val="left"/>
      <w:pPr>
        <w:ind w:left="3386" w:hanging="296"/>
      </w:pPr>
      <w:rPr>
        <w:rFonts w:hint="default"/>
      </w:rPr>
    </w:lvl>
    <w:lvl w:ilvl="5" w:tplc="8FFC352E">
      <w:numFmt w:val="bullet"/>
      <w:lvlText w:val="•"/>
      <w:lvlJc w:val="left"/>
      <w:pPr>
        <w:ind w:left="4255" w:hanging="296"/>
      </w:pPr>
      <w:rPr>
        <w:rFonts w:hint="default"/>
      </w:rPr>
    </w:lvl>
    <w:lvl w:ilvl="6" w:tplc="B84E1604">
      <w:numFmt w:val="bullet"/>
      <w:lvlText w:val="•"/>
      <w:lvlJc w:val="left"/>
      <w:pPr>
        <w:ind w:left="5124" w:hanging="296"/>
      </w:pPr>
      <w:rPr>
        <w:rFonts w:hint="default"/>
      </w:rPr>
    </w:lvl>
    <w:lvl w:ilvl="7" w:tplc="1722FA02">
      <w:numFmt w:val="bullet"/>
      <w:lvlText w:val="•"/>
      <w:lvlJc w:val="left"/>
      <w:pPr>
        <w:ind w:left="5993" w:hanging="296"/>
      </w:pPr>
      <w:rPr>
        <w:rFonts w:hint="default"/>
      </w:rPr>
    </w:lvl>
    <w:lvl w:ilvl="8" w:tplc="C80886A6">
      <w:numFmt w:val="bullet"/>
      <w:lvlText w:val="•"/>
      <w:lvlJc w:val="left"/>
      <w:pPr>
        <w:ind w:left="6862" w:hanging="296"/>
      </w:pPr>
      <w:rPr>
        <w:rFonts w:hint="default"/>
      </w:rPr>
    </w:lvl>
  </w:abstractNum>
  <w:abstractNum w:abstractNumId="1" w15:restartNumberingAfterBreak="0">
    <w:nsid w:val="05EA15B7"/>
    <w:multiLevelType w:val="hybridMultilevel"/>
    <w:tmpl w:val="AA1A3408"/>
    <w:lvl w:ilvl="0" w:tplc="A336B700">
      <w:start w:val="27"/>
      <w:numFmt w:val="decimal"/>
      <w:lvlText w:val="%1."/>
      <w:lvlJc w:val="left"/>
      <w:pPr>
        <w:ind w:left="440" w:hanging="330"/>
        <w:jc w:val="left"/>
      </w:pPr>
      <w:rPr>
        <w:rFonts w:ascii="Times New Roman" w:eastAsia="Times New Roman" w:hAnsi="Times New Roman" w:cs="Times New Roman" w:hint="default"/>
        <w:b/>
        <w:bCs/>
        <w:color w:val="231F20"/>
        <w:w w:val="100"/>
        <w:sz w:val="22"/>
        <w:szCs w:val="22"/>
      </w:rPr>
    </w:lvl>
    <w:lvl w:ilvl="1" w:tplc="0F0801E8">
      <w:start w:val="1"/>
      <w:numFmt w:val="decimal"/>
      <w:lvlText w:val="(%2)"/>
      <w:lvlJc w:val="left"/>
      <w:pPr>
        <w:ind w:left="831" w:hanging="361"/>
        <w:jc w:val="left"/>
      </w:pPr>
      <w:rPr>
        <w:rFonts w:ascii="Times New Roman" w:eastAsia="Times New Roman" w:hAnsi="Times New Roman" w:cs="Times New Roman" w:hint="default"/>
        <w:color w:val="231F20"/>
        <w:w w:val="100"/>
        <w:sz w:val="24"/>
        <w:szCs w:val="24"/>
      </w:rPr>
    </w:lvl>
    <w:lvl w:ilvl="2" w:tplc="6A129BAC">
      <w:start w:val="1"/>
      <w:numFmt w:val="lowerLetter"/>
      <w:lvlText w:val="%3."/>
      <w:lvlJc w:val="left"/>
      <w:pPr>
        <w:ind w:left="1551" w:hanging="360"/>
        <w:jc w:val="left"/>
      </w:pPr>
      <w:rPr>
        <w:rFonts w:ascii="Times New Roman" w:eastAsia="Times New Roman" w:hAnsi="Times New Roman" w:cs="Times New Roman" w:hint="default"/>
        <w:color w:val="231F20"/>
        <w:spacing w:val="-7"/>
        <w:w w:val="100"/>
        <w:sz w:val="24"/>
        <w:szCs w:val="24"/>
      </w:rPr>
    </w:lvl>
    <w:lvl w:ilvl="3" w:tplc="894472A8">
      <w:numFmt w:val="bullet"/>
      <w:lvlText w:val="•"/>
      <w:lvlJc w:val="left"/>
      <w:pPr>
        <w:ind w:left="2632" w:hanging="360"/>
      </w:pPr>
      <w:rPr>
        <w:rFonts w:hint="default"/>
      </w:rPr>
    </w:lvl>
    <w:lvl w:ilvl="4" w:tplc="2AFA2E3A">
      <w:numFmt w:val="bullet"/>
      <w:lvlText w:val="•"/>
      <w:lvlJc w:val="left"/>
      <w:pPr>
        <w:ind w:left="3705" w:hanging="360"/>
      </w:pPr>
      <w:rPr>
        <w:rFonts w:hint="default"/>
      </w:rPr>
    </w:lvl>
    <w:lvl w:ilvl="5" w:tplc="EC6A31D4">
      <w:numFmt w:val="bullet"/>
      <w:lvlText w:val="•"/>
      <w:lvlJc w:val="left"/>
      <w:pPr>
        <w:ind w:left="4777" w:hanging="360"/>
      </w:pPr>
      <w:rPr>
        <w:rFonts w:hint="default"/>
      </w:rPr>
    </w:lvl>
    <w:lvl w:ilvl="6" w:tplc="147AD14C">
      <w:numFmt w:val="bullet"/>
      <w:lvlText w:val="•"/>
      <w:lvlJc w:val="left"/>
      <w:pPr>
        <w:ind w:left="5850" w:hanging="360"/>
      </w:pPr>
      <w:rPr>
        <w:rFonts w:hint="default"/>
      </w:rPr>
    </w:lvl>
    <w:lvl w:ilvl="7" w:tplc="F21A7AAE">
      <w:numFmt w:val="bullet"/>
      <w:lvlText w:val="•"/>
      <w:lvlJc w:val="left"/>
      <w:pPr>
        <w:ind w:left="6922" w:hanging="360"/>
      </w:pPr>
      <w:rPr>
        <w:rFonts w:hint="default"/>
      </w:rPr>
    </w:lvl>
    <w:lvl w:ilvl="8" w:tplc="F71442E4">
      <w:numFmt w:val="bullet"/>
      <w:lvlText w:val="•"/>
      <w:lvlJc w:val="left"/>
      <w:pPr>
        <w:ind w:left="7995" w:hanging="360"/>
      </w:pPr>
      <w:rPr>
        <w:rFonts w:hint="default"/>
      </w:rPr>
    </w:lvl>
  </w:abstractNum>
  <w:abstractNum w:abstractNumId="2" w15:restartNumberingAfterBreak="0">
    <w:nsid w:val="09135BB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E05D26"/>
    <w:multiLevelType w:val="hybridMultilevel"/>
    <w:tmpl w:val="7AB88860"/>
    <w:lvl w:ilvl="0" w:tplc="6D2E0364">
      <w:start w:val="1"/>
      <w:numFmt w:val="decimal"/>
      <w:lvlText w:val="%1)"/>
      <w:lvlJc w:val="left"/>
      <w:pPr>
        <w:ind w:left="820" w:hanging="360"/>
        <w:jc w:val="left"/>
      </w:pPr>
      <w:rPr>
        <w:rFonts w:ascii="Times New Roman" w:eastAsia="Times New Roman" w:hAnsi="Times New Roman" w:cs="Times New Roman" w:hint="default"/>
        <w:color w:val="231F20"/>
        <w:spacing w:val="-20"/>
        <w:w w:val="100"/>
        <w:sz w:val="24"/>
        <w:szCs w:val="24"/>
      </w:rPr>
    </w:lvl>
    <w:lvl w:ilvl="1" w:tplc="85D829E2">
      <w:start w:val="1"/>
      <w:numFmt w:val="lowerLetter"/>
      <w:lvlText w:val="%2)"/>
      <w:lvlJc w:val="left"/>
      <w:pPr>
        <w:ind w:left="1540" w:hanging="360"/>
        <w:jc w:val="left"/>
      </w:pPr>
      <w:rPr>
        <w:rFonts w:ascii="Times New Roman" w:eastAsia="Times New Roman" w:hAnsi="Times New Roman" w:cs="Times New Roman" w:hint="default"/>
        <w:color w:val="231F20"/>
        <w:spacing w:val="-7"/>
        <w:w w:val="100"/>
        <w:sz w:val="24"/>
        <w:szCs w:val="24"/>
      </w:rPr>
    </w:lvl>
    <w:lvl w:ilvl="2" w:tplc="2F3C8122">
      <w:start w:val="1"/>
      <w:numFmt w:val="lowerRoman"/>
      <w:lvlText w:val="%3)"/>
      <w:lvlJc w:val="left"/>
      <w:pPr>
        <w:ind w:left="1900" w:hanging="360"/>
        <w:jc w:val="left"/>
      </w:pPr>
      <w:rPr>
        <w:rFonts w:ascii="Times New Roman" w:eastAsia="Times New Roman" w:hAnsi="Times New Roman" w:cs="Times New Roman" w:hint="default"/>
        <w:color w:val="231F20"/>
        <w:spacing w:val="-2"/>
        <w:w w:val="100"/>
        <w:sz w:val="24"/>
        <w:szCs w:val="24"/>
      </w:rPr>
    </w:lvl>
    <w:lvl w:ilvl="3" w:tplc="9A3EB01C">
      <w:numFmt w:val="bullet"/>
      <w:lvlText w:val="•"/>
      <w:lvlJc w:val="left"/>
      <w:pPr>
        <w:ind w:left="2857" w:hanging="360"/>
      </w:pPr>
      <w:rPr>
        <w:rFonts w:hint="default"/>
      </w:rPr>
    </w:lvl>
    <w:lvl w:ilvl="4" w:tplc="92F8A09A">
      <w:numFmt w:val="bullet"/>
      <w:lvlText w:val="•"/>
      <w:lvlJc w:val="left"/>
      <w:pPr>
        <w:ind w:left="3815" w:hanging="360"/>
      </w:pPr>
      <w:rPr>
        <w:rFonts w:hint="default"/>
      </w:rPr>
    </w:lvl>
    <w:lvl w:ilvl="5" w:tplc="E5A2344E">
      <w:numFmt w:val="bullet"/>
      <w:lvlText w:val="•"/>
      <w:lvlJc w:val="left"/>
      <w:pPr>
        <w:ind w:left="4772" w:hanging="360"/>
      </w:pPr>
      <w:rPr>
        <w:rFonts w:hint="default"/>
      </w:rPr>
    </w:lvl>
    <w:lvl w:ilvl="6" w:tplc="EC9E0B1C">
      <w:numFmt w:val="bullet"/>
      <w:lvlText w:val="•"/>
      <w:lvlJc w:val="left"/>
      <w:pPr>
        <w:ind w:left="5730" w:hanging="360"/>
      </w:pPr>
      <w:rPr>
        <w:rFonts w:hint="default"/>
      </w:rPr>
    </w:lvl>
    <w:lvl w:ilvl="7" w:tplc="B11E3910">
      <w:numFmt w:val="bullet"/>
      <w:lvlText w:val="•"/>
      <w:lvlJc w:val="left"/>
      <w:pPr>
        <w:ind w:left="6687" w:hanging="360"/>
      </w:pPr>
      <w:rPr>
        <w:rFonts w:hint="default"/>
      </w:rPr>
    </w:lvl>
    <w:lvl w:ilvl="8" w:tplc="8BB62942">
      <w:numFmt w:val="bullet"/>
      <w:lvlText w:val="•"/>
      <w:lvlJc w:val="left"/>
      <w:pPr>
        <w:ind w:left="7645" w:hanging="360"/>
      </w:pPr>
      <w:rPr>
        <w:rFonts w:hint="default"/>
      </w:rPr>
    </w:lvl>
  </w:abstractNum>
  <w:abstractNum w:abstractNumId="4" w15:restartNumberingAfterBreak="0">
    <w:nsid w:val="14A064F1"/>
    <w:multiLevelType w:val="hybridMultilevel"/>
    <w:tmpl w:val="90F21486"/>
    <w:lvl w:ilvl="0" w:tplc="DA129584">
      <w:start w:val="8"/>
      <w:numFmt w:val="decimal"/>
      <w:lvlText w:val="%1."/>
      <w:lvlJc w:val="left"/>
      <w:pPr>
        <w:ind w:left="480" w:hanging="241"/>
        <w:jc w:val="left"/>
      </w:pPr>
      <w:rPr>
        <w:rFonts w:ascii="Times New Roman" w:eastAsia="Times New Roman" w:hAnsi="Times New Roman" w:cs="Times New Roman" w:hint="default"/>
        <w:b/>
        <w:bCs/>
        <w:color w:val="231F20"/>
        <w:spacing w:val="-3"/>
        <w:w w:val="100"/>
        <w:sz w:val="24"/>
        <w:szCs w:val="24"/>
      </w:rPr>
    </w:lvl>
    <w:lvl w:ilvl="1" w:tplc="967C808C">
      <w:numFmt w:val="bullet"/>
      <w:lvlText w:val="•"/>
      <w:lvlJc w:val="left"/>
      <w:pPr>
        <w:ind w:left="1388" w:hanging="241"/>
      </w:pPr>
      <w:rPr>
        <w:rFonts w:hint="default"/>
      </w:rPr>
    </w:lvl>
    <w:lvl w:ilvl="2" w:tplc="F056BEAA">
      <w:numFmt w:val="bullet"/>
      <w:lvlText w:val="•"/>
      <w:lvlJc w:val="left"/>
      <w:pPr>
        <w:ind w:left="2296" w:hanging="241"/>
      </w:pPr>
      <w:rPr>
        <w:rFonts w:hint="default"/>
      </w:rPr>
    </w:lvl>
    <w:lvl w:ilvl="3" w:tplc="11E4AC58">
      <w:numFmt w:val="bullet"/>
      <w:lvlText w:val="•"/>
      <w:lvlJc w:val="left"/>
      <w:pPr>
        <w:ind w:left="3204" w:hanging="241"/>
      </w:pPr>
      <w:rPr>
        <w:rFonts w:hint="default"/>
      </w:rPr>
    </w:lvl>
    <w:lvl w:ilvl="4" w:tplc="18108B6A">
      <w:numFmt w:val="bullet"/>
      <w:lvlText w:val="•"/>
      <w:lvlJc w:val="left"/>
      <w:pPr>
        <w:ind w:left="4112" w:hanging="241"/>
      </w:pPr>
      <w:rPr>
        <w:rFonts w:hint="default"/>
      </w:rPr>
    </w:lvl>
    <w:lvl w:ilvl="5" w:tplc="D1F65CDE">
      <w:numFmt w:val="bullet"/>
      <w:lvlText w:val="•"/>
      <w:lvlJc w:val="left"/>
      <w:pPr>
        <w:ind w:left="5020" w:hanging="241"/>
      </w:pPr>
      <w:rPr>
        <w:rFonts w:hint="default"/>
      </w:rPr>
    </w:lvl>
    <w:lvl w:ilvl="6" w:tplc="12E2BCC4">
      <w:numFmt w:val="bullet"/>
      <w:lvlText w:val="•"/>
      <w:lvlJc w:val="left"/>
      <w:pPr>
        <w:ind w:left="5928" w:hanging="241"/>
      </w:pPr>
      <w:rPr>
        <w:rFonts w:hint="default"/>
      </w:rPr>
    </w:lvl>
    <w:lvl w:ilvl="7" w:tplc="30268782">
      <w:numFmt w:val="bullet"/>
      <w:lvlText w:val="•"/>
      <w:lvlJc w:val="left"/>
      <w:pPr>
        <w:ind w:left="6836" w:hanging="241"/>
      </w:pPr>
      <w:rPr>
        <w:rFonts w:hint="default"/>
      </w:rPr>
    </w:lvl>
    <w:lvl w:ilvl="8" w:tplc="F97CA972">
      <w:numFmt w:val="bullet"/>
      <w:lvlText w:val="•"/>
      <w:lvlJc w:val="left"/>
      <w:pPr>
        <w:ind w:left="7744" w:hanging="241"/>
      </w:pPr>
      <w:rPr>
        <w:rFonts w:hint="default"/>
      </w:rPr>
    </w:lvl>
  </w:abstractNum>
  <w:abstractNum w:abstractNumId="5" w15:restartNumberingAfterBreak="0">
    <w:nsid w:val="249E04FC"/>
    <w:multiLevelType w:val="hybridMultilevel"/>
    <w:tmpl w:val="E4B0E914"/>
    <w:lvl w:ilvl="0" w:tplc="679AFA26">
      <w:start w:val="1"/>
      <w:numFmt w:val="upperRoman"/>
      <w:lvlText w:val="%1."/>
      <w:lvlJc w:val="left"/>
      <w:pPr>
        <w:ind w:left="820" w:hanging="720"/>
        <w:jc w:val="left"/>
      </w:pPr>
      <w:rPr>
        <w:rFonts w:ascii="Times New Roman" w:eastAsia="Times New Roman" w:hAnsi="Times New Roman" w:cs="Times New Roman" w:hint="default"/>
        <w:b/>
        <w:bCs/>
        <w:color w:val="231F20"/>
        <w:spacing w:val="-1"/>
        <w:w w:val="100"/>
        <w:sz w:val="24"/>
        <w:szCs w:val="24"/>
      </w:rPr>
    </w:lvl>
    <w:lvl w:ilvl="1" w:tplc="2E26EFEE">
      <w:numFmt w:val="bullet"/>
      <w:lvlText w:val="•"/>
      <w:lvlJc w:val="left"/>
      <w:pPr>
        <w:ind w:left="1694" w:hanging="720"/>
      </w:pPr>
      <w:rPr>
        <w:rFonts w:hint="default"/>
      </w:rPr>
    </w:lvl>
    <w:lvl w:ilvl="2" w:tplc="3E56B3C4">
      <w:numFmt w:val="bullet"/>
      <w:lvlText w:val="•"/>
      <w:lvlJc w:val="left"/>
      <w:pPr>
        <w:ind w:left="2568" w:hanging="720"/>
      </w:pPr>
      <w:rPr>
        <w:rFonts w:hint="default"/>
      </w:rPr>
    </w:lvl>
    <w:lvl w:ilvl="3" w:tplc="E332B2C4">
      <w:numFmt w:val="bullet"/>
      <w:lvlText w:val="•"/>
      <w:lvlJc w:val="left"/>
      <w:pPr>
        <w:ind w:left="3442" w:hanging="720"/>
      </w:pPr>
      <w:rPr>
        <w:rFonts w:hint="default"/>
      </w:rPr>
    </w:lvl>
    <w:lvl w:ilvl="4" w:tplc="8CA415BC">
      <w:numFmt w:val="bullet"/>
      <w:lvlText w:val="•"/>
      <w:lvlJc w:val="left"/>
      <w:pPr>
        <w:ind w:left="4316" w:hanging="720"/>
      </w:pPr>
      <w:rPr>
        <w:rFonts w:hint="default"/>
      </w:rPr>
    </w:lvl>
    <w:lvl w:ilvl="5" w:tplc="13DAFB74">
      <w:numFmt w:val="bullet"/>
      <w:lvlText w:val="•"/>
      <w:lvlJc w:val="left"/>
      <w:pPr>
        <w:ind w:left="5190" w:hanging="720"/>
      </w:pPr>
      <w:rPr>
        <w:rFonts w:hint="default"/>
      </w:rPr>
    </w:lvl>
    <w:lvl w:ilvl="6" w:tplc="152EC8A4">
      <w:numFmt w:val="bullet"/>
      <w:lvlText w:val="•"/>
      <w:lvlJc w:val="left"/>
      <w:pPr>
        <w:ind w:left="6064" w:hanging="720"/>
      </w:pPr>
      <w:rPr>
        <w:rFonts w:hint="default"/>
      </w:rPr>
    </w:lvl>
    <w:lvl w:ilvl="7" w:tplc="C1DCBC28">
      <w:numFmt w:val="bullet"/>
      <w:lvlText w:val="•"/>
      <w:lvlJc w:val="left"/>
      <w:pPr>
        <w:ind w:left="6938" w:hanging="720"/>
      </w:pPr>
      <w:rPr>
        <w:rFonts w:hint="default"/>
      </w:rPr>
    </w:lvl>
    <w:lvl w:ilvl="8" w:tplc="F7C266EA">
      <w:numFmt w:val="bullet"/>
      <w:lvlText w:val="•"/>
      <w:lvlJc w:val="left"/>
      <w:pPr>
        <w:ind w:left="7812" w:hanging="720"/>
      </w:pPr>
      <w:rPr>
        <w:rFonts w:hint="default"/>
      </w:rPr>
    </w:lvl>
  </w:abstractNum>
  <w:abstractNum w:abstractNumId="6" w15:restartNumberingAfterBreak="0">
    <w:nsid w:val="256001EB"/>
    <w:multiLevelType w:val="hybridMultilevel"/>
    <w:tmpl w:val="99BC4D9C"/>
    <w:lvl w:ilvl="0" w:tplc="D292BE7A">
      <w:start w:val="7"/>
      <w:numFmt w:val="decimal"/>
      <w:lvlText w:val="%1."/>
      <w:lvlJc w:val="left"/>
      <w:pPr>
        <w:ind w:left="460" w:hanging="240"/>
        <w:jc w:val="right"/>
      </w:pPr>
      <w:rPr>
        <w:rFonts w:hint="default"/>
        <w:b/>
        <w:bCs/>
        <w:spacing w:val="-2"/>
        <w:w w:val="97"/>
      </w:rPr>
    </w:lvl>
    <w:lvl w:ilvl="1" w:tplc="EE26AC08">
      <w:start w:val="1"/>
      <w:numFmt w:val="decimal"/>
      <w:lvlText w:val="(%2)"/>
      <w:lvlJc w:val="left"/>
      <w:pPr>
        <w:ind w:left="1160" w:hanging="341"/>
        <w:jc w:val="left"/>
      </w:pPr>
      <w:rPr>
        <w:rFonts w:ascii="Times New Roman" w:eastAsia="Times New Roman" w:hAnsi="Times New Roman" w:cs="Times New Roman" w:hint="default"/>
        <w:color w:val="231F20"/>
        <w:w w:val="99"/>
        <w:sz w:val="24"/>
        <w:szCs w:val="24"/>
      </w:rPr>
    </w:lvl>
    <w:lvl w:ilvl="2" w:tplc="2520836A">
      <w:numFmt w:val="bullet"/>
      <w:lvlText w:val="•"/>
      <w:lvlJc w:val="left"/>
      <w:pPr>
        <w:ind w:left="2088" w:hanging="341"/>
      </w:pPr>
      <w:rPr>
        <w:rFonts w:hint="default"/>
      </w:rPr>
    </w:lvl>
    <w:lvl w:ilvl="3" w:tplc="2236C8FE">
      <w:numFmt w:val="bullet"/>
      <w:lvlText w:val="•"/>
      <w:lvlJc w:val="left"/>
      <w:pPr>
        <w:ind w:left="3017" w:hanging="341"/>
      </w:pPr>
      <w:rPr>
        <w:rFonts w:hint="default"/>
      </w:rPr>
    </w:lvl>
    <w:lvl w:ilvl="4" w:tplc="609A6F68">
      <w:numFmt w:val="bullet"/>
      <w:lvlText w:val="•"/>
      <w:lvlJc w:val="left"/>
      <w:pPr>
        <w:ind w:left="3946" w:hanging="341"/>
      </w:pPr>
      <w:rPr>
        <w:rFonts w:hint="default"/>
      </w:rPr>
    </w:lvl>
    <w:lvl w:ilvl="5" w:tplc="80B294B6">
      <w:numFmt w:val="bullet"/>
      <w:lvlText w:val="•"/>
      <w:lvlJc w:val="left"/>
      <w:pPr>
        <w:ind w:left="4875" w:hanging="341"/>
      </w:pPr>
      <w:rPr>
        <w:rFonts w:hint="default"/>
      </w:rPr>
    </w:lvl>
    <w:lvl w:ilvl="6" w:tplc="7BE47810">
      <w:numFmt w:val="bullet"/>
      <w:lvlText w:val="•"/>
      <w:lvlJc w:val="left"/>
      <w:pPr>
        <w:ind w:left="5804" w:hanging="341"/>
      </w:pPr>
      <w:rPr>
        <w:rFonts w:hint="default"/>
      </w:rPr>
    </w:lvl>
    <w:lvl w:ilvl="7" w:tplc="6354071A">
      <w:numFmt w:val="bullet"/>
      <w:lvlText w:val="•"/>
      <w:lvlJc w:val="left"/>
      <w:pPr>
        <w:ind w:left="6733" w:hanging="341"/>
      </w:pPr>
      <w:rPr>
        <w:rFonts w:hint="default"/>
      </w:rPr>
    </w:lvl>
    <w:lvl w:ilvl="8" w:tplc="BBF64454">
      <w:numFmt w:val="bullet"/>
      <w:lvlText w:val="•"/>
      <w:lvlJc w:val="left"/>
      <w:pPr>
        <w:ind w:left="7662" w:hanging="341"/>
      </w:pPr>
      <w:rPr>
        <w:rFonts w:hint="default"/>
      </w:rPr>
    </w:lvl>
  </w:abstractNum>
  <w:abstractNum w:abstractNumId="7" w15:restartNumberingAfterBreak="0">
    <w:nsid w:val="336160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575450"/>
    <w:multiLevelType w:val="hybridMultilevel"/>
    <w:tmpl w:val="6AE68CFA"/>
    <w:lvl w:ilvl="0" w:tplc="C8D075F2">
      <w:start w:val="1"/>
      <w:numFmt w:val="decimal"/>
      <w:lvlText w:val="(%1)"/>
      <w:lvlJc w:val="left"/>
      <w:pPr>
        <w:ind w:left="216" w:hanging="200"/>
        <w:jc w:val="left"/>
      </w:pPr>
      <w:rPr>
        <w:rFonts w:ascii="Calibri" w:eastAsia="Calibri" w:hAnsi="Calibri" w:cs="Calibri" w:hint="default"/>
        <w:color w:val="231F20"/>
        <w:spacing w:val="0"/>
        <w:w w:val="104"/>
        <w:sz w:val="14"/>
        <w:szCs w:val="14"/>
      </w:rPr>
    </w:lvl>
    <w:lvl w:ilvl="1" w:tplc="3D2AEA00">
      <w:numFmt w:val="bullet"/>
      <w:lvlText w:val="•"/>
      <w:lvlJc w:val="left"/>
      <w:pPr>
        <w:ind w:left="1684" w:hanging="200"/>
      </w:pPr>
      <w:rPr>
        <w:rFonts w:hint="default"/>
      </w:rPr>
    </w:lvl>
    <w:lvl w:ilvl="2" w:tplc="C27A5B8C">
      <w:numFmt w:val="bullet"/>
      <w:lvlText w:val="•"/>
      <w:lvlJc w:val="left"/>
      <w:pPr>
        <w:ind w:left="3149" w:hanging="200"/>
      </w:pPr>
      <w:rPr>
        <w:rFonts w:hint="default"/>
      </w:rPr>
    </w:lvl>
    <w:lvl w:ilvl="3" w:tplc="8738F864">
      <w:numFmt w:val="bullet"/>
      <w:lvlText w:val="•"/>
      <w:lvlJc w:val="left"/>
      <w:pPr>
        <w:ind w:left="4613" w:hanging="200"/>
      </w:pPr>
      <w:rPr>
        <w:rFonts w:hint="default"/>
      </w:rPr>
    </w:lvl>
    <w:lvl w:ilvl="4" w:tplc="9C68CE4A">
      <w:numFmt w:val="bullet"/>
      <w:lvlText w:val="•"/>
      <w:lvlJc w:val="left"/>
      <w:pPr>
        <w:ind w:left="6078" w:hanging="200"/>
      </w:pPr>
      <w:rPr>
        <w:rFonts w:hint="default"/>
      </w:rPr>
    </w:lvl>
    <w:lvl w:ilvl="5" w:tplc="A37EABFC">
      <w:numFmt w:val="bullet"/>
      <w:lvlText w:val="•"/>
      <w:lvlJc w:val="left"/>
      <w:pPr>
        <w:ind w:left="7542" w:hanging="200"/>
      </w:pPr>
      <w:rPr>
        <w:rFonts w:hint="default"/>
      </w:rPr>
    </w:lvl>
    <w:lvl w:ilvl="6" w:tplc="7842EF6E">
      <w:numFmt w:val="bullet"/>
      <w:lvlText w:val="•"/>
      <w:lvlJc w:val="left"/>
      <w:pPr>
        <w:ind w:left="9007" w:hanging="200"/>
      </w:pPr>
      <w:rPr>
        <w:rFonts w:hint="default"/>
      </w:rPr>
    </w:lvl>
    <w:lvl w:ilvl="7" w:tplc="150E20B4">
      <w:numFmt w:val="bullet"/>
      <w:lvlText w:val="•"/>
      <w:lvlJc w:val="left"/>
      <w:pPr>
        <w:ind w:left="10471" w:hanging="200"/>
      </w:pPr>
      <w:rPr>
        <w:rFonts w:hint="default"/>
      </w:rPr>
    </w:lvl>
    <w:lvl w:ilvl="8" w:tplc="0EF66352">
      <w:numFmt w:val="bullet"/>
      <w:lvlText w:val="•"/>
      <w:lvlJc w:val="left"/>
      <w:pPr>
        <w:ind w:left="11936" w:hanging="200"/>
      </w:pPr>
      <w:rPr>
        <w:rFonts w:hint="default"/>
      </w:rPr>
    </w:lvl>
  </w:abstractNum>
  <w:abstractNum w:abstractNumId="9" w15:restartNumberingAfterBreak="0">
    <w:nsid w:val="3D6E75FE"/>
    <w:multiLevelType w:val="hybridMultilevel"/>
    <w:tmpl w:val="B4300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1309A"/>
    <w:multiLevelType w:val="hybridMultilevel"/>
    <w:tmpl w:val="6F9ACE52"/>
    <w:lvl w:ilvl="0" w:tplc="9D8C9BA6">
      <w:start w:val="1"/>
      <w:numFmt w:val="upperRoman"/>
      <w:lvlText w:val="%1."/>
      <w:lvlJc w:val="left"/>
      <w:pPr>
        <w:ind w:left="100" w:hanging="481"/>
        <w:jc w:val="left"/>
      </w:pPr>
      <w:rPr>
        <w:rFonts w:ascii="Times New Roman" w:eastAsia="Times New Roman" w:hAnsi="Times New Roman" w:cs="Times New Roman" w:hint="default"/>
        <w:color w:val="231F20"/>
        <w:spacing w:val="-1"/>
        <w:w w:val="100"/>
        <w:sz w:val="24"/>
        <w:szCs w:val="24"/>
      </w:rPr>
    </w:lvl>
    <w:lvl w:ilvl="1" w:tplc="A58ECAB0">
      <w:start w:val="1"/>
      <w:numFmt w:val="upperLetter"/>
      <w:lvlText w:val="%2."/>
      <w:lvlJc w:val="left"/>
      <w:pPr>
        <w:ind w:left="340" w:hanging="640"/>
        <w:jc w:val="left"/>
      </w:pPr>
      <w:rPr>
        <w:rFonts w:ascii="Times New Roman" w:eastAsia="Times New Roman" w:hAnsi="Times New Roman" w:cs="Times New Roman" w:hint="default"/>
        <w:color w:val="231F20"/>
        <w:spacing w:val="-2"/>
        <w:w w:val="100"/>
        <w:sz w:val="24"/>
        <w:szCs w:val="24"/>
      </w:rPr>
    </w:lvl>
    <w:lvl w:ilvl="2" w:tplc="631C8646">
      <w:numFmt w:val="bullet"/>
      <w:lvlText w:val="•"/>
      <w:lvlJc w:val="left"/>
      <w:pPr>
        <w:ind w:left="980" w:hanging="640"/>
      </w:pPr>
      <w:rPr>
        <w:rFonts w:hint="default"/>
      </w:rPr>
    </w:lvl>
    <w:lvl w:ilvl="3" w:tplc="98BC1368">
      <w:numFmt w:val="bullet"/>
      <w:lvlText w:val="•"/>
      <w:lvlJc w:val="left"/>
      <w:pPr>
        <w:ind w:left="2052" w:hanging="640"/>
      </w:pPr>
      <w:rPr>
        <w:rFonts w:hint="default"/>
      </w:rPr>
    </w:lvl>
    <w:lvl w:ilvl="4" w:tplc="D9D6636E">
      <w:numFmt w:val="bullet"/>
      <w:lvlText w:val="•"/>
      <w:lvlJc w:val="left"/>
      <w:pPr>
        <w:ind w:left="3125" w:hanging="640"/>
      </w:pPr>
      <w:rPr>
        <w:rFonts w:hint="default"/>
      </w:rPr>
    </w:lvl>
    <w:lvl w:ilvl="5" w:tplc="CC86CC3A">
      <w:numFmt w:val="bullet"/>
      <w:lvlText w:val="•"/>
      <w:lvlJc w:val="left"/>
      <w:pPr>
        <w:ind w:left="4197" w:hanging="640"/>
      </w:pPr>
      <w:rPr>
        <w:rFonts w:hint="default"/>
      </w:rPr>
    </w:lvl>
    <w:lvl w:ilvl="6" w:tplc="52CEFD68">
      <w:numFmt w:val="bullet"/>
      <w:lvlText w:val="•"/>
      <w:lvlJc w:val="left"/>
      <w:pPr>
        <w:ind w:left="5270" w:hanging="640"/>
      </w:pPr>
      <w:rPr>
        <w:rFonts w:hint="default"/>
      </w:rPr>
    </w:lvl>
    <w:lvl w:ilvl="7" w:tplc="302C7DF6">
      <w:numFmt w:val="bullet"/>
      <w:lvlText w:val="•"/>
      <w:lvlJc w:val="left"/>
      <w:pPr>
        <w:ind w:left="6342" w:hanging="640"/>
      </w:pPr>
      <w:rPr>
        <w:rFonts w:hint="default"/>
      </w:rPr>
    </w:lvl>
    <w:lvl w:ilvl="8" w:tplc="B58C6C04">
      <w:numFmt w:val="bullet"/>
      <w:lvlText w:val="•"/>
      <w:lvlJc w:val="left"/>
      <w:pPr>
        <w:ind w:left="7415" w:hanging="640"/>
      </w:pPr>
      <w:rPr>
        <w:rFonts w:hint="default"/>
      </w:rPr>
    </w:lvl>
  </w:abstractNum>
  <w:abstractNum w:abstractNumId="11" w15:restartNumberingAfterBreak="0">
    <w:nsid w:val="48E8269A"/>
    <w:multiLevelType w:val="hybridMultilevel"/>
    <w:tmpl w:val="4D867E90"/>
    <w:lvl w:ilvl="0" w:tplc="C6008F02">
      <w:start w:val="1"/>
      <w:numFmt w:val="upperLetter"/>
      <w:lvlText w:val="%1."/>
      <w:lvlJc w:val="left"/>
      <w:pPr>
        <w:ind w:left="820" w:hanging="721"/>
        <w:jc w:val="right"/>
      </w:pPr>
      <w:rPr>
        <w:rFonts w:ascii="Times New Roman" w:eastAsia="Times New Roman" w:hAnsi="Times New Roman" w:cs="Times New Roman" w:hint="default"/>
        <w:b/>
        <w:bCs/>
        <w:color w:val="231F20"/>
        <w:spacing w:val="-2"/>
        <w:w w:val="100"/>
        <w:sz w:val="24"/>
        <w:szCs w:val="24"/>
      </w:rPr>
    </w:lvl>
    <w:lvl w:ilvl="1" w:tplc="CAACC306">
      <w:numFmt w:val="bullet"/>
      <w:lvlText w:val="•"/>
      <w:lvlJc w:val="left"/>
      <w:pPr>
        <w:ind w:left="1688" w:hanging="721"/>
      </w:pPr>
      <w:rPr>
        <w:rFonts w:hint="default"/>
      </w:rPr>
    </w:lvl>
    <w:lvl w:ilvl="2" w:tplc="569296FE">
      <w:numFmt w:val="bullet"/>
      <w:lvlText w:val="•"/>
      <w:lvlJc w:val="left"/>
      <w:pPr>
        <w:ind w:left="2556" w:hanging="721"/>
      </w:pPr>
      <w:rPr>
        <w:rFonts w:hint="default"/>
      </w:rPr>
    </w:lvl>
    <w:lvl w:ilvl="3" w:tplc="3426E39A">
      <w:numFmt w:val="bullet"/>
      <w:lvlText w:val="•"/>
      <w:lvlJc w:val="left"/>
      <w:pPr>
        <w:ind w:left="3424" w:hanging="721"/>
      </w:pPr>
      <w:rPr>
        <w:rFonts w:hint="default"/>
      </w:rPr>
    </w:lvl>
    <w:lvl w:ilvl="4" w:tplc="0EE6DA1C">
      <w:numFmt w:val="bullet"/>
      <w:lvlText w:val="•"/>
      <w:lvlJc w:val="left"/>
      <w:pPr>
        <w:ind w:left="4292" w:hanging="721"/>
      </w:pPr>
      <w:rPr>
        <w:rFonts w:hint="default"/>
      </w:rPr>
    </w:lvl>
    <w:lvl w:ilvl="5" w:tplc="EBF23A10">
      <w:numFmt w:val="bullet"/>
      <w:lvlText w:val="•"/>
      <w:lvlJc w:val="left"/>
      <w:pPr>
        <w:ind w:left="5160" w:hanging="721"/>
      </w:pPr>
      <w:rPr>
        <w:rFonts w:hint="default"/>
      </w:rPr>
    </w:lvl>
    <w:lvl w:ilvl="6" w:tplc="D44A98CA">
      <w:numFmt w:val="bullet"/>
      <w:lvlText w:val="•"/>
      <w:lvlJc w:val="left"/>
      <w:pPr>
        <w:ind w:left="6028" w:hanging="721"/>
      </w:pPr>
      <w:rPr>
        <w:rFonts w:hint="default"/>
      </w:rPr>
    </w:lvl>
    <w:lvl w:ilvl="7" w:tplc="F92EE022">
      <w:numFmt w:val="bullet"/>
      <w:lvlText w:val="•"/>
      <w:lvlJc w:val="left"/>
      <w:pPr>
        <w:ind w:left="6896" w:hanging="721"/>
      </w:pPr>
      <w:rPr>
        <w:rFonts w:hint="default"/>
      </w:rPr>
    </w:lvl>
    <w:lvl w:ilvl="8" w:tplc="F7760A6C">
      <w:numFmt w:val="bullet"/>
      <w:lvlText w:val="•"/>
      <w:lvlJc w:val="left"/>
      <w:pPr>
        <w:ind w:left="7764" w:hanging="721"/>
      </w:pPr>
      <w:rPr>
        <w:rFonts w:hint="default"/>
      </w:rPr>
    </w:lvl>
  </w:abstractNum>
  <w:abstractNum w:abstractNumId="12" w15:restartNumberingAfterBreak="0">
    <w:nsid w:val="5FE657DD"/>
    <w:multiLevelType w:val="hybridMultilevel"/>
    <w:tmpl w:val="F6CEC162"/>
    <w:lvl w:ilvl="0" w:tplc="65F85716">
      <w:start w:val="101"/>
      <w:numFmt w:val="decimal"/>
      <w:lvlText w:val="%1."/>
      <w:lvlJc w:val="left"/>
      <w:pPr>
        <w:ind w:left="480" w:hanging="480"/>
        <w:jc w:val="left"/>
      </w:pPr>
      <w:rPr>
        <w:rFonts w:ascii="Times New Roman" w:eastAsia="Times New Roman" w:hAnsi="Times New Roman" w:cs="Times New Roman" w:hint="default"/>
        <w:b/>
        <w:bCs/>
        <w:color w:val="231F20"/>
        <w:spacing w:val="-1"/>
        <w:w w:val="100"/>
        <w:sz w:val="24"/>
        <w:szCs w:val="24"/>
      </w:rPr>
    </w:lvl>
    <w:lvl w:ilvl="1" w:tplc="805E1902">
      <w:numFmt w:val="bullet"/>
      <w:lvlText w:val="•"/>
      <w:lvlJc w:val="left"/>
      <w:pPr>
        <w:ind w:left="840" w:hanging="480"/>
      </w:pPr>
      <w:rPr>
        <w:rFonts w:hint="default"/>
      </w:rPr>
    </w:lvl>
    <w:lvl w:ilvl="2" w:tplc="A460A400">
      <w:numFmt w:val="bullet"/>
      <w:lvlText w:val="•"/>
      <w:lvlJc w:val="left"/>
      <w:pPr>
        <w:ind w:left="1808" w:hanging="480"/>
      </w:pPr>
      <w:rPr>
        <w:rFonts w:hint="default"/>
      </w:rPr>
    </w:lvl>
    <w:lvl w:ilvl="3" w:tplc="28FCC026">
      <w:numFmt w:val="bullet"/>
      <w:lvlText w:val="•"/>
      <w:lvlJc w:val="left"/>
      <w:pPr>
        <w:ind w:left="2777" w:hanging="480"/>
      </w:pPr>
      <w:rPr>
        <w:rFonts w:hint="default"/>
      </w:rPr>
    </w:lvl>
    <w:lvl w:ilvl="4" w:tplc="F4226A2A">
      <w:numFmt w:val="bullet"/>
      <w:lvlText w:val="•"/>
      <w:lvlJc w:val="left"/>
      <w:pPr>
        <w:ind w:left="3746" w:hanging="480"/>
      </w:pPr>
      <w:rPr>
        <w:rFonts w:hint="default"/>
      </w:rPr>
    </w:lvl>
    <w:lvl w:ilvl="5" w:tplc="5A526054">
      <w:numFmt w:val="bullet"/>
      <w:lvlText w:val="•"/>
      <w:lvlJc w:val="left"/>
      <w:pPr>
        <w:ind w:left="4715" w:hanging="480"/>
      </w:pPr>
      <w:rPr>
        <w:rFonts w:hint="default"/>
      </w:rPr>
    </w:lvl>
    <w:lvl w:ilvl="6" w:tplc="FA6CB78E">
      <w:numFmt w:val="bullet"/>
      <w:lvlText w:val="•"/>
      <w:lvlJc w:val="left"/>
      <w:pPr>
        <w:ind w:left="5684" w:hanging="480"/>
      </w:pPr>
      <w:rPr>
        <w:rFonts w:hint="default"/>
      </w:rPr>
    </w:lvl>
    <w:lvl w:ilvl="7" w:tplc="35602D68">
      <w:numFmt w:val="bullet"/>
      <w:lvlText w:val="•"/>
      <w:lvlJc w:val="left"/>
      <w:pPr>
        <w:ind w:left="6653" w:hanging="480"/>
      </w:pPr>
      <w:rPr>
        <w:rFonts w:hint="default"/>
      </w:rPr>
    </w:lvl>
    <w:lvl w:ilvl="8" w:tplc="3490F9AC">
      <w:numFmt w:val="bullet"/>
      <w:lvlText w:val="•"/>
      <w:lvlJc w:val="left"/>
      <w:pPr>
        <w:ind w:left="7622" w:hanging="480"/>
      </w:pPr>
      <w:rPr>
        <w:rFonts w:hint="default"/>
      </w:rPr>
    </w:lvl>
  </w:abstractNum>
  <w:abstractNum w:abstractNumId="13" w15:restartNumberingAfterBreak="0">
    <w:nsid w:val="68DA3322"/>
    <w:multiLevelType w:val="hybridMultilevel"/>
    <w:tmpl w:val="B538924C"/>
    <w:lvl w:ilvl="0" w:tplc="E0E405DA">
      <w:start w:val="1"/>
      <w:numFmt w:val="upperLetter"/>
      <w:lvlText w:val="%1."/>
      <w:lvlJc w:val="left"/>
      <w:pPr>
        <w:ind w:left="820" w:hanging="721"/>
        <w:jc w:val="right"/>
      </w:pPr>
      <w:rPr>
        <w:rFonts w:ascii="Times New Roman" w:eastAsia="Times New Roman" w:hAnsi="Times New Roman" w:cs="Times New Roman" w:hint="default"/>
        <w:b/>
        <w:bCs/>
        <w:color w:val="231F20"/>
        <w:spacing w:val="-3"/>
        <w:w w:val="100"/>
        <w:sz w:val="24"/>
        <w:szCs w:val="24"/>
      </w:rPr>
    </w:lvl>
    <w:lvl w:ilvl="1" w:tplc="EF2278D8">
      <w:start w:val="1"/>
      <w:numFmt w:val="decimal"/>
      <w:lvlText w:val="%2."/>
      <w:lvlJc w:val="left"/>
      <w:pPr>
        <w:ind w:left="100" w:hanging="241"/>
        <w:jc w:val="left"/>
      </w:pPr>
      <w:rPr>
        <w:rFonts w:ascii="Times New Roman" w:eastAsia="Times New Roman" w:hAnsi="Times New Roman" w:cs="Times New Roman" w:hint="default"/>
        <w:b/>
        <w:bCs/>
        <w:color w:val="231F20"/>
        <w:spacing w:val="-3"/>
        <w:w w:val="100"/>
        <w:sz w:val="24"/>
        <w:szCs w:val="24"/>
      </w:rPr>
    </w:lvl>
    <w:lvl w:ilvl="2" w:tplc="6B96B056">
      <w:numFmt w:val="bullet"/>
      <w:lvlText w:val="•"/>
      <w:lvlJc w:val="left"/>
      <w:pPr>
        <w:ind w:left="1791" w:hanging="241"/>
      </w:pPr>
      <w:rPr>
        <w:rFonts w:hint="default"/>
      </w:rPr>
    </w:lvl>
    <w:lvl w:ilvl="3" w:tplc="42BA6044">
      <w:numFmt w:val="bullet"/>
      <w:lvlText w:val="•"/>
      <w:lvlJc w:val="left"/>
      <w:pPr>
        <w:ind w:left="2762" w:hanging="241"/>
      </w:pPr>
      <w:rPr>
        <w:rFonts w:hint="default"/>
      </w:rPr>
    </w:lvl>
    <w:lvl w:ilvl="4" w:tplc="891A23F6">
      <w:numFmt w:val="bullet"/>
      <w:lvlText w:val="•"/>
      <w:lvlJc w:val="left"/>
      <w:pPr>
        <w:ind w:left="3733" w:hanging="241"/>
      </w:pPr>
      <w:rPr>
        <w:rFonts w:hint="default"/>
      </w:rPr>
    </w:lvl>
    <w:lvl w:ilvl="5" w:tplc="F4A89AD2">
      <w:numFmt w:val="bullet"/>
      <w:lvlText w:val="•"/>
      <w:lvlJc w:val="left"/>
      <w:pPr>
        <w:ind w:left="4704" w:hanging="241"/>
      </w:pPr>
      <w:rPr>
        <w:rFonts w:hint="default"/>
      </w:rPr>
    </w:lvl>
    <w:lvl w:ilvl="6" w:tplc="E6A4C658">
      <w:numFmt w:val="bullet"/>
      <w:lvlText w:val="•"/>
      <w:lvlJc w:val="left"/>
      <w:pPr>
        <w:ind w:left="5675" w:hanging="241"/>
      </w:pPr>
      <w:rPr>
        <w:rFonts w:hint="default"/>
      </w:rPr>
    </w:lvl>
    <w:lvl w:ilvl="7" w:tplc="C51A1D7A">
      <w:numFmt w:val="bullet"/>
      <w:lvlText w:val="•"/>
      <w:lvlJc w:val="left"/>
      <w:pPr>
        <w:ind w:left="6646" w:hanging="241"/>
      </w:pPr>
      <w:rPr>
        <w:rFonts w:hint="default"/>
      </w:rPr>
    </w:lvl>
    <w:lvl w:ilvl="8" w:tplc="23FA7D7A">
      <w:numFmt w:val="bullet"/>
      <w:lvlText w:val="•"/>
      <w:lvlJc w:val="left"/>
      <w:pPr>
        <w:ind w:left="7617" w:hanging="241"/>
      </w:pPr>
      <w:rPr>
        <w:rFonts w:hint="default"/>
      </w:rPr>
    </w:lvl>
  </w:abstractNum>
  <w:abstractNum w:abstractNumId="14" w15:restartNumberingAfterBreak="0">
    <w:nsid w:val="6D7F6502"/>
    <w:multiLevelType w:val="hybridMultilevel"/>
    <w:tmpl w:val="8E90BFE2"/>
    <w:lvl w:ilvl="0" w:tplc="C338DA28">
      <w:start w:val="1"/>
      <w:numFmt w:val="decimal"/>
      <w:lvlText w:val="%1)"/>
      <w:lvlJc w:val="left"/>
      <w:pPr>
        <w:ind w:left="820" w:hanging="360"/>
        <w:jc w:val="left"/>
      </w:pPr>
      <w:rPr>
        <w:rFonts w:ascii="Times New Roman" w:eastAsia="Times New Roman" w:hAnsi="Times New Roman" w:cs="Times New Roman" w:hint="default"/>
        <w:color w:val="231F20"/>
        <w:spacing w:val="-20"/>
        <w:w w:val="100"/>
        <w:sz w:val="24"/>
        <w:szCs w:val="24"/>
      </w:rPr>
    </w:lvl>
    <w:lvl w:ilvl="1" w:tplc="DF4AB084">
      <w:start w:val="1"/>
      <w:numFmt w:val="lowerLetter"/>
      <w:lvlText w:val="%2)"/>
      <w:lvlJc w:val="left"/>
      <w:pPr>
        <w:ind w:left="1540" w:hanging="360"/>
        <w:jc w:val="left"/>
      </w:pPr>
      <w:rPr>
        <w:rFonts w:ascii="Times New Roman" w:eastAsia="Times New Roman" w:hAnsi="Times New Roman" w:cs="Times New Roman" w:hint="default"/>
        <w:color w:val="231F20"/>
        <w:spacing w:val="-7"/>
        <w:w w:val="100"/>
        <w:sz w:val="24"/>
        <w:szCs w:val="24"/>
      </w:rPr>
    </w:lvl>
    <w:lvl w:ilvl="2" w:tplc="47CE1556">
      <w:start w:val="1"/>
      <w:numFmt w:val="lowerRoman"/>
      <w:lvlText w:val="%3)"/>
      <w:lvlJc w:val="left"/>
      <w:pPr>
        <w:ind w:left="1900" w:hanging="360"/>
        <w:jc w:val="left"/>
      </w:pPr>
      <w:rPr>
        <w:rFonts w:ascii="Times New Roman" w:eastAsia="Times New Roman" w:hAnsi="Times New Roman" w:cs="Times New Roman" w:hint="default"/>
        <w:color w:val="231F20"/>
        <w:spacing w:val="-2"/>
        <w:w w:val="100"/>
        <w:sz w:val="24"/>
        <w:szCs w:val="24"/>
      </w:rPr>
    </w:lvl>
    <w:lvl w:ilvl="3" w:tplc="C7F24B90">
      <w:numFmt w:val="bullet"/>
      <w:lvlText w:val="•"/>
      <w:lvlJc w:val="left"/>
      <w:pPr>
        <w:ind w:left="2857" w:hanging="360"/>
      </w:pPr>
      <w:rPr>
        <w:rFonts w:hint="default"/>
      </w:rPr>
    </w:lvl>
    <w:lvl w:ilvl="4" w:tplc="2670DF78">
      <w:numFmt w:val="bullet"/>
      <w:lvlText w:val="•"/>
      <w:lvlJc w:val="left"/>
      <w:pPr>
        <w:ind w:left="3815" w:hanging="360"/>
      </w:pPr>
      <w:rPr>
        <w:rFonts w:hint="default"/>
      </w:rPr>
    </w:lvl>
    <w:lvl w:ilvl="5" w:tplc="B0F8A39C">
      <w:numFmt w:val="bullet"/>
      <w:lvlText w:val="•"/>
      <w:lvlJc w:val="left"/>
      <w:pPr>
        <w:ind w:left="4772" w:hanging="360"/>
      </w:pPr>
      <w:rPr>
        <w:rFonts w:hint="default"/>
      </w:rPr>
    </w:lvl>
    <w:lvl w:ilvl="6" w:tplc="46EA1012">
      <w:numFmt w:val="bullet"/>
      <w:lvlText w:val="•"/>
      <w:lvlJc w:val="left"/>
      <w:pPr>
        <w:ind w:left="5730" w:hanging="360"/>
      </w:pPr>
      <w:rPr>
        <w:rFonts w:hint="default"/>
      </w:rPr>
    </w:lvl>
    <w:lvl w:ilvl="7" w:tplc="EB220A8C">
      <w:numFmt w:val="bullet"/>
      <w:lvlText w:val="•"/>
      <w:lvlJc w:val="left"/>
      <w:pPr>
        <w:ind w:left="6687" w:hanging="360"/>
      </w:pPr>
      <w:rPr>
        <w:rFonts w:hint="default"/>
      </w:rPr>
    </w:lvl>
    <w:lvl w:ilvl="8" w:tplc="FC10BFAC">
      <w:numFmt w:val="bullet"/>
      <w:lvlText w:val="•"/>
      <w:lvlJc w:val="left"/>
      <w:pPr>
        <w:ind w:left="7645" w:hanging="360"/>
      </w:pPr>
      <w:rPr>
        <w:rFonts w:hint="default"/>
      </w:rPr>
    </w:lvl>
  </w:abstractNum>
  <w:abstractNum w:abstractNumId="15" w15:restartNumberingAfterBreak="0">
    <w:nsid w:val="760E540F"/>
    <w:multiLevelType w:val="hybridMultilevel"/>
    <w:tmpl w:val="258A7132"/>
    <w:lvl w:ilvl="0" w:tplc="096A9942">
      <w:start w:val="3"/>
      <w:numFmt w:val="upperLetter"/>
      <w:lvlText w:val="%1."/>
      <w:lvlJc w:val="left"/>
      <w:pPr>
        <w:ind w:left="413" w:hanging="294"/>
        <w:jc w:val="left"/>
      </w:pPr>
      <w:rPr>
        <w:rFonts w:ascii="Times New Roman" w:eastAsia="Times New Roman" w:hAnsi="Times New Roman" w:cs="Times New Roman" w:hint="default"/>
        <w:b/>
        <w:bCs/>
        <w:color w:val="231F20"/>
        <w:spacing w:val="-2"/>
        <w:w w:val="100"/>
        <w:sz w:val="24"/>
        <w:szCs w:val="24"/>
      </w:rPr>
    </w:lvl>
    <w:lvl w:ilvl="1" w:tplc="F8465AC2">
      <w:numFmt w:val="bullet"/>
      <w:lvlText w:val="•"/>
      <w:lvlJc w:val="left"/>
      <w:pPr>
        <w:ind w:left="1334" w:hanging="294"/>
      </w:pPr>
      <w:rPr>
        <w:rFonts w:hint="default"/>
      </w:rPr>
    </w:lvl>
    <w:lvl w:ilvl="2" w:tplc="2410E07A">
      <w:numFmt w:val="bullet"/>
      <w:lvlText w:val="•"/>
      <w:lvlJc w:val="left"/>
      <w:pPr>
        <w:ind w:left="2248" w:hanging="294"/>
      </w:pPr>
      <w:rPr>
        <w:rFonts w:hint="default"/>
      </w:rPr>
    </w:lvl>
    <w:lvl w:ilvl="3" w:tplc="2A02D80C">
      <w:numFmt w:val="bullet"/>
      <w:lvlText w:val="•"/>
      <w:lvlJc w:val="left"/>
      <w:pPr>
        <w:ind w:left="3162" w:hanging="294"/>
      </w:pPr>
      <w:rPr>
        <w:rFonts w:hint="default"/>
      </w:rPr>
    </w:lvl>
    <w:lvl w:ilvl="4" w:tplc="E7DC6228">
      <w:numFmt w:val="bullet"/>
      <w:lvlText w:val="•"/>
      <w:lvlJc w:val="left"/>
      <w:pPr>
        <w:ind w:left="4076" w:hanging="294"/>
      </w:pPr>
      <w:rPr>
        <w:rFonts w:hint="default"/>
      </w:rPr>
    </w:lvl>
    <w:lvl w:ilvl="5" w:tplc="2D02248C">
      <w:numFmt w:val="bullet"/>
      <w:lvlText w:val="•"/>
      <w:lvlJc w:val="left"/>
      <w:pPr>
        <w:ind w:left="4990" w:hanging="294"/>
      </w:pPr>
      <w:rPr>
        <w:rFonts w:hint="default"/>
      </w:rPr>
    </w:lvl>
    <w:lvl w:ilvl="6" w:tplc="8E1C4D20">
      <w:numFmt w:val="bullet"/>
      <w:lvlText w:val="•"/>
      <w:lvlJc w:val="left"/>
      <w:pPr>
        <w:ind w:left="5904" w:hanging="294"/>
      </w:pPr>
      <w:rPr>
        <w:rFonts w:hint="default"/>
      </w:rPr>
    </w:lvl>
    <w:lvl w:ilvl="7" w:tplc="4EB84F18">
      <w:numFmt w:val="bullet"/>
      <w:lvlText w:val="•"/>
      <w:lvlJc w:val="left"/>
      <w:pPr>
        <w:ind w:left="6818" w:hanging="294"/>
      </w:pPr>
      <w:rPr>
        <w:rFonts w:hint="default"/>
      </w:rPr>
    </w:lvl>
    <w:lvl w:ilvl="8" w:tplc="C3563998">
      <w:numFmt w:val="bullet"/>
      <w:lvlText w:val="•"/>
      <w:lvlJc w:val="left"/>
      <w:pPr>
        <w:ind w:left="7732" w:hanging="294"/>
      </w:pPr>
      <w:rPr>
        <w:rFonts w:hint="default"/>
      </w:rPr>
    </w:lvl>
  </w:abstractNum>
  <w:abstractNum w:abstractNumId="16" w15:restartNumberingAfterBreak="0">
    <w:nsid w:val="79A15FD6"/>
    <w:multiLevelType w:val="hybridMultilevel"/>
    <w:tmpl w:val="A9A2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2035A"/>
    <w:multiLevelType w:val="hybridMultilevel"/>
    <w:tmpl w:val="79401FE4"/>
    <w:lvl w:ilvl="0" w:tplc="F4445E52">
      <w:start w:val="5"/>
      <w:numFmt w:val="upperLetter"/>
      <w:lvlText w:val="%1-"/>
      <w:lvlJc w:val="left"/>
      <w:pPr>
        <w:ind w:left="347" w:hanging="228"/>
        <w:jc w:val="left"/>
      </w:pPr>
      <w:rPr>
        <w:rFonts w:ascii="Times New Roman" w:eastAsia="Times New Roman" w:hAnsi="Times New Roman" w:cs="Times New Roman" w:hint="default"/>
        <w:color w:val="231F20"/>
        <w:w w:val="100"/>
        <w:sz w:val="24"/>
        <w:szCs w:val="24"/>
      </w:rPr>
    </w:lvl>
    <w:lvl w:ilvl="1" w:tplc="F84C1128">
      <w:start w:val="1"/>
      <w:numFmt w:val="decimal"/>
      <w:lvlText w:val="%2."/>
      <w:lvlJc w:val="left"/>
      <w:pPr>
        <w:ind w:left="100" w:hanging="721"/>
        <w:jc w:val="left"/>
      </w:pPr>
      <w:rPr>
        <w:rFonts w:ascii="Times New Roman" w:eastAsia="Times New Roman" w:hAnsi="Times New Roman" w:cs="Times New Roman" w:hint="default"/>
        <w:color w:val="231F20"/>
        <w:spacing w:val="-2"/>
        <w:w w:val="100"/>
        <w:sz w:val="24"/>
        <w:szCs w:val="24"/>
      </w:rPr>
    </w:lvl>
    <w:lvl w:ilvl="2" w:tplc="6E74D848">
      <w:numFmt w:val="bullet"/>
      <w:lvlText w:val="•"/>
      <w:lvlJc w:val="left"/>
      <w:pPr>
        <w:ind w:left="844" w:hanging="721"/>
      </w:pPr>
      <w:rPr>
        <w:rFonts w:hint="default"/>
      </w:rPr>
    </w:lvl>
    <w:lvl w:ilvl="3" w:tplc="F22630E6">
      <w:numFmt w:val="bullet"/>
      <w:lvlText w:val="•"/>
      <w:lvlJc w:val="left"/>
      <w:pPr>
        <w:ind w:left="1348" w:hanging="721"/>
      </w:pPr>
      <w:rPr>
        <w:rFonts w:hint="default"/>
      </w:rPr>
    </w:lvl>
    <w:lvl w:ilvl="4" w:tplc="30A0F17C">
      <w:numFmt w:val="bullet"/>
      <w:lvlText w:val="•"/>
      <w:lvlJc w:val="left"/>
      <w:pPr>
        <w:ind w:left="1853" w:hanging="721"/>
      </w:pPr>
      <w:rPr>
        <w:rFonts w:hint="default"/>
      </w:rPr>
    </w:lvl>
    <w:lvl w:ilvl="5" w:tplc="E3A02F3C">
      <w:numFmt w:val="bullet"/>
      <w:lvlText w:val="•"/>
      <w:lvlJc w:val="left"/>
      <w:pPr>
        <w:ind w:left="2357" w:hanging="721"/>
      </w:pPr>
      <w:rPr>
        <w:rFonts w:hint="default"/>
      </w:rPr>
    </w:lvl>
    <w:lvl w:ilvl="6" w:tplc="88CEDEFA">
      <w:numFmt w:val="bullet"/>
      <w:lvlText w:val="•"/>
      <w:lvlJc w:val="left"/>
      <w:pPr>
        <w:ind w:left="2862" w:hanging="721"/>
      </w:pPr>
      <w:rPr>
        <w:rFonts w:hint="default"/>
      </w:rPr>
    </w:lvl>
    <w:lvl w:ilvl="7" w:tplc="BF28D410">
      <w:numFmt w:val="bullet"/>
      <w:lvlText w:val="•"/>
      <w:lvlJc w:val="left"/>
      <w:pPr>
        <w:ind w:left="3366" w:hanging="721"/>
      </w:pPr>
      <w:rPr>
        <w:rFonts w:hint="default"/>
      </w:rPr>
    </w:lvl>
    <w:lvl w:ilvl="8" w:tplc="17F0DBD4">
      <w:numFmt w:val="bullet"/>
      <w:lvlText w:val="•"/>
      <w:lvlJc w:val="left"/>
      <w:pPr>
        <w:ind w:left="3871" w:hanging="721"/>
      </w:pPr>
      <w:rPr>
        <w:rFonts w:hint="default"/>
      </w:rPr>
    </w:lvl>
  </w:abstractNum>
  <w:abstractNum w:abstractNumId="18" w15:restartNumberingAfterBreak="0">
    <w:nsid w:val="7F3976DF"/>
    <w:multiLevelType w:val="multilevel"/>
    <w:tmpl w:val="44F4C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1"/>
  </w:num>
  <w:num w:numId="3">
    <w:abstractNumId w:val="3"/>
  </w:num>
  <w:num w:numId="4">
    <w:abstractNumId w:val="6"/>
  </w:num>
  <w:num w:numId="5">
    <w:abstractNumId w:val="14"/>
  </w:num>
  <w:num w:numId="6">
    <w:abstractNumId w:val="13"/>
  </w:num>
  <w:num w:numId="7">
    <w:abstractNumId w:val="5"/>
  </w:num>
  <w:num w:numId="8">
    <w:abstractNumId w:val="10"/>
  </w:num>
  <w:num w:numId="9">
    <w:abstractNumId w:val="8"/>
  </w:num>
  <w:num w:numId="10">
    <w:abstractNumId w:val="12"/>
  </w:num>
  <w:num w:numId="11">
    <w:abstractNumId w:val="15"/>
  </w:num>
  <w:num w:numId="12">
    <w:abstractNumId w:val="0"/>
  </w:num>
  <w:num w:numId="13">
    <w:abstractNumId w:val="4"/>
  </w:num>
  <w:num w:numId="14">
    <w:abstractNumId w:val="17"/>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ED"/>
    <w:rsid w:val="0000179D"/>
    <w:rsid w:val="00017E76"/>
    <w:rsid w:val="00020E7B"/>
    <w:rsid w:val="00022D64"/>
    <w:rsid w:val="00024D15"/>
    <w:rsid w:val="00026827"/>
    <w:rsid w:val="000324DC"/>
    <w:rsid w:val="00061DB6"/>
    <w:rsid w:val="00076906"/>
    <w:rsid w:val="00084C0D"/>
    <w:rsid w:val="000A556B"/>
    <w:rsid w:val="000B35CC"/>
    <w:rsid w:val="000B7635"/>
    <w:rsid w:val="000B7934"/>
    <w:rsid w:val="000C11C6"/>
    <w:rsid w:val="000C1414"/>
    <w:rsid w:val="000C52A1"/>
    <w:rsid w:val="000D4100"/>
    <w:rsid w:val="00101673"/>
    <w:rsid w:val="00104420"/>
    <w:rsid w:val="00107CED"/>
    <w:rsid w:val="0011266D"/>
    <w:rsid w:val="001435F3"/>
    <w:rsid w:val="001638CF"/>
    <w:rsid w:val="001675CA"/>
    <w:rsid w:val="00193E95"/>
    <w:rsid w:val="001A1806"/>
    <w:rsid w:val="001B3C33"/>
    <w:rsid w:val="001C020A"/>
    <w:rsid w:val="001D0660"/>
    <w:rsid w:val="001D1FA8"/>
    <w:rsid w:val="001F4579"/>
    <w:rsid w:val="002021D6"/>
    <w:rsid w:val="00210F26"/>
    <w:rsid w:val="0021459E"/>
    <w:rsid w:val="00234A6D"/>
    <w:rsid w:val="0023661C"/>
    <w:rsid w:val="00241AD6"/>
    <w:rsid w:val="00243068"/>
    <w:rsid w:val="00257CDB"/>
    <w:rsid w:val="0027198C"/>
    <w:rsid w:val="002737C4"/>
    <w:rsid w:val="00274B5B"/>
    <w:rsid w:val="002767D4"/>
    <w:rsid w:val="00277535"/>
    <w:rsid w:val="002859DD"/>
    <w:rsid w:val="00291D71"/>
    <w:rsid w:val="00296288"/>
    <w:rsid w:val="002A696F"/>
    <w:rsid w:val="002B077A"/>
    <w:rsid w:val="002B4BBE"/>
    <w:rsid w:val="002C555E"/>
    <w:rsid w:val="002D7C32"/>
    <w:rsid w:val="002D7FF3"/>
    <w:rsid w:val="0031381F"/>
    <w:rsid w:val="00313EA9"/>
    <w:rsid w:val="00325394"/>
    <w:rsid w:val="003260B0"/>
    <w:rsid w:val="0033597C"/>
    <w:rsid w:val="003462EF"/>
    <w:rsid w:val="00347DB4"/>
    <w:rsid w:val="00351BF5"/>
    <w:rsid w:val="003604D2"/>
    <w:rsid w:val="003746A3"/>
    <w:rsid w:val="00386BC4"/>
    <w:rsid w:val="0039400B"/>
    <w:rsid w:val="0039641E"/>
    <w:rsid w:val="003A3668"/>
    <w:rsid w:val="003C2792"/>
    <w:rsid w:val="003C689A"/>
    <w:rsid w:val="003C6D0B"/>
    <w:rsid w:val="003D0069"/>
    <w:rsid w:val="003D0423"/>
    <w:rsid w:val="003D3863"/>
    <w:rsid w:val="003E45F6"/>
    <w:rsid w:val="003F0A36"/>
    <w:rsid w:val="00405E65"/>
    <w:rsid w:val="00406AF3"/>
    <w:rsid w:val="00440593"/>
    <w:rsid w:val="00467356"/>
    <w:rsid w:val="00471A28"/>
    <w:rsid w:val="004741EB"/>
    <w:rsid w:val="00485236"/>
    <w:rsid w:val="00485A8B"/>
    <w:rsid w:val="00490491"/>
    <w:rsid w:val="004A5822"/>
    <w:rsid w:val="004A7B1A"/>
    <w:rsid w:val="004B6857"/>
    <w:rsid w:val="004D7803"/>
    <w:rsid w:val="004E4DAB"/>
    <w:rsid w:val="004F4714"/>
    <w:rsid w:val="004F49B6"/>
    <w:rsid w:val="00514C44"/>
    <w:rsid w:val="00531F2A"/>
    <w:rsid w:val="00541AEC"/>
    <w:rsid w:val="0054592B"/>
    <w:rsid w:val="00545AD7"/>
    <w:rsid w:val="00546C16"/>
    <w:rsid w:val="00564782"/>
    <w:rsid w:val="005664D7"/>
    <w:rsid w:val="00595A68"/>
    <w:rsid w:val="005A22AC"/>
    <w:rsid w:val="005B13D6"/>
    <w:rsid w:val="005C0943"/>
    <w:rsid w:val="005C466A"/>
    <w:rsid w:val="005F157F"/>
    <w:rsid w:val="005F3E17"/>
    <w:rsid w:val="005F65C6"/>
    <w:rsid w:val="00601BB1"/>
    <w:rsid w:val="00602C2C"/>
    <w:rsid w:val="00603F34"/>
    <w:rsid w:val="006051E0"/>
    <w:rsid w:val="006135C8"/>
    <w:rsid w:val="00650980"/>
    <w:rsid w:val="00653AD7"/>
    <w:rsid w:val="006605A2"/>
    <w:rsid w:val="00660DD6"/>
    <w:rsid w:val="006659B9"/>
    <w:rsid w:val="00681C38"/>
    <w:rsid w:val="00683F92"/>
    <w:rsid w:val="00685DF9"/>
    <w:rsid w:val="00686A5F"/>
    <w:rsid w:val="006B3841"/>
    <w:rsid w:val="006D0FA8"/>
    <w:rsid w:val="006E1BC9"/>
    <w:rsid w:val="006F5335"/>
    <w:rsid w:val="006F7B96"/>
    <w:rsid w:val="006F7CF8"/>
    <w:rsid w:val="0070600D"/>
    <w:rsid w:val="007256C2"/>
    <w:rsid w:val="0073592F"/>
    <w:rsid w:val="00741989"/>
    <w:rsid w:val="00744DB9"/>
    <w:rsid w:val="00752315"/>
    <w:rsid w:val="00752715"/>
    <w:rsid w:val="0075332F"/>
    <w:rsid w:val="00765615"/>
    <w:rsid w:val="00774AB4"/>
    <w:rsid w:val="00792E0B"/>
    <w:rsid w:val="00797CD8"/>
    <w:rsid w:val="007A79F6"/>
    <w:rsid w:val="007B2952"/>
    <w:rsid w:val="007C0942"/>
    <w:rsid w:val="007D1173"/>
    <w:rsid w:val="007D3E4A"/>
    <w:rsid w:val="007E0C33"/>
    <w:rsid w:val="007E2922"/>
    <w:rsid w:val="007E3A67"/>
    <w:rsid w:val="007E6689"/>
    <w:rsid w:val="007E6690"/>
    <w:rsid w:val="00833BFD"/>
    <w:rsid w:val="00844CBE"/>
    <w:rsid w:val="00866349"/>
    <w:rsid w:val="00867440"/>
    <w:rsid w:val="008730E1"/>
    <w:rsid w:val="008746B8"/>
    <w:rsid w:val="00875D37"/>
    <w:rsid w:val="00882204"/>
    <w:rsid w:val="00893B60"/>
    <w:rsid w:val="0089441F"/>
    <w:rsid w:val="008A2135"/>
    <w:rsid w:val="008B1445"/>
    <w:rsid w:val="008B4AD4"/>
    <w:rsid w:val="008B6231"/>
    <w:rsid w:val="008C0779"/>
    <w:rsid w:val="008C3C60"/>
    <w:rsid w:val="008C69E4"/>
    <w:rsid w:val="008D7968"/>
    <w:rsid w:val="008E135A"/>
    <w:rsid w:val="008E1C83"/>
    <w:rsid w:val="008F4F02"/>
    <w:rsid w:val="00922C4D"/>
    <w:rsid w:val="00934D4A"/>
    <w:rsid w:val="009379DB"/>
    <w:rsid w:val="00952CF6"/>
    <w:rsid w:val="009559AB"/>
    <w:rsid w:val="00963D7E"/>
    <w:rsid w:val="00967C0F"/>
    <w:rsid w:val="00985E84"/>
    <w:rsid w:val="00994290"/>
    <w:rsid w:val="009B2A1F"/>
    <w:rsid w:val="009C4DFF"/>
    <w:rsid w:val="009D0AE7"/>
    <w:rsid w:val="009D5943"/>
    <w:rsid w:val="009E3257"/>
    <w:rsid w:val="009F41D3"/>
    <w:rsid w:val="009F540A"/>
    <w:rsid w:val="00A006BB"/>
    <w:rsid w:val="00A04995"/>
    <w:rsid w:val="00A261F4"/>
    <w:rsid w:val="00A26C7C"/>
    <w:rsid w:val="00A35D69"/>
    <w:rsid w:val="00A36282"/>
    <w:rsid w:val="00A47A26"/>
    <w:rsid w:val="00A71514"/>
    <w:rsid w:val="00A71E27"/>
    <w:rsid w:val="00A76495"/>
    <w:rsid w:val="00A80BAC"/>
    <w:rsid w:val="00A8368C"/>
    <w:rsid w:val="00A95C32"/>
    <w:rsid w:val="00AA425F"/>
    <w:rsid w:val="00AA5DFB"/>
    <w:rsid w:val="00AC1FD2"/>
    <w:rsid w:val="00AC3D32"/>
    <w:rsid w:val="00AE0236"/>
    <w:rsid w:val="00AF7D41"/>
    <w:rsid w:val="00B00C28"/>
    <w:rsid w:val="00B15B92"/>
    <w:rsid w:val="00B51491"/>
    <w:rsid w:val="00B61347"/>
    <w:rsid w:val="00B626B1"/>
    <w:rsid w:val="00B75ECD"/>
    <w:rsid w:val="00B95EA9"/>
    <w:rsid w:val="00BB7186"/>
    <w:rsid w:val="00BC1A76"/>
    <w:rsid w:val="00BE1834"/>
    <w:rsid w:val="00BF0417"/>
    <w:rsid w:val="00C02541"/>
    <w:rsid w:val="00C057FB"/>
    <w:rsid w:val="00C16281"/>
    <w:rsid w:val="00C552BA"/>
    <w:rsid w:val="00C745FD"/>
    <w:rsid w:val="00C755DC"/>
    <w:rsid w:val="00C84E8F"/>
    <w:rsid w:val="00C97627"/>
    <w:rsid w:val="00CA4AB9"/>
    <w:rsid w:val="00CB06AF"/>
    <w:rsid w:val="00CB72BB"/>
    <w:rsid w:val="00CB746B"/>
    <w:rsid w:val="00CD4075"/>
    <w:rsid w:val="00CE12BA"/>
    <w:rsid w:val="00CE7936"/>
    <w:rsid w:val="00CF0EE3"/>
    <w:rsid w:val="00CF7B0D"/>
    <w:rsid w:val="00D04140"/>
    <w:rsid w:val="00D107E4"/>
    <w:rsid w:val="00D46AE5"/>
    <w:rsid w:val="00D60858"/>
    <w:rsid w:val="00D67359"/>
    <w:rsid w:val="00D67878"/>
    <w:rsid w:val="00D7211C"/>
    <w:rsid w:val="00D77A81"/>
    <w:rsid w:val="00D801B6"/>
    <w:rsid w:val="00D83463"/>
    <w:rsid w:val="00DB0ADC"/>
    <w:rsid w:val="00DC0EA4"/>
    <w:rsid w:val="00DC121B"/>
    <w:rsid w:val="00DE5A55"/>
    <w:rsid w:val="00E0694C"/>
    <w:rsid w:val="00E07126"/>
    <w:rsid w:val="00E07EC4"/>
    <w:rsid w:val="00E159D5"/>
    <w:rsid w:val="00E17EC8"/>
    <w:rsid w:val="00E45131"/>
    <w:rsid w:val="00E53FC3"/>
    <w:rsid w:val="00E54BE6"/>
    <w:rsid w:val="00E6408D"/>
    <w:rsid w:val="00E65F57"/>
    <w:rsid w:val="00E74A41"/>
    <w:rsid w:val="00E95787"/>
    <w:rsid w:val="00EA3E47"/>
    <w:rsid w:val="00EB20FB"/>
    <w:rsid w:val="00EC7A0C"/>
    <w:rsid w:val="00ED466B"/>
    <w:rsid w:val="00ED52BC"/>
    <w:rsid w:val="00EE06BE"/>
    <w:rsid w:val="00EE3DDB"/>
    <w:rsid w:val="00F071CA"/>
    <w:rsid w:val="00F13E2F"/>
    <w:rsid w:val="00F35304"/>
    <w:rsid w:val="00F372DB"/>
    <w:rsid w:val="00F4204C"/>
    <w:rsid w:val="00F50688"/>
    <w:rsid w:val="00F52966"/>
    <w:rsid w:val="00F723DA"/>
    <w:rsid w:val="00F76358"/>
    <w:rsid w:val="00F82FD3"/>
    <w:rsid w:val="00F911FA"/>
    <w:rsid w:val="00FA23A5"/>
    <w:rsid w:val="00FB0172"/>
    <w:rsid w:val="00FB2B18"/>
    <w:rsid w:val="00FB41D9"/>
    <w:rsid w:val="00FC4C9D"/>
    <w:rsid w:val="00FD2DBA"/>
    <w:rsid w:val="00FE05C2"/>
    <w:rsid w:val="00FE707F"/>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AB33A"/>
  <w15:docId w15:val="{3B500560-6478-4BBA-814F-92E05BDE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EE3"/>
    <w:pPr>
      <w:spacing w:before="240" w:after="120"/>
    </w:pPr>
    <w:rPr>
      <w:rFonts w:ascii="Times New Roman" w:eastAsia="Times New Roman" w:hAnsi="Times New Roman" w:cs="Times New Roman"/>
      <w:sz w:val="24"/>
    </w:rPr>
  </w:style>
  <w:style w:type="paragraph" w:styleId="Heading1">
    <w:name w:val="heading 1"/>
    <w:basedOn w:val="Normal"/>
    <w:uiPriority w:val="9"/>
    <w:qFormat/>
    <w:rsid w:val="006E1BC9"/>
    <w:pPr>
      <w:spacing w:after="240"/>
      <w:ind w:left="720" w:hanging="720"/>
      <w:outlineLvl w:val="0"/>
    </w:pPr>
    <w:rPr>
      <w:rFonts w:ascii="Times New Roman Bold" w:hAnsi="Times New Roman Bold"/>
      <w:b/>
      <w:bCs/>
      <w:szCs w:val="96"/>
    </w:rPr>
  </w:style>
  <w:style w:type="paragraph" w:styleId="Heading2">
    <w:name w:val="heading 2"/>
    <w:basedOn w:val="Normal"/>
    <w:uiPriority w:val="9"/>
    <w:unhideWhenUsed/>
    <w:qFormat/>
    <w:pPr>
      <w:spacing w:line="838" w:lineRule="exact"/>
      <w:ind w:left="1062"/>
      <w:outlineLvl w:val="1"/>
    </w:pPr>
    <w:rPr>
      <w:rFonts w:ascii="Calibri Light" w:eastAsia="Calibri Light" w:hAnsi="Calibri Light" w:cs="Calibri Light"/>
      <w:sz w:val="72"/>
      <w:szCs w:val="72"/>
    </w:rPr>
  </w:style>
  <w:style w:type="paragraph" w:styleId="Heading3">
    <w:name w:val="heading 3"/>
    <w:basedOn w:val="Normal"/>
    <w:uiPriority w:val="9"/>
    <w:unhideWhenUsed/>
    <w:qFormat/>
    <w:rsid w:val="00CA4AB9"/>
    <w:pPr>
      <w:ind w:left="1440" w:hanging="72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100"/>
    </w:pPr>
    <w:rPr>
      <w:szCs w:val="24"/>
    </w:rPr>
  </w:style>
  <w:style w:type="paragraph" w:styleId="TOC2">
    <w:name w:val="toc 2"/>
    <w:basedOn w:val="Normal"/>
    <w:uiPriority w:val="1"/>
    <w:qFormat/>
    <w:pPr>
      <w:spacing w:before="120"/>
      <w:ind w:left="340"/>
    </w:pPr>
    <w:rPr>
      <w:szCs w:val="24"/>
    </w:rPr>
  </w:style>
  <w:style w:type="paragraph" w:styleId="BodyText">
    <w:name w:val="Body Text"/>
    <w:basedOn w:val="Normal"/>
    <w:uiPriority w:val="1"/>
    <w:qFormat/>
    <w:rPr>
      <w:szCs w:val="24"/>
    </w:rPr>
  </w:style>
  <w:style w:type="paragraph" w:styleId="ListParagraph">
    <w:name w:val="List Paragraph"/>
    <w:basedOn w:val="Normal"/>
    <w:link w:val="ListParagraphChar"/>
    <w:uiPriority w:val="34"/>
    <w:qFormat/>
    <w:pPr>
      <w:ind w:left="100"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660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DD6"/>
    <w:rPr>
      <w:rFonts w:ascii="Segoe UI" w:eastAsia="Times New Roman" w:hAnsi="Segoe UI" w:cs="Segoe UI"/>
      <w:sz w:val="18"/>
      <w:szCs w:val="18"/>
    </w:rPr>
  </w:style>
  <w:style w:type="paragraph" w:styleId="Footer">
    <w:name w:val="footer"/>
    <w:basedOn w:val="Normal"/>
    <w:link w:val="FooterChar"/>
    <w:uiPriority w:val="99"/>
    <w:unhideWhenUsed/>
    <w:rsid w:val="001B3C33"/>
    <w:pPr>
      <w:widowControl/>
      <w:tabs>
        <w:tab w:val="center" w:pos="4680"/>
        <w:tab w:val="right" w:pos="9360"/>
      </w:tabs>
      <w:autoSpaceDE/>
      <w:autoSpaceDN/>
    </w:pPr>
    <w:rPr>
      <w:rFonts w:eastAsiaTheme="minorHAnsi" w:cstheme="minorBidi"/>
    </w:rPr>
  </w:style>
  <w:style w:type="character" w:customStyle="1" w:styleId="FooterChar">
    <w:name w:val="Footer Char"/>
    <w:basedOn w:val="DefaultParagraphFont"/>
    <w:link w:val="Footer"/>
    <w:uiPriority w:val="99"/>
    <w:rsid w:val="001B3C33"/>
    <w:rPr>
      <w:rFonts w:ascii="Times New Roman" w:hAnsi="Times New Roman"/>
      <w:sz w:val="24"/>
    </w:rPr>
  </w:style>
  <w:style w:type="paragraph" w:styleId="Title">
    <w:name w:val="Title"/>
    <w:basedOn w:val="Normal"/>
    <w:next w:val="Normal"/>
    <w:link w:val="TitleChar"/>
    <w:uiPriority w:val="10"/>
    <w:qFormat/>
    <w:rsid w:val="00A80BAC"/>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80BAC"/>
    <w:rPr>
      <w:rFonts w:ascii="Times New Roman" w:eastAsiaTheme="majorEastAsia" w:hAnsi="Times New Roman" w:cstheme="majorBidi"/>
      <w:b/>
      <w:spacing w:val="-10"/>
      <w:kern w:val="28"/>
      <w:sz w:val="28"/>
      <w:szCs w:val="56"/>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fn,fn Char Char,ft"/>
    <w:basedOn w:val="Normal"/>
    <w:link w:val="FootnoteTextChar"/>
    <w:rsid w:val="005664D7"/>
    <w:pPr>
      <w:widowControl/>
      <w:autoSpaceDE/>
      <w:autoSpaceDN/>
      <w:spacing w:before="0" w:after="0"/>
      <w:jc w:val="both"/>
    </w:pPr>
    <w:rPr>
      <w:rFonts w:cs="Arial"/>
      <w:sz w:val="20"/>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 Char"/>
    <w:basedOn w:val="DefaultParagraphFont"/>
    <w:link w:val="FootnoteText"/>
    <w:rsid w:val="005664D7"/>
    <w:rPr>
      <w:rFonts w:ascii="Times New Roman" w:eastAsia="Times New Roman" w:hAnsi="Times New Roman" w:cs="Arial"/>
      <w:sz w:val="20"/>
      <w:szCs w:val="20"/>
    </w:rPr>
  </w:style>
  <w:style w:type="character" w:styleId="FootnoteReference">
    <w:name w:val="footnote reference"/>
    <w:aliases w:val="o,fr,Style 3,o1,o2,o3,o4,o5,o6,o11,o21,o7,Style 13,Style 12,Style 15,Style 17,Style 9,fr1,fr2,fr3,Style 18,(NECG) Footnote Reference,Style 20,Style 7,Style 8,Style 19,Style 5,Styl,Style 28,Style 11,Style 16"/>
    <w:uiPriority w:val="99"/>
    <w:rsid w:val="0027198C"/>
    <w:rPr>
      <w:vertAlign w:val="superscript"/>
    </w:rPr>
  </w:style>
  <w:style w:type="table" w:styleId="TableGrid">
    <w:name w:val="Table Grid"/>
    <w:basedOn w:val="TableNormal"/>
    <w:uiPriority w:val="59"/>
    <w:rsid w:val="0027198C"/>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7198C"/>
    <w:rPr>
      <w:rFonts w:ascii="Times New Roman" w:eastAsia="Times New Roman" w:hAnsi="Times New Roman" w:cs="Times New Roman"/>
      <w:sz w:val="24"/>
    </w:rPr>
  </w:style>
  <w:style w:type="paragraph" w:styleId="Header">
    <w:name w:val="header"/>
    <w:basedOn w:val="Normal"/>
    <w:link w:val="HeaderChar"/>
    <w:uiPriority w:val="99"/>
    <w:unhideWhenUsed/>
    <w:rsid w:val="004F49B6"/>
    <w:pPr>
      <w:tabs>
        <w:tab w:val="center" w:pos="4680"/>
        <w:tab w:val="right" w:pos="9360"/>
      </w:tabs>
      <w:spacing w:before="0" w:after="0"/>
    </w:pPr>
  </w:style>
  <w:style w:type="character" w:customStyle="1" w:styleId="HeaderChar">
    <w:name w:val="Header Char"/>
    <w:basedOn w:val="DefaultParagraphFont"/>
    <w:link w:val="Header"/>
    <w:uiPriority w:val="99"/>
    <w:rsid w:val="004F49B6"/>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E07126"/>
    <w:rPr>
      <w:sz w:val="16"/>
      <w:szCs w:val="16"/>
    </w:rPr>
  </w:style>
  <w:style w:type="paragraph" w:styleId="CommentText">
    <w:name w:val="annotation text"/>
    <w:basedOn w:val="Normal"/>
    <w:link w:val="CommentTextChar"/>
    <w:uiPriority w:val="99"/>
    <w:semiHidden/>
    <w:unhideWhenUsed/>
    <w:rsid w:val="00E07126"/>
    <w:rPr>
      <w:sz w:val="20"/>
      <w:szCs w:val="20"/>
    </w:rPr>
  </w:style>
  <w:style w:type="character" w:customStyle="1" w:styleId="CommentTextChar">
    <w:name w:val="Comment Text Char"/>
    <w:basedOn w:val="DefaultParagraphFont"/>
    <w:link w:val="CommentText"/>
    <w:uiPriority w:val="99"/>
    <w:semiHidden/>
    <w:rsid w:val="00E071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126"/>
    <w:rPr>
      <w:b/>
      <w:bCs/>
    </w:rPr>
  </w:style>
  <w:style w:type="character" w:customStyle="1" w:styleId="CommentSubjectChar">
    <w:name w:val="Comment Subject Char"/>
    <w:basedOn w:val="CommentTextChar"/>
    <w:link w:val="CommentSubject"/>
    <w:uiPriority w:val="99"/>
    <w:semiHidden/>
    <w:rsid w:val="00E071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sempra-my.sharepoint.com/personal/mallyn_semprautilities_com/Documents/ABAL/ABAL%202020%20ReRun%2011-5-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empra-my.sharepoint.com/personal/mallyn_semprautilities_com/Documents/ABAL/ABAL%202020%20ReRun%2011-5-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[ABAL 2020 ReRun 11-5-2019.xlsx]Program Pivot!PivotTable18</c:name>
    <c:fmtId val="23"/>
  </c:pivotSource>
  <c:chart>
    <c:autoTitleDeleted val="1"/>
    <c:pivotFmts>
      <c:pivotFm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4.5776328043884179E-2"/>
              <c:y val="-9.896863301923325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2742269695065705E-2"/>
              <c:y val="-3.6167806892990838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3.6767598447477595E-2"/>
              <c:y val="-7.6615464050600227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9.5513103306908362E-3"/>
              <c:y val="9.035110365302698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3.6767598447477595E-2"/>
              <c:y val="-7.6615464050600227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9.5513103306908362E-3"/>
              <c:y val="9.035110365302698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4.5776328043884179E-2"/>
              <c:y val="-9.896863301923325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2742269695065705E-2"/>
              <c:y val="-3.6167806892990838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3.6767598447477595E-2"/>
              <c:y val="-7.6615464050600227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9.5513103306908362E-3"/>
              <c:y val="9.035110365302698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4.5776328043884179E-2"/>
              <c:y val="-9.896863301923325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2742269695065705E-2"/>
              <c:y val="-3.6167806892990838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s>
    <c:plotArea>
      <c:layout/>
      <c:pieChart>
        <c:varyColors val="1"/>
        <c:ser>
          <c:idx val="0"/>
          <c:order val="0"/>
          <c:tx>
            <c:strRef>
              <c:f>'Program Pivot'!$U$3</c:f>
              <c:strCache>
                <c:ptCount val="1"/>
                <c:pt idx="0">
                  <c:v>Total</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348-4304-BCA1-4F1511D3CD3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348-4304-BCA1-4F1511D3CD3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348-4304-BCA1-4F1511D3CD3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2348-4304-BCA1-4F1511D3CD36}"/>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2348-4304-BCA1-4F1511D3CD36}"/>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2348-4304-BCA1-4F1511D3CD36}"/>
              </c:ext>
            </c:extLst>
          </c:dPt>
          <c:dLbls>
            <c:dLbl>
              <c:idx val="1"/>
              <c:layout>
                <c:manualLayout>
                  <c:x val="3.6767598447477595E-2"/>
                  <c:y val="-7.66154640506002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348-4304-BCA1-4F1511D3CD36}"/>
                </c:ext>
              </c:extLst>
            </c:dLbl>
            <c:dLbl>
              <c:idx val="2"/>
              <c:delete val="1"/>
              <c:extLst>
                <c:ext xmlns:c15="http://schemas.microsoft.com/office/drawing/2012/chart" uri="{CE6537A1-D6FC-4f65-9D91-7224C49458BB}"/>
                <c:ext xmlns:c16="http://schemas.microsoft.com/office/drawing/2014/chart" uri="{C3380CC4-5D6E-409C-BE32-E72D297353CC}">
                  <c16:uniqueId val="{00000005-2348-4304-BCA1-4F1511D3CD36}"/>
                </c:ext>
              </c:extLst>
            </c:dLbl>
            <c:dLbl>
              <c:idx val="3"/>
              <c:layout>
                <c:manualLayout>
                  <c:x val="-9.5513103306908362E-3"/>
                  <c:y val="9.035110365302698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348-4304-BCA1-4F1511D3CD36}"/>
                </c:ext>
              </c:extLst>
            </c:dLbl>
            <c:dLbl>
              <c:idx val="4"/>
              <c:layout>
                <c:manualLayout>
                  <c:x val="-4.5776328043884179E-2"/>
                  <c:y val="-9.896863301923325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348-4304-BCA1-4F1511D3CD36}"/>
                </c:ext>
              </c:extLst>
            </c:dLbl>
            <c:dLbl>
              <c:idx val="5"/>
              <c:layout>
                <c:manualLayout>
                  <c:x val="-1.2742269695065705E-2"/>
                  <c:y val="-3.61678068929908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348-4304-BCA1-4F1511D3CD3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'Program Pivot'!$T$4:$T$10</c:f>
              <c:strCache>
                <c:ptCount val="6"/>
                <c:pt idx="0">
                  <c:v>Agricultural</c:v>
                </c:pt>
                <c:pt idx="1">
                  <c:v>Commercial</c:v>
                </c:pt>
                <c:pt idx="2">
                  <c:v>Cross-Cutting</c:v>
                </c:pt>
                <c:pt idx="3">
                  <c:v>Industrial</c:v>
                </c:pt>
                <c:pt idx="4">
                  <c:v>Public</c:v>
                </c:pt>
                <c:pt idx="5">
                  <c:v>Residential</c:v>
                </c:pt>
              </c:strCache>
            </c:strRef>
          </c:cat>
          <c:val>
            <c:numRef>
              <c:f>'Program Pivot'!$U$4:$U$10</c:f>
              <c:numCache>
                <c:formatCode>#,##0</c:formatCode>
                <c:ptCount val="6"/>
                <c:pt idx="0">
                  <c:v>6441009.1690453216</c:v>
                </c:pt>
                <c:pt idx="1">
                  <c:v>63691287.974123195</c:v>
                </c:pt>
                <c:pt idx="2">
                  <c:v>0</c:v>
                </c:pt>
                <c:pt idx="3">
                  <c:v>12402429.849929718</c:v>
                </c:pt>
                <c:pt idx="4">
                  <c:v>0</c:v>
                </c:pt>
                <c:pt idx="5">
                  <c:v>51447641.001461521</c:v>
                </c:pt>
              </c:numCache>
            </c:numRef>
          </c:val>
          <c:extLst>
            <c:ext xmlns:c16="http://schemas.microsoft.com/office/drawing/2014/chart" uri="{C3380CC4-5D6E-409C-BE32-E72D297353CC}">
              <c16:uniqueId val="{0000000C-2348-4304-BCA1-4F1511D3CD3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[ABAL 2020 ReRun 11-5-2019.xlsx]Program Pivot!PivotTable18</c:name>
    <c:fmtId val="27"/>
  </c:pivotSource>
  <c:chart>
    <c:autoTitleDeleted val="1"/>
    <c:pivotFmts>
      <c:pivotFmt>
        <c:idx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4.5776328043884179E-2"/>
              <c:y val="-9.896863301923325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1.2742269695065705E-2"/>
              <c:y val="-3.6167806892990838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3.6767598447477595E-2"/>
              <c:y val="-7.6615464050600227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
          <c:idx val="0"/>
          <c:layout>
            <c:manualLayout>
              <c:x val="-9.5513103306908362E-3"/>
              <c:y val="9.035110365302698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2"/>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8"/>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19"/>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2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
        <c:idx val="2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pivotFmt>
    </c:pivotFmts>
    <c:plotArea>
      <c:layout/>
      <c:pieChart>
        <c:varyColors val="1"/>
        <c:ser>
          <c:idx val="0"/>
          <c:order val="0"/>
          <c:tx>
            <c:strRef>
              <c:f>'Program Pivot'!$U$3</c:f>
              <c:strCache>
                <c:ptCount val="1"/>
                <c:pt idx="0">
                  <c:v>Total</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B23-4984-85B3-36654E66C3C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B23-4984-85B3-36654E66C3C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0B23-4984-85B3-36654E66C3C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0B23-4984-85B3-36654E66C3C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0B23-4984-85B3-36654E66C3C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0B23-4984-85B3-36654E66C3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'Program Pivot'!$T$4:$T$10</c:f>
              <c:strCache>
                <c:ptCount val="6"/>
                <c:pt idx="0">
                  <c:v>Agricultural</c:v>
                </c:pt>
                <c:pt idx="1">
                  <c:v>Commercial</c:v>
                </c:pt>
                <c:pt idx="2">
                  <c:v>Cross-Cutting</c:v>
                </c:pt>
                <c:pt idx="3">
                  <c:v>Industrial</c:v>
                </c:pt>
                <c:pt idx="4">
                  <c:v>Public</c:v>
                </c:pt>
                <c:pt idx="5">
                  <c:v>Residential</c:v>
                </c:pt>
              </c:strCache>
            </c:strRef>
          </c:cat>
          <c:val>
            <c:numRef>
              <c:f>'Program Pivot'!$U$4:$U$10</c:f>
              <c:numCache>
                <c:formatCode>General</c:formatCode>
                <c:ptCount val="6"/>
                <c:pt idx="0">
                  <c:v>38227.852220216148</c:v>
                </c:pt>
                <c:pt idx="1">
                  <c:v>4647552.2247273689</c:v>
                </c:pt>
                <c:pt idx="2">
                  <c:v>0</c:v>
                </c:pt>
                <c:pt idx="3">
                  <c:v>712528.44460044522</c:v>
                </c:pt>
                <c:pt idx="4">
                  <c:v>0</c:v>
                </c:pt>
                <c:pt idx="5">
                  <c:v>1864650.8508603789</c:v>
                </c:pt>
              </c:numCache>
            </c:numRef>
          </c:val>
          <c:extLst>
            <c:ext xmlns:c16="http://schemas.microsoft.com/office/drawing/2014/chart" uri="{C3380CC4-5D6E-409C-BE32-E72D297353CC}">
              <c16:uniqueId val="{0000000C-0B23-4984-85B3-36654E66C3CF}"/>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22BF51919F14F84F3F1C9680DD17D" ma:contentTypeVersion="9" ma:contentTypeDescription="Create a new document." ma:contentTypeScope="" ma:versionID="1be54a81c8931bdb150bbc975a6e4180">
  <xsd:schema xmlns:xsd="http://www.w3.org/2001/XMLSchema" xmlns:xs="http://www.w3.org/2001/XMLSchema" xmlns:p="http://schemas.microsoft.com/office/2006/metadata/properties" xmlns:ns3="b6dfc9e5-59d7-4089-932f-2b4d1c9549c0" targetNamespace="http://schemas.microsoft.com/office/2006/metadata/properties" ma:root="true" ma:fieldsID="116cf4b2b0a2cbc8915eb232c97496d1" ns3:_="">
    <xsd:import namespace="b6dfc9e5-59d7-4089-932f-2b4d1c9549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c9e5-59d7-4089-932f-2b4d1c9549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E3E8-EC28-41FF-B3A7-CEC0F45AC6B8}">
  <ds:schemaRefs>
    <ds:schemaRef ds:uri="http://schemas.microsoft.com/office/2006/metadata/properties"/>
    <ds:schemaRef ds:uri="b6dfc9e5-59d7-4089-932f-2b4d1c9549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D1A82B6-F3C6-458D-817E-7520F6DDC4CA}">
  <ds:schemaRefs>
    <ds:schemaRef ds:uri="http://schemas.microsoft.com/sharepoint/v3/contenttype/forms"/>
  </ds:schemaRefs>
</ds:datastoreItem>
</file>

<file path=customXml/itemProps3.xml><?xml version="1.0" encoding="utf-8"?>
<ds:datastoreItem xmlns:ds="http://schemas.openxmlformats.org/officeDocument/2006/customXml" ds:itemID="{4978201B-AC53-40B3-AB4F-7523D2A0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c9e5-59d7-4089-932f-2b4d1c954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B001C-9FA4-4E55-9EF4-FDA676A3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2034</Words>
  <Characters>11597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Microsoft Word - A.17-01-013 SDG&amp;E Supplemental Budget Information 6-12-17</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A.17-01-013 SDG&amp;E Supplemental Budget Information 6-12-17</dc:title>
  <dc:creator>devans</dc:creator>
  <cp:lastModifiedBy>Besa, Athena</cp:lastModifiedBy>
  <cp:revision>2</cp:revision>
  <cp:lastPrinted>2019-09-03T16:42:00Z</cp:lastPrinted>
  <dcterms:created xsi:type="dcterms:W3CDTF">2019-11-15T21:27:00Z</dcterms:created>
  <dcterms:modified xsi:type="dcterms:W3CDTF">2019-11-15T21:27:00Z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PScript5.dll Version 5.2.2</vt:lpwstr>
  </property>
  <property fmtid="{D5CDD505-2E9C-101B-9397-08002B2CF9AE}" pid="4" name="LastSaved">
    <vt:filetime>2019-08-31T00:00:00Z</vt:filetime>
  </property>
  <property fmtid="{D5CDD505-2E9C-101B-9397-08002B2CF9AE}" pid="5" name="ContentTypeId">
    <vt:lpwstr>0x01010000522BF51919F14F84F3F1C9680DD17D</vt:lpwstr>
  </property>
</Properties>
</file>