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6F1FD7" w14:textId="1BED419A" w:rsidR="00410643" w:rsidRPr="00410643" w:rsidRDefault="00410643" w:rsidP="00410643">
      <w:pPr>
        <w:spacing w:before="240"/>
        <w:contextualSpacing/>
        <w:jc w:val="center"/>
        <w:rPr>
          <w:rFonts w:eastAsiaTheme="majorEastAsia" w:cstheme="majorBidi"/>
          <w:b/>
          <w:spacing w:val="-10"/>
          <w:kern w:val="28"/>
          <w:sz w:val="28"/>
          <w:szCs w:val="56"/>
        </w:rPr>
      </w:pPr>
      <w:r w:rsidRPr="00410643">
        <w:rPr>
          <w:rFonts w:eastAsiaTheme="majorEastAsia" w:cstheme="majorBidi"/>
          <w:b/>
          <w:spacing w:val="-10"/>
          <w:kern w:val="28"/>
          <w:sz w:val="28"/>
          <w:szCs w:val="56"/>
        </w:rPr>
        <w:t xml:space="preserve">Attachment </w:t>
      </w:r>
      <w:r>
        <w:rPr>
          <w:rFonts w:eastAsiaTheme="majorEastAsia" w:cstheme="majorBidi"/>
          <w:b/>
          <w:spacing w:val="-10"/>
          <w:kern w:val="28"/>
          <w:sz w:val="28"/>
          <w:szCs w:val="56"/>
        </w:rPr>
        <w:t>B</w:t>
      </w:r>
    </w:p>
    <w:p w14:paraId="02254C08" w14:textId="71010D52" w:rsidR="00410643" w:rsidRPr="00410643" w:rsidRDefault="00410643" w:rsidP="00410643">
      <w:pPr>
        <w:spacing w:before="240"/>
        <w:contextualSpacing/>
        <w:jc w:val="center"/>
        <w:rPr>
          <w:rFonts w:eastAsiaTheme="majorEastAsia" w:cstheme="majorBidi"/>
          <w:b/>
          <w:spacing w:val="-10"/>
          <w:kern w:val="28"/>
          <w:sz w:val="28"/>
          <w:szCs w:val="56"/>
        </w:rPr>
      </w:pPr>
      <w:r w:rsidRPr="00410643">
        <w:rPr>
          <w:rFonts w:eastAsiaTheme="majorEastAsia" w:cstheme="majorBidi"/>
          <w:b/>
          <w:spacing w:val="-10"/>
          <w:kern w:val="28"/>
          <w:sz w:val="28"/>
          <w:szCs w:val="56"/>
        </w:rPr>
        <w:t>San Diego Gas &amp; Electric Company</w:t>
      </w:r>
      <w:r w:rsidRPr="00410643">
        <w:rPr>
          <w:rFonts w:eastAsiaTheme="majorEastAsia" w:cstheme="majorBidi"/>
          <w:b/>
          <w:spacing w:val="-10"/>
          <w:kern w:val="28"/>
          <w:sz w:val="28"/>
          <w:szCs w:val="56"/>
        </w:rPr>
        <w:br/>
      </w:r>
      <w:r>
        <w:rPr>
          <w:rFonts w:eastAsiaTheme="majorEastAsia" w:cstheme="majorBidi"/>
          <w:b/>
          <w:spacing w:val="-10"/>
          <w:kern w:val="28"/>
          <w:sz w:val="28"/>
          <w:szCs w:val="56"/>
        </w:rPr>
        <w:t>Supplemental Budget Narrative</w:t>
      </w:r>
    </w:p>
    <w:p w14:paraId="4BEABB10" w14:textId="77777777" w:rsidR="00107CED" w:rsidRDefault="00107CED">
      <w:pPr>
        <w:sectPr w:rsidR="00107CED">
          <w:footerReference w:type="default" r:id="rId11"/>
          <w:pgSz w:w="12240" w:h="15840"/>
          <w:pgMar w:top="1500" w:right="1720" w:bottom="280" w:left="1720" w:header="0" w:footer="0" w:gutter="0"/>
          <w:cols w:space="720"/>
        </w:sectPr>
      </w:pPr>
    </w:p>
    <w:p w14:paraId="4BEABB11" w14:textId="77777777" w:rsidR="00107CED" w:rsidRDefault="00A261F4">
      <w:pPr>
        <w:pStyle w:val="Heading3"/>
        <w:spacing w:before="79"/>
        <w:ind w:left="99" w:right="100"/>
        <w:jc w:val="center"/>
      </w:pPr>
      <w:bookmarkStart w:id="0" w:name="_Toc18364744"/>
      <w:r>
        <w:rPr>
          <w:color w:val="231F20"/>
        </w:rPr>
        <w:lastRenderedPageBreak/>
        <w:t>Table of Contents</w:t>
      </w:r>
      <w:bookmarkEnd w:id="0"/>
    </w:p>
    <w:p w14:paraId="4BEABB12" w14:textId="77777777" w:rsidR="00107CED" w:rsidRDefault="00107CED">
      <w:pPr>
        <w:pStyle w:val="BodyText"/>
        <w:rPr>
          <w:b/>
          <w:sz w:val="26"/>
        </w:rPr>
      </w:pPr>
    </w:p>
    <w:sdt>
      <w:sdtPr>
        <w:id w:val="-1199317615"/>
        <w:docPartObj>
          <w:docPartGallery w:val="Table of Contents"/>
          <w:docPartUnique/>
        </w:docPartObj>
      </w:sdtPr>
      <w:sdtEndPr>
        <w:rPr>
          <w:b/>
          <w:bCs/>
          <w:noProof/>
        </w:rPr>
      </w:sdtEndPr>
      <w:sdtContent>
        <w:p w14:paraId="5BDD207C" w14:textId="262D0576" w:rsidR="003A1EC1" w:rsidRDefault="000E4FB8">
          <w:pPr>
            <w:pStyle w:val="TOC3"/>
            <w:tabs>
              <w:tab w:val="right" w:leader="dot" w:pos="9550"/>
            </w:tabs>
            <w:rPr>
              <w:rFonts w:asciiTheme="minorHAnsi" w:eastAsiaTheme="minorEastAsia" w:hAnsiTheme="minorHAnsi" w:cstheme="minorBidi"/>
              <w:noProof/>
            </w:rPr>
          </w:pPr>
          <w:r>
            <w:fldChar w:fldCharType="begin"/>
          </w:r>
          <w:r>
            <w:instrText xml:space="preserve"> TOC \o "1-3" \h \z \u </w:instrText>
          </w:r>
          <w:r>
            <w:fldChar w:fldCharType="separate"/>
          </w:r>
          <w:hyperlink w:anchor="_Toc18364744" w:history="1">
            <w:r w:rsidR="003A1EC1" w:rsidRPr="00AE3FC3">
              <w:rPr>
                <w:rStyle w:val="Hyperlink"/>
                <w:noProof/>
              </w:rPr>
              <w:t>Table of Contents</w:t>
            </w:r>
            <w:r w:rsidR="003A1EC1">
              <w:rPr>
                <w:noProof/>
                <w:webHidden/>
              </w:rPr>
              <w:tab/>
            </w:r>
            <w:r w:rsidR="003A1EC1">
              <w:rPr>
                <w:noProof/>
                <w:webHidden/>
              </w:rPr>
              <w:fldChar w:fldCharType="begin"/>
            </w:r>
            <w:r w:rsidR="003A1EC1">
              <w:rPr>
                <w:noProof/>
                <w:webHidden/>
              </w:rPr>
              <w:instrText xml:space="preserve"> PAGEREF _Toc18364744 \h </w:instrText>
            </w:r>
            <w:r w:rsidR="003A1EC1">
              <w:rPr>
                <w:noProof/>
                <w:webHidden/>
              </w:rPr>
            </w:r>
            <w:r w:rsidR="003A1EC1">
              <w:rPr>
                <w:noProof/>
                <w:webHidden/>
              </w:rPr>
              <w:fldChar w:fldCharType="separate"/>
            </w:r>
            <w:r w:rsidR="003A1EC1">
              <w:rPr>
                <w:noProof/>
                <w:webHidden/>
              </w:rPr>
              <w:t>2</w:t>
            </w:r>
            <w:r w:rsidR="003A1EC1">
              <w:rPr>
                <w:noProof/>
                <w:webHidden/>
              </w:rPr>
              <w:fldChar w:fldCharType="end"/>
            </w:r>
          </w:hyperlink>
        </w:p>
        <w:p w14:paraId="4D341148" w14:textId="490AD3A2" w:rsidR="003A1EC1" w:rsidRDefault="00A3116E">
          <w:pPr>
            <w:pStyle w:val="TOC1"/>
            <w:tabs>
              <w:tab w:val="left" w:pos="660"/>
              <w:tab w:val="right" w:leader="dot" w:pos="9550"/>
            </w:tabs>
            <w:rPr>
              <w:rFonts w:asciiTheme="minorHAnsi" w:eastAsiaTheme="minorEastAsia" w:hAnsiTheme="minorHAnsi" w:cstheme="minorBidi"/>
              <w:noProof/>
              <w:sz w:val="22"/>
              <w:szCs w:val="22"/>
            </w:rPr>
          </w:pPr>
          <w:hyperlink w:anchor="_Toc18364745" w:history="1">
            <w:r w:rsidR="003A1EC1" w:rsidRPr="00AE3FC3">
              <w:rPr>
                <w:rStyle w:val="Hyperlink"/>
                <w:bCs/>
                <w:noProof/>
                <w:spacing w:val="-1"/>
              </w:rPr>
              <w:t>I.</w:t>
            </w:r>
            <w:r w:rsidR="003A1EC1">
              <w:rPr>
                <w:rFonts w:asciiTheme="minorHAnsi" w:eastAsiaTheme="minorEastAsia" w:hAnsiTheme="minorHAnsi" w:cstheme="minorBidi"/>
                <w:noProof/>
                <w:sz w:val="22"/>
                <w:szCs w:val="22"/>
              </w:rPr>
              <w:tab/>
            </w:r>
            <w:r w:rsidR="003A1EC1" w:rsidRPr="00AE3FC3">
              <w:rPr>
                <w:rStyle w:val="Hyperlink"/>
                <w:noProof/>
              </w:rPr>
              <w:t>Introduction</w:t>
            </w:r>
            <w:r w:rsidR="003A1EC1">
              <w:rPr>
                <w:noProof/>
                <w:webHidden/>
              </w:rPr>
              <w:tab/>
            </w:r>
            <w:r w:rsidR="003A1EC1">
              <w:rPr>
                <w:noProof/>
                <w:webHidden/>
              </w:rPr>
              <w:fldChar w:fldCharType="begin"/>
            </w:r>
            <w:r w:rsidR="003A1EC1">
              <w:rPr>
                <w:noProof/>
                <w:webHidden/>
              </w:rPr>
              <w:instrText xml:space="preserve"> PAGEREF _Toc18364745 \h </w:instrText>
            </w:r>
            <w:r w:rsidR="003A1EC1">
              <w:rPr>
                <w:noProof/>
                <w:webHidden/>
              </w:rPr>
            </w:r>
            <w:r w:rsidR="003A1EC1">
              <w:rPr>
                <w:noProof/>
                <w:webHidden/>
              </w:rPr>
              <w:fldChar w:fldCharType="separate"/>
            </w:r>
            <w:r w:rsidR="003A1EC1">
              <w:rPr>
                <w:noProof/>
                <w:webHidden/>
              </w:rPr>
              <w:t>1</w:t>
            </w:r>
            <w:r w:rsidR="003A1EC1">
              <w:rPr>
                <w:noProof/>
                <w:webHidden/>
              </w:rPr>
              <w:fldChar w:fldCharType="end"/>
            </w:r>
          </w:hyperlink>
        </w:p>
        <w:p w14:paraId="6187E7FF" w14:textId="62666BCF" w:rsidR="003A1EC1" w:rsidRDefault="00A3116E">
          <w:pPr>
            <w:pStyle w:val="TOC1"/>
            <w:tabs>
              <w:tab w:val="left" w:pos="660"/>
              <w:tab w:val="right" w:leader="dot" w:pos="9550"/>
            </w:tabs>
            <w:rPr>
              <w:rFonts w:asciiTheme="minorHAnsi" w:eastAsiaTheme="minorEastAsia" w:hAnsiTheme="minorHAnsi" w:cstheme="minorBidi"/>
              <w:noProof/>
              <w:sz w:val="22"/>
              <w:szCs w:val="22"/>
            </w:rPr>
          </w:pPr>
          <w:hyperlink w:anchor="_Toc18364746" w:history="1">
            <w:r w:rsidR="003A1EC1" w:rsidRPr="00AE3FC3">
              <w:rPr>
                <w:rStyle w:val="Hyperlink"/>
                <w:bCs/>
                <w:noProof/>
                <w:spacing w:val="-1"/>
              </w:rPr>
              <w:t>II.</w:t>
            </w:r>
            <w:r w:rsidR="003A1EC1">
              <w:rPr>
                <w:rFonts w:asciiTheme="minorHAnsi" w:eastAsiaTheme="minorEastAsia" w:hAnsiTheme="minorHAnsi" w:cstheme="minorBidi"/>
                <w:noProof/>
                <w:sz w:val="22"/>
                <w:szCs w:val="22"/>
              </w:rPr>
              <w:tab/>
            </w:r>
            <w:r w:rsidR="003A1EC1" w:rsidRPr="00AE3FC3">
              <w:rPr>
                <w:rStyle w:val="Hyperlink"/>
                <w:noProof/>
              </w:rPr>
              <w:t>Description of In-House organizational Structure and Associated Costs</w:t>
            </w:r>
            <w:r w:rsidR="003A1EC1">
              <w:rPr>
                <w:noProof/>
                <w:webHidden/>
              </w:rPr>
              <w:tab/>
            </w:r>
            <w:r w:rsidR="003A1EC1">
              <w:rPr>
                <w:noProof/>
                <w:webHidden/>
              </w:rPr>
              <w:fldChar w:fldCharType="begin"/>
            </w:r>
            <w:r w:rsidR="003A1EC1">
              <w:rPr>
                <w:noProof/>
                <w:webHidden/>
              </w:rPr>
              <w:instrText xml:space="preserve"> PAGEREF _Toc18364746 \h </w:instrText>
            </w:r>
            <w:r w:rsidR="003A1EC1">
              <w:rPr>
                <w:noProof/>
                <w:webHidden/>
              </w:rPr>
            </w:r>
            <w:r w:rsidR="003A1EC1">
              <w:rPr>
                <w:noProof/>
                <w:webHidden/>
              </w:rPr>
              <w:fldChar w:fldCharType="separate"/>
            </w:r>
            <w:r w:rsidR="003A1EC1">
              <w:rPr>
                <w:noProof/>
                <w:webHidden/>
              </w:rPr>
              <w:t>1</w:t>
            </w:r>
            <w:r w:rsidR="003A1EC1">
              <w:rPr>
                <w:noProof/>
                <w:webHidden/>
              </w:rPr>
              <w:fldChar w:fldCharType="end"/>
            </w:r>
          </w:hyperlink>
        </w:p>
        <w:p w14:paraId="35DC109B" w14:textId="2BB26AA9" w:rsidR="003A1EC1" w:rsidRDefault="00A3116E">
          <w:pPr>
            <w:pStyle w:val="TOC2"/>
            <w:tabs>
              <w:tab w:val="left" w:pos="880"/>
              <w:tab w:val="right" w:leader="dot" w:pos="9550"/>
            </w:tabs>
            <w:rPr>
              <w:rFonts w:asciiTheme="minorHAnsi" w:eastAsiaTheme="minorEastAsia" w:hAnsiTheme="minorHAnsi" w:cstheme="minorBidi"/>
              <w:noProof/>
              <w:sz w:val="22"/>
              <w:szCs w:val="22"/>
            </w:rPr>
          </w:pPr>
          <w:hyperlink w:anchor="_Toc18364747" w:history="1">
            <w:r w:rsidR="003A1EC1" w:rsidRPr="00AE3FC3">
              <w:rPr>
                <w:rStyle w:val="Hyperlink"/>
                <w:noProof/>
              </w:rPr>
              <w:t>A.</w:t>
            </w:r>
            <w:r w:rsidR="003A1EC1">
              <w:rPr>
                <w:rFonts w:asciiTheme="minorHAnsi" w:eastAsiaTheme="minorEastAsia" w:hAnsiTheme="minorHAnsi" w:cstheme="minorBidi"/>
                <w:noProof/>
                <w:sz w:val="22"/>
                <w:szCs w:val="22"/>
              </w:rPr>
              <w:tab/>
            </w:r>
            <w:r w:rsidR="003A1EC1" w:rsidRPr="00AE3FC3">
              <w:rPr>
                <w:rStyle w:val="Hyperlink"/>
                <w:noProof/>
              </w:rPr>
              <w:t>Narrative Description of In-House Departments/Organizations Supporting the PA's EE</w:t>
            </w:r>
            <w:r w:rsidR="003A1EC1" w:rsidRPr="00AE3FC3">
              <w:rPr>
                <w:rStyle w:val="Hyperlink"/>
                <w:noProof/>
                <w:spacing w:val="-9"/>
              </w:rPr>
              <w:t xml:space="preserve"> </w:t>
            </w:r>
            <w:r w:rsidR="003A1EC1" w:rsidRPr="00AE3FC3">
              <w:rPr>
                <w:rStyle w:val="Hyperlink"/>
                <w:noProof/>
              </w:rPr>
              <w:t>Portfolio</w:t>
            </w:r>
            <w:r w:rsidR="003A1EC1">
              <w:rPr>
                <w:noProof/>
                <w:webHidden/>
              </w:rPr>
              <w:tab/>
            </w:r>
            <w:r w:rsidR="003A1EC1">
              <w:rPr>
                <w:noProof/>
                <w:webHidden/>
              </w:rPr>
              <w:fldChar w:fldCharType="begin"/>
            </w:r>
            <w:r w:rsidR="003A1EC1">
              <w:rPr>
                <w:noProof/>
                <w:webHidden/>
              </w:rPr>
              <w:instrText xml:space="preserve"> PAGEREF _Toc18364747 \h </w:instrText>
            </w:r>
            <w:r w:rsidR="003A1EC1">
              <w:rPr>
                <w:noProof/>
                <w:webHidden/>
              </w:rPr>
            </w:r>
            <w:r w:rsidR="003A1EC1">
              <w:rPr>
                <w:noProof/>
                <w:webHidden/>
              </w:rPr>
              <w:fldChar w:fldCharType="separate"/>
            </w:r>
            <w:r w:rsidR="003A1EC1">
              <w:rPr>
                <w:noProof/>
                <w:webHidden/>
              </w:rPr>
              <w:t>1</w:t>
            </w:r>
            <w:r w:rsidR="003A1EC1">
              <w:rPr>
                <w:noProof/>
                <w:webHidden/>
              </w:rPr>
              <w:fldChar w:fldCharType="end"/>
            </w:r>
          </w:hyperlink>
        </w:p>
        <w:p w14:paraId="5675E485" w14:textId="602F4585" w:rsidR="003A1EC1" w:rsidRDefault="00A3116E">
          <w:pPr>
            <w:pStyle w:val="TOC2"/>
            <w:tabs>
              <w:tab w:val="left" w:pos="880"/>
              <w:tab w:val="right" w:leader="dot" w:pos="9550"/>
            </w:tabs>
            <w:rPr>
              <w:rFonts w:asciiTheme="minorHAnsi" w:eastAsiaTheme="minorEastAsia" w:hAnsiTheme="minorHAnsi" w:cstheme="minorBidi"/>
              <w:noProof/>
              <w:sz w:val="22"/>
              <w:szCs w:val="22"/>
            </w:rPr>
          </w:pPr>
          <w:hyperlink w:anchor="_Toc18364748" w:history="1">
            <w:r w:rsidR="003A1EC1" w:rsidRPr="00AE3FC3">
              <w:rPr>
                <w:rStyle w:val="Hyperlink"/>
                <w:noProof/>
              </w:rPr>
              <w:t>B.</w:t>
            </w:r>
            <w:r w:rsidR="003A1EC1">
              <w:rPr>
                <w:rFonts w:asciiTheme="minorHAnsi" w:eastAsiaTheme="minorEastAsia" w:hAnsiTheme="minorHAnsi" w:cstheme="minorBidi"/>
                <w:noProof/>
                <w:sz w:val="22"/>
                <w:szCs w:val="22"/>
              </w:rPr>
              <w:tab/>
            </w:r>
            <w:r w:rsidR="003A1EC1" w:rsidRPr="00AE3FC3">
              <w:rPr>
                <w:rStyle w:val="Hyperlink"/>
                <w:noProof/>
              </w:rPr>
              <w:t>Table</w:t>
            </w:r>
            <w:r w:rsidR="003A1EC1" w:rsidRPr="00AE3FC3">
              <w:rPr>
                <w:rStyle w:val="Hyperlink"/>
                <w:noProof/>
                <w:spacing w:val="-9"/>
              </w:rPr>
              <w:t xml:space="preserve"> </w:t>
            </w:r>
            <w:r w:rsidR="003A1EC1" w:rsidRPr="00AE3FC3">
              <w:rPr>
                <w:rStyle w:val="Hyperlink"/>
                <w:noProof/>
              </w:rPr>
              <w:t>Showing</w:t>
            </w:r>
            <w:r w:rsidR="003A1EC1" w:rsidRPr="00AE3FC3">
              <w:rPr>
                <w:rStyle w:val="Hyperlink"/>
                <w:noProof/>
                <w:spacing w:val="-9"/>
              </w:rPr>
              <w:t xml:space="preserve"> </w:t>
            </w:r>
            <w:r w:rsidR="003A1EC1" w:rsidRPr="00AE3FC3">
              <w:rPr>
                <w:rStyle w:val="Hyperlink"/>
                <w:noProof/>
              </w:rPr>
              <w:t>PA</w:t>
            </w:r>
            <w:r w:rsidR="003A1EC1" w:rsidRPr="00AE3FC3">
              <w:rPr>
                <w:rStyle w:val="Hyperlink"/>
                <w:noProof/>
                <w:spacing w:val="-8"/>
              </w:rPr>
              <w:t xml:space="preserve"> </w:t>
            </w:r>
            <w:r w:rsidR="003A1EC1" w:rsidRPr="00AE3FC3">
              <w:rPr>
                <w:rStyle w:val="Hyperlink"/>
                <w:noProof/>
              </w:rPr>
              <w:t>EE</w:t>
            </w:r>
            <w:r w:rsidR="003A1EC1" w:rsidRPr="00AE3FC3">
              <w:rPr>
                <w:rStyle w:val="Hyperlink"/>
                <w:noProof/>
                <w:spacing w:val="-9"/>
              </w:rPr>
              <w:t xml:space="preserve"> </w:t>
            </w:r>
            <w:r w:rsidR="003A1EC1" w:rsidRPr="00AE3FC3">
              <w:rPr>
                <w:rStyle w:val="Hyperlink"/>
                <w:noProof/>
              </w:rPr>
              <w:t>"Full</w:t>
            </w:r>
            <w:r w:rsidR="003A1EC1" w:rsidRPr="00AE3FC3">
              <w:rPr>
                <w:rStyle w:val="Hyperlink"/>
                <w:noProof/>
                <w:spacing w:val="-9"/>
              </w:rPr>
              <w:t xml:space="preserve"> </w:t>
            </w:r>
            <w:r w:rsidR="003A1EC1" w:rsidRPr="00AE3FC3">
              <w:rPr>
                <w:rStyle w:val="Hyperlink"/>
                <w:noProof/>
              </w:rPr>
              <w:t>Time</w:t>
            </w:r>
            <w:r w:rsidR="003A1EC1" w:rsidRPr="00AE3FC3">
              <w:rPr>
                <w:rStyle w:val="Hyperlink"/>
                <w:noProof/>
                <w:spacing w:val="-9"/>
              </w:rPr>
              <w:t xml:space="preserve"> </w:t>
            </w:r>
            <w:r w:rsidR="003A1EC1" w:rsidRPr="00AE3FC3">
              <w:rPr>
                <w:rStyle w:val="Hyperlink"/>
                <w:noProof/>
              </w:rPr>
              <w:t>Equivalent"</w:t>
            </w:r>
            <w:r w:rsidR="003A1EC1" w:rsidRPr="00AE3FC3">
              <w:rPr>
                <w:rStyle w:val="Hyperlink"/>
                <w:noProof/>
                <w:spacing w:val="-9"/>
              </w:rPr>
              <w:t xml:space="preserve"> </w:t>
            </w:r>
            <w:r w:rsidR="003A1EC1" w:rsidRPr="00AE3FC3">
              <w:rPr>
                <w:rStyle w:val="Hyperlink"/>
                <w:noProof/>
              </w:rPr>
              <w:t>Headcount</w:t>
            </w:r>
            <w:r w:rsidR="003A1EC1" w:rsidRPr="00AE3FC3">
              <w:rPr>
                <w:rStyle w:val="Hyperlink"/>
                <w:noProof/>
                <w:spacing w:val="-9"/>
              </w:rPr>
              <w:t xml:space="preserve"> </w:t>
            </w:r>
            <w:r w:rsidR="003A1EC1" w:rsidRPr="00AE3FC3">
              <w:rPr>
                <w:rStyle w:val="Hyperlink"/>
                <w:noProof/>
              </w:rPr>
              <w:t>by Department/Organization</w:t>
            </w:r>
            <w:r w:rsidR="003A1EC1">
              <w:rPr>
                <w:noProof/>
                <w:webHidden/>
              </w:rPr>
              <w:tab/>
            </w:r>
            <w:r w:rsidR="003A1EC1">
              <w:rPr>
                <w:noProof/>
                <w:webHidden/>
              </w:rPr>
              <w:fldChar w:fldCharType="begin"/>
            </w:r>
            <w:r w:rsidR="003A1EC1">
              <w:rPr>
                <w:noProof/>
                <w:webHidden/>
              </w:rPr>
              <w:instrText xml:space="preserve"> PAGEREF _Toc18364748 \h </w:instrText>
            </w:r>
            <w:r w:rsidR="003A1EC1">
              <w:rPr>
                <w:noProof/>
                <w:webHidden/>
              </w:rPr>
            </w:r>
            <w:r w:rsidR="003A1EC1">
              <w:rPr>
                <w:noProof/>
                <w:webHidden/>
              </w:rPr>
              <w:fldChar w:fldCharType="separate"/>
            </w:r>
            <w:r w:rsidR="003A1EC1">
              <w:rPr>
                <w:noProof/>
                <w:webHidden/>
              </w:rPr>
              <w:t>4</w:t>
            </w:r>
            <w:r w:rsidR="003A1EC1">
              <w:rPr>
                <w:noProof/>
                <w:webHidden/>
              </w:rPr>
              <w:fldChar w:fldCharType="end"/>
            </w:r>
          </w:hyperlink>
        </w:p>
        <w:p w14:paraId="03CCB6D5" w14:textId="7B004B25" w:rsidR="003A1EC1" w:rsidRDefault="00A3116E">
          <w:pPr>
            <w:pStyle w:val="TOC3"/>
            <w:tabs>
              <w:tab w:val="right" w:leader="dot" w:pos="9550"/>
            </w:tabs>
            <w:rPr>
              <w:rFonts w:asciiTheme="minorHAnsi" w:eastAsiaTheme="minorEastAsia" w:hAnsiTheme="minorHAnsi" w:cstheme="minorBidi"/>
              <w:noProof/>
            </w:rPr>
          </w:pPr>
          <w:hyperlink w:anchor="_Toc18364749" w:history="1">
            <w:r w:rsidR="003A1EC1" w:rsidRPr="00AE3FC3">
              <w:rPr>
                <w:rStyle w:val="Hyperlink"/>
                <w:noProof/>
              </w:rPr>
              <w:t>SDG&amp;E Response:</w:t>
            </w:r>
            <w:r w:rsidR="003A1EC1">
              <w:rPr>
                <w:noProof/>
                <w:webHidden/>
              </w:rPr>
              <w:tab/>
            </w:r>
            <w:r w:rsidR="003A1EC1">
              <w:rPr>
                <w:noProof/>
                <w:webHidden/>
              </w:rPr>
              <w:fldChar w:fldCharType="begin"/>
            </w:r>
            <w:r w:rsidR="003A1EC1">
              <w:rPr>
                <w:noProof/>
                <w:webHidden/>
              </w:rPr>
              <w:instrText xml:space="preserve"> PAGEREF _Toc18364749 \h </w:instrText>
            </w:r>
            <w:r w:rsidR="003A1EC1">
              <w:rPr>
                <w:noProof/>
                <w:webHidden/>
              </w:rPr>
            </w:r>
            <w:r w:rsidR="003A1EC1">
              <w:rPr>
                <w:noProof/>
                <w:webHidden/>
              </w:rPr>
              <w:fldChar w:fldCharType="separate"/>
            </w:r>
            <w:r w:rsidR="003A1EC1">
              <w:rPr>
                <w:noProof/>
                <w:webHidden/>
              </w:rPr>
              <w:t>4</w:t>
            </w:r>
            <w:r w:rsidR="003A1EC1">
              <w:rPr>
                <w:noProof/>
                <w:webHidden/>
              </w:rPr>
              <w:fldChar w:fldCharType="end"/>
            </w:r>
          </w:hyperlink>
        </w:p>
        <w:p w14:paraId="5F8ECE29" w14:textId="672CA757" w:rsidR="003A1EC1" w:rsidRDefault="00A3116E">
          <w:pPr>
            <w:pStyle w:val="TOC2"/>
            <w:tabs>
              <w:tab w:val="left" w:pos="880"/>
              <w:tab w:val="right" w:leader="dot" w:pos="9550"/>
            </w:tabs>
            <w:rPr>
              <w:rFonts w:asciiTheme="minorHAnsi" w:eastAsiaTheme="minorEastAsia" w:hAnsiTheme="minorHAnsi" w:cstheme="minorBidi"/>
              <w:noProof/>
              <w:sz w:val="22"/>
              <w:szCs w:val="22"/>
            </w:rPr>
          </w:pPr>
          <w:hyperlink w:anchor="_Toc18364750" w:history="1">
            <w:r w:rsidR="003A1EC1" w:rsidRPr="00AE3FC3">
              <w:rPr>
                <w:rStyle w:val="Hyperlink"/>
                <w:noProof/>
              </w:rPr>
              <w:t>C.</w:t>
            </w:r>
            <w:r w:rsidR="003A1EC1">
              <w:rPr>
                <w:rFonts w:asciiTheme="minorHAnsi" w:eastAsiaTheme="minorEastAsia" w:hAnsiTheme="minorHAnsi" w:cstheme="minorBidi"/>
                <w:noProof/>
                <w:sz w:val="22"/>
                <w:szCs w:val="22"/>
              </w:rPr>
              <w:tab/>
            </w:r>
            <w:r w:rsidR="003A1EC1" w:rsidRPr="00AE3FC3">
              <w:rPr>
                <w:rStyle w:val="Hyperlink"/>
                <w:noProof/>
              </w:rPr>
              <w:t>Table Showing Costs by Functional Area of Management</w:t>
            </w:r>
            <w:r w:rsidR="003A1EC1" w:rsidRPr="00AE3FC3">
              <w:rPr>
                <w:rStyle w:val="Hyperlink"/>
                <w:noProof/>
                <w:spacing w:val="-19"/>
              </w:rPr>
              <w:t xml:space="preserve"> </w:t>
            </w:r>
            <w:r w:rsidR="003A1EC1" w:rsidRPr="00AE3FC3">
              <w:rPr>
                <w:rStyle w:val="Hyperlink"/>
                <w:noProof/>
              </w:rPr>
              <w:t>Structure</w:t>
            </w:r>
            <w:r w:rsidR="003A1EC1">
              <w:rPr>
                <w:noProof/>
                <w:webHidden/>
              </w:rPr>
              <w:tab/>
            </w:r>
            <w:r w:rsidR="003A1EC1">
              <w:rPr>
                <w:noProof/>
                <w:webHidden/>
              </w:rPr>
              <w:fldChar w:fldCharType="begin"/>
            </w:r>
            <w:r w:rsidR="003A1EC1">
              <w:rPr>
                <w:noProof/>
                <w:webHidden/>
              </w:rPr>
              <w:instrText xml:space="preserve"> PAGEREF _Toc18364750 \h </w:instrText>
            </w:r>
            <w:r w:rsidR="003A1EC1">
              <w:rPr>
                <w:noProof/>
                <w:webHidden/>
              </w:rPr>
            </w:r>
            <w:r w:rsidR="003A1EC1">
              <w:rPr>
                <w:noProof/>
                <w:webHidden/>
              </w:rPr>
              <w:fldChar w:fldCharType="separate"/>
            </w:r>
            <w:r w:rsidR="003A1EC1">
              <w:rPr>
                <w:noProof/>
                <w:webHidden/>
              </w:rPr>
              <w:t>4</w:t>
            </w:r>
            <w:r w:rsidR="003A1EC1">
              <w:rPr>
                <w:noProof/>
                <w:webHidden/>
              </w:rPr>
              <w:fldChar w:fldCharType="end"/>
            </w:r>
          </w:hyperlink>
        </w:p>
        <w:p w14:paraId="0487F15C" w14:textId="732A3F6D" w:rsidR="003A1EC1" w:rsidRDefault="00A3116E">
          <w:pPr>
            <w:pStyle w:val="TOC2"/>
            <w:tabs>
              <w:tab w:val="left" w:pos="880"/>
              <w:tab w:val="right" w:leader="dot" w:pos="9550"/>
            </w:tabs>
            <w:rPr>
              <w:rFonts w:asciiTheme="minorHAnsi" w:eastAsiaTheme="minorEastAsia" w:hAnsiTheme="minorHAnsi" w:cstheme="minorBidi"/>
              <w:noProof/>
              <w:sz w:val="22"/>
              <w:szCs w:val="22"/>
            </w:rPr>
          </w:pPr>
          <w:hyperlink w:anchor="_Toc18364751" w:history="1">
            <w:r w:rsidR="003A1EC1" w:rsidRPr="00AE3FC3">
              <w:rPr>
                <w:rStyle w:val="Hyperlink"/>
                <w:noProof/>
              </w:rPr>
              <w:t>D.</w:t>
            </w:r>
            <w:r w:rsidR="003A1EC1">
              <w:rPr>
                <w:rFonts w:asciiTheme="minorHAnsi" w:eastAsiaTheme="minorEastAsia" w:hAnsiTheme="minorHAnsi" w:cstheme="minorBidi"/>
                <w:noProof/>
                <w:sz w:val="22"/>
                <w:szCs w:val="22"/>
              </w:rPr>
              <w:tab/>
            </w:r>
            <w:r w:rsidR="003A1EC1" w:rsidRPr="00AE3FC3">
              <w:rPr>
                <w:rStyle w:val="Hyperlink"/>
                <w:noProof/>
              </w:rPr>
              <w:t>Table Showing Cost Drivers Across the EE</w:t>
            </w:r>
            <w:r w:rsidR="003A1EC1" w:rsidRPr="00AE3FC3">
              <w:rPr>
                <w:rStyle w:val="Hyperlink"/>
                <w:noProof/>
                <w:spacing w:val="-18"/>
              </w:rPr>
              <w:t xml:space="preserve"> </w:t>
            </w:r>
            <w:r w:rsidR="003A1EC1" w:rsidRPr="00AE3FC3">
              <w:rPr>
                <w:rStyle w:val="Hyperlink"/>
                <w:noProof/>
              </w:rPr>
              <w:t>Organization</w:t>
            </w:r>
            <w:r w:rsidR="003A1EC1">
              <w:rPr>
                <w:noProof/>
                <w:webHidden/>
              </w:rPr>
              <w:tab/>
            </w:r>
            <w:r w:rsidR="003A1EC1">
              <w:rPr>
                <w:noProof/>
                <w:webHidden/>
              </w:rPr>
              <w:fldChar w:fldCharType="begin"/>
            </w:r>
            <w:r w:rsidR="003A1EC1">
              <w:rPr>
                <w:noProof/>
                <w:webHidden/>
              </w:rPr>
              <w:instrText xml:space="preserve"> PAGEREF _Toc18364751 \h </w:instrText>
            </w:r>
            <w:r w:rsidR="003A1EC1">
              <w:rPr>
                <w:noProof/>
                <w:webHidden/>
              </w:rPr>
            </w:r>
            <w:r w:rsidR="003A1EC1">
              <w:rPr>
                <w:noProof/>
                <w:webHidden/>
              </w:rPr>
              <w:fldChar w:fldCharType="separate"/>
            </w:r>
            <w:r w:rsidR="003A1EC1">
              <w:rPr>
                <w:noProof/>
                <w:webHidden/>
              </w:rPr>
              <w:t>5</w:t>
            </w:r>
            <w:r w:rsidR="003A1EC1">
              <w:rPr>
                <w:noProof/>
                <w:webHidden/>
              </w:rPr>
              <w:fldChar w:fldCharType="end"/>
            </w:r>
          </w:hyperlink>
        </w:p>
        <w:p w14:paraId="6E431090" w14:textId="04D6054F" w:rsidR="003A1EC1" w:rsidRDefault="00A3116E">
          <w:pPr>
            <w:pStyle w:val="TOC3"/>
            <w:tabs>
              <w:tab w:val="right" w:leader="dot" w:pos="9550"/>
            </w:tabs>
            <w:rPr>
              <w:rFonts w:asciiTheme="minorHAnsi" w:eastAsiaTheme="minorEastAsia" w:hAnsiTheme="minorHAnsi" w:cstheme="minorBidi"/>
              <w:noProof/>
            </w:rPr>
          </w:pPr>
          <w:hyperlink w:anchor="_Toc18364752" w:history="1">
            <w:r w:rsidR="003A1EC1" w:rsidRPr="00AE3FC3">
              <w:rPr>
                <w:rStyle w:val="Hyperlink"/>
                <w:noProof/>
              </w:rPr>
              <w:t>SDG&amp;E Response:</w:t>
            </w:r>
            <w:r w:rsidR="003A1EC1">
              <w:rPr>
                <w:noProof/>
                <w:webHidden/>
              </w:rPr>
              <w:tab/>
            </w:r>
            <w:r w:rsidR="003A1EC1">
              <w:rPr>
                <w:noProof/>
                <w:webHidden/>
              </w:rPr>
              <w:fldChar w:fldCharType="begin"/>
            </w:r>
            <w:r w:rsidR="003A1EC1">
              <w:rPr>
                <w:noProof/>
                <w:webHidden/>
              </w:rPr>
              <w:instrText xml:space="preserve"> PAGEREF _Toc18364752 \h </w:instrText>
            </w:r>
            <w:r w:rsidR="003A1EC1">
              <w:rPr>
                <w:noProof/>
                <w:webHidden/>
              </w:rPr>
            </w:r>
            <w:r w:rsidR="003A1EC1">
              <w:rPr>
                <w:noProof/>
                <w:webHidden/>
              </w:rPr>
              <w:fldChar w:fldCharType="separate"/>
            </w:r>
            <w:r w:rsidR="003A1EC1">
              <w:rPr>
                <w:noProof/>
                <w:webHidden/>
              </w:rPr>
              <w:t>5</w:t>
            </w:r>
            <w:r w:rsidR="003A1EC1">
              <w:rPr>
                <w:noProof/>
                <w:webHidden/>
              </w:rPr>
              <w:fldChar w:fldCharType="end"/>
            </w:r>
          </w:hyperlink>
        </w:p>
        <w:p w14:paraId="1DDF62B8" w14:textId="0819F0E2" w:rsidR="003A1EC1" w:rsidRDefault="00A3116E">
          <w:pPr>
            <w:pStyle w:val="TOC2"/>
            <w:tabs>
              <w:tab w:val="left" w:pos="880"/>
              <w:tab w:val="right" w:leader="dot" w:pos="9550"/>
            </w:tabs>
            <w:rPr>
              <w:rFonts w:asciiTheme="minorHAnsi" w:eastAsiaTheme="minorEastAsia" w:hAnsiTheme="minorHAnsi" w:cstheme="minorBidi"/>
              <w:noProof/>
              <w:sz w:val="22"/>
              <w:szCs w:val="22"/>
            </w:rPr>
          </w:pPr>
          <w:hyperlink w:anchor="_Toc18364753" w:history="1">
            <w:r w:rsidR="003A1EC1" w:rsidRPr="00AE3FC3">
              <w:rPr>
                <w:rStyle w:val="Hyperlink"/>
                <w:noProof/>
              </w:rPr>
              <w:t>E.</w:t>
            </w:r>
            <w:r w:rsidR="003A1EC1">
              <w:rPr>
                <w:rFonts w:asciiTheme="minorHAnsi" w:eastAsiaTheme="minorEastAsia" w:hAnsiTheme="minorHAnsi" w:cstheme="minorBidi"/>
                <w:noProof/>
                <w:sz w:val="22"/>
                <w:szCs w:val="22"/>
              </w:rPr>
              <w:tab/>
            </w:r>
            <w:r w:rsidR="003A1EC1" w:rsidRPr="00AE3FC3">
              <w:rPr>
                <w:rStyle w:val="Hyperlink"/>
                <w:noProof/>
              </w:rPr>
              <w:t>Explanation of Allocation of Labor and O&amp;M Costs Between EE-Functions and</w:t>
            </w:r>
            <w:r w:rsidR="003A1EC1" w:rsidRPr="00AE3FC3">
              <w:rPr>
                <w:rStyle w:val="Hyperlink"/>
                <w:noProof/>
                <w:spacing w:val="-21"/>
              </w:rPr>
              <w:t xml:space="preserve"> </w:t>
            </w:r>
            <w:r w:rsidR="003A1EC1" w:rsidRPr="00AE3FC3">
              <w:rPr>
                <w:rStyle w:val="Hyperlink"/>
                <w:noProof/>
              </w:rPr>
              <w:t>GRC- Functions or Other Non-EE</w:t>
            </w:r>
            <w:r w:rsidR="003A1EC1" w:rsidRPr="00AE3FC3">
              <w:rPr>
                <w:rStyle w:val="Hyperlink"/>
                <w:noProof/>
                <w:spacing w:val="-23"/>
              </w:rPr>
              <w:t xml:space="preserve"> </w:t>
            </w:r>
            <w:r w:rsidR="003A1EC1" w:rsidRPr="00AE3FC3">
              <w:rPr>
                <w:rStyle w:val="Hyperlink"/>
                <w:noProof/>
              </w:rPr>
              <w:t>Functions</w:t>
            </w:r>
            <w:r w:rsidR="003A1EC1">
              <w:rPr>
                <w:noProof/>
                <w:webHidden/>
              </w:rPr>
              <w:tab/>
            </w:r>
            <w:r w:rsidR="003A1EC1">
              <w:rPr>
                <w:noProof/>
                <w:webHidden/>
              </w:rPr>
              <w:fldChar w:fldCharType="begin"/>
            </w:r>
            <w:r w:rsidR="003A1EC1">
              <w:rPr>
                <w:noProof/>
                <w:webHidden/>
              </w:rPr>
              <w:instrText xml:space="preserve"> PAGEREF _Toc18364753 \h </w:instrText>
            </w:r>
            <w:r w:rsidR="003A1EC1">
              <w:rPr>
                <w:noProof/>
                <w:webHidden/>
              </w:rPr>
            </w:r>
            <w:r w:rsidR="003A1EC1">
              <w:rPr>
                <w:noProof/>
                <w:webHidden/>
              </w:rPr>
              <w:fldChar w:fldCharType="separate"/>
            </w:r>
            <w:r w:rsidR="003A1EC1">
              <w:rPr>
                <w:noProof/>
                <w:webHidden/>
              </w:rPr>
              <w:t>5</w:t>
            </w:r>
            <w:r w:rsidR="003A1EC1">
              <w:rPr>
                <w:noProof/>
                <w:webHidden/>
              </w:rPr>
              <w:fldChar w:fldCharType="end"/>
            </w:r>
          </w:hyperlink>
        </w:p>
        <w:p w14:paraId="1DDAF0CE" w14:textId="0E4ADFA1" w:rsidR="003A1EC1" w:rsidRDefault="00A3116E">
          <w:pPr>
            <w:pStyle w:val="TOC1"/>
            <w:tabs>
              <w:tab w:val="left" w:pos="660"/>
              <w:tab w:val="right" w:leader="dot" w:pos="9550"/>
            </w:tabs>
            <w:rPr>
              <w:rFonts w:asciiTheme="minorHAnsi" w:eastAsiaTheme="minorEastAsia" w:hAnsiTheme="minorHAnsi" w:cstheme="minorBidi"/>
              <w:noProof/>
              <w:sz w:val="22"/>
              <w:szCs w:val="22"/>
            </w:rPr>
          </w:pPr>
          <w:hyperlink w:anchor="_Toc18364754" w:history="1">
            <w:r w:rsidR="003A1EC1" w:rsidRPr="00AE3FC3">
              <w:rPr>
                <w:rStyle w:val="Hyperlink"/>
                <w:bCs/>
                <w:noProof/>
                <w:spacing w:val="-1"/>
              </w:rPr>
              <w:t>III.</w:t>
            </w:r>
            <w:r w:rsidR="003A1EC1">
              <w:rPr>
                <w:rFonts w:asciiTheme="minorHAnsi" w:eastAsiaTheme="minorEastAsia" w:hAnsiTheme="minorHAnsi" w:cstheme="minorBidi"/>
                <w:noProof/>
                <w:sz w:val="22"/>
                <w:szCs w:val="22"/>
              </w:rPr>
              <w:tab/>
            </w:r>
            <w:r w:rsidR="003A1EC1" w:rsidRPr="00AE3FC3">
              <w:rPr>
                <w:rStyle w:val="Hyperlink"/>
                <w:noProof/>
              </w:rPr>
              <w:t>BUDGET TABLES INCLUDING INFORMATION IDENTIFIED IN</w:t>
            </w:r>
            <w:r w:rsidR="003A1EC1" w:rsidRPr="00AE3FC3">
              <w:rPr>
                <w:rStyle w:val="Hyperlink"/>
                <w:noProof/>
                <w:spacing w:val="-39"/>
              </w:rPr>
              <w:t xml:space="preserve"> </w:t>
            </w:r>
            <w:r w:rsidR="003A1EC1" w:rsidRPr="00AE3FC3">
              <w:rPr>
                <w:rStyle w:val="Hyperlink"/>
                <w:noProof/>
              </w:rPr>
              <w:t>THE SCOPING</w:t>
            </w:r>
            <w:r w:rsidR="003A1EC1" w:rsidRPr="00AE3FC3">
              <w:rPr>
                <w:rStyle w:val="Hyperlink"/>
                <w:noProof/>
                <w:spacing w:val="-7"/>
              </w:rPr>
              <w:t xml:space="preserve"> </w:t>
            </w:r>
            <w:r w:rsidR="003A1EC1" w:rsidRPr="00AE3FC3">
              <w:rPr>
                <w:rStyle w:val="Hyperlink"/>
                <w:noProof/>
              </w:rPr>
              <w:t>MEMO</w:t>
            </w:r>
            <w:r w:rsidR="003A1EC1">
              <w:rPr>
                <w:noProof/>
                <w:webHidden/>
              </w:rPr>
              <w:tab/>
            </w:r>
            <w:r w:rsidR="003A1EC1">
              <w:rPr>
                <w:noProof/>
                <w:webHidden/>
              </w:rPr>
              <w:fldChar w:fldCharType="begin"/>
            </w:r>
            <w:r w:rsidR="003A1EC1">
              <w:rPr>
                <w:noProof/>
                <w:webHidden/>
              </w:rPr>
              <w:instrText xml:space="preserve"> PAGEREF _Toc18364754 \h </w:instrText>
            </w:r>
            <w:r w:rsidR="003A1EC1">
              <w:rPr>
                <w:noProof/>
                <w:webHidden/>
              </w:rPr>
            </w:r>
            <w:r w:rsidR="003A1EC1">
              <w:rPr>
                <w:noProof/>
                <w:webHidden/>
              </w:rPr>
              <w:fldChar w:fldCharType="separate"/>
            </w:r>
            <w:r w:rsidR="003A1EC1">
              <w:rPr>
                <w:noProof/>
                <w:webHidden/>
              </w:rPr>
              <w:t>6</w:t>
            </w:r>
            <w:r w:rsidR="003A1EC1">
              <w:rPr>
                <w:noProof/>
                <w:webHidden/>
              </w:rPr>
              <w:fldChar w:fldCharType="end"/>
            </w:r>
          </w:hyperlink>
        </w:p>
        <w:p w14:paraId="7354DF02" w14:textId="1573E215" w:rsidR="003A1EC1" w:rsidRDefault="00A3116E">
          <w:pPr>
            <w:pStyle w:val="TOC2"/>
            <w:tabs>
              <w:tab w:val="left" w:pos="880"/>
              <w:tab w:val="right" w:leader="dot" w:pos="9550"/>
            </w:tabs>
            <w:rPr>
              <w:rFonts w:asciiTheme="minorHAnsi" w:eastAsiaTheme="minorEastAsia" w:hAnsiTheme="minorHAnsi" w:cstheme="minorBidi"/>
              <w:noProof/>
              <w:sz w:val="22"/>
              <w:szCs w:val="22"/>
            </w:rPr>
          </w:pPr>
          <w:hyperlink w:anchor="_Toc18364755" w:history="1">
            <w:r w:rsidR="003A1EC1" w:rsidRPr="00AE3FC3">
              <w:rPr>
                <w:rStyle w:val="Hyperlink"/>
                <w:noProof/>
              </w:rPr>
              <w:t>A.</w:t>
            </w:r>
            <w:r w:rsidR="003A1EC1">
              <w:rPr>
                <w:rFonts w:asciiTheme="minorHAnsi" w:eastAsiaTheme="minorEastAsia" w:hAnsiTheme="minorHAnsi" w:cstheme="minorBidi"/>
                <w:noProof/>
                <w:sz w:val="22"/>
                <w:szCs w:val="22"/>
              </w:rPr>
              <w:tab/>
            </w:r>
            <w:r w:rsidR="003A1EC1" w:rsidRPr="00AE3FC3">
              <w:rPr>
                <w:rStyle w:val="Hyperlink"/>
                <w:noProof/>
              </w:rPr>
              <w:t>Attachment-A, Question C.8</w:t>
            </w:r>
            <w:r w:rsidR="003A1EC1">
              <w:rPr>
                <w:noProof/>
                <w:webHidden/>
              </w:rPr>
              <w:tab/>
            </w:r>
            <w:r w:rsidR="003A1EC1">
              <w:rPr>
                <w:noProof/>
                <w:webHidden/>
              </w:rPr>
              <w:fldChar w:fldCharType="begin"/>
            </w:r>
            <w:r w:rsidR="003A1EC1">
              <w:rPr>
                <w:noProof/>
                <w:webHidden/>
              </w:rPr>
              <w:instrText xml:space="preserve"> PAGEREF _Toc18364755 \h </w:instrText>
            </w:r>
            <w:r w:rsidR="003A1EC1">
              <w:rPr>
                <w:noProof/>
                <w:webHidden/>
              </w:rPr>
            </w:r>
            <w:r w:rsidR="003A1EC1">
              <w:rPr>
                <w:noProof/>
                <w:webHidden/>
              </w:rPr>
              <w:fldChar w:fldCharType="separate"/>
            </w:r>
            <w:r w:rsidR="003A1EC1">
              <w:rPr>
                <w:noProof/>
                <w:webHidden/>
              </w:rPr>
              <w:t>6</w:t>
            </w:r>
            <w:r w:rsidR="003A1EC1">
              <w:rPr>
                <w:noProof/>
                <w:webHidden/>
              </w:rPr>
              <w:fldChar w:fldCharType="end"/>
            </w:r>
          </w:hyperlink>
        </w:p>
        <w:p w14:paraId="19FC3735" w14:textId="559B5F33" w:rsidR="003A1EC1" w:rsidRDefault="00A3116E">
          <w:pPr>
            <w:pStyle w:val="TOC2"/>
            <w:tabs>
              <w:tab w:val="left" w:pos="880"/>
              <w:tab w:val="right" w:leader="dot" w:pos="9550"/>
            </w:tabs>
            <w:rPr>
              <w:rFonts w:asciiTheme="minorHAnsi" w:eastAsiaTheme="minorEastAsia" w:hAnsiTheme="minorHAnsi" w:cstheme="minorBidi"/>
              <w:noProof/>
              <w:sz w:val="22"/>
              <w:szCs w:val="22"/>
            </w:rPr>
          </w:pPr>
          <w:hyperlink w:anchor="_Toc18364756" w:history="1">
            <w:r w:rsidR="003A1EC1" w:rsidRPr="00AE3FC3">
              <w:rPr>
                <w:rStyle w:val="Hyperlink"/>
                <w:noProof/>
              </w:rPr>
              <w:t>B.</w:t>
            </w:r>
            <w:r w:rsidR="003A1EC1">
              <w:rPr>
                <w:rFonts w:asciiTheme="minorHAnsi" w:eastAsiaTheme="minorEastAsia" w:hAnsiTheme="minorHAnsi" w:cstheme="minorBidi"/>
                <w:noProof/>
                <w:sz w:val="22"/>
                <w:szCs w:val="22"/>
              </w:rPr>
              <w:tab/>
            </w:r>
            <w:r w:rsidR="003A1EC1" w:rsidRPr="00AE3FC3">
              <w:rPr>
                <w:rStyle w:val="Hyperlink"/>
                <w:noProof/>
              </w:rPr>
              <w:t>Attachment-A, Question</w:t>
            </w:r>
            <w:r w:rsidR="003A1EC1" w:rsidRPr="00AE3FC3">
              <w:rPr>
                <w:rStyle w:val="Hyperlink"/>
                <w:noProof/>
                <w:spacing w:val="-2"/>
              </w:rPr>
              <w:t xml:space="preserve"> </w:t>
            </w:r>
            <w:r w:rsidR="003A1EC1" w:rsidRPr="00AE3FC3">
              <w:rPr>
                <w:rStyle w:val="Hyperlink"/>
                <w:noProof/>
              </w:rPr>
              <w:t>C.9</w:t>
            </w:r>
            <w:r w:rsidR="003A1EC1">
              <w:rPr>
                <w:noProof/>
                <w:webHidden/>
              </w:rPr>
              <w:tab/>
            </w:r>
            <w:r w:rsidR="003A1EC1">
              <w:rPr>
                <w:noProof/>
                <w:webHidden/>
              </w:rPr>
              <w:fldChar w:fldCharType="begin"/>
            </w:r>
            <w:r w:rsidR="003A1EC1">
              <w:rPr>
                <w:noProof/>
                <w:webHidden/>
              </w:rPr>
              <w:instrText xml:space="preserve"> PAGEREF _Toc18364756 \h </w:instrText>
            </w:r>
            <w:r w:rsidR="003A1EC1">
              <w:rPr>
                <w:noProof/>
                <w:webHidden/>
              </w:rPr>
            </w:r>
            <w:r w:rsidR="003A1EC1">
              <w:rPr>
                <w:noProof/>
                <w:webHidden/>
              </w:rPr>
              <w:fldChar w:fldCharType="separate"/>
            </w:r>
            <w:r w:rsidR="003A1EC1">
              <w:rPr>
                <w:noProof/>
                <w:webHidden/>
              </w:rPr>
              <w:t>7</w:t>
            </w:r>
            <w:r w:rsidR="003A1EC1">
              <w:rPr>
                <w:noProof/>
                <w:webHidden/>
              </w:rPr>
              <w:fldChar w:fldCharType="end"/>
            </w:r>
          </w:hyperlink>
        </w:p>
        <w:p w14:paraId="7BDE99E2" w14:textId="6DE9D0C2" w:rsidR="003A1EC1" w:rsidRDefault="00A3116E">
          <w:pPr>
            <w:pStyle w:val="TOC2"/>
            <w:tabs>
              <w:tab w:val="left" w:pos="880"/>
              <w:tab w:val="right" w:leader="dot" w:pos="9550"/>
            </w:tabs>
            <w:rPr>
              <w:rFonts w:asciiTheme="minorHAnsi" w:eastAsiaTheme="minorEastAsia" w:hAnsiTheme="minorHAnsi" w:cstheme="minorBidi"/>
              <w:noProof/>
              <w:sz w:val="22"/>
              <w:szCs w:val="22"/>
            </w:rPr>
          </w:pPr>
          <w:hyperlink w:anchor="_Toc18364757" w:history="1">
            <w:r w:rsidR="003A1EC1" w:rsidRPr="00AE3FC3">
              <w:rPr>
                <w:rStyle w:val="Hyperlink"/>
                <w:noProof/>
              </w:rPr>
              <w:t>C.</w:t>
            </w:r>
            <w:r w:rsidR="003A1EC1">
              <w:rPr>
                <w:rFonts w:asciiTheme="minorHAnsi" w:eastAsiaTheme="minorEastAsia" w:hAnsiTheme="minorHAnsi" w:cstheme="minorBidi"/>
                <w:noProof/>
                <w:sz w:val="22"/>
                <w:szCs w:val="22"/>
              </w:rPr>
              <w:tab/>
            </w:r>
            <w:r w:rsidR="003A1EC1" w:rsidRPr="00AE3FC3">
              <w:rPr>
                <w:rStyle w:val="Hyperlink"/>
                <w:noProof/>
              </w:rPr>
              <w:t>Attachment-A, Question</w:t>
            </w:r>
            <w:r w:rsidR="003A1EC1" w:rsidRPr="00AE3FC3">
              <w:rPr>
                <w:rStyle w:val="Hyperlink"/>
                <w:noProof/>
                <w:spacing w:val="-3"/>
              </w:rPr>
              <w:t xml:space="preserve"> </w:t>
            </w:r>
            <w:r w:rsidR="003A1EC1" w:rsidRPr="00AE3FC3">
              <w:rPr>
                <w:rStyle w:val="Hyperlink"/>
                <w:noProof/>
              </w:rPr>
              <w:t>C.10</w:t>
            </w:r>
            <w:r w:rsidR="003A1EC1">
              <w:rPr>
                <w:noProof/>
                <w:webHidden/>
              </w:rPr>
              <w:tab/>
            </w:r>
            <w:r w:rsidR="003A1EC1">
              <w:rPr>
                <w:noProof/>
                <w:webHidden/>
              </w:rPr>
              <w:fldChar w:fldCharType="begin"/>
            </w:r>
            <w:r w:rsidR="003A1EC1">
              <w:rPr>
                <w:noProof/>
                <w:webHidden/>
              </w:rPr>
              <w:instrText xml:space="preserve"> PAGEREF _Toc18364757 \h </w:instrText>
            </w:r>
            <w:r w:rsidR="003A1EC1">
              <w:rPr>
                <w:noProof/>
                <w:webHidden/>
              </w:rPr>
            </w:r>
            <w:r w:rsidR="003A1EC1">
              <w:rPr>
                <w:noProof/>
                <w:webHidden/>
              </w:rPr>
              <w:fldChar w:fldCharType="separate"/>
            </w:r>
            <w:r w:rsidR="003A1EC1">
              <w:rPr>
                <w:noProof/>
                <w:webHidden/>
              </w:rPr>
              <w:t>7</w:t>
            </w:r>
            <w:r w:rsidR="003A1EC1">
              <w:rPr>
                <w:noProof/>
                <w:webHidden/>
              </w:rPr>
              <w:fldChar w:fldCharType="end"/>
            </w:r>
          </w:hyperlink>
        </w:p>
        <w:p w14:paraId="25C264B2" w14:textId="7A9F500D" w:rsidR="003A1EC1" w:rsidRDefault="00A3116E">
          <w:pPr>
            <w:pStyle w:val="TOC1"/>
            <w:tabs>
              <w:tab w:val="right" w:leader="dot" w:pos="9550"/>
            </w:tabs>
            <w:rPr>
              <w:rFonts w:asciiTheme="minorHAnsi" w:eastAsiaTheme="minorEastAsia" w:hAnsiTheme="minorHAnsi" w:cstheme="minorBidi"/>
              <w:noProof/>
              <w:sz w:val="22"/>
              <w:szCs w:val="22"/>
            </w:rPr>
          </w:pPr>
          <w:hyperlink w:anchor="_Toc18364758" w:history="1">
            <w:r w:rsidR="003A1EC1" w:rsidRPr="00AE3FC3">
              <w:rPr>
                <w:rStyle w:val="Hyperlink"/>
                <w:noProof/>
              </w:rPr>
              <w:t>Appendix A—2019 Energy Efficiency Management Organization Chart</w:t>
            </w:r>
            <w:r w:rsidR="003A1EC1">
              <w:rPr>
                <w:noProof/>
                <w:webHidden/>
              </w:rPr>
              <w:tab/>
            </w:r>
            <w:r w:rsidR="003A1EC1">
              <w:rPr>
                <w:noProof/>
                <w:webHidden/>
              </w:rPr>
              <w:fldChar w:fldCharType="begin"/>
            </w:r>
            <w:r w:rsidR="003A1EC1">
              <w:rPr>
                <w:noProof/>
                <w:webHidden/>
              </w:rPr>
              <w:instrText xml:space="preserve"> PAGEREF _Toc18364758 \h </w:instrText>
            </w:r>
            <w:r w:rsidR="003A1EC1">
              <w:rPr>
                <w:noProof/>
                <w:webHidden/>
              </w:rPr>
            </w:r>
            <w:r w:rsidR="003A1EC1">
              <w:rPr>
                <w:noProof/>
                <w:webHidden/>
              </w:rPr>
              <w:fldChar w:fldCharType="separate"/>
            </w:r>
            <w:r w:rsidR="003A1EC1">
              <w:rPr>
                <w:noProof/>
                <w:webHidden/>
              </w:rPr>
              <w:t>8</w:t>
            </w:r>
            <w:r w:rsidR="003A1EC1">
              <w:rPr>
                <w:noProof/>
                <w:webHidden/>
              </w:rPr>
              <w:fldChar w:fldCharType="end"/>
            </w:r>
          </w:hyperlink>
        </w:p>
        <w:p w14:paraId="74525771" w14:textId="486EC089" w:rsidR="000E4FB8" w:rsidRDefault="000E4FB8">
          <w:r>
            <w:rPr>
              <w:b/>
              <w:bCs/>
              <w:noProof/>
            </w:rPr>
            <w:fldChar w:fldCharType="end"/>
          </w:r>
        </w:p>
      </w:sdtContent>
    </w:sdt>
    <w:p w14:paraId="4BEABB1F" w14:textId="77777777" w:rsidR="00107CED" w:rsidRDefault="00107CED">
      <w:pPr>
        <w:rPr>
          <w:sz w:val="24"/>
        </w:rPr>
        <w:sectPr w:rsidR="00107CED" w:rsidSect="00BF50E8">
          <w:footerReference w:type="default" r:id="rId12"/>
          <w:pgSz w:w="12240" w:h="15840"/>
          <w:pgMar w:top="1360" w:right="1340" w:bottom="1260" w:left="1340" w:header="0" w:footer="1065" w:gutter="0"/>
          <w:pgNumType w:start="2"/>
          <w:cols w:space="720"/>
          <w:titlePg/>
          <w:docGrid w:linePitch="299"/>
        </w:sectPr>
      </w:pPr>
    </w:p>
    <w:p w14:paraId="1CC2FFA9" w14:textId="21483166" w:rsidR="00643DE7" w:rsidRPr="00AA6D70" w:rsidRDefault="00643DE7" w:rsidP="00AA6D70">
      <w:pPr>
        <w:pStyle w:val="Title"/>
      </w:pPr>
      <w:r w:rsidRPr="00AA6D70">
        <w:lastRenderedPageBreak/>
        <w:t>Attachment B</w:t>
      </w:r>
    </w:p>
    <w:p w14:paraId="4BEABB22" w14:textId="5CC06BB4" w:rsidR="00107CED" w:rsidRPr="00AA6D70" w:rsidRDefault="00643DE7" w:rsidP="00AA6D70">
      <w:pPr>
        <w:pStyle w:val="Title"/>
      </w:pPr>
      <w:r w:rsidRPr="00AA6D70">
        <w:t>San Diego Gas &amp; Electric Company</w:t>
      </w:r>
      <w:r w:rsidRPr="00AA6D70">
        <w:br/>
        <w:t>Supplemental Budget Narrative</w:t>
      </w:r>
      <w:r w:rsidR="00F56776" w:rsidRPr="00AA6D70">
        <w:t xml:space="preserve"> </w:t>
      </w:r>
    </w:p>
    <w:p w14:paraId="246F7299" w14:textId="1C6D4BC0" w:rsidR="006403F5" w:rsidRDefault="006403F5" w:rsidP="00665CA2">
      <w:pPr>
        <w:pStyle w:val="Heading1"/>
      </w:pPr>
      <w:bookmarkStart w:id="1" w:name="_Toc18364745"/>
      <w:r w:rsidRPr="00665CA2">
        <w:t>Introduction</w:t>
      </w:r>
      <w:bookmarkEnd w:id="1"/>
    </w:p>
    <w:p w14:paraId="337EF472" w14:textId="29C923CF" w:rsidR="000A2E92" w:rsidRDefault="00F56776" w:rsidP="00665CA2">
      <w:pPr>
        <w:pStyle w:val="NormalIndent"/>
      </w:pPr>
      <w:r>
        <w:t>This supplement is provided in compliance of D.18-05-041 Ordering Paragraph 44.</w:t>
      </w:r>
    </w:p>
    <w:p w14:paraId="276B3D25" w14:textId="77777777" w:rsidR="00F56776" w:rsidRDefault="00F56776" w:rsidP="00665CA2">
      <w:pPr>
        <w:pStyle w:val="BodyText"/>
      </w:pPr>
      <w:r>
        <w:t xml:space="preserve">44. Beginning with the annual budget advice letters due on September 3, 2019, the program administrators must include updated budget estimates in the same format as the supplemental budget information filed in this proceeding on June 12, 2017. </w:t>
      </w:r>
    </w:p>
    <w:p w14:paraId="4BEABB23" w14:textId="222D6215" w:rsidR="00107CED" w:rsidRDefault="00665CA2" w:rsidP="00665CA2">
      <w:pPr>
        <w:pStyle w:val="Heading1"/>
      </w:pPr>
      <w:bookmarkStart w:id="2" w:name="_Toc18364746"/>
      <w:r>
        <w:t xml:space="preserve">Description of In-House </w:t>
      </w:r>
      <w:r w:rsidR="00E343DC">
        <w:t>organizational Structure and Associated Costs</w:t>
      </w:r>
      <w:bookmarkEnd w:id="2"/>
      <w:r w:rsidR="00391038">
        <w:t xml:space="preserve"> </w:t>
      </w:r>
    </w:p>
    <w:p w14:paraId="4BEABB25" w14:textId="56D2EC93" w:rsidR="00107CED" w:rsidRDefault="00443871" w:rsidP="00A432D7">
      <w:pPr>
        <w:pStyle w:val="Heading2"/>
      </w:pPr>
      <w:bookmarkStart w:id="3" w:name="_Toc18364747"/>
      <w:r>
        <w:t>A.</w:t>
      </w:r>
      <w:r>
        <w:tab/>
      </w:r>
      <w:r w:rsidR="00A261F4" w:rsidRPr="006122E8">
        <w:t>Narrative</w:t>
      </w:r>
      <w:r w:rsidR="00A261F4">
        <w:t xml:space="preserve"> </w:t>
      </w:r>
      <w:r w:rsidR="00A02BFD">
        <w:t>D</w:t>
      </w:r>
      <w:r w:rsidR="00A261F4" w:rsidRPr="003F585B">
        <w:t>escription</w:t>
      </w:r>
      <w:r w:rsidR="00A261F4">
        <w:t xml:space="preserve"> of </w:t>
      </w:r>
      <w:r w:rsidR="00A02BFD">
        <w:t>I</w:t>
      </w:r>
      <w:r w:rsidR="00A261F4">
        <w:t>n-</w:t>
      </w:r>
      <w:r w:rsidR="00A02BFD" w:rsidRPr="00A432D7">
        <w:t>H</w:t>
      </w:r>
      <w:r w:rsidR="00A261F4" w:rsidRPr="00A432D7">
        <w:t>ouse</w:t>
      </w:r>
      <w:r w:rsidR="00A261F4">
        <w:t xml:space="preserve"> </w:t>
      </w:r>
      <w:r w:rsidR="00A02BFD">
        <w:t>D</w:t>
      </w:r>
      <w:r w:rsidR="00A261F4">
        <w:t>epartments/</w:t>
      </w:r>
      <w:r w:rsidR="00A02BFD">
        <w:t>O</w:t>
      </w:r>
      <w:r w:rsidR="00A261F4">
        <w:t xml:space="preserve">rganizations </w:t>
      </w:r>
      <w:r w:rsidR="00A02BFD">
        <w:t>S</w:t>
      </w:r>
      <w:r w:rsidR="00A261F4">
        <w:t>upporting the PA's EE</w:t>
      </w:r>
      <w:r w:rsidR="00A261F4">
        <w:rPr>
          <w:spacing w:val="-9"/>
        </w:rPr>
        <w:t xml:space="preserve"> </w:t>
      </w:r>
      <w:r w:rsidR="00A02BFD">
        <w:t>P</w:t>
      </w:r>
      <w:r w:rsidR="00A261F4">
        <w:t>ortfolio</w:t>
      </w:r>
      <w:bookmarkEnd w:id="3"/>
    </w:p>
    <w:p w14:paraId="2D3C2EBD" w14:textId="27AD6E57" w:rsidR="001A2B6C" w:rsidRPr="006A3DD5" w:rsidRDefault="00774753" w:rsidP="006A3DD5">
      <w:pPr>
        <w:pStyle w:val="ListParagraph"/>
        <w:rPr>
          <w:b/>
        </w:rPr>
      </w:pPr>
      <w:r w:rsidRPr="006A3DD5">
        <w:rPr>
          <w:b/>
        </w:rPr>
        <w:t>1.</w:t>
      </w:r>
      <w:r w:rsidRPr="006A3DD5">
        <w:rPr>
          <w:b/>
        </w:rPr>
        <w:tab/>
      </w:r>
      <w:r w:rsidR="00A261F4" w:rsidRPr="006A3DD5">
        <w:rPr>
          <w:b/>
        </w:rPr>
        <w:t xml:space="preserve">Functions conducted by each </w:t>
      </w:r>
      <w:r w:rsidR="00523AAF" w:rsidRPr="006A3DD5">
        <w:rPr>
          <w:b/>
        </w:rPr>
        <w:t>d</w:t>
      </w:r>
      <w:r w:rsidR="00A261F4" w:rsidRPr="006A3DD5">
        <w:rPr>
          <w:b/>
        </w:rPr>
        <w:t>epartment/</w:t>
      </w:r>
      <w:r w:rsidR="00523AAF" w:rsidRPr="006A3DD5">
        <w:rPr>
          <w:b/>
        </w:rPr>
        <w:t>o</w:t>
      </w:r>
      <w:r w:rsidR="00A261F4" w:rsidRPr="006A3DD5">
        <w:rPr>
          <w:b/>
        </w:rPr>
        <w:t xml:space="preserve">rganization </w:t>
      </w:r>
    </w:p>
    <w:p w14:paraId="4BEABB26" w14:textId="5EDBB1AD" w:rsidR="00107CED" w:rsidRPr="00523AAF" w:rsidRDefault="00A261F4" w:rsidP="00774753">
      <w:pPr>
        <w:rPr>
          <w:b/>
        </w:rPr>
      </w:pPr>
      <w:r w:rsidRPr="00523AAF">
        <w:rPr>
          <w:b/>
        </w:rPr>
        <w:t>SDG&amp;E</w:t>
      </w:r>
      <w:r w:rsidRPr="00523AAF">
        <w:rPr>
          <w:b/>
          <w:spacing w:val="-14"/>
        </w:rPr>
        <w:t xml:space="preserve"> </w:t>
      </w:r>
      <w:r w:rsidRPr="00523AAF">
        <w:rPr>
          <w:b/>
        </w:rPr>
        <w:t>Response:</w:t>
      </w:r>
    </w:p>
    <w:p w14:paraId="4BEABB27" w14:textId="5210ED8A" w:rsidR="00107CED" w:rsidRDefault="00A261F4" w:rsidP="00D51756">
      <w:pPr>
        <w:pStyle w:val="NormalIndent"/>
      </w:pPr>
      <w:r>
        <w:rPr>
          <w:w w:val="105"/>
        </w:rPr>
        <w:t>Please</w:t>
      </w:r>
      <w:r>
        <w:rPr>
          <w:spacing w:val="-30"/>
          <w:w w:val="105"/>
        </w:rPr>
        <w:t xml:space="preserve"> </w:t>
      </w:r>
      <w:r>
        <w:rPr>
          <w:w w:val="105"/>
        </w:rPr>
        <w:t>refer</w:t>
      </w:r>
      <w:r>
        <w:rPr>
          <w:spacing w:val="-29"/>
          <w:w w:val="105"/>
        </w:rPr>
        <w:t xml:space="preserve"> </w:t>
      </w:r>
      <w:r>
        <w:rPr>
          <w:w w:val="105"/>
        </w:rPr>
        <w:t>to</w:t>
      </w:r>
      <w:r>
        <w:rPr>
          <w:spacing w:val="-29"/>
          <w:w w:val="105"/>
        </w:rPr>
        <w:t xml:space="preserve"> </w:t>
      </w:r>
      <w:r>
        <w:rPr>
          <w:w w:val="105"/>
        </w:rPr>
        <w:t>the</w:t>
      </w:r>
      <w:r>
        <w:rPr>
          <w:spacing w:val="-29"/>
          <w:w w:val="105"/>
        </w:rPr>
        <w:t xml:space="preserve"> </w:t>
      </w:r>
      <w:r>
        <w:rPr>
          <w:w w:val="105"/>
        </w:rPr>
        <w:t>definition</w:t>
      </w:r>
      <w:r>
        <w:rPr>
          <w:spacing w:val="-29"/>
          <w:w w:val="105"/>
        </w:rPr>
        <w:t xml:space="preserve"> </w:t>
      </w:r>
      <w:r>
        <w:rPr>
          <w:w w:val="105"/>
        </w:rPr>
        <w:t>of</w:t>
      </w:r>
      <w:r>
        <w:rPr>
          <w:spacing w:val="-29"/>
          <w:w w:val="105"/>
        </w:rPr>
        <w:t xml:space="preserve"> </w:t>
      </w:r>
      <w:r>
        <w:rPr>
          <w:w w:val="105"/>
        </w:rPr>
        <w:t>functions</w:t>
      </w:r>
      <w:r>
        <w:rPr>
          <w:spacing w:val="-29"/>
          <w:w w:val="105"/>
        </w:rPr>
        <w:t xml:space="preserve"> </w:t>
      </w:r>
      <w:r>
        <w:rPr>
          <w:w w:val="105"/>
        </w:rPr>
        <w:t>in</w:t>
      </w:r>
      <w:r>
        <w:rPr>
          <w:spacing w:val="-29"/>
          <w:w w:val="105"/>
        </w:rPr>
        <w:t xml:space="preserve"> </w:t>
      </w:r>
      <w:r>
        <w:rPr>
          <w:w w:val="105"/>
        </w:rPr>
        <w:t>the</w:t>
      </w:r>
      <w:r>
        <w:rPr>
          <w:spacing w:val="-29"/>
          <w:w w:val="105"/>
        </w:rPr>
        <w:t xml:space="preserve"> </w:t>
      </w:r>
      <w:r w:rsidR="007318BB">
        <w:rPr>
          <w:w w:val="105"/>
        </w:rPr>
        <w:t>Attachment A Tab:</w:t>
      </w:r>
      <w:r w:rsidR="001355A5">
        <w:rPr>
          <w:w w:val="105"/>
        </w:rPr>
        <w:t xml:space="preserve"> </w:t>
      </w:r>
      <w:r>
        <w:rPr>
          <w:w w:val="105"/>
        </w:rPr>
        <w:t>Function</w:t>
      </w:r>
      <w:r>
        <w:rPr>
          <w:spacing w:val="-29"/>
          <w:w w:val="105"/>
        </w:rPr>
        <w:t xml:space="preserve"> </w:t>
      </w:r>
      <w:r>
        <w:rPr>
          <w:w w:val="105"/>
        </w:rPr>
        <w:t>Definitions</w:t>
      </w:r>
      <w:r w:rsidR="00094602">
        <w:rPr>
          <w:w w:val="105"/>
        </w:rPr>
        <w:t>.</w:t>
      </w:r>
    </w:p>
    <w:p w14:paraId="4BEABB29" w14:textId="4A010921" w:rsidR="00107CED" w:rsidRDefault="00A261F4">
      <w:pPr>
        <w:pStyle w:val="ListParagraph"/>
        <w:numPr>
          <w:ilvl w:val="0"/>
          <w:numId w:val="5"/>
        </w:numPr>
        <w:tabs>
          <w:tab w:val="left" w:pos="821"/>
        </w:tabs>
        <w:ind w:right="112"/>
      </w:pPr>
      <w:r>
        <w:rPr>
          <w:color w:val="231F20"/>
        </w:rPr>
        <w:t xml:space="preserve">SDG&amp;E's Customer Programs </w:t>
      </w:r>
      <w:r w:rsidR="007A79F6">
        <w:rPr>
          <w:color w:val="231F20"/>
        </w:rPr>
        <w:t xml:space="preserve">(CP) </w:t>
      </w:r>
      <w:r w:rsidR="00020E7B">
        <w:rPr>
          <w:color w:val="231F20"/>
        </w:rPr>
        <w:t>D</w:t>
      </w:r>
      <w:r>
        <w:rPr>
          <w:color w:val="231F20"/>
        </w:rPr>
        <w:t xml:space="preserve">epartment </w:t>
      </w:r>
      <w:r w:rsidR="00020E7B">
        <w:rPr>
          <w:color w:val="231F20"/>
        </w:rPr>
        <w:t>includes</w:t>
      </w:r>
      <w:r>
        <w:rPr>
          <w:color w:val="231F20"/>
        </w:rPr>
        <w:t xml:space="preserve"> EE, Energy Savings Assistance (ESA), Demand Response and other non-EE customer programs</w:t>
      </w:r>
      <w:r w:rsidR="00020E7B">
        <w:rPr>
          <w:color w:val="231F20"/>
        </w:rPr>
        <w:t xml:space="preserve">; and Business </w:t>
      </w:r>
      <w:r w:rsidR="00AC1FD2">
        <w:rPr>
          <w:color w:val="231F20"/>
        </w:rPr>
        <w:t>Services</w:t>
      </w:r>
      <w:r w:rsidR="00020E7B">
        <w:rPr>
          <w:color w:val="231F20"/>
        </w:rPr>
        <w:t xml:space="preserve">.  </w:t>
      </w:r>
      <w:r>
        <w:rPr>
          <w:color w:val="231F20"/>
        </w:rPr>
        <w:t>Managerial Areas under Customer</w:t>
      </w:r>
      <w:r>
        <w:rPr>
          <w:color w:val="231F20"/>
          <w:spacing w:val="-3"/>
        </w:rPr>
        <w:t xml:space="preserve"> </w:t>
      </w:r>
      <w:r>
        <w:rPr>
          <w:color w:val="231F20"/>
        </w:rPr>
        <w:t>Programs:</w:t>
      </w:r>
    </w:p>
    <w:p w14:paraId="4BEABB2B" w14:textId="516E6BAB" w:rsidR="00107CED" w:rsidRDefault="007A79F6">
      <w:pPr>
        <w:pStyle w:val="ListParagraph"/>
        <w:numPr>
          <w:ilvl w:val="1"/>
          <w:numId w:val="5"/>
        </w:numPr>
        <w:tabs>
          <w:tab w:val="left" w:pos="1541"/>
        </w:tabs>
        <w:spacing w:before="1"/>
      </w:pPr>
      <w:r>
        <w:rPr>
          <w:color w:val="231F20"/>
        </w:rPr>
        <w:t>CP Energy Efficiency</w:t>
      </w:r>
      <w:r w:rsidR="00A261F4">
        <w:rPr>
          <w:color w:val="231F20"/>
        </w:rPr>
        <w:t>:  manages all customer</w:t>
      </w:r>
      <w:r w:rsidR="00A261F4">
        <w:rPr>
          <w:color w:val="231F20"/>
          <w:spacing w:val="-8"/>
        </w:rPr>
        <w:t xml:space="preserve"> </w:t>
      </w:r>
      <w:r>
        <w:rPr>
          <w:color w:val="231F20"/>
          <w:spacing w:val="-8"/>
        </w:rPr>
        <w:t xml:space="preserve">EE </w:t>
      </w:r>
      <w:r w:rsidR="00A261F4">
        <w:rPr>
          <w:color w:val="231F20"/>
        </w:rPr>
        <w:t>programs.</w:t>
      </w:r>
    </w:p>
    <w:p w14:paraId="4BEABB2C" w14:textId="477B65B8" w:rsidR="00107CED" w:rsidRDefault="00A261F4">
      <w:pPr>
        <w:pStyle w:val="ListParagraph"/>
        <w:numPr>
          <w:ilvl w:val="2"/>
          <w:numId w:val="5"/>
        </w:numPr>
        <w:tabs>
          <w:tab w:val="left" w:pos="1899"/>
          <w:tab w:val="left" w:pos="1901"/>
        </w:tabs>
        <w:ind w:right="532"/>
      </w:pPr>
      <w:r>
        <w:rPr>
          <w:color w:val="231F20"/>
        </w:rPr>
        <w:t>Residential programs: manages all residential programs</w:t>
      </w:r>
    </w:p>
    <w:p w14:paraId="4BEABB2D" w14:textId="36617359" w:rsidR="00107CED" w:rsidRPr="00CB72BB" w:rsidRDefault="00A261F4">
      <w:pPr>
        <w:pStyle w:val="ListParagraph"/>
        <w:numPr>
          <w:ilvl w:val="2"/>
          <w:numId w:val="5"/>
        </w:numPr>
        <w:tabs>
          <w:tab w:val="left" w:pos="1901"/>
        </w:tabs>
      </w:pPr>
      <w:r>
        <w:rPr>
          <w:color w:val="231F20"/>
        </w:rPr>
        <w:t>Nonresidential EE programs: manages all EE nonresidential</w:t>
      </w:r>
      <w:r>
        <w:rPr>
          <w:color w:val="231F20"/>
          <w:spacing w:val="-7"/>
        </w:rPr>
        <w:t xml:space="preserve"> </w:t>
      </w:r>
      <w:r>
        <w:rPr>
          <w:color w:val="231F20"/>
        </w:rPr>
        <w:t>programs.</w:t>
      </w:r>
    </w:p>
    <w:p w14:paraId="539300E9" w14:textId="4BB32CD2" w:rsidR="00CB72BB" w:rsidRPr="00F911FA" w:rsidRDefault="00CB72BB">
      <w:pPr>
        <w:pStyle w:val="ListParagraph"/>
        <w:numPr>
          <w:ilvl w:val="2"/>
          <w:numId w:val="5"/>
        </w:numPr>
        <w:tabs>
          <w:tab w:val="left" w:pos="1901"/>
        </w:tabs>
      </w:pPr>
      <w:r>
        <w:rPr>
          <w:color w:val="231F20"/>
        </w:rPr>
        <w:t>Technology &amp; Standards:  manages Emerging Technology and Codes &amp; Standard programs</w:t>
      </w:r>
    </w:p>
    <w:p w14:paraId="26573C79" w14:textId="102E9FA8" w:rsidR="00833BFD" w:rsidRDefault="00F911FA" w:rsidP="00833BFD">
      <w:pPr>
        <w:pStyle w:val="ListParagraph"/>
        <w:numPr>
          <w:ilvl w:val="2"/>
          <w:numId w:val="5"/>
        </w:numPr>
        <w:tabs>
          <w:tab w:val="left" w:pos="1901"/>
        </w:tabs>
        <w:ind w:right="620"/>
      </w:pPr>
      <w:r>
        <w:rPr>
          <w:color w:val="231F20"/>
        </w:rPr>
        <w:t>Customer Resource Integration: manages</w:t>
      </w:r>
      <w:r w:rsidR="00833BFD">
        <w:rPr>
          <w:color w:val="231F20"/>
        </w:rPr>
        <w:t xml:space="preserve"> Water Energy Nexus (WEN) and Integrated Demand Side Management (IDSM) programs and</w:t>
      </w:r>
      <w:r w:rsidR="00833BFD">
        <w:rPr>
          <w:color w:val="231F20"/>
          <w:spacing w:val="-17"/>
        </w:rPr>
        <w:t xml:space="preserve"> </w:t>
      </w:r>
      <w:r w:rsidR="00833BFD">
        <w:rPr>
          <w:color w:val="231F20"/>
        </w:rPr>
        <w:t>initiatives.</w:t>
      </w:r>
    </w:p>
    <w:p w14:paraId="33CB4463" w14:textId="01B65319" w:rsidR="00F911FA" w:rsidRDefault="00F911FA">
      <w:pPr>
        <w:pStyle w:val="ListParagraph"/>
        <w:numPr>
          <w:ilvl w:val="2"/>
          <w:numId w:val="5"/>
        </w:numPr>
        <w:tabs>
          <w:tab w:val="left" w:pos="1901"/>
        </w:tabs>
      </w:pPr>
      <w:r>
        <w:rPr>
          <w:color w:val="231F20"/>
        </w:rPr>
        <w:t>IDSM programs and activities</w:t>
      </w:r>
    </w:p>
    <w:p w14:paraId="4BEABB2F" w14:textId="2A88AE53" w:rsidR="00107CED" w:rsidRDefault="009F41D3" w:rsidP="002859DD">
      <w:pPr>
        <w:pStyle w:val="ListParagraph"/>
        <w:numPr>
          <w:ilvl w:val="1"/>
          <w:numId w:val="5"/>
        </w:numPr>
        <w:tabs>
          <w:tab w:val="left" w:pos="1901"/>
        </w:tabs>
        <w:ind w:right="1343"/>
      </w:pPr>
      <w:r>
        <w:rPr>
          <w:color w:val="231F20"/>
        </w:rPr>
        <w:t xml:space="preserve">Residential </w:t>
      </w:r>
      <w:r w:rsidR="00A261F4">
        <w:rPr>
          <w:color w:val="231F20"/>
        </w:rPr>
        <w:t>Customer Programs</w:t>
      </w:r>
      <w:r>
        <w:rPr>
          <w:color w:val="231F20"/>
        </w:rPr>
        <w:t xml:space="preserve">: manages </w:t>
      </w:r>
      <w:r w:rsidR="00440593">
        <w:rPr>
          <w:color w:val="231F20"/>
        </w:rPr>
        <w:t xml:space="preserve">non-EE residential programs (including ESA, CARE); and </w:t>
      </w:r>
      <w:r w:rsidR="00833BFD">
        <w:rPr>
          <w:color w:val="231F20"/>
        </w:rPr>
        <w:t xml:space="preserve">WE&amp;T </w:t>
      </w:r>
    </w:p>
    <w:p w14:paraId="4BEABB30" w14:textId="77777777" w:rsidR="00107CED" w:rsidRDefault="00A261F4">
      <w:pPr>
        <w:pStyle w:val="ListParagraph"/>
        <w:numPr>
          <w:ilvl w:val="2"/>
          <w:numId w:val="5"/>
        </w:numPr>
        <w:tabs>
          <w:tab w:val="left" w:pos="1901"/>
        </w:tabs>
        <w:ind w:right="130"/>
      </w:pPr>
      <w:r>
        <w:rPr>
          <w:color w:val="231F20"/>
        </w:rPr>
        <w:t>Energy Innovation Center (EIC): manages WE&amp;T programs and education- related EE program initiatives in addition to managing SDG&amp;E's EIC</w:t>
      </w:r>
      <w:r>
        <w:rPr>
          <w:color w:val="231F20"/>
          <w:spacing w:val="30"/>
        </w:rPr>
        <w:t xml:space="preserve"> </w:t>
      </w:r>
      <w:r>
        <w:rPr>
          <w:color w:val="231F20"/>
        </w:rPr>
        <w:t>facility.</w:t>
      </w:r>
    </w:p>
    <w:p w14:paraId="4BEABB32" w14:textId="77777777" w:rsidR="00107CED" w:rsidRDefault="00A261F4" w:rsidP="00D60858">
      <w:pPr>
        <w:pStyle w:val="ListParagraph"/>
        <w:numPr>
          <w:ilvl w:val="1"/>
          <w:numId w:val="5"/>
        </w:numPr>
        <w:tabs>
          <w:tab w:val="left" w:pos="1541"/>
        </w:tabs>
        <w:ind w:right="818"/>
      </w:pPr>
      <w:r>
        <w:rPr>
          <w:color w:val="231F20"/>
        </w:rPr>
        <w:t>Business Analysis: manages finances and expenditures, including financial reporting, for the</w:t>
      </w:r>
      <w:r>
        <w:rPr>
          <w:color w:val="231F20"/>
          <w:spacing w:val="-2"/>
        </w:rPr>
        <w:t xml:space="preserve"> </w:t>
      </w:r>
      <w:r>
        <w:rPr>
          <w:color w:val="231F20"/>
        </w:rPr>
        <w:t>department.</w:t>
      </w:r>
    </w:p>
    <w:p w14:paraId="4BEABB33" w14:textId="77FADBE0" w:rsidR="00107CED" w:rsidRDefault="00A261F4" w:rsidP="00D60858">
      <w:pPr>
        <w:pStyle w:val="ListParagraph"/>
        <w:numPr>
          <w:ilvl w:val="1"/>
          <w:numId w:val="5"/>
        </w:numPr>
        <w:tabs>
          <w:tab w:val="left" w:pos="1541"/>
        </w:tabs>
        <w:ind w:right="593"/>
      </w:pPr>
      <w:r>
        <w:rPr>
          <w:color w:val="231F20"/>
        </w:rPr>
        <w:lastRenderedPageBreak/>
        <w:t xml:space="preserve">Engineering </w:t>
      </w:r>
      <w:r w:rsidR="002C555E">
        <w:rPr>
          <w:color w:val="231F20"/>
        </w:rPr>
        <w:t>Systems &amp; Support</w:t>
      </w:r>
      <w:r>
        <w:rPr>
          <w:color w:val="231F20"/>
        </w:rPr>
        <w:t>: manages the engineering functions that support the programs (e.g., work papers, customer ex ante review process)</w:t>
      </w:r>
      <w:r w:rsidR="00FC4C9D">
        <w:rPr>
          <w:color w:val="231F20"/>
        </w:rPr>
        <w:t>, EM&amp;V, Inspections, Reporting and Processing.</w:t>
      </w:r>
      <w:r>
        <w:rPr>
          <w:color w:val="231F20"/>
        </w:rPr>
        <w:t xml:space="preserve"> </w:t>
      </w:r>
    </w:p>
    <w:p w14:paraId="17EFF3BB" w14:textId="4E986F8A" w:rsidR="00107CED" w:rsidRPr="0033597C" w:rsidRDefault="00A261F4" w:rsidP="0033597C">
      <w:pPr>
        <w:pStyle w:val="ListParagraph"/>
        <w:numPr>
          <w:ilvl w:val="1"/>
          <w:numId w:val="5"/>
        </w:numPr>
        <w:tabs>
          <w:tab w:val="left" w:pos="1541"/>
        </w:tabs>
        <w:ind w:right="264"/>
      </w:pPr>
      <w:r w:rsidRPr="0033597C">
        <w:rPr>
          <w:color w:val="231F20"/>
        </w:rPr>
        <w:t xml:space="preserve">Policy &amp; Strategy: manages Customer Programs policy and strategy issues, including CPUC, CEC, legislative EE-related issues; and </w:t>
      </w:r>
      <w:r w:rsidR="00FC4C9D">
        <w:rPr>
          <w:color w:val="231F20"/>
        </w:rPr>
        <w:t xml:space="preserve">compliance and </w:t>
      </w:r>
      <w:r w:rsidRPr="0033597C">
        <w:rPr>
          <w:color w:val="231F20"/>
        </w:rPr>
        <w:t>other and data request</w:t>
      </w:r>
      <w:r w:rsidRPr="0033597C">
        <w:rPr>
          <w:color w:val="231F20"/>
          <w:spacing w:val="-6"/>
        </w:rPr>
        <w:t xml:space="preserve"> </w:t>
      </w:r>
      <w:r w:rsidRPr="0033597C">
        <w:rPr>
          <w:color w:val="231F20"/>
        </w:rPr>
        <w:t>processes.</w:t>
      </w:r>
    </w:p>
    <w:p w14:paraId="09A74D5B" w14:textId="7F1DA811" w:rsidR="00F723DA" w:rsidRPr="00F723DA" w:rsidRDefault="0033597C" w:rsidP="006135C8">
      <w:pPr>
        <w:pStyle w:val="ListParagraph"/>
        <w:numPr>
          <w:ilvl w:val="1"/>
          <w:numId w:val="5"/>
        </w:numPr>
        <w:tabs>
          <w:tab w:val="left" w:pos="1561"/>
        </w:tabs>
        <w:spacing w:before="9"/>
        <w:ind w:right="173"/>
      </w:pPr>
      <w:r w:rsidRPr="00F723DA">
        <w:rPr>
          <w:color w:val="231F20"/>
        </w:rPr>
        <w:t>Product and Transition Management</w:t>
      </w:r>
      <w:r w:rsidR="00A261F4" w:rsidRPr="00F723DA">
        <w:rPr>
          <w:color w:val="231F20"/>
        </w:rPr>
        <w:t>: manages development and management of potential customer-facing products and services</w:t>
      </w:r>
      <w:r w:rsidR="009559AB">
        <w:rPr>
          <w:color w:val="231F20"/>
        </w:rPr>
        <w:t>, both EE and non-EE products.</w:t>
      </w:r>
    </w:p>
    <w:p w14:paraId="683DA5D8" w14:textId="74A30361" w:rsidR="00F723DA" w:rsidRPr="009559AB" w:rsidRDefault="00BE1834" w:rsidP="006135C8">
      <w:pPr>
        <w:pStyle w:val="ListParagraph"/>
        <w:numPr>
          <w:ilvl w:val="2"/>
          <w:numId w:val="5"/>
        </w:numPr>
      </w:pPr>
      <w:r w:rsidRPr="00BE1834">
        <w:t>Third Party Programs: manages all solicitations and EE third program management.</w:t>
      </w:r>
    </w:p>
    <w:p w14:paraId="4BEABB38" w14:textId="28E238BC" w:rsidR="00107CED" w:rsidRPr="00F723DA" w:rsidRDefault="00A261F4" w:rsidP="00E95787">
      <w:pPr>
        <w:pStyle w:val="ListParagraph"/>
        <w:numPr>
          <w:ilvl w:val="1"/>
          <w:numId w:val="5"/>
        </w:numPr>
        <w:tabs>
          <w:tab w:val="left" w:pos="1561"/>
        </w:tabs>
        <w:spacing w:before="9"/>
        <w:ind w:right="173"/>
      </w:pPr>
      <w:r w:rsidRPr="00F723DA">
        <w:rPr>
          <w:color w:val="231F20"/>
        </w:rPr>
        <w:t>Business Services: manages all business customer services, including the promotion</w:t>
      </w:r>
      <w:r w:rsidRPr="00F723DA">
        <w:rPr>
          <w:color w:val="231F20"/>
          <w:spacing w:val="-21"/>
        </w:rPr>
        <w:t xml:space="preserve"> </w:t>
      </w:r>
      <w:r w:rsidRPr="00F723DA">
        <w:rPr>
          <w:color w:val="231F20"/>
        </w:rPr>
        <w:t>and support of EE programs and</w:t>
      </w:r>
      <w:r w:rsidRPr="00F723DA">
        <w:rPr>
          <w:color w:val="231F20"/>
          <w:spacing w:val="-8"/>
        </w:rPr>
        <w:t xml:space="preserve"> </w:t>
      </w:r>
      <w:r w:rsidRPr="00F723DA">
        <w:rPr>
          <w:color w:val="231F20"/>
        </w:rPr>
        <w:t>projects.</w:t>
      </w:r>
    </w:p>
    <w:p w14:paraId="3CDD35B5" w14:textId="3FF6771F" w:rsidR="00CA09F3" w:rsidRPr="00CA09F3" w:rsidRDefault="00A261F4" w:rsidP="00E95787">
      <w:pPr>
        <w:pStyle w:val="ListParagraph"/>
        <w:numPr>
          <w:ilvl w:val="0"/>
          <w:numId w:val="5"/>
        </w:numPr>
        <w:tabs>
          <w:tab w:val="left" w:pos="1561"/>
        </w:tabs>
        <w:spacing w:before="9"/>
        <w:ind w:right="173"/>
      </w:pPr>
      <w:r w:rsidRPr="00E95787">
        <w:rPr>
          <w:color w:val="231F20"/>
        </w:rPr>
        <w:t xml:space="preserve">Although an organization chart is not included, the </w:t>
      </w:r>
      <w:r w:rsidR="00377B93">
        <w:rPr>
          <w:color w:val="231F20"/>
        </w:rPr>
        <w:t>following departments</w:t>
      </w:r>
      <w:r w:rsidR="00CA09F3">
        <w:rPr>
          <w:color w:val="231F20"/>
        </w:rPr>
        <w:t xml:space="preserve"> support E</w:t>
      </w:r>
      <w:r w:rsidR="00CC77FB">
        <w:rPr>
          <w:color w:val="231F20"/>
        </w:rPr>
        <w:t>E</w:t>
      </w:r>
      <w:r w:rsidR="00CA09F3">
        <w:rPr>
          <w:color w:val="231F20"/>
        </w:rPr>
        <w:t xml:space="preserve"> programs.</w:t>
      </w:r>
    </w:p>
    <w:p w14:paraId="0CBC4767" w14:textId="77777777" w:rsidR="00CA09F3" w:rsidRPr="00CA09F3" w:rsidRDefault="00A261F4" w:rsidP="00CA09F3">
      <w:pPr>
        <w:pStyle w:val="ListParagraph"/>
        <w:numPr>
          <w:ilvl w:val="1"/>
          <w:numId w:val="5"/>
        </w:numPr>
        <w:tabs>
          <w:tab w:val="left" w:pos="1561"/>
        </w:tabs>
        <w:spacing w:before="9"/>
        <w:ind w:right="173"/>
      </w:pPr>
      <w:r w:rsidRPr="00E95787">
        <w:rPr>
          <w:color w:val="231F20"/>
        </w:rPr>
        <w:t>IT department provides support for EE as required as it relates to EE systems support.</w:t>
      </w:r>
    </w:p>
    <w:p w14:paraId="036C35D9" w14:textId="3D6544D7" w:rsidR="00BB2978" w:rsidRPr="00BB2978" w:rsidRDefault="00963D7E" w:rsidP="00CA09F3">
      <w:pPr>
        <w:pStyle w:val="ListParagraph"/>
        <w:numPr>
          <w:ilvl w:val="1"/>
          <w:numId w:val="5"/>
        </w:numPr>
        <w:tabs>
          <w:tab w:val="left" w:pos="1561"/>
        </w:tabs>
        <w:spacing w:before="9"/>
        <w:ind w:right="173"/>
      </w:pPr>
      <w:r w:rsidRPr="00E95787">
        <w:rPr>
          <w:color w:val="231F20"/>
        </w:rPr>
        <w:t xml:space="preserve">Marketing </w:t>
      </w:r>
      <w:r w:rsidR="00377B93">
        <w:rPr>
          <w:color w:val="231F20"/>
        </w:rPr>
        <w:t>&amp; Communications</w:t>
      </w:r>
      <w:r w:rsidR="007C3356">
        <w:rPr>
          <w:color w:val="231F20"/>
        </w:rPr>
        <w:t xml:space="preserve"> </w:t>
      </w:r>
      <w:r w:rsidRPr="00E95787">
        <w:rPr>
          <w:color w:val="231F20"/>
        </w:rPr>
        <w:t xml:space="preserve">oversees the company's various marketing initiatives, research and analysis. It supports the EE Marketing Education &amp; Outreach (ME&amp;O) efforts. </w:t>
      </w:r>
    </w:p>
    <w:p w14:paraId="4044B9DC" w14:textId="710ED3BB" w:rsidR="00963D7E" w:rsidRPr="00E95787" w:rsidRDefault="00BB2978" w:rsidP="00CA09F3">
      <w:pPr>
        <w:pStyle w:val="ListParagraph"/>
        <w:numPr>
          <w:ilvl w:val="1"/>
          <w:numId w:val="5"/>
        </w:numPr>
        <w:tabs>
          <w:tab w:val="left" w:pos="1561"/>
        </w:tabs>
        <w:spacing w:before="9"/>
        <w:ind w:right="173"/>
      </w:pPr>
      <w:r>
        <w:rPr>
          <w:color w:val="231F20"/>
        </w:rPr>
        <w:t xml:space="preserve">Marketing </w:t>
      </w:r>
      <w:r w:rsidR="00265506">
        <w:rPr>
          <w:color w:val="231F20"/>
        </w:rPr>
        <w:t>Analytics</w:t>
      </w:r>
      <w:r w:rsidR="00963D7E" w:rsidRPr="00E95787">
        <w:rPr>
          <w:color w:val="231F20"/>
        </w:rPr>
        <w:t xml:space="preserve"> may provide support for various customer surveys to support EE</w:t>
      </w:r>
      <w:r w:rsidR="00963D7E" w:rsidRPr="00E95787">
        <w:rPr>
          <w:color w:val="231F20"/>
          <w:spacing w:val="-19"/>
        </w:rPr>
        <w:t xml:space="preserve"> </w:t>
      </w:r>
      <w:r w:rsidR="00963D7E" w:rsidRPr="00E95787">
        <w:rPr>
          <w:color w:val="231F20"/>
        </w:rPr>
        <w:t>programs.</w:t>
      </w:r>
    </w:p>
    <w:p w14:paraId="4BEABB3F" w14:textId="3F0587E2" w:rsidR="00107CED" w:rsidRDefault="00A261F4" w:rsidP="00265506">
      <w:pPr>
        <w:pStyle w:val="BodyText"/>
        <w:numPr>
          <w:ilvl w:val="0"/>
          <w:numId w:val="5"/>
        </w:numPr>
        <w:spacing w:before="119"/>
        <w:ind w:right="405"/>
        <w:jc w:val="both"/>
      </w:pPr>
      <w:r>
        <w:rPr>
          <w:color w:val="231F20"/>
        </w:rPr>
        <w:t xml:space="preserve">Additional departments that support EE but do not bill to EE (not exhaustive) are Accounting (including Accounts Payable), Human Resources, Regulatory Case Management, </w:t>
      </w:r>
      <w:r w:rsidR="007C3356">
        <w:rPr>
          <w:color w:val="231F20"/>
        </w:rPr>
        <w:t xml:space="preserve">Legal </w:t>
      </w:r>
      <w:r>
        <w:rPr>
          <w:color w:val="231F20"/>
        </w:rPr>
        <w:t>and Supply Management.  These activities are covered through SDG&amp;E's GRC.</w:t>
      </w:r>
    </w:p>
    <w:p w14:paraId="4BEABB40" w14:textId="551F2A1A" w:rsidR="00107CED" w:rsidRPr="00CC77FB" w:rsidRDefault="00524028" w:rsidP="00524028">
      <w:pPr>
        <w:pStyle w:val="ListParagraph"/>
        <w:rPr>
          <w:b/>
        </w:rPr>
      </w:pPr>
      <w:r w:rsidRPr="00CC77FB">
        <w:rPr>
          <w:b/>
        </w:rPr>
        <w:t>2.</w:t>
      </w:r>
      <w:r w:rsidRPr="00CC77FB">
        <w:rPr>
          <w:b/>
        </w:rPr>
        <w:tab/>
      </w:r>
      <w:r w:rsidR="00A261F4" w:rsidRPr="00CC77FB">
        <w:rPr>
          <w:b/>
        </w:rPr>
        <w:t>Management structure and org chart SDG&amp;E</w:t>
      </w:r>
      <w:r w:rsidR="00A261F4" w:rsidRPr="00CC77FB">
        <w:rPr>
          <w:b/>
          <w:spacing w:val="-14"/>
        </w:rPr>
        <w:t xml:space="preserve"> </w:t>
      </w:r>
      <w:r w:rsidR="00A261F4" w:rsidRPr="00CC77FB">
        <w:rPr>
          <w:b/>
        </w:rPr>
        <w:t>Response:</w:t>
      </w:r>
    </w:p>
    <w:p w14:paraId="2F2F6BF8" w14:textId="77777777" w:rsidR="007D7375" w:rsidRPr="00523AAF" w:rsidRDefault="007D7375" w:rsidP="007D7375">
      <w:pPr>
        <w:rPr>
          <w:b/>
        </w:rPr>
      </w:pPr>
      <w:r w:rsidRPr="00523AAF">
        <w:rPr>
          <w:b/>
        </w:rPr>
        <w:t>SDG&amp;E</w:t>
      </w:r>
      <w:r w:rsidRPr="00523AAF">
        <w:rPr>
          <w:b/>
          <w:spacing w:val="-14"/>
        </w:rPr>
        <w:t xml:space="preserve"> </w:t>
      </w:r>
      <w:r w:rsidRPr="00523AAF">
        <w:rPr>
          <w:b/>
        </w:rPr>
        <w:t>Response:</w:t>
      </w:r>
    </w:p>
    <w:p w14:paraId="4BEABB41" w14:textId="4B288F04" w:rsidR="00107CED" w:rsidRDefault="00A261F4" w:rsidP="00F459C6">
      <w:pPr>
        <w:pStyle w:val="NormalIndent"/>
      </w:pPr>
      <w:r>
        <w:rPr>
          <w:color w:val="231F20"/>
        </w:rPr>
        <w:t xml:space="preserve">See Exhibit </w:t>
      </w:r>
      <w:r w:rsidR="00774AB4">
        <w:rPr>
          <w:color w:val="231F20"/>
        </w:rPr>
        <w:t>A</w:t>
      </w:r>
      <w:r>
        <w:rPr>
          <w:color w:val="231F20"/>
        </w:rPr>
        <w:t xml:space="preserve"> for the </w:t>
      </w:r>
      <w:r w:rsidR="00774AB4">
        <w:rPr>
          <w:color w:val="231F20"/>
        </w:rPr>
        <w:t>2019</w:t>
      </w:r>
      <w:r>
        <w:rPr>
          <w:color w:val="231F20"/>
        </w:rPr>
        <w:t xml:space="preserve"> EE Management organization </w:t>
      </w:r>
      <w:r w:rsidR="00D00E44">
        <w:rPr>
          <w:color w:val="231F20"/>
        </w:rPr>
        <w:t>charts.</w:t>
      </w:r>
      <w:r w:rsidR="00094602">
        <w:rPr>
          <w:w w:val="105"/>
        </w:rPr>
        <w:t xml:space="preserve">  This is the SDG&amp;E EE organization as of this filing September 3, 2019.</w:t>
      </w:r>
    </w:p>
    <w:p w14:paraId="4BEABB43" w14:textId="05C270A6" w:rsidR="00107CED" w:rsidRPr="00CC77FB" w:rsidRDefault="007D7375" w:rsidP="007D7375">
      <w:pPr>
        <w:pStyle w:val="ListParagraph"/>
        <w:rPr>
          <w:b/>
        </w:rPr>
      </w:pPr>
      <w:r w:rsidRPr="00CC77FB">
        <w:rPr>
          <w:b/>
        </w:rPr>
        <w:t>3.</w:t>
      </w:r>
      <w:r w:rsidRPr="00CC77FB">
        <w:rPr>
          <w:b/>
        </w:rPr>
        <w:tab/>
      </w:r>
      <w:r w:rsidR="00A261F4" w:rsidRPr="00CC77FB">
        <w:rPr>
          <w:b/>
        </w:rPr>
        <w:t>Staffing needs by department/organization, including current and forecast for 20</w:t>
      </w:r>
      <w:r w:rsidR="0025007B" w:rsidRPr="00CC77FB">
        <w:rPr>
          <w:b/>
        </w:rPr>
        <w:t>20</w:t>
      </w:r>
      <w:r w:rsidR="00A261F4" w:rsidRPr="00CC77FB">
        <w:rPr>
          <w:b/>
        </w:rPr>
        <w:t>, as well as a description of what changes are expected in the near term (2019-2020) or why it's impossible to predict beyond 201</w:t>
      </w:r>
      <w:r w:rsidR="0025007B" w:rsidRPr="00CC77FB">
        <w:rPr>
          <w:b/>
        </w:rPr>
        <w:t>9</w:t>
      </w:r>
      <w:r w:rsidR="00A261F4" w:rsidRPr="00CC77FB">
        <w:rPr>
          <w:b/>
        </w:rPr>
        <w:t>, if that's the PA's</w:t>
      </w:r>
      <w:r w:rsidR="00A261F4" w:rsidRPr="00CC77FB">
        <w:rPr>
          <w:b/>
          <w:spacing w:val="5"/>
        </w:rPr>
        <w:t xml:space="preserve"> </w:t>
      </w:r>
      <w:r w:rsidR="00A261F4" w:rsidRPr="00CC77FB">
        <w:rPr>
          <w:b/>
        </w:rPr>
        <w:t>position.</w:t>
      </w:r>
    </w:p>
    <w:p w14:paraId="4BEABB45" w14:textId="77777777" w:rsidR="00107CED" w:rsidRDefault="00A261F4">
      <w:pPr>
        <w:ind w:left="120"/>
        <w:rPr>
          <w:b/>
          <w:sz w:val="24"/>
        </w:rPr>
      </w:pPr>
      <w:r>
        <w:rPr>
          <w:b/>
          <w:color w:val="231F20"/>
          <w:sz w:val="24"/>
        </w:rPr>
        <w:t>SDG&amp;E Response:</w:t>
      </w:r>
    </w:p>
    <w:p w14:paraId="3EAA109A" w14:textId="64B58DBD" w:rsidR="00B14783" w:rsidRDefault="00381703" w:rsidP="00A3116E">
      <w:pPr>
        <w:pStyle w:val="NormalIndent"/>
      </w:pPr>
      <w:r>
        <w:t xml:space="preserve">As reflected in </w:t>
      </w:r>
      <w:r w:rsidR="00DC43D0">
        <w:t xml:space="preserve">the Portfolio FTE </w:t>
      </w:r>
      <w:r w:rsidR="00DB3C58">
        <w:t xml:space="preserve">Program Year 2020 </w:t>
      </w:r>
      <w:r w:rsidR="00DC43D0">
        <w:t xml:space="preserve">forecast, there is </w:t>
      </w:r>
      <w:r w:rsidR="00A74BE4">
        <w:t>natural</w:t>
      </w:r>
      <w:r w:rsidR="00B37845">
        <w:t xml:space="preserve"> attrition</w:t>
      </w:r>
      <w:r w:rsidR="00DC43D0">
        <w:t xml:space="preserve"> in FTE</w:t>
      </w:r>
      <w:r w:rsidR="00B14783">
        <w:t>s, which continue to occur due to employee movements within the company, retirements and departures.</w:t>
      </w:r>
      <w:r w:rsidR="00B37845">
        <w:t xml:space="preserve">  In addition, program administration needs will change </w:t>
      </w:r>
      <w:r w:rsidR="002B1D05">
        <w:t xml:space="preserve">as new </w:t>
      </w:r>
      <w:r w:rsidR="00F459C6">
        <w:t>Third Party</w:t>
      </w:r>
      <w:r w:rsidR="00F459C6">
        <w:t xml:space="preserve"> </w:t>
      </w:r>
      <w:r w:rsidR="002B1D05">
        <w:t xml:space="preserve">programs begin implementation.  Their implementation may include program </w:t>
      </w:r>
      <w:r w:rsidR="002B1D05" w:rsidRPr="00F459C6">
        <w:t>implementation</w:t>
      </w:r>
      <w:r w:rsidR="002B1D05">
        <w:t xml:space="preserve"> support, e.g., processing, inspections, </w:t>
      </w:r>
      <w:r w:rsidR="00DD494B">
        <w:t xml:space="preserve">account representative services, etc. to which SDG&amp;E will need to </w:t>
      </w:r>
      <w:r w:rsidR="00DD494B">
        <w:lastRenderedPageBreak/>
        <w:t xml:space="preserve">adjust its own in-house </w:t>
      </w:r>
      <w:r w:rsidR="00C65DC4">
        <w:t>activities.</w:t>
      </w:r>
    </w:p>
    <w:p w14:paraId="6B89A0F2" w14:textId="4EA53575" w:rsidR="00381703" w:rsidRDefault="00847F85" w:rsidP="00F459C6">
      <w:pPr>
        <w:pStyle w:val="NormalIndent"/>
      </w:pPr>
      <w:r>
        <w:t xml:space="preserve">It </w:t>
      </w:r>
      <w:r w:rsidR="00C65DC4">
        <w:t>s</w:t>
      </w:r>
      <w:r>
        <w:t xml:space="preserve">hould be noted that 2020 </w:t>
      </w:r>
      <w:r w:rsidR="00DB3C58">
        <w:t xml:space="preserve">will be the first year of transitioning </w:t>
      </w:r>
      <w:r w:rsidR="00231FF7">
        <w:t xml:space="preserve">several programs to Third Party program implementation.  In addition, </w:t>
      </w:r>
      <w:r w:rsidR="000C3D3B">
        <w:t>PG&amp;E anticipates that t</w:t>
      </w:r>
      <w:r w:rsidR="00231FF7">
        <w:t xml:space="preserve">he Statewide </w:t>
      </w:r>
      <w:r w:rsidR="00F459C6">
        <w:t>Third Party</w:t>
      </w:r>
      <w:r w:rsidR="000C3D3B">
        <w:t xml:space="preserve"> </w:t>
      </w:r>
      <w:r w:rsidR="00231FF7">
        <w:t xml:space="preserve">Codes &amp; Standards </w:t>
      </w:r>
      <w:r w:rsidR="000C3D3B">
        <w:t xml:space="preserve">and </w:t>
      </w:r>
      <w:r w:rsidR="007C3356">
        <w:t xml:space="preserve">New Construction </w:t>
      </w:r>
      <w:r w:rsidR="00231FF7">
        <w:t xml:space="preserve">programs </w:t>
      </w:r>
      <w:r w:rsidR="000C3D3B">
        <w:t xml:space="preserve">will be in place.  </w:t>
      </w:r>
      <w:r w:rsidR="00A261F4">
        <w:t xml:space="preserve">SDG&amp;E </w:t>
      </w:r>
      <w:r w:rsidR="000C3D3B">
        <w:t xml:space="preserve">anticipates that there will still be transitioning activities that will need to take place </w:t>
      </w:r>
      <w:r w:rsidR="00A4361E">
        <w:t xml:space="preserve">in the beginning of implementation that for the most part will not occur until </w:t>
      </w:r>
      <w:r w:rsidR="007F0E51">
        <w:t xml:space="preserve">Q3 </w:t>
      </w:r>
      <w:r w:rsidR="00381703">
        <w:t xml:space="preserve">2020 at the earliest.  </w:t>
      </w:r>
      <w:r>
        <w:t xml:space="preserve">Clear </w:t>
      </w:r>
      <w:r w:rsidR="00B56740">
        <w:t>staffing needs will not be final until the full deployment of solicitations and completion of outsourcing the portfolio in 2022.</w:t>
      </w:r>
    </w:p>
    <w:p w14:paraId="4BEABB49" w14:textId="76C086BF" w:rsidR="00107CED" w:rsidRPr="00CC77FB" w:rsidRDefault="008A4221" w:rsidP="008A4221">
      <w:pPr>
        <w:pStyle w:val="ListParagraph"/>
        <w:rPr>
          <w:b/>
        </w:rPr>
      </w:pPr>
      <w:r w:rsidRPr="00CC77FB">
        <w:rPr>
          <w:b/>
        </w:rPr>
        <w:t>4.</w:t>
      </w:r>
      <w:r w:rsidRPr="00CC77FB">
        <w:rPr>
          <w:b/>
        </w:rPr>
        <w:tab/>
      </w:r>
      <w:r w:rsidR="00A261F4" w:rsidRPr="00CC77FB">
        <w:rPr>
          <w:b/>
        </w:rPr>
        <w:t>Non-program functions currently performed by contractors (e.g. advisory consultants), as well as a description of what changes are expected in the near term (2019-2020) or why it's impossible to predict beyond 2018, if that's the PA's</w:t>
      </w:r>
      <w:r w:rsidR="00A261F4" w:rsidRPr="00CC77FB">
        <w:rPr>
          <w:b/>
          <w:spacing w:val="16"/>
        </w:rPr>
        <w:t xml:space="preserve"> </w:t>
      </w:r>
      <w:r w:rsidR="00A261F4" w:rsidRPr="00CC77FB">
        <w:rPr>
          <w:b/>
        </w:rPr>
        <w:t>position.</w:t>
      </w:r>
    </w:p>
    <w:p w14:paraId="4BEABB4B" w14:textId="77777777" w:rsidR="00107CED" w:rsidRDefault="00A261F4">
      <w:pPr>
        <w:spacing w:before="1"/>
        <w:ind w:left="120"/>
        <w:rPr>
          <w:b/>
          <w:sz w:val="24"/>
        </w:rPr>
      </w:pPr>
      <w:r>
        <w:rPr>
          <w:b/>
          <w:color w:val="231F20"/>
          <w:sz w:val="24"/>
        </w:rPr>
        <w:t>SDG&amp;E Response:</w:t>
      </w:r>
    </w:p>
    <w:p w14:paraId="229F42CB" w14:textId="4146AF59" w:rsidR="00440080" w:rsidRPr="009F3A51" w:rsidRDefault="00A261F4" w:rsidP="00F459C6">
      <w:pPr>
        <w:pStyle w:val="NormalIndent"/>
      </w:pPr>
      <w:r>
        <w:t xml:space="preserve">SDG&amp;E </w:t>
      </w:r>
      <w:r w:rsidR="009F3A51">
        <w:t xml:space="preserve">continues to </w:t>
      </w:r>
      <w:r>
        <w:t xml:space="preserve">contract with various consultants who provide a variety of EE support services, including, but not limited to, engineering, reporting, portfolio analytics and forecasting, IT, rebate </w:t>
      </w:r>
      <w:r w:rsidRPr="00F459C6">
        <w:t>processing</w:t>
      </w:r>
      <w:r>
        <w:t xml:space="preserve"> support, marketing, EM&amp;V (e.g., process evaluations, customer surveys, etc.), and EE employee development.</w:t>
      </w:r>
    </w:p>
    <w:p w14:paraId="49907136" w14:textId="44BAF7F1" w:rsidR="003649FB" w:rsidRPr="00CC77FB" w:rsidRDefault="004E21A8" w:rsidP="004E21A8">
      <w:pPr>
        <w:pStyle w:val="ListParagraph"/>
        <w:rPr>
          <w:b/>
        </w:rPr>
      </w:pPr>
      <w:r w:rsidRPr="00CC77FB">
        <w:rPr>
          <w:b/>
        </w:rPr>
        <w:t>5.</w:t>
      </w:r>
      <w:r w:rsidRPr="00CC77FB">
        <w:rPr>
          <w:b/>
        </w:rPr>
        <w:tab/>
      </w:r>
      <w:r w:rsidR="00A261F4" w:rsidRPr="00CC77FB">
        <w:rPr>
          <w:b/>
        </w:rPr>
        <w:t>Anticipated drivers of in-house cost changes by department/organization</w:t>
      </w:r>
      <w:r w:rsidR="007F0E51">
        <w:rPr>
          <w:b/>
        </w:rPr>
        <w:t>.</w:t>
      </w:r>
      <w:r w:rsidR="00A261F4" w:rsidRPr="00CC77FB">
        <w:rPr>
          <w:b/>
        </w:rPr>
        <w:t xml:space="preserve"> </w:t>
      </w:r>
    </w:p>
    <w:p w14:paraId="4BEABB55" w14:textId="688B783B" w:rsidR="00107CED" w:rsidRPr="00F459C6" w:rsidRDefault="00A261F4" w:rsidP="003649FB">
      <w:pPr>
        <w:spacing w:before="1"/>
        <w:ind w:left="120"/>
        <w:rPr>
          <w:b/>
          <w:color w:val="231F20"/>
          <w:sz w:val="24"/>
        </w:rPr>
      </w:pPr>
      <w:bookmarkStart w:id="4" w:name="_Hlk18329785"/>
      <w:r w:rsidRPr="00F459C6">
        <w:rPr>
          <w:b/>
          <w:color w:val="231F20"/>
          <w:sz w:val="24"/>
        </w:rPr>
        <w:t>SDG&amp;E Response:</w:t>
      </w:r>
    </w:p>
    <w:bookmarkEnd w:id="4"/>
    <w:p w14:paraId="4BEABB56" w14:textId="71FBA666" w:rsidR="00107CED" w:rsidRDefault="00C65DC4" w:rsidP="00F459C6">
      <w:pPr>
        <w:pStyle w:val="NormalIndent"/>
      </w:pPr>
      <w:r>
        <w:t>Please refer to response to Question 3 above.</w:t>
      </w:r>
    </w:p>
    <w:p w14:paraId="4BEABB58" w14:textId="5931804D" w:rsidR="00107CED" w:rsidRPr="00CC77FB" w:rsidRDefault="00FF513A" w:rsidP="00FF513A">
      <w:pPr>
        <w:pStyle w:val="ListParagraph"/>
        <w:rPr>
          <w:b/>
        </w:rPr>
      </w:pPr>
      <w:r w:rsidRPr="00CC77FB">
        <w:rPr>
          <w:b/>
        </w:rPr>
        <w:t>6.</w:t>
      </w:r>
      <w:r w:rsidRPr="00CC77FB">
        <w:rPr>
          <w:b/>
        </w:rPr>
        <w:tab/>
      </w:r>
      <w:r w:rsidR="00A261F4" w:rsidRPr="00CC77FB">
        <w:rPr>
          <w:b/>
        </w:rPr>
        <w:t xml:space="preserve">Explanation of method for forecasting costs </w:t>
      </w:r>
    </w:p>
    <w:p w14:paraId="41018542" w14:textId="77777777" w:rsidR="00FF513A" w:rsidRPr="003649FB" w:rsidRDefault="00FF513A" w:rsidP="00FF513A">
      <w:pPr>
        <w:spacing w:before="1"/>
        <w:ind w:left="120"/>
        <w:rPr>
          <w:b/>
          <w:color w:val="231F20"/>
          <w:sz w:val="24"/>
        </w:rPr>
      </w:pPr>
      <w:r w:rsidRPr="003649FB">
        <w:rPr>
          <w:b/>
          <w:color w:val="231F20"/>
          <w:sz w:val="24"/>
        </w:rPr>
        <w:t>SDG&amp;E Response:</w:t>
      </w:r>
    </w:p>
    <w:p w14:paraId="51FD0D32" w14:textId="4CB01629" w:rsidR="001043BC" w:rsidRPr="001043BC" w:rsidRDefault="001043BC" w:rsidP="00F459C6">
      <w:pPr>
        <w:pStyle w:val="NormalIndent"/>
      </w:pPr>
      <w:r w:rsidRPr="001043BC">
        <w:t xml:space="preserve">SDG&amp;E provided the various assumptions it used for its 2020 forecast in the section “2020 PORTFOLIO AND BUSINESS SECTOR CHANGES” </w:t>
      </w:r>
      <w:r w:rsidR="00BD0AEB">
        <w:t>in the Advice Letter.</w:t>
      </w:r>
      <w:r w:rsidRPr="001043BC">
        <w:t xml:space="preserve">  The following illustration summarizes the various planning steps SDG&amp;E undertook to develop its proposed 2020 portfolio.</w:t>
      </w:r>
    </w:p>
    <w:p w14:paraId="73F00769" w14:textId="1C4896D0" w:rsidR="001043BC" w:rsidRPr="001043BC" w:rsidRDefault="001043BC" w:rsidP="001043BC">
      <w:pPr>
        <w:pStyle w:val="BodyText"/>
        <w:spacing w:before="7"/>
        <w:rPr>
          <w:color w:val="231F20"/>
        </w:rPr>
      </w:pPr>
      <w:r w:rsidRPr="001043BC">
        <w:rPr>
          <w:color w:val="231F20"/>
        </w:rPr>
        <w:t xml:space="preserve"> </w:t>
      </w:r>
      <w:r w:rsidR="00FF513A">
        <w:rPr>
          <w:noProof/>
          <w:color w:val="231F20"/>
        </w:rPr>
        <w:drawing>
          <wp:inline distT="0" distB="0" distL="0" distR="0" wp14:anchorId="32D25B5C" wp14:editId="52337CD3">
            <wp:extent cx="5944235" cy="25177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4235" cy="2517775"/>
                    </a:xfrm>
                    <a:prstGeom prst="rect">
                      <a:avLst/>
                    </a:prstGeom>
                    <a:noFill/>
                  </pic:spPr>
                </pic:pic>
              </a:graphicData>
            </a:graphic>
          </wp:inline>
        </w:drawing>
      </w:r>
    </w:p>
    <w:p w14:paraId="4BEABB5C" w14:textId="169280F9" w:rsidR="00107CED" w:rsidRDefault="001C4C81" w:rsidP="00A432D7">
      <w:pPr>
        <w:pStyle w:val="Heading2"/>
      </w:pPr>
      <w:bookmarkStart w:id="5" w:name="_Toc18364748"/>
      <w:r>
        <w:lastRenderedPageBreak/>
        <w:t>B.</w:t>
      </w:r>
      <w:r>
        <w:tab/>
      </w:r>
      <w:r w:rsidR="00A261F4">
        <w:t>Table</w:t>
      </w:r>
      <w:r w:rsidR="00A261F4">
        <w:rPr>
          <w:spacing w:val="-9"/>
        </w:rPr>
        <w:t xml:space="preserve"> </w:t>
      </w:r>
      <w:r>
        <w:t>S</w:t>
      </w:r>
      <w:r w:rsidR="00A261F4">
        <w:t>howing</w:t>
      </w:r>
      <w:r w:rsidR="00A261F4">
        <w:rPr>
          <w:spacing w:val="-9"/>
        </w:rPr>
        <w:t xml:space="preserve"> </w:t>
      </w:r>
      <w:r w:rsidR="00A261F4">
        <w:t>PA</w:t>
      </w:r>
      <w:r w:rsidR="00A261F4">
        <w:rPr>
          <w:spacing w:val="-8"/>
        </w:rPr>
        <w:t xml:space="preserve"> </w:t>
      </w:r>
      <w:r w:rsidR="00A261F4">
        <w:t>EE</w:t>
      </w:r>
      <w:r w:rsidR="00A261F4">
        <w:rPr>
          <w:spacing w:val="-9"/>
        </w:rPr>
        <w:t xml:space="preserve"> </w:t>
      </w:r>
      <w:r w:rsidR="00A261F4">
        <w:t>"Full</w:t>
      </w:r>
      <w:r w:rsidR="00A261F4">
        <w:rPr>
          <w:spacing w:val="-9"/>
        </w:rPr>
        <w:t xml:space="preserve"> </w:t>
      </w:r>
      <w:r w:rsidR="00A261F4">
        <w:t>Time</w:t>
      </w:r>
      <w:r w:rsidR="00A261F4">
        <w:rPr>
          <w:spacing w:val="-9"/>
        </w:rPr>
        <w:t xml:space="preserve"> </w:t>
      </w:r>
      <w:r w:rsidR="00A261F4">
        <w:t>Equivalent"</w:t>
      </w:r>
      <w:r w:rsidR="00A261F4">
        <w:rPr>
          <w:spacing w:val="-9"/>
        </w:rPr>
        <w:t xml:space="preserve"> </w:t>
      </w:r>
      <w:r>
        <w:t>H</w:t>
      </w:r>
      <w:r w:rsidR="00A261F4">
        <w:t>eadcount</w:t>
      </w:r>
      <w:r w:rsidR="00A261F4">
        <w:rPr>
          <w:spacing w:val="-9"/>
        </w:rPr>
        <w:t xml:space="preserve"> </w:t>
      </w:r>
      <w:r w:rsidR="00A261F4">
        <w:t xml:space="preserve">by </w:t>
      </w:r>
      <w:r>
        <w:t>D</w:t>
      </w:r>
      <w:r w:rsidR="00A261F4">
        <w:t>epartment/</w:t>
      </w:r>
      <w:r w:rsidR="00F1063D">
        <w:t>O</w:t>
      </w:r>
      <w:r w:rsidR="00A261F4">
        <w:t>rganization</w:t>
      </w:r>
      <w:bookmarkEnd w:id="5"/>
    </w:p>
    <w:p w14:paraId="4BEABB60" w14:textId="203C044A" w:rsidR="00107CED" w:rsidRPr="007C193F" w:rsidRDefault="00A261F4" w:rsidP="006122E8">
      <w:pPr>
        <w:pStyle w:val="ListParagraph"/>
        <w:numPr>
          <w:ilvl w:val="0"/>
          <w:numId w:val="4"/>
        </w:numPr>
        <w:tabs>
          <w:tab w:val="left" w:pos="701"/>
        </w:tabs>
        <w:ind w:right="110" w:firstLine="0"/>
        <w:jc w:val="left"/>
        <w:rPr>
          <w:b/>
        </w:rPr>
      </w:pPr>
      <w:r w:rsidRPr="007C193F">
        <w:rPr>
          <w:b/>
          <w:color w:val="231F20"/>
        </w:rPr>
        <w:t>TURN and ORA like this example, taken from testimony PG&amp;E's 2017 GRC addressing its Energy Procurement department. We would be looking for 2016 or 2017 "recorded" positions, depending on what's most appropriate for the PA, or both, if</w:t>
      </w:r>
      <w:r w:rsidRPr="007C193F">
        <w:rPr>
          <w:b/>
          <w:color w:val="231F20"/>
          <w:spacing w:val="-27"/>
        </w:rPr>
        <w:t xml:space="preserve"> </w:t>
      </w:r>
      <w:r w:rsidRPr="007C193F">
        <w:rPr>
          <w:b/>
          <w:color w:val="231F20"/>
        </w:rPr>
        <w:t>that provides the most clarity.  For forecast years, we'd want at least</w:t>
      </w:r>
      <w:r w:rsidRPr="007C193F">
        <w:rPr>
          <w:b/>
          <w:color w:val="231F20"/>
          <w:spacing w:val="-7"/>
        </w:rPr>
        <w:t xml:space="preserve"> </w:t>
      </w:r>
      <w:r w:rsidRPr="007C193F">
        <w:rPr>
          <w:b/>
          <w:color w:val="231F20"/>
        </w:rPr>
        <w:t>2018.</w:t>
      </w:r>
      <w:r w:rsidR="007C193F" w:rsidRPr="007C193F">
        <w:rPr>
          <w:b/>
          <w:color w:val="231F20"/>
        </w:rPr>
        <w:t xml:space="preserve">  </w:t>
      </w:r>
      <w:r w:rsidRPr="007C193F">
        <w:rPr>
          <w:b/>
        </w:rPr>
        <w:t>Note, if PA</w:t>
      </w:r>
      <w:r w:rsidR="00D72E0F" w:rsidRPr="007C193F">
        <w:rPr>
          <w:b/>
        </w:rPr>
        <w:t>’</w:t>
      </w:r>
      <w:r w:rsidRPr="007C193F">
        <w:rPr>
          <w:b/>
        </w:rPr>
        <w:t>s FTE needs change, these changes can be made without reporting or seeking CPUC approval</w:t>
      </w:r>
      <w:r w:rsidR="007C193F">
        <w:rPr>
          <w:b/>
        </w:rPr>
        <w:t>.</w:t>
      </w:r>
    </w:p>
    <w:p w14:paraId="4BEABB62" w14:textId="77777777" w:rsidR="00107CED" w:rsidRDefault="00A261F4">
      <w:pPr>
        <w:pStyle w:val="BodyText"/>
        <w:ind w:left="815"/>
        <w:rPr>
          <w:sz w:val="20"/>
        </w:rPr>
      </w:pPr>
      <w:r>
        <w:rPr>
          <w:noProof/>
          <w:sz w:val="20"/>
        </w:rPr>
        <w:drawing>
          <wp:inline distT="0" distB="0" distL="0" distR="0" wp14:anchorId="4BEABFB4" wp14:editId="55E0F3EF">
            <wp:extent cx="5690247" cy="3023235"/>
            <wp:effectExtent l="0" t="0" r="5715" b="5715"/>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4" cstate="print"/>
                    <a:stretch>
                      <a:fillRect/>
                    </a:stretch>
                  </pic:blipFill>
                  <pic:spPr>
                    <a:xfrm>
                      <a:off x="0" y="0"/>
                      <a:ext cx="5692846" cy="3024616"/>
                    </a:xfrm>
                    <a:prstGeom prst="rect">
                      <a:avLst/>
                    </a:prstGeom>
                  </pic:spPr>
                </pic:pic>
              </a:graphicData>
            </a:graphic>
          </wp:inline>
        </w:drawing>
      </w:r>
    </w:p>
    <w:p w14:paraId="4BEABB63" w14:textId="77777777" w:rsidR="00107CED" w:rsidRDefault="00107CED">
      <w:pPr>
        <w:pStyle w:val="BodyText"/>
        <w:spacing w:before="9"/>
        <w:rPr>
          <w:sz w:val="12"/>
        </w:rPr>
      </w:pPr>
    </w:p>
    <w:p w14:paraId="4BEABB64" w14:textId="77777777" w:rsidR="00107CED" w:rsidRDefault="00A261F4">
      <w:pPr>
        <w:pStyle w:val="Heading3"/>
        <w:spacing w:before="90"/>
      </w:pPr>
      <w:bookmarkStart w:id="6" w:name="_Toc18364749"/>
      <w:r>
        <w:rPr>
          <w:color w:val="231F20"/>
        </w:rPr>
        <w:t>SDG&amp;E Response:</w:t>
      </w:r>
      <w:bookmarkEnd w:id="6"/>
    </w:p>
    <w:p w14:paraId="4BEABB65" w14:textId="5CAF4773" w:rsidR="00107CED" w:rsidRDefault="00A261F4" w:rsidP="00F459C6">
      <w:pPr>
        <w:pStyle w:val="NormalIndent"/>
      </w:pPr>
      <w:r>
        <w:t xml:space="preserve">Please refer to </w:t>
      </w:r>
      <w:r w:rsidR="00A1229E">
        <w:t>Attachment A</w:t>
      </w:r>
      <w:r w:rsidR="009B6AA7">
        <w:t xml:space="preserve"> for the following worksheets</w:t>
      </w:r>
      <w:r w:rsidR="001020AE">
        <w:t>:</w:t>
      </w:r>
      <w:r w:rsidR="009E6C65">
        <w:t xml:space="preserve"> Function Definitions</w:t>
      </w:r>
      <w:r w:rsidR="00796658">
        <w:t xml:space="preserve"> and </w:t>
      </w:r>
      <w:r w:rsidR="009E6C65">
        <w:t>Table</w:t>
      </w:r>
      <w:r w:rsidR="009B6AA7">
        <w:t xml:space="preserve"> </w:t>
      </w:r>
      <w:r>
        <w:t xml:space="preserve"> </w:t>
      </w:r>
      <w:r w:rsidR="00796658">
        <w:t>10 Portfolio FTE</w:t>
      </w:r>
      <w:r w:rsidR="00546921">
        <w:t>.</w:t>
      </w:r>
      <w:r w:rsidR="007E47DB">
        <w:t xml:space="preserve">  </w:t>
      </w:r>
      <w:r>
        <w:t>This table provides the full-time equivalents (FTEs) for 20</w:t>
      </w:r>
      <w:r w:rsidR="009733A9">
        <w:t>18</w:t>
      </w:r>
      <w:r>
        <w:t xml:space="preserve"> and 20</w:t>
      </w:r>
      <w:r w:rsidR="009733A9">
        <w:t>20</w:t>
      </w:r>
      <w:r>
        <w:t>. SDG&amp;E calculated only productive hours, since the Vacation &amp; Sick Leave (V&amp;S) is covered separately but will be represented in the fully loaded value of the various FTEs.  SDG&amp;E calculated an FTE as follows:</w:t>
      </w:r>
    </w:p>
    <w:p w14:paraId="4BEABB66" w14:textId="77777777" w:rsidR="00107CED" w:rsidRDefault="00A261F4">
      <w:pPr>
        <w:pStyle w:val="BodyText"/>
        <w:ind w:left="820"/>
      </w:pPr>
      <w:r>
        <w:rPr>
          <w:color w:val="231F20"/>
        </w:rPr>
        <w:t>The productive hours would not include:</w:t>
      </w:r>
    </w:p>
    <w:p w14:paraId="4BEABB67" w14:textId="77777777" w:rsidR="00107CED" w:rsidRDefault="00A261F4" w:rsidP="00F459C6">
      <w:pPr>
        <w:pStyle w:val="ListParagraph"/>
        <w:numPr>
          <w:ilvl w:val="0"/>
          <w:numId w:val="31"/>
        </w:numPr>
        <w:tabs>
          <w:tab w:val="left" w:pos="1161"/>
        </w:tabs>
      </w:pPr>
      <w:r w:rsidRPr="00F459C6">
        <w:rPr>
          <w:color w:val="231F20"/>
        </w:rPr>
        <w:t>vacation (2.5 weeks = 100</w:t>
      </w:r>
      <w:r w:rsidRPr="00F459C6">
        <w:rPr>
          <w:color w:val="231F20"/>
          <w:spacing w:val="-8"/>
        </w:rPr>
        <w:t xml:space="preserve"> </w:t>
      </w:r>
      <w:r w:rsidRPr="00F459C6">
        <w:rPr>
          <w:color w:val="231F20"/>
        </w:rPr>
        <w:t>hours);</w:t>
      </w:r>
    </w:p>
    <w:p w14:paraId="4BEABB68" w14:textId="77777777" w:rsidR="00107CED" w:rsidRDefault="00A261F4" w:rsidP="00F459C6">
      <w:pPr>
        <w:pStyle w:val="ListParagraph"/>
        <w:numPr>
          <w:ilvl w:val="0"/>
          <w:numId w:val="31"/>
        </w:numPr>
        <w:tabs>
          <w:tab w:val="left" w:pos="1161"/>
        </w:tabs>
      </w:pPr>
      <w:r w:rsidRPr="00F459C6">
        <w:rPr>
          <w:color w:val="231F20"/>
        </w:rPr>
        <w:t>holidays/floaters (14 days = 112 hours);</w:t>
      </w:r>
      <w:r w:rsidRPr="00F459C6">
        <w:rPr>
          <w:color w:val="231F20"/>
          <w:spacing w:val="-12"/>
        </w:rPr>
        <w:t xml:space="preserve"> </w:t>
      </w:r>
      <w:r w:rsidRPr="00F459C6">
        <w:rPr>
          <w:color w:val="231F20"/>
        </w:rPr>
        <w:t>and/or</w:t>
      </w:r>
    </w:p>
    <w:p w14:paraId="4BEABB69" w14:textId="77777777" w:rsidR="00107CED" w:rsidRDefault="00A261F4" w:rsidP="00F459C6">
      <w:pPr>
        <w:pStyle w:val="ListParagraph"/>
        <w:numPr>
          <w:ilvl w:val="0"/>
          <w:numId w:val="31"/>
        </w:numPr>
        <w:tabs>
          <w:tab w:val="left" w:pos="1160"/>
        </w:tabs>
      </w:pPr>
      <w:r w:rsidRPr="00F459C6">
        <w:rPr>
          <w:color w:val="231F20"/>
        </w:rPr>
        <w:t>sick leave (10 days = 80</w:t>
      </w:r>
      <w:r w:rsidRPr="00F459C6">
        <w:rPr>
          <w:color w:val="231F20"/>
          <w:spacing w:val="-6"/>
        </w:rPr>
        <w:t xml:space="preserve"> </w:t>
      </w:r>
      <w:r w:rsidRPr="00F459C6">
        <w:rPr>
          <w:color w:val="231F20"/>
        </w:rPr>
        <w:t>hours).</w:t>
      </w:r>
    </w:p>
    <w:p w14:paraId="4BEABB6A" w14:textId="77777777" w:rsidR="00107CED" w:rsidRDefault="00A261F4" w:rsidP="00F459C6">
      <w:pPr>
        <w:pStyle w:val="NormalIndent"/>
      </w:pPr>
      <w:r>
        <w:t xml:space="preserve">Therefore, the annual hours for an FTE would be approximately 1788 (2080 </w:t>
      </w:r>
      <w:r>
        <w:rPr>
          <w:w w:val="120"/>
        </w:rPr>
        <w:t xml:space="preserve">- </w:t>
      </w:r>
      <w:r>
        <w:t>292) or 149 hours a month.</w:t>
      </w:r>
    </w:p>
    <w:p w14:paraId="4BEABB6C" w14:textId="01E820BB" w:rsidR="00107CED" w:rsidRDefault="001C4C81" w:rsidP="00A432D7">
      <w:pPr>
        <w:pStyle w:val="Heading2"/>
      </w:pPr>
      <w:bookmarkStart w:id="7" w:name="_Toc18364750"/>
      <w:r>
        <w:t>C.</w:t>
      </w:r>
      <w:r>
        <w:tab/>
      </w:r>
      <w:r w:rsidR="00A261F4">
        <w:t xml:space="preserve">Table </w:t>
      </w:r>
      <w:r w:rsidR="00122C85">
        <w:t>S</w:t>
      </w:r>
      <w:r w:rsidR="00A261F4">
        <w:t xml:space="preserve">howing </w:t>
      </w:r>
      <w:r w:rsidR="00122C85">
        <w:t>C</w:t>
      </w:r>
      <w:r w:rsidR="00A261F4">
        <w:t xml:space="preserve">osts by </w:t>
      </w:r>
      <w:r w:rsidR="00122C85">
        <w:t>F</w:t>
      </w:r>
      <w:r w:rsidR="00A261F4">
        <w:t xml:space="preserve">unctional </w:t>
      </w:r>
      <w:r w:rsidR="00122C85">
        <w:t>A</w:t>
      </w:r>
      <w:r w:rsidR="00A261F4">
        <w:t xml:space="preserve">rea of </w:t>
      </w:r>
      <w:r w:rsidR="00122C85">
        <w:t>M</w:t>
      </w:r>
      <w:r w:rsidR="00A261F4">
        <w:t>anagement</w:t>
      </w:r>
      <w:r w:rsidR="00A261F4">
        <w:rPr>
          <w:spacing w:val="-19"/>
        </w:rPr>
        <w:t xml:space="preserve"> </w:t>
      </w:r>
      <w:r w:rsidR="00122C85">
        <w:t>S</w:t>
      </w:r>
      <w:r w:rsidR="00A261F4">
        <w:t>tructure</w:t>
      </w:r>
      <w:bookmarkEnd w:id="7"/>
    </w:p>
    <w:p w14:paraId="4BEABB6E" w14:textId="7A1C3973" w:rsidR="00107CED" w:rsidRDefault="00A261F4" w:rsidP="00F459C6">
      <w:pPr>
        <w:pStyle w:val="ListParagraph"/>
        <w:numPr>
          <w:ilvl w:val="0"/>
          <w:numId w:val="4"/>
        </w:numPr>
        <w:tabs>
          <w:tab w:val="left" w:pos="701"/>
        </w:tabs>
        <w:ind w:right="963"/>
        <w:rPr>
          <w:b/>
          <w:color w:val="231F20"/>
        </w:rPr>
      </w:pPr>
      <w:r>
        <w:rPr>
          <w:b/>
          <w:color w:val="231F20"/>
        </w:rPr>
        <w:t>Expenses broken out into labor, non-labor O&amp;M (with contract labor identified)</w:t>
      </w:r>
      <w:r w:rsidR="00755139">
        <w:rPr>
          <w:b/>
          <w:color w:val="231F20"/>
        </w:rPr>
        <w:t>.</w:t>
      </w:r>
      <w:r>
        <w:rPr>
          <w:b/>
          <w:color w:val="231F20"/>
        </w:rPr>
        <w:t xml:space="preserve"> </w:t>
      </w:r>
    </w:p>
    <w:p w14:paraId="4BEABB70" w14:textId="77777777" w:rsidR="00107CED" w:rsidRDefault="00A261F4">
      <w:pPr>
        <w:ind w:left="100"/>
        <w:rPr>
          <w:b/>
          <w:sz w:val="24"/>
        </w:rPr>
      </w:pPr>
      <w:bookmarkStart w:id="8" w:name="_Hlk18359357"/>
      <w:r>
        <w:rPr>
          <w:b/>
          <w:color w:val="231F20"/>
          <w:sz w:val="24"/>
        </w:rPr>
        <w:t>SDG&amp;E Response:</w:t>
      </w:r>
    </w:p>
    <w:bookmarkEnd w:id="8"/>
    <w:p w14:paraId="4BEABB71" w14:textId="47743A6D" w:rsidR="00107CED" w:rsidRDefault="00A261F4" w:rsidP="00391775">
      <w:pPr>
        <w:pStyle w:val="NormalIndent"/>
      </w:pPr>
      <w:r>
        <w:rPr>
          <w:w w:val="105"/>
        </w:rPr>
        <w:lastRenderedPageBreak/>
        <w:t xml:space="preserve">Please refer to </w:t>
      </w:r>
      <w:r w:rsidR="005004B6">
        <w:rPr>
          <w:w w:val="105"/>
        </w:rPr>
        <w:t>Attachment A</w:t>
      </w:r>
      <w:r w:rsidR="00F95AFF">
        <w:rPr>
          <w:w w:val="105"/>
        </w:rPr>
        <w:t xml:space="preserve"> </w:t>
      </w:r>
      <w:r w:rsidR="005004B6">
        <w:rPr>
          <w:w w:val="105"/>
        </w:rPr>
        <w:t>worksheet</w:t>
      </w:r>
      <w:r w:rsidR="00DC1312">
        <w:rPr>
          <w:w w:val="105"/>
        </w:rPr>
        <w:t xml:space="preserve">: </w:t>
      </w:r>
      <w:r w:rsidR="004F78C4">
        <w:rPr>
          <w:w w:val="120"/>
        </w:rPr>
        <w:t xml:space="preserve">Table 9 </w:t>
      </w:r>
      <w:r>
        <w:rPr>
          <w:w w:val="105"/>
        </w:rPr>
        <w:t>Portfolio Summary.</w:t>
      </w:r>
    </w:p>
    <w:p w14:paraId="4BEABB72" w14:textId="27D4DD20" w:rsidR="00107CED" w:rsidRPr="00D96258" w:rsidRDefault="00A261F4" w:rsidP="00F459C6">
      <w:pPr>
        <w:pStyle w:val="ListParagraph"/>
        <w:numPr>
          <w:ilvl w:val="0"/>
          <w:numId w:val="4"/>
        </w:numPr>
        <w:tabs>
          <w:tab w:val="left" w:pos="701"/>
        </w:tabs>
        <w:ind w:right="963"/>
        <w:jc w:val="left"/>
        <w:rPr>
          <w:b/>
          <w:color w:val="231F20"/>
        </w:rPr>
      </w:pPr>
      <w:r w:rsidRPr="00D96258">
        <w:rPr>
          <w:b/>
          <w:color w:val="231F20"/>
        </w:rPr>
        <w:t>Identify any capital costs</w:t>
      </w:r>
      <w:r w:rsidR="00755139">
        <w:rPr>
          <w:b/>
          <w:color w:val="231F20"/>
        </w:rPr>
        <w:t>.</w:t>
      </w:r>
      <w:r w:rsidRPr="00D96258">
        <w:rPr>
          <w:b/>
          <w:color w:val="231F20"/>
        </w:rPr>
        <w:t xml:space="preserve"> </w:t>
      </w:r>
    </w:p>
    <w:p w14:paraId="3B9707CA" w14:textId="77777777" w:rsidR="00D96258" w:rsidRPr="002B105B" w:rsidRDefault="00D96258" w:rsidP="002B105B">
      <w:pPr>
        <w:ind w:left="100"/>
        <w:rPr>
          <w:b/>
          <w:color w:val="231F20"/>
          <w:sz w:val="24"/>
        </w:rPr>
      </w:pPr>
      <w:r w:rsidRPr="002B105B">
        <w:rPr>
          <w:b/>
          <w:color w:val="231F20"/>
          <w:sz w:val="24"/>
        </w:rPr>
        <w:t>SDG&amp;E Response:</w:t>
      </w:r>
    </w:p>
    <w:p w14:paraId="48542FBB" w14:textId="50A32AB8" w:rsidR="002535DD" w:rsidRDefault="00A261F4" w:rsidP="00391775">
      <w:pPr>
        <w:pStyle w:val="NormalIndent"/>
      </w:pPr>
      <w:r>
        <w:t>SDG&amp;E did not identify any capital costs in its forecast</w:t>
      </w:r>
      <w:r w:rsidR="002535DD">
        <w:t>.</w:t>
      </w:r>
      <w:r w:rsidR="00FB0DE1">
        <w:t xml:space="preserve"> </w:t>
      </w:r>
    </w:p>
    <w:p w14:paraId="4BEABB75" w14:textId="5A496788" w:rsidR="00107CED" w:rsidRDefault="00122C85" w:rsidP="00A432D7">
      <w:pPr>
        <w:pStyle w:val="Heading2"/>
      </w:pPr>
      <w:bookmarkStart w:id="9" w:name="_Toc18364751"/>
      <w:r>
        <w:t>D.</w:t>
      </w:r>
      <w:r>
        <w:tab/>
      </w:r>
      <w:r w:rsidR="00045F6E">
        <w:t xml:space="preserve">Table </w:t>
      </w:r>
      <w:r>
        <w:t>S</w:t>
      </w:r>
      <w:r w:rsidR="00A261F4">
        <w:t xml:space="preserve">howing </w:t>
      </w:r>
      <w:r>
        <w:t>C</w:t>
      </w:r>
      <w:r w:rsidR="00A261F4">
        <w:t xml:space="preserve">ost </w:t>
      </w:r>
      <w:r>
        <w:t>D</w:t>
      </w:r>
      <w:r w:rsidR="00A261F4">
        <w:t xml:space="preserve">rivers </w:t>
      </w:r>
      <w:r>
        <w:t>A</w:t>
      </w:r>
      <w:r w:rsidR="00A261F4">
        <w:t>cross the EE</w:t>
      </w:r>
      <w:r w:rsidR="00A261F4">
        <w:rPr>
          <w:spacing w:val="-18"/>
        </w:rPr>
        <w:t xml:space="preserve"> </w:t>
      </w:r>
      <w:r>
        <w:t>O</w:t>
      </w:r>
      <w:r w:rsidR="00A261F4">
        <w:t>rganization</w:t>
      </w:r>
      <w:bookmarkEnd w:id="9"/>
    </w:p>
    <w:p w14:paraId="4BEABB79" w14:textId="1A4BED33" w:rsidR="00107CED" w:rsidRPr="00F459C6" w:rsidRDefault="00A261F4" w:rsidP="00F459C6">
      <w:pPr>
        <w:pStyle w:val="ListParagraph"/>
        <w:numPr>
          <w:ilvl w:val="0"/>
          <w:numId w:val="4"/>
        </w:numPr>
        <w:tabs>
          <w:tab w:val="left" w:pos="701"/>
        </w:tabs>
        <w:ind w:right="963"/>
        <w:jc w:val="left"/>
        <w:rPr>
          <w:b/>
          <w:color w:val="231F20"/>
        </w:rPr>
      </w:pPr>
      <w:r w:rsidRPr="00F459C6">
        <w:rPr>
          <w:b/>
          <w:color w:val="231F20"/>
        </w:rPr>
        <w:t>TURN and ORA like this example, taken from testimony PG&amp;E's 2017 GRC addressing its Energy Procurement department.</w:t>
      </w:r>
      <w:r w:rsidR="00FB0DE1" w:rsidRPr="00F459C6">
        <w:rPr>
          <w:b/>
          <w:color w:val="231F20"/>
        </w:rPr>
        <w:t xml:space="preserve">  </w:t>
      </w:r>
      <w:r w:rsidRPr="00F459C6">
        <w:rPr>
          <w:b/>
          <w:color w:val="231F20"/>
        </w:rPr>
        <w:t>While this example pertains to departmental cost increases, in our case, cost increases or decreases would be attributed to major cost drivers.</w:t>
      </w:r>
    </w:p>
    <w:p w14:paraId="4BEABB7A" w14:textId="77777777" w:rsidR="00107CED" w:rsidRDefault="00A261F4">
      <w:pPr>
        <w:pStyle w:val="BodyText"/>
        <w:spacing w:before="8"/>
        <w:rPr>
          <w:sz w:val="17"/>
        </w:rPr>
      </w:pPr>
      <w:r>
        <w:rPr>
          <w:noProof/>
        </w:rPr>
        <w:drawing>
          <wp:anchor distT="0" distB="0" distL="0" distR="0" simplePos="0" relativeHeight="1264" behindDoc="0" locked="0" layoutInCell="1" allowOverlap="1" wp14:anchorId="4BEABFB6" wp14:editId="6B3C470B">
            <wp:simplePos x="0" y="0"/>
            <wp:positionH relativeFrom="page">
              <wp:posOffset>2288540</wp:posOffset>
            </wp:positionH>
            <wp:positionV relativeFrom="paragraph">
              <wp:posOffset>156210</wp:posOffset>
            </wp:positionV>
            <wp:extent cx="4012565" cy="2247900"/>
            <wp:effectExtent l="0" t="0" r="6985"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5" cstate="print"/>
                    <a:stretch>
                      <a:fillRect/>
                    </a:stretch>
                  </pic:blipFill>
                  <pic:spPr>
                    <a:xfrm>
                      <a:off x="0" y="0"/>
                      <a:ext cx="4012565" cy="2247900"/>
                    </a:xfrm>
                    <a:prstGeom prst="rect">
                      <a:avLst/>
                    </a:prstGeom>
                  </pic:spPr>
                </pic:pic>
              </a:graphicData>
            </a:graphic>
            <wp14:sizeRelH relativeFrom="margin">
              <wp14:pctWidth>0</wp14:pctWidth>
            </wp14:sizeRelH>
          </wp:anchor>
        </w:drawing>
      </w:r>
    </w:p>
    <w:p w14:paraId="4BEABB7B" w14:textId="77777777" w:rsidR="00107CED" w:rsidRDefault="00A261F4">
      <w:pPr>
        <w:pStyle w:val="Heading3"/>
        <w:spacing w:before="228"/>
      </w:pPr>
      <w:bookmarkStart w:id="10" w:name="_Toc18364752"/>
      <w:r>
        <w:rPr>
          <w:color w:val="231F20"/>
        </w:rPr>
        <w:t>SDG&amp;E Response:</w:t>
      </w:r>
      <w:bookmarkEnd w:id="10"/>
    </w:p>
    <w:p w14:paraId="4BEABB7E" w14:textId="0CFA0B4C" w:rsidR="00107CED" w:rsidRDefault="00A261F4" w:rsidP="00391775">
      <w:pPr>
        <w:pStyle w:val="NormalIndent"/>
        <w:rPr>
          <w:sz w:val="31"/>
        </w:rPr>
      </w:pPr>
      <w:r>
        <w:t xml:space="preserve">SDG&amp;E does not have data comparable to the data illustrated in the sample table above. </w:t>
      </w:r>
    </w:p>
    <w:p w14:paraId="4BEABB7F" w14:textId="480BD0B9" w:rsidR="00107CED" w:rsidRDefault="002E2D59" w:rsidP="00A432D7">
      <w:pPr>
        <w:pStyle w:val="Heading2"/>
      </w:pPr>
      <w:bookmarkStart w:id="11" w:name="_Toc18364753"/>
      <w:r>
        <w:t>E.</w:t>
      </w:r>
      <w:r>
        <w:tab/>
      </w:r>
      <w:r w:rsidR="00A261F4">
        <w:t xml:space="preserve">Explanation of </w:t>
      </w:r>
      <w:r>
        <w:t>A</w:t>
      </w:r>
      <w:r w:rsidR="00A261F4">
        <w:t xml:space="preserve">llocation of </w:t>
      </w:r>
      <w:r>
        <w:t>L</w:t>
      </w:r>
      <w:r w:rsidR="00A261F4">
        <w:t xml:space="preserve">abor and O&amp;M </w:t>
      </w:r>
      <w:r>
        <w:t>C</w:t>
      </w:r>
      <w:r w:rsidR="00A261F4">
        <w:t xml:space="preserve">osts </w:t>
      </w:r>
      <w:r>
        <w:t>B</w:t>
      </w:r>
      <w:r w:rsidR="00A261F4">
        <w:t>etween EE-</w:t>
      </w:r>
      <w:r>
        <w:t>F</w:t>
      </w:r>
      <w:r w:rsidR="00A261F4">
        <w:t>unctions and</w:t>
      </w:r>
      <w:r w:rsidR="00A261F4">
        <w:rPr>
          <w:spacing w:val="-21"/>
        </w:rPr>
        <w:t xml:space="preserve"> </w:t>
      </w:r>
      <w:r w:rsidR="00A261F4">
        <w:t xml:space="preserve">GRC- </w:t>
      </w:r>
      <w:r>
        <w:t>F</w:t>
      </w:r>
      <w:r w:rsidR="00A261F4">
        <w:t xml:space="preserve">unctions or </w:t>
      </w:r>
      <w:r>
        <w:t>O</w:t>
      </w:r>
      <w:r w:rsidR="00A261F4">
        <w:t xml:space="preserve">ther </w:t>
      </w:r>
      <w:r>
        <w:t>N</w:t>
      </w:r>
      <w:r w:rsidR="00A261F4">
        <w:t>on-EE</w:t>
      </w:r>
      <w:r w:rsidR="00A261F4">
        <w:rPr>
          <w:spacing w:val="-23"/>
        </w:rPr>
        <w:t xml:space="preserve"> </w:t>
      </w:r>
      <w:r>
        <w:t>F</w:t>
      </w:r>
      <w:r w:rsidR="00A261F4">
        <w:t>unctions</w:t>
      </w:r>
      <w:bookmarkEnd w:id="11"/>
    </w:p>
    <w:p w14:paraId="4BEABB81" w14:textId="4614881E" w:rsidR="00107CED" w:rsidRPr="00AB0CC9" w:rsidRDefault="00AB0CC9" w:rsidP="00755139">
      <w:pPr>
        <w:pStyle w:val="ListParagraph"/>
        <w:rPr>
          <w:b/>
        </w:rPr>
      </w:pPr>
      <w:r w:rsidRPr="00AB0CC9">
        <w:rPr>
          <w:b/>
        </w:rPr>
        <w:t>11.</w:t>
      </w:r>
      <w:r w:rsidRPr="00AB0CC9">
        <w:rPr>
          <w:b/>
        </w:rPr>
        <w:tab/>
      </w:r>
      <w:r w:rsidR="00A261F4" w:rsidRPr="00AB0CC9">
        <w:rPr>
          <w:b/>
        </w:rPr>
        <w:t>When an employee spends less than 100% of her/his time on EE, how are costs tracked and recovered (e.g., on a pro rata basis between EE rates and GRC rates; when time exceeds a certain threshold, all to EE;</w:t>
      </w:r>
      <w:r w:rsidR="00A261F4" w:rsidRPr="00AB0CC9">
        <w:rPr>
          <w:b/>
          <w:spacing w:val="-8"/>
        </w:rPr>
        <w:t xml:space="preserve"> </w:t>
      </w:r>
      <w:r w:rsidR="00A261F4" w:rsidRPr="00AB0CC9">
        <w:rPr>
          <w:b/>
        </w:rPr>
        <w:t>etc.).</w:t>
      </w:r>
    </w:p>
    <w:p w14:paraId="4BEABB83" w14:textId="77777777" w:rsidR="00107CED" w:rsidRDefault="00A261F4">
      <w:pPr>
        <w:ind w:left="100"/>
        <w:rPr>
          <w:b/>
          <w:sz w:val="24"/>
        </w:rPr>
      </w:pPr>
      <w:r>
        <w:rPr>
          <w:b/>
          <w:color w:val="231F20"/>
          <w:sz w:val="24"/>
        </w:rPr>
        <w:t>SDG&amp;E Response:</w:t>
      </w:r>
    </w:p>
    <w:p w14:paraId="4BEABB84" w14:textId="2DDE20E8" w:rsidR="00107CED" w:rsidRDefault="00A261F4" w:rsidP="000044D3">
      <w:pPr>
        <w:pStyle w:val="NormalIndent"/>
      </w:pPr>
      <w:r>
        <w:t xml:space="preserve">SDG&amp;E tracks each employee's time through cost centers and internal orders. For its EE programs, SDG&amp;E has an </w:t>
      </w:r>
      <w:r w:rsidRPr="000044D3">
        <w:t>extensive</w:t>
      </w:r>
      <w:r>
        <w:t xml:space="preserve"> set of internal orders and cost centers to track programs and cost categories (Administration, Marketing, Direct Implementation). Similarly, non-EE GRC work hours are charged to appropriate cost center</w:t>
      </w:r>
      <w:r w:rsidR="004E3269">
        <w:t>s</w:t>
      </w:r>
      <w:r>
        <w:t xml:space="preserve"> and internal orders.</w:t>
      </w:r>
    </w:p>
    <w:p w14:paraId="4BEABB86" w14:textId="177B7F99" w:rsidR="00107CED" w:rsidRDefault="00A261F4" w:rsidP="000044D3">
      <w:pPr>
        <w:pStyle w:val="NormalIndent"/>
      </w:pPr>
      <w:r>
        <w:t>All labor hours, which are tracked in SDG&amp;E's My Time system, are approved on a bi-weekly basis by the employees' respective supervisors. Costs recorded in EE internal orders are tracked in the various EE balancing accounts for appropriate cost recovery.</w:t>
      </w:r>
    </w:p>
    <w:p w14:paraId="4BEABB88" w14:textId="577EA127" w:rsidR="00107CED" w:rsidRPr="00AB0CC9" w:rsidRDefault="00AB0CC9" w:rsidP="00AB0CC9">
      <w:pPr>
        <w:pStyle w:val="ListParagraph"/>
        <w:rPr>
          <w:b/>
        </w:rPr>
      </w:pPr>
      <w:r w:rsidRPr="00AB0CC9">
        <w:rPr>
          <w:b/>
        </w:rPr>
        <w:t>12.</w:t>
      </w:r>
      <w:r w:rsidRPr="00AB0CC9">
        <w:rPr>
          <w:b/>
        </w:rPr>
        <w:tab/>
      </w:r>
      <w:r w:rsidR="00A261F4" w:rsidRPr="00AB0CC9">
        <w:rPr>
          <w:b/>
        </w:rPr>
        <w:t xml:space="preserve">Describe the method used to determine the proportion charged to EE balancing </w:t>
      </w:r>
      <w:r w:rsidR="00A261F4" w:rsidRPr="00AB0CC9">
        <w:rPr>
          <w:b/>
        </w:rPr>
        <w:lastRenderedPageBreak/>
        <w:t>accounts for all employees who also do non-EE work.</w:t>
      </w:r>
    </w:p>
    <w:p w14:paraId="4BEABB8A" w14:textId="77777777" w:rsidR="00107CED" w:rsidRDefault="00A261F4">
      <w:pPr>
        <w:spacing w:before="1"/>
        <w:ind w:left="100"/>
        <w:rPr>
          <w:b/>
          <w:sz w:val="24"/>
        </w:rPr>
      </w:pPr>
      <w:r>
        <w:rPr>
          <w:b/>
          <w:color w:val="231F20"/>
          <w:sz w:val="24"/>
        </w:rPr>
        <w:t>SDG&amp;E Response:</w:t>
      </w:r>
    </w:p>
    <w:p w14:paraId="4BEABB8B" w14:textId="77777777" w:rsidR="00107CED" w:rsidRDefault="00A261F4" w:rsidP="000044D3">
      <w:pPr>
        <w:pStyle w:val="NormalIndent"/>
      </w:pPr>
      <w:r>
        <w:t xml:space="preserve">Each employee works with their respective supervisor to determine the appropriate hours or percentage of their </w:t>
      </w:r>
      <w:r w:rsidRPr="000044D3">
        <w:t>time</w:t>
      </w:r>
      <w:r>
        <w:t xml:space="preserve"> to be charged to various activities. This time allocation is reviewed periodically by the supervisor with their respective employees. Reorganizations are triggers for review of time allocations.</w:t>
      </w:r>
    </w:p>
    <w:p w14:paraId="4BEABB8D" w14:textId="3ADEF902" w:rsidR="00107CED" w:rsidRPr="00AB0CC9" w:rsidRDefault="00AB0CC9" w:rsidP="00AB0CC9">
      <w:pPr>
        <w:pStyle w:val="ListParagraph"/>
        <w:rPr>
          <w:b/>
        </w:rPr>
      </w:pPr>
      <w:r w:rsidRPr="00AB0CC9">
        <w:rPr>
          <w:b/>
        </w:rPr>
        <w:t>13.</w:t>
      </w:r>
      <w:r w:rsidRPr="00AB0CC9">
        <w:rPr>
          <w:b/>
        </w:rPr>
        <w:tab/>
      </w:r>
      <w:r w:rsidR="00A261F4" w:rsidRPr="00AB0CC9">
        <w:rPr>
          <w:b/>
        </w:rPr>
        <w:t>Identify the EE functions that are most likely to be performed by employees</w:t>
      </w:r>
      <w:bookmarkStart w:id="12" w:name="_GoBack"/>
      <w:r w:rsidR="007F0E51">
        <w:rPr>
          <w:b/>
        </w:rPr>
        <w:t xml:space="preserve"> </w:t>
      </w:r>
      <w:bookmarkEnd w:id="12"/>
      <w:r w:rsidR="00A261F4" w:rsidRPr="00AB0CC9">
        <w:rPr>
          <w:b/>
          <w:spacing w:val="-39"/>
        </w:rPr>
        <w:t xml:space="preserve"> </w:t>
      </w:r>
      <w:r w:rsidR="00A261F4" w:rsidRPr="00AB0CC9">
        <w:rPr>
          <w:b/>
        </w:rPr>
        <w:t>who also</w:t>
      </w:r>
      <w:r w:rsidR="00A261F4" w:rsidRPr="00AB0CC9">
        <w:rPr>
          <w:b/>
          <w:spacing w:val="-8"/>
        </w:rPr>
        <w:t xml:space="preserve"> </w:t>
      </w:r>
      <w:r w:rsidR="00A261F4" w:rsidRPr="00AB0CC9">
        <w:rPr>
          <w:b/>
        </w:rPr>
        <w:t>do</w:t>
      </w:r>
      <w:r w:rsidR="00A261F4" w:rsidRPr="00AB0CC9">
        <w:rPr>
          <w:b/>
          <w:spacing w:val="-8"/>
        </w:rPr>
        <w:t xml:space="preserve"> </w:t>
      </w:r>
      <w:r w:rsidR="00A261F4" w:rsidRPr="00AB0CC9">
        <w:rPr>
          <w:b/>
        </w:rPr>
        <w:t>non-EE</w:t>
      </w:r>
      <w:r w:rsidR="00A261F4" w:rsidRPr="00AB0CC9">
        <w:rPr>
          <w:b/>
          <w:spacing w:val="-8"/>
        </w:rPr>
        <w:t xml:space="preserve"> </w:t>
      </w:r>
      <w:r w:rsidR="00A261F4" w:rsidRPr="00AB0CC9">
        <w:rPr>
          <w:b/>
        </w:rPr>
        <w:t>work</w:t>
      </w:r>
      <w:r w:rsidR="00A261F4" w:rsidRPr="00AB0CC9">
        <w:rPr>
          <w:b/>
          <w:spacing w:val="-8"/>
        </w:rPr>
        <w:t xml:space="preserve"> </w:t>
      </w:r>
      <w:r w:rsidR="00A261F4" w:rsidRPr="00AB0CC9">
        <w:rPr>
          <w:b/>
        </w:rPr>
        <w:t>(e.g.</w:t>
      </w:r>
      <w:r w:rsidR="00A261F4" w:rsidRPr="00AB0CC9">
        <w:rPr>
          <w:b/>
          <w:spacing w:val="-8"/>
        </w:rPr>
        <w:t xml:space="preserve"> </w:t>
      </w:r>
      <w:r w:rsidR="00A261F4" w:rsidRPr="00AB0CC9">
        <w:rPr>
          <w:b/>
        </w:rPr>
        <w:t>Customer</w:t>
      </w:r>
      <w:r w:rsidR="00A261F4" w:rsidRPr="00AB0CC9">
        <w:rPr>
          <w:b/>
          <w:spacing w:val="-8"/>
        </w:rPr>
        <w:t xml:space="preserve"> </w:t>
      </w:r>
      <w:r w:rsidR="00A261F4" w:rsidRPr="00AB0CC9">
        <w:rPr>
          <w:b/>
        </w:rPr>
        <w:t>Account</w:t>
      </w:r>
      <w:r w:rsidR="00A261F4" w:rsidRPr="00AB0CC9">
        <w:rPr>
          <w:b/>
          <w:spacing w:val="-8"/>
        </w:rPr>
        <w:t xml:space="preserve"> </w:t>
      </w:r>
      <w:r w:rsidR="00A261F4" w:rsidRPr="00AB0CC9">
        <w:rPr>
          <w:b/>
        </w:rPr>
        <w:t>Representatives?)</w:t>
      </w:r>
    </w:p>
    <w:p w14:paraId="4BEABB8F" w14:textId="77777777" w:rsidR="00107CED" w:rsidRDefault="00A261F4">
      <w:pPr>
        <w:spacing w:before="1"/>
        <w:ind w:left="100"/>
        <w:rPr>
          <w:b/>
          <w:sz w:val="24"/>
        </w:rPr>
      </w:pPr>
      <w:r>
        <w:rPr>
          <w:b/>
          <w:color w:val="231F20"/>
          <w:sz w:val="24"/>
        </w:rPr>
        <w:t>SDG&amp;E Response:</w:t>
      </w:r>
    </w:p>
    <w:p w14:paraId="4BEABB90" w14:textId="46210B64" w:rsidR="00107CED" w:rsidRDefault="00A261F4" w:rsidP="000044D3">
      <w:pPr>
        <w:pStyle w:val="NormalIndent"/>
      </w:pPr>
      <w:r>
        <w:rPr>
          <w:w w:val="105"/>
        </w:rPr>
        <w:t>Please</w:t>
      </w:r>
      <w:r>
        <w:rPr>
          <w:spacing w:val="-26"/>
          <w:w w:val="105"/>
        </w:rPr>
        <w:t xml:space="preserve"> </w:t>
      </w:r>
      <w:r>
        <w:rPr>
          <w:w w:val="105"/>
        </w:rPr>
        <w:t>refer</w:t>
      </w:r>
      <w:r>
        <w:rPr>
          <w:spacing w:val="-25"/>
          <w:w w:val="105"/>
        </w:rPr>
        <w:t xml:space="preserve"> </w:t>
      </w:r>
      <w:r>
        <w:rPr>
          <w:w w:val="105"/>
        </w:rPr>
        <w:t>to</w:t>
      </w:r>
      <w:r>
        <w:rPr>
          <w:spacing w:val="-25"/>
          <w:w w:val="105"/>
        </w:rPr>
        <w:t xml:space="preserve"> </w:t>
      </w:r>
      <w:r>
        <w:rPr>
          <w:w w:val="105"/>
        </w:rPr>
        <w:t>the</w:t>
      </w:r>
      <w:r>
        <w:rPr>
          <w:spacing w:val="-25"/>
          <w:w w:val="105"/>
        </w:rPr>
        <w:t xml:space="preserve"> </w:t>
      </w:r>
      <w:r w:rsidRPr="000044D3">
        <w:t>definition</w:t>
      </w:r>
      <w:r>
        <w:rPr>
          <w:spacing w:val="-25"/>
          <w:w w:val="105"/>
        </w:rPr>
        <w:t xml:space="preserve"> </w:t>
      </w:r>
      <w:r>
        <w:rPr>
          <w:w w:val="105"/>
        </w:rPr>
        <w:t>of</w:t>
      </w:r>
      <w:r>
        <w:rPr>
          <w:spacing w:val="-25"/>
          <w:w w:val="105"/>
        </w:rPr>
        <w:t xml:space="preserve"> </w:t>
      </w:r>
      <w:r>
        <w:rPr>
          <w:w w:val="105"/>
        </w:rPr>
        <w:t>functions</w:t>
      </w:r>
      <w:r>
        <w:rPr>
          <w:spacing w:val="-25"/>
          <w:w w:val="105"/>
        </w:rPr>
        <w:t xml:space="preserve"> </w:t>
      </w:r>
      <w:r>
        <w:rPr>
          <w:w w:val="105"/>
        </w:rPr>
        <w:t>in</w:t>
      </w:r>
      <w:r>
        <w:rPr>
          <w:spacing w:val="-25"/>
          <w:w w:val="105"/>
        </w:rPr>
        <w:t xml:space="preserve"> </w:t>
      </w:r>
      <w:r w:rsidR="00B55B29">
        <w:rPr>
          <w:w w:val="105"/>
        </w:rPr>
        <w:t xml:space="preserve">Attachment A: </w:t>
      </w:r>
      <w:r>
        <w:rPr>
          <w:w w:val="105"/>
        </w:rPr>
        <w:t>Function</w:t>
      </w:r>
      <w:r>
        <w:rPr>
          <w:spacing w:val="-25"/>
          <w:w w:val="105"/>
        </w:rPr>
        <w:t xml:space="preserve"> </w:t>
      </w:r>
      <w:r>
        <w:rPr>
          <w:w w:val="105"/>
        </w:rPr>
        <w:t>Definitions</w:t>
      </w:r>
      <w:r>
        <w:rPr>
          <w:spacing w:val="-25"/>
          <w:w w:val="105"/>
        </w:rPr>
        <w:t xml:space="preserve"> </w:t>
      </w:r>
      <w:r w:rsidR="00B55B29">
        <w:rPr>
          <w:w w:val="105"/>
        </w:rPr>
        <w:t xml:space="preserve">worksheet </w:t>
      </w:r>
      <w:r>
        <w:rPr>
          <w:spacing w:val="-25"/>
          <w:w w:val="105"/>
        </w:rPr>
        <w:t xml:space="preserve"> </w:t>
      </w:r>
      <w:r w:rsidR="00B55B29">
        <w:rPr>
          <w:w w:val="105"/>
        </w:rPr>
        <w:t>response to Question 1 above.</w:t>
      </w:r>
    </w:p>
    <w:p w14:paraId="2B7B2FF0" w14:textId="77777777" w:rsidR="00F47151" w:rsidRDefault="00C534C0" w:rsidP="00C534C0">
      <w:pPr>
        <w:pStyle w:val="ListParagraph"/>
        <w:rPr>
          <w:b/>
        </w:rPr>
      </w:pPr>
      <w:r w:rsidRPr="00C534C0">
        <w:rPr>
          <w:b/>
        </w:rPr>
        <w:t>14.</w:t>
      </w:r>
      <w:r w:rsidRPr="00C534C0">
        <w:rPr>
          <w:b/>
        </w:rPr>
        <w:tab/>
      </w:r>
      <w:r w:rsidR="00A261F4" w:rsidRPr="00C534C0">
        <w:rPr>
          <w:b/>
        </w:rPr>
        <w:t xml:space="preserve">Are labor costs charged to EE fully loaded? </w:t>
      </w:r>
    </w:p>
    <w:p w14:paraId="4BEABBAA" w14:textId="0B6136AD" w:rsidR="00107CED" w:rsidRPr="00F47151" w:rsidRDefault="00A261F4" w:rsidP="00F47151">
      <w:pPr>
        <w:rPr>
          <w:b/>
        </w:rPr>
      </w:pPr>
      <w:r w:rsidRPr="00F47151">
        <w:rPr>
          <w:b/>
        </w:rPr>
        <w:t>SDG&amp;E</w:t>
      </w:r>
      <w:r w:rsidRPr="00F47151">
        <w:rPr>
          <w:b/>
          <w:spacing w:val="-14"/>
        </w:rPr>
        <w:t xml:space="preserve"> </w:t>
      </w:r>
      <w:r w:rsidRPr="00F47151">
        <w:rPr>
          <w:b/>
        </w:rPr>
        <w:t>Response:</w:t>
      </w:r>
    </w:p>
    <w:p w14:paraId="4BEABBAB" w14:textId="77777777" w:rsidR="00107CED" w:rsidRDefault="00A261F4" w:rsidP="000044D3">
      <w:pPr>
        <w:pStyle w:val="NormalIndent"/>
      </w:pPr>
      <w:r>
        <w:t xml:space="preserve">No, SDG&amp;E only charges vacation and sick </w:t>
      </w:r>
      <w:r w:rsidRPr="000044D3">
        <w:t>leave</w:t>
      </w:r>
      <w:r>
        <w:t xml:space="preserve"> and payroll taxes loaders to EE for EE FTEs. Pensions &amp; Benefits (P&amp;B) are part of GRC.</w:t>
      </w:r>
    </w:p>
    <w:p w14:paraId="4BEABBAD" w14:textId="25D82F2D" w:rsidR="00107CED" w:rsidRPr="00C534C0" w:rsidRDefault="00C534C0" w:rsidP="00C534C0">
      <w:pPr>
        <w:pStyle w:val="ListParagraph"/>
        <w:rPr>
          <w:b/>
        </w:rPr>
      </w:pPr>
      <w:r w:rsidRPr="00C534C0">
        <w:rPr>
          <w:b/>
        </w:rPr>
        <w:t>15.</w:t>
      </w:r>
      <w:r w:rsidRPr="00C534C0">
        <w:rPr>
          <w:b/>
        </w:rPr>
        <w:tab/>
      </w:r>
      <w:r w:rsidR="00A261F4" w:rsidRPr="00C534C0">
        <w:rPr>
          <w:b/>
        </w:rPr>
        <w:t>How are burden benefit-related administrative and general (A&amp;G) expenses for employees who work on EE programs recovered (EE rates or GRC rates)?</w:t>
      </w:r>
    </w:p>
    <w:p w14:paraId="4BEABBAF" w14:textId="77777777" w:rsidR="00107CED" w:rsidRDefault="00A261F4">
      <w:pPr>
        <w:ind w:left="100"/>
        <w:rPr>
          <w:b/>
          <w:sz w:val="24"/>
        </w:rPr>
      </w:pPr>
      <w:r>
        <w:rPr>
          <w:b/>
          <w:color w:val="231F20"/>
          <w:sz w:val="24"/>
        </w:rPr>
        <w:t>SDG&amp;E Response:</w:t>
      </w:r>
    </w:p>
    <w:p w14:paraId="4BEABBB0" w14:textId="77777777" w:rsidR="00107CED" w:rsidRDefault="00A261F4" w:rsidP="004F4897">
      <w:pPr>
        <w:pStyle w:val="NormalIndent"/>
      </w:pPr>
      <w:r>
        <w:t>Please refer to response to Question 14 above.</w:t>
      </w:r>
    </w:p>
    <w:p w14:paraId="4BEABBB2" w14:textId="4F4AA6DB" w:rsidR="00107CED" w:rsidRPr="004F4897" w:rsidRDefault="004F4897" w:rsidP="004F4897">
      <w:pPr>
        <w:pStyle w:val="ListParagraph"/>
        <w:rPr>
          <w:b/>
        </w:rPr>
      </w:pPr>
      <w:r w:rsidRPr="004F4897">
        <w:rPr>
          <w:b/>
        </w:rPr>
        <w:t>16.</w:t>
      </w:r>
      <w:r w:rsidRPr="004F4897">
        <w:rPr>
          <w:b/>
        </w:rPr>
        <w:tab/>
      </w:r>
      <w:r w:rsidR="00A261F4" w:rsidRPr="004F4897">
        <w:rPr>
          <w:b/>
        </w:rPr>
        <w:t>When EE and non-EE activities are supported by the same non-labor resources, how are the costs of those resources or systems allocated to EE and non-EE activities?</w:t>
      </w:r>
    </w:p>
    <w:p w14:paraId="4BEABBB4" w14:textId="77777777" w:rsidR="00107CED" w:rsidRDefault="00A261F4">
      <w:pPr>
        <w:ind w:left="100"/>
        <w:rPr>
          <w:b/>
          <w:sz w:val="24"/>
        </w:rPr>
      </w:pPr>
      <w:r>
        <w:rPr>
          <w:b/>
          <w:color w:val="231F20"/>
          <w:sz w:val="24"/>
        </w:rPr>
        <w:t>SDG&amp;E Response:</w:t>
      </w:r>
    </w:p>
    <w:p w14:paraId="1EAAF79D" w14:textId="77777777" w:rsidR="00EE03D4" w:rsidRDefault="00A261F4" w:rsidP="000044D3">
      <w:pPr>
        <w:pStyle w:val="NormalIndent"/>
      </w:pPr>
      <w:r>
        <w:t xml:space="preserve">SDG&amp;E charges and </w:t>
      </w:r>
      <w:r w:rsidRPr="000044D3">
        <w:t>recovers</w:t>
      </w:r>
      <w:r>
        <w:t xml:space="preserve"> non-labor costs as described in response to Question 11 above.</w:t>
      </w:r>
    </w:p>
    <w:p w14:paraId="4BEABBB7" w14:textId="467A43EF" w:rsidR="00107CED" w:rsidRPr="00EE03D4" w:rsidRDefault="00EE03D4" w:rsidP="00EE03D4">
      <w:pPr>
        <w:pStyle w:val="ListParagraph"/>
        <w:rPr>
          <w:b/>
        </w:rPr>
      </w:pPr>
      <w:r w:rsidRPr="00EE03D4">
        <w:rPr>
          <w:b/>
        </w:rPr>
        <w:t>17.</w:t>
      </w:r>
      <w:r w:rsidRPr="00EE03D4">
        <w:rPr>
          <w:b/>
        </w:rPr>
        <w:tab/>
      </w:r>
      <w:r w:rsidR="00A261F4" w:rsidRPr="00EE03D4">
        <w:rPr>
          <w:b/>
        </w:rPr>
        <w:t>Identify the EE O&amp;M costs that are most likely to be spread to non-EE functions as well as EE, if</w:t>
      </w:r>
      <w:r w:rsidR="00A261F4" w:rsidRPr="00EE03D4">
        <w:rPr>
          <w:b/>
          <w:spacing w:val="-2"/>
        </w:rPr>
        <w:t xml:space="preserve"> </w:t>
      </w:r>
      <w:r w:rsidR="00A261F4" w:rsidRPr="00EE03D4">
        <w:rPr>
          <w:b/>
        </w:rPr>
        <w:t>any</w:t>
      </w:r>
      <w:r w:rsidRPr="00EE03D4">
        <w:rPr>
          <w:b/>
        </w:rPr>
        <w:t>.</w:t>
      </w:r>
    </w:p>
    <w:p w14:paraId="4BEABBB9" w14:textId="77777777" w:rsidR="00107CED" w:rsidRDefault="00A261F4">
      <w:pPr>
        <w:spacing w:before="1"/>
        <w:ind w:left="100"/>
        <w:rPr>
          <w:b/>
          <w:sz w:val="24"/>
        </w:rPr>
      </w:pPr>
      <w:r>
        <w:rPr>
          <w:b/>
          <w:color w:val="231F20"/>
          <w:sz w:val="24"/>
        </w:rPr>
        <w:t>SDG&amp;E Response:</w:t>
      </w:r>
    </w:p>
    <w:p w14:paraId="4BEABBBA" w14:textId="77777777" w:rsidR="00107CED" w:rsidRDefault="00A261F4" w:rsidP="00EE03D4">
      <w:pPr>
        <w:pStyle w:val="NormalIndent"/>
      </w:pPr>
      <w:r>
        <w:t>Not applicable.</w:t>
      </w:r>
    </w:p>
    <w:p w14:paraId="4BEABBBC" w14:textId="77777777" w:rsidR="00107CED" w:rsidRDefault="00A261F4" w:rsidP="00AF64E7">
      <w:pPr>
        <w:pStyle w:val="Heading1"/>
      </w:pPr>
      <w:bookmarkStart w:id="13" w:name="_Toc18364754"/>
      <w:r>
        <w:t>BUDGET TABLES INCLUDING INFORMATION IDENTIFIED IN</w:t>
      </w:r>
      <w:r>
        <w:rPr>
          <w:spacing w:val="-39"/>
        </w:rPr>
        <w:t xml:space="preserve"> </w:t>
      </w:r>
      <w:r>
        <w:t>THE SCOPING</w:t>
      </w:r>
      <w:r>
        <w:rPr>
          <w:spacing w:val="-7"/>
        </w:rPr>
        <w:t xml:space="preserve"> </w:t>
      </w:r>
      <w:r>
        <w:t>MEMO</w:t>
      </w:r>
      <w:bookmarkEnd w:id="13"/>
    </w:p>
    <w:p w14:paraId="4BEABBBE" w14:textId="2A1A373F" w:rsidR="00107CED" w:rsidRDefault="009973AD" w:rsidP="00A432D7">
      <w:pPr>
        <w:pStyle w:val="Heading2"/>
      </w:pPr>
      <w:bookmarkStart w:id="14" w:name="_Toc18364755"/>
      <w:r>
        <w:t>A.</w:t>
      </w:r>
      <w:r>
        <w:tab/>
      </w:r>
      <w:r w:rsidR="00A261F4" w:rsidRPr="000629BA">
        <w:t>Attachment</w:t>
      </w:r>
      <w:r w:rsidR="00A261F4">
        <w:t>-A, Question</w:t>
      </w:r>
      <w:r w:rsidR="00A261F4" w:rsidRPr="00D67507">
        <w:t xml:space="preserve"> </w:t>
      </w:r>
      <w:r w:rsidR="00A261F4">
        <w:t>C.8</w:t>
      </w:r>
      <w:bookmarkEnd w:id="14"/>
    </w:p>
    <w:p w14:paraId="4BEABBC0" w14:textId="77777777" w:rsidR="00107CED" w:rsidRDefault="00A261F4" w:rsidP="00554772">
      <w:pPr>
        <w:pStyle w:val="BodyText"/>
        <w:ind w:left="100" w:right="129"/>
      </w:pPr>
      <w:r>
        <w:t>"Present a single table summarizing energy savings targets, and expenditures by sector (for the six specified sectors). This table should enable / facilitate assessment of relative contributions of the sectors to savings targets, and relative cost-effectiveness."</w:t>
      </w:r>
    </w:p>
    <w:p w14:paraId="4BEABBC2" w14:textId="0563CD54" w:rsidR="00107CED" w:rsidRPr="00522795" w:rsidRDefault="00522795" w:rsidP="00522795">
      <w:pPr>
        <w:pStyle w:val="ListParagraph"/>
        <w:rPr>
          <w:b/>
        </w:rPr>
      </w:pPr>
      <w:r w:rsidRPr="00522795">
        <w:rPr>
          <w:b/>
        </w:rPr>
        <w:t>18.</w:t>
      </w:r>
      <w:r w:rsidRPr="00522795">
        <w:rPr>
          <w:b/>
        </w:rPr>
        <w:tab/>
      </w:r>
      <w:r w:rsidR="00A261F4" w:rsidRPr="00522795">
        <w:rPr>
          <w:b/>
        </w:rPr>
        <w:t xml:space="preserve">TURN and ORA invite the PAs to propose a common table format for this information. </w:t>
      </w:r>
      <w:r w:rsidR="00A261F4" w:rsidRPr="00522795">
        <w:rPr>
          <w:b/>
        </w:rPr>
        <w:lastRenderedPageBreak/>
        <w:t>We don't have anything specific in mind. Additionally, include a brief description of the method used by the PA to estimate the costs presented in the C.8 Table.</w:t>
      </w:r>
    </w:p>
    <w:p w14:paraId="4BEABBC4" w14:textId="77777777" w:rsidR="00107CED" w:rsidRDefault="00A261F4">
      <w:pPr>
        <w:ind w:left="100"/>
        <w:rPr>
          <w:b/>
          <w:sz w:val="24"/>
        </w:rPr>
      </w:pPr>
      <w:r>
        <w:rPr>
          <w:b/>
          <w:color w:val="231F20"/>
          <w:sz w:val="24"/>
        </w:rPr>
        <w:t>SDG&amp;E Response:</w:t>
      </w:r>
    </w:p>
    <w:p w14:paraId="4BEABBC5" w14:textId="3727A907" w:rsidR="00107CED" w:rsidRDefault="00A261F4" w:rsidP="00522795">
      <w:pPr>
        <w:pStyle w:val="NormalIndent"/>
      </w:pPr>
      <w:r>
        <w:rPr>
          <w:w w:val="105"/>
        </w:rPr>
        <w:t xml:space="preserve">Please refer to </w:t>
      </w:r>
      <w:r w:rsidR="00AF64E7">
        <w:rPr>
          <w:w w:val="105"/>
        </w:rPr>
        <w:t xml:space="preserve">Attachment </w:t>
      </w:r>
      <w:r>
        <w:rPr>
          <w:w w:val="105"/>
        </w:rPr>
        <w:t>A</w:t>
      </w:r>
      <w:r w:rsidR="00AF64E7">
        <w:rPr>
          <w:w w:val="105"/>
        </w:rPr>
        <w:t xml:space="preserve">: Table 9 </w:t>
      </w:r>
      <w:r>
        <w:rPr>
          <w:w w:val="105"/>
        </w:rPr>
        <w:t xml:space="preserve">Portfolio Summary </w:t>
      </w:r>
      <w:r w:rsidR="00AF64E7">
        <w:rPr>
          <w:w w:val="105"/>
        </w:rPr>
        <w:t>worksheet</w:t>
      </w:r>
      <w:r>
        <w:rPr>
          <w:w w:val="105"/>
        </w:rPr>
        <w:t>.</w:t>
      </w:r>
    </w:p>
    <w:p w14:paraId="4BEABBC7" w14:textId="03338C0F" w:rsidR="00107CED" w:rsidRDefault="00CB163B" w:rsidP="00A432D7">
      <w:pPr>
        <w:pStyle w:val="Heading2"/>
      </w:pPr>
      <w:bookmarkStart w:id="15" w:name="_Toc18364756"/>
      <w:r>
        <w:t>B.</w:t>
      </w:r>
      <w:r>
        <w:tab/>
      </w:r>
      <w:r w:rsidR="00A261F4" w:rsidRPr="000629BA">
        <w:t>Attachment</w:t>
      </w:r>
      <w:r w:rsidR="00A261F4">
        <w:t>-A, Question</w:t>
      </w:r>
      <w:r w:rsidR="00A261F4">
        <w:rPr>
          <w:spacing w:val="-2"/>
        </w:rPr>
        <w:t xml:space="preserve"> </w:t>
      </w:r>
      <w:r w:rsidR="00A261F4">
        <w:t>C.9</w:t>
      </w:r>
      <w:bookmarkEnd w:id="15"/>
    </w:p>
    <w:p w14:paraId="4BEABBC9" w14:textId="77777777" w:rsidR="00107CED" w:rsidRDefault="00A261F4" w:rsidP="00DD68CF">
      <w:pPr>
        <w:pStyle w:val="BodyText"/>
      </w:pPr>
      <w:r>
        <w:t>"Using a common budget template developed in consultation with interested stakeholders (hopefully agreed upon at a "meet and confer" session), display how much of each year's budget each PA anticipates spending "in-house" (e.g., for administration, non-outsourced direct implementation, other non-incentive costs, marketing), by sector and by cross-cutting program."</w:t>
      </w:r>
    </w:p>
    <w:p w14:paraId="4BEABBCB" w14:textId="059E7644" w:rsidR="00107CED" w:rsidRPr="0002170E" w:rsidRDefault="0002170E" w:rsidP="00CD6AA4">
      <w:pPr>
        <w:pStyle w:val="ListParagraph"/>
        <w:rPr>
          <w:b/>
        </w:rPr>
      </w:pPr>
      <w:r w:rsidRPr="0002170E">
        <w:rPr>
          <w:b/>
        </w:rPr>
        <w:t>19.</w:t>
      </w:r>
      <w:r w:rsidRPr="0002170E">
        <w:rPr>
          <w:b/>
        </w:rPr>
        <w:tab/>
      </w:r>
      <w:r w:rsidR="00A261F4" w:rsidRPr="0002170E">
        <w:rPr>
          <w:b/>
        </w:rPr>
        <w:t>TURN and ORA invite the PAs to propose a common table format for this information.  We don't have anything specific in</w:t>
      </w:r>
      <w:r w:rsidR="00A261F4" w:rsidRPr="0002170E">
        <w:rPr>
          <w:b/>
          <w:spacing w:val="-6"/>
        </w:rPr>
        <w:t xml:space="preserve"> </w:t>
      </w:r>
      <w:r w:rsidR="00A261F4" w:rsidRPr="0002170E">
        <w:rPr>
          <w:b/>
        </w:rPr>
        <w:t>mind.</w:t>
      </w:r>
    </w:p>
    <w:p w14:paraId="4BEABBCD" w14:textId="77777777" w:rsidR="00107CED" w:rsidRDefault="00A261F4">
      <w:pPr>
        <w:ind w:left="100"/>
        <w:rPr>
          <w:b/>
          <w:sz w:val="24"/>
        </w:rPr>
      </w:pPr>
      <w:r>
        <w:rPr>
          <w:b/>
          <w:color w:val="231F20"/>
          <w:sz w:val="24"/>
        </w:rPr>
        <w:t>SDG&amp;E Response:</w:t>
      </w:r>
    </w:p>
    <w:p w14:paraId="4BEABBCE" w14:textId="0F1B0A55" w:rsidR="00107CED" w:rsidRPr="00DD68CF" w:rsidRDefault="00A261F4" w:rsidP="00DD68CF">
      <w:pPr>
        <w:pStyle w:val="NormalIndent"/>
      </w:pPr>
      <w:r w:rsidRPr="00DD68CF">
        <w:t xml:space="preserve">Please refer to </w:t>
      </w:r>
      <w:r w:rsidR="00890995" w:rsidRPr="00DD68CF">
        <w:t>Attachment</w:t>
      </w:r>
      <w:r w:rsidRPr="00DD68CF">
        <w:t xml:space="preserve"> A</w:t>
      </w:r>
      <w:r w:rsidR="00890995" w:rsidRPr="00DD68CF">
        <w:t xml:space="preserve">: </w:t>
      </w:r>
      <w:r w:rsidR="00BA0064" w:rsidRPr="00DD68CF">
        <w:t xml:space="preserve">Table 11 </w:t>
      </w:r>
      <w:r w:rsidRPr="00DD68CF">
        <w:t>Residential</w:t>
      </w:r>
      <w:r w:rsidR="00BA0064" w:rsidRPr="00DD68CF">
        <w:t>, Table 12 Commercial, Table 13 Industrial, Table 14</w:t>
      </w:r>
      <w:r w:rsidR="00BC6530" w:rsidRPr="00DD68CF">
        <w:t xml:space="preserve"> Agricultural, Table 15 Public </w:t>
      </w:r>
      <w:r w:rsidR="00914FDB" w:rsidRPr="00DD68CF">
        <w:t>Sector, Table 16 Cross Cutting</w:t>
      </w:r>
      <w:r w:rsidRPr="00DD68CF">
        <w:t xml:space="preserve"> </w:t>
      </w:r>
      <w:r w:rsidR="00914FDB" w:rsidRPr="00DD68CF">
        <w:t>worksheets</w:t>
      </w:r>
      <w:r w:rsidRPr="00DD68CF">
        <w:t>.</w:t>
      </w:r>
    </w:p>
    <w:p w14:paraId="4BEABBD1" w14:textId="7678044D" w:rsidR="00107CED" w:rsidRPr="0002170E" w:rsidRDefault="0002170E" w:rsidP="00CD6AA4">
      <w:pPr>
        <w:pStyle w:val="ListParagraph"/>
        <w:rPr>
          <w:b/>
        </w:rPr>
      </w:pPr>
      <w:r w:rsidRPr="0002170E">
        <w:rPr>
          <w:b/>
        </w:rPr>
        <w:t>20.</w:t>
      </w:r>
      <w:r w:rsidRPr="0002170E">
        <w:rPr>
          <w:b/>
        </w:rPr>
        <w:tab/>
      </w:r>
      <w:r w:rsidR="00A261F4" w:rsidRPr="0002170E">
        <w:rPr>
          <w:b/>
        </w:rPr>
        <w:t>Additionally, include a brief description of the method used by the PA to estimate the costs presented in the C.9</w:t>
      </w:r>
      <w:r w:rsidR="00A261F4" w:rsidRPr="0002170E">
        <w:rPr>
          <w:b/>
          <w:spacing w:val="-15"/>
        </w:rPr>
        <w:t xml:space="preserve"> </w:t>
      </w:r>
      <w:r w:rsidR="00A261F4" w:rsidRPr="0002170E">
        <w:rPr>
          <w:b/>
        </w:rPr>
        <w:t>Table.</w:t>
      </w:r>
    </w:p>
    <w:p w14:paraId="4BEABBD2" w14:textId="77777777" w:rsidR="00107CED" w:rsidRDefault="00A261F4">
      <w:pPr>
        <w:spacing w:before="1"/>
        <w:ind w:left="100"/>
        <w:rPr>
          <w:b/>
          <w:sz w:val="24"/>
        </w:rPr>
      </w:pPr>
      <w:r>
        <w:rPr>
          <w:b/>
          <w:color w:val="231F20"/>
          <w:sz w:val="24"/>
        </w:rPr>
        <w:t>SDG&amp;E Response:</w:t>
      </w:r>
    </w:p>
    <w:p w14:paraId="4BEABBD5" w14:textId="0463220C" w:rsidR="00107CED" w:rsidRDefault="00AE17BD" w:rsidP="00DD68CF">
      <w:pPr>
        <w:pStyle w:val="NormalIndent"/>
      </w:pPr>
      <w:r>
        <w:t>Labor costs by function use the standard SDG&amp;E labor cost</w:t>
      </w:r>
      <w:r w:rsidR="00672DF8">
        <w:t xml:space="preserve"> assumptions</w:t>
      </w:r>
      <w:r w:rsidR="00667EEB">
        <w:t>.  Program Advisors</w:t>
      </w:r>
      <w:r w:rsidR="00672DF8">
        <w:t>,</w:t>
      </w:r>
      <w:r w:rsidR="00667EEB">
        <w:t xml:space="preserve"> who plan the</w:t>
      </w:r>
      <w:r w:rsidR="00672DF8">
        <w:t xml:space="preserve"> program </w:t>
      </w:r>
      <w:r w:rsidR="00667EEB">
        <w:t xml:space="preserve">budgets, determine the </w:t>
      </w:r>
      <w:r w:rsidR="00667EEB" w:rsidRPr="00DD68CF">
        <w:t>various</w:t>
      </w:r>
      <w:r w:rsidR="00667EEB">
        <w:t xml:space="preserve"> functions required to support their</w:t>
      </w:r>
      <w:r w:rsidR="008D3FF9">
        <w:t xml:space="preserve"> programs.  Non-labor costs are based on experience from previous program years and </w:t>
      </w:r>
      <w:r w:rsidR="00B50E61">
        <w:t xml:space="preserve">any updated activities.  </w:t>
      </w:r>
      <w:r w:rsidR="008D3FF9">
        <w:t>Managers review and approve the forecast.</w:t>
      </w:r>
    </w:p>
    <w:p w14:paraId="4BEABBD7" w14:textId="3F1B4043" w:rsidR="00107CED" w:rsidRDefault="0054647A" w:rsidP="0054647A">
      <w:pPr>
        <w:pStyle w:val="Heading2"/>
      </w:pPr>
      <w:bookmarkStart w:id="16" w:name="_Toc18364757"/>
      <w:r>
        <w:t>C.</w:t>
      </w:r>
      <w:r>
        <w:tab/>
      </w:r>
      <w:r w:rsidR="00A261F4">
        <w:t>Attachment-A, Question</w:t>
      </w:r>
      <w:r w:rsidR="00A261F4">
        <w:rPr>
          <w:spacing w:val="-3"/>
        </w:rPr>
        <w:t xml:space="preserve"> </w:t>
      </w:r>
      <w:r w:rsidR="00A261F4">
        <w:t>C.10</w:t>
      </w:r>
      <w:bookmarkEnd w:id="16"/>
    </w:p>
    <w:p w14:paraId="4BEABBD9" w14:textId="77777777" w:rsidR="00107CED" w:rsidRDefault="00A261F4" w:rsidP="00DD68CF">
      <w:r>
        <w:t>"Present a table akin to PG&amp;E's Figure 1.9 (Portfolio Overview, p 37) or SDG&amp;E's Figure 1.10 (p. 23) that not only shows anticipated solicitation schedule of "statewide programs" by calendar year and quarter, but also expected solicitation schedule of local third-party solicitations, by sector, and program area (latter to extent known, and/or by intervention strategy if that is more applicable). For both tables, and for each program entry on the calendar, give an approximate size of budget likely to be available for each solicitation (can be a range)."</w:t>
      </w:r>
    </w:p>
    <w:p w14:paraId="4BEABBDB" w14:textId="076A827D" w:rsidR="00107CED" w:rsidRPr="003A5718" w:rsidRDefault="003A5718" w:rsidP="003A5718">
      <w:pPr>
        <w:pStyle w:val="ListParagraph"/>
        <w:rPr>
          <w:b/>
        </w:rPr>
      </w:pPr>
      <w:r w:rsidRPr="003A5718">
        <w:rPr>
          <w:b/>
        </w:rPr>
        <w:t>21.</w:t>
      </w:r>
      <w:r w:rsidRPr="003A5718">
        <w:rPr>
          <w:b/>
        </w:rPr>
        <w:tab/>
      </w:r>
      <w:r w:rsidR="00A261F4" w:rsidRPr="003A5718">
        <w:rPr>
          <w:b/>
        </w:rPr>
        <w:t>TURN and ORA invite the PAs to propose a common table format for this information. We don't have anything specific in mind. Additionally, include a brief description of the method used by the PA to estimate the costs presented in the C.10 Table.</w:t>
      </w:r>
    </w:p>
    <w:p w14:paraId="4BEABBDD" w14:textId="77777777" w:rsidR="00107CED" w:rsidRDefault="00A261F4">
      <w:pPr>
        <w:ind w:left="100"/>
        <w:rPr>
          <w:b/>
          <w:sz w:val="24"/>
        </w:rPr>
      </w:pPr>
      <w:r>
        <w:rPr>
          <w:b/>
          <w:color w:val="231F20"/>
          <w:sz w:val="24"/>
        </w:rPr>
        <w:t>SDG&amp;E Response:</w:t>
      </w:r>
    </w:p>
    <w:p w14:paraId="37005C78" w14:textId="432C86E2" w:rsidR="000200C5" w:rsidRDefault="0029422D" w:rsidP="00DD68CF">
      <w:pPr>
        <w:pStyle w:val="NormalIndent"/>
        <w:rPr>
          <w:b/>
          <w:szCs w:val="24"/>
        </w:rPr>
      </w:pPr>
      <w:r>
        <w:t>The current Statewide Solicitation schedule is available at SDG&amp;E’s</w:t>
      </w:r>
      <w:r w:rsidR="00A13A90">
        <w:t xml:space="preserve"> </w:t>
      </w:r>
      <w:r w:rsidR="000643AA">
        <w:t xml:space="preserve">Energy Efficiency </w:t>
      </w:r>
      <w:r w:rsidR="000200C5">
        <w:t xml:space="preserve">Third Party Solicitation webpage </w:t>
      </w:r>
      <w:hyperlink r:id="rId16" w:history="1">
        <w:r w:rsidR="000200C5" w:rsidRPr="00D251D3">
          <w:rPr>
            <w:rStyle w:val="Hyperlink"/>
          </w:rPr>
          <w:t>https://www.sdge.com/more-information/doing-business-with-us/energy-efficiency-third-party-solicitations</w:t>
        </w:r>
      </w:hyperlink>
      <w:r w:rsidR="000200C5">
        <w:t xml:space="preserve">. </w:t>
      </w:r>
      <w:r w:rsidR="000200C5">
        <w:rPr>
          <w:b/>
        </w:rPr>
        <w:br w:type="page"/>
      </w:r>
    </w:p>
    <w:p w14:paraId="25E6485C" w14:textId="63FE89FB" w:rsidR="001B3C33" w:rsidRPr="007912C3" w:rsidRDefault="007318BB" w:rsidP="00BB623C">
      <w:pPr>
        <w:pStyle w:val="Heading1"/>
        <w:numPr>
          <w:ilvl w:val="0"/>
          <w:numId w:val="0"/>
        </w:numPr>
        <w:jc w:val="center"/>
      </w:pPr>
      <w:bookmarkStart w:id="17" w:name="_Toc18364758"/>
      <w:r w:rsidRPr="007912C3">
        <w:lastRenderedPageBreak/>
        <w:t>Appendix</w:t>
      </w:r>
      <w:r w:rsidR="001B3C33" w:rsidRPr="007912C3">
        <w:t xml:space="preserve"> A</w:t>
      </w:r>
      <w:r w:rsidRPr="007912C3">
        <w:t xml:space="preserve">—2019 </w:t>
      </w:r>
      <w:r w:rsidR="001B3C33" w:rsidRPr="007912C3">
        <w:t>Energy Efficiency Management Org</w:t>
      </w:r>
      <w:r w:rsidR="007912C3">
        <w:t>anization</w:t>
      </w:r>
      <w:r w:rsidR="001B3C33" w:rsidRPr="007912C3">
        <w:t xml:space="preserve"> Chart</w:t>
      </w:r>
      <w:bookmarkEnd w:id="17"/>
    </w:p>
    <w:p w14:paraId="0E72AC2B" w14:textId="77777777" w:rsidR="001B3C33" w:rsidRDefault="001B3C33" w:rsidP="001B3C33">
      <w:pPr>
        <w:spacing w:after="160" w:line="259" w:lineRule="auto"/>
        <w:sectPr w:rsidR="001B3C33" w:rsidSect="00746E58">
          <w:footerReference w:type="default" r:id="rId17"/>
          <w:pgSz w:w="12240" w:h="15840"/>
          <w:pgMar w:top="1440" w:right="1440" w:bottom="1440" w:left="1440" w:header="720" w:footer="720" w:gutter="0"/>
          <w:pgNumType w:start="1"/>
          <w:cols w:space="720"/>
          <w:docGrid w:linePitch="360"/>
        </w:sectPr>
      </w:pPr>
    </w:p>
    <w:p w14:paraId="6043B0AE" w14:textId="5E6D23E8" w:rsidR="001B3C33" w:rsidRDefault="001B3C33" w:rsidP="009D5DAC">
      <w:pPr>
        <w:pStyle w:val="Title"/>
      </w:pPr>
      <w:r>
        <w:lastRenderedPageBreak/>
        <w:t>Customer Programs Department</w:t>
      </w:r>
      <w:r w:rsidR="00A13A90">
        <w:br/>
        <w:t xml:space="preserve">(as of September 3, </w:t>
      </w:r>
      <w:r w:rsidR="005316ED">
        <w:t>2019)</w:t>
      </w:r>
    </w:p>
    <w:p w14:paraId="1FDDF2DB" w14:textId="77777777" w:rsidR="001B3C33" w:rsidRDefault="001B3C33" w:rsidP="001B3C33">
      <w:pPr>
        <w:spacing w:after="160" w:line="259" w:lineRule="auto"/>
      </w:pPr>
    </w:p>
    <w:p w14:paraId="20BA87C3" w14:textId="77777777" w:rsidR="001B3C33" w:rsidRDefault="001B3C33" w:rsidP="006F5335">
      <w:pPr>
        <w:jc w:val="center"/>
      </w:pPr>
      <w:r>
        <w:rPr>
          <w:noProof/>
        </w:rPr>
        <w:drawing>
          <wp:inline distT="0" distB="0" distL="0" distR="0" wp14:anchorId="4A850E6C" wp14:editId="6D872A89">
            <wp:extent cx="8709060" cy="4493841"/>
            <wp:effectExtent l="0" t="0" r="0" b="0"/>
            <wp:docPr id="214"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717284" cy="4498085"/>
                    </a:xfrm>
                    <a:prstGeom prst="rect">
                      <a:avLst/>
                    </a:prstGeom>
                    <a:noFill/>
                  </pic:spPr>
                </pic:pic>
              </a:graphicData>
            </a:graphic>
          </wp:inline>
        </w:drawing>
      </w:r>
    </w:p>
    <w:p w14:paraId="2EF71344" w14:textId="77777777" w:rsidR="001B3C33" w:rsidRDefault="001B3C33" w:rsidP="001B3C33">
      <w:pPr>
        <w:spacing w:after="160" w:line="259" w:lineRule="auto"/>
      </w:pPr>
      <w:r>
        <w:br w:type="page"/>
      </w:r>
    </w:p>
    <w:p w14:paraId="57AADFDC" w14:textId="77777777" w:rsidR="001B3C33" w:rsidRDefault="001B3C33" w:rsidP="001B3C33"/>
    <w:p w14:paraId="515AD1B0" w14:textId="77777777" w:rsidR="001B3C33" w:rsidRDefault="001B3C33" w:rsidP="00746E58">
      <w:pPr>
        <w:jc w:val="center"/>
      </w:pPr>
      <w:r>
        <w:rPr>
          <w:noProof/>
        </w:rPr>
        <w:drawing>
          <wp:inline distT="0" distB="0" distL="0" distR="0" wp14:anchorId="7577B9C9" wp14:editId="15FA4382">
            <wp:extent cx="8290160" cy="2725728"/>
            <wp:effectExtent l="0" t="0" r="0" b="0"/>
            <wp:docPr id="215" name="Pictur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361864" cy="2749304"/>
                    </a:xfrm>
                    <a:prstGeom prst="rect">
                      <a:avLst/>
                    </a:prstGeom>
                    <a:noFill/>
                  </pic:spPr>
                </pic:pic>
              </a:graphicData>
            </a:graphic>
          </wp:inline>
        </w:drawing>
      </w:r>
    </w:p>
    <w:p w14:paraId="242B33D1" w14:textId="77777777" w:rsidR="001B3C33" w:rsidRDefault="001B3C33" w:rsidP="001B3C33">
      <w:pPr>
        <w:spacing w:after="160" w:line="259" w:lineRule="auto"/>
      </w:pPr>
      <w:r>
        <w:br w:type="page"/>
      </w:r>
    </w:p>
    <w:p w14:paraId="286F9B77" w14:textId="77777777" w:rsidR="001B3C33" w:rsidRDefault="001B3C33" w:rsidP="001B3C33"/>
    <w:p w14:paraId="5CABE318" w14:textId="77777777" w:rsidR="001B3C33" w:rsidRDefault="001B3C33" w:rsidP="00746E58">
      <w:pPr>
        <w:jc w:val="center"/>
      </w:pPr>
      <w:r w:rsidRPr="004121B2">
        <w:rPr>
          <w:noProof/>
        </w:rPr>
        <w:drawing>
          <wp:inline distT="0" distB="0" distL="0" distR="0" wp14:anchorId="035F7DF2" wp14:editId="016F536E">
            <wp:extent cx="8172450" cy="3524250"/>
            <wp:effectExtent l="0" t="0" r="0" b="0"/>
            <wp:docPr id="216" name="Pictur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8172450" cy="3524250"/>
                    </a:xfrm>
                    <a:prstGeom prst="rect">
                      <a:avLst/>
                    </a:prstGeom>
                  </pic:spPr>
                </pic:pic>
              </a:graphicData>
            </a:graphic>
          </wp:inline>
        </w:drawing>
      </w:r>
    </w:p>
    <w:p w14:paraId="4933F8C5" w14:textId="77777777" w:rsidR="001B3C33" w:rsidRDefault="001B3C33" w:rsidP="001B3C33">
      <w:pPr>
        <w:spacing w:after="160" w:line="259" w:lineRule="auto"/>
      </w:pPr>
      <w:r>
        <w:br w:type="page"/>
      </w:r>
    </w:p>
    <w:p w14:paraId="69DB6A5E" w14:textId="77777777" w:rsidR="001B3C33" w:rsidRDefault="001B3C33" w:rsidP="001B3C33"/>
    <w:p w14:paraId="218C78F5" w14:textId="77777777" w:rsidR="001B3C33" w:rsidRDefault="001B3C33" w:rsidP="00746E58">
      <w:pPr>
        <w:jc w:val="center"/>
      </w:pPr>
      <w:r w:rsidRPr="00855906">
        <w:rPr>
          <w:noProof/>
        </w:rPr>
        <w:drawing>
          <wp:inline distT="0" distB="0" distL="0" distR="0" wp14:anchorId="26E06460" wp14:editId="0977804F">
            <wp:extent cx="7172325" cy="3276600"/>
            <wp:effectExtent l="0" t="0" r="9525" b="0"/>
            <wp:docPr id="217" name="Picture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7172325" cy="3276600"/>
                    </a:xfrm>
                    <a:prstGeom prst="rect">
                      <a:avLst/>
                    </a:prstGeom>
                  </pic:spPr>
                </pic:pic>
              </a:graphicData>
            </a:graphic>
          </wp:inline>
        </w:drawing>
      </w:r>
    </w:p>
    <w:p w14:paraId="25091C8F" w14:textId="77777777" w:rsidR="001B3C33" w:rsidRDefault="001B3C33" w:rsidP="001B3C33">
      <w:pPr>
        <w:spacing w:after="160" w:line="259" w:lineRule="auto"/>
      </w:pPr>
      <w:r>
        <w:br w:type="page"/>
      </w:r>
    </w:p>
    <w:p w14:paraId="69994D59" w14:textId="77777777" w:rsidR="001B3C33" w:rsidRDefault="001B3C33" w:rsidP="001B3C33"/>
    <w:p w14:paraId="64686690" w14:textId="3BAC246B" w:rsidR="001B3C33" w:rsidRDefault="001B3C33" w:rsidP="00746E58">
      <w:pPr>
        <w:jc w:val="center"/>
      </w:pPr>
      <w:r w:rsidRPr="00E76F40">
        <w:rPr>
          <w:noProof/>
        </w:rPr>
        <w:drawing>
          <wp:inline distT="0" distB="0" distL="0" distR="0" wp14:anchorId="488215FA" wp14:editId="4191EDA7">
            <wp:extent cx="8229600" cy="4915535"/>
            <wp:effectExtent l="0" t="0" r="0" b="0"/>
            <wp:docPr id="218"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8229600" cy="4915535"/>
                    </a:xfrm>
                    <a:prstGeom prst="rect">
                      <a:avLst/>
                    </a:prstGeom>
                  </pic:spPr>
                </pic:pic>
              </a:graphicData>
            </a:graphic>
          </wp:inline>
        </w:drawing>
      </w:r>
    </w:p>
    <w:p w14:paraId="14339687" w14:textId="77777777" w:rsidR="001B3C33" w:rsidRDefault="001B3C33" w:rsidP="001B3C33">
      <w:pPr>
        <w:spacing w:after="160" w:line="259" w:lineRule="auto"/>
      </w:pPr>
      <w:r>
        <w:br w:type="page"/>
      </w:r>
    </w:p>
    <w:p w14:paraId="1A228852" w14:textId="77777777" w:rsidR="001B3C33" w:rsidRDefault="001B3C33" w:rsidP="001B3C33"/>
    <w:p w14:paraId="39D46C02" w14:textId="77777777" w:rsidR="001B3C33" w:rsidRDefault="001B3C33" w:rsidP="00746E58">
      <w:pPr>
        <w:jc w:val="center"/>
      </w:pPr>
      <w:r w:rsidRPr="005768B4">
        <w:rPr>
          <w:noProof/>
        </w:rPr>
        <w:drawing>
          <wp:inline distT="0" distB="0" distL="0" distR="0" wp14:anchorId="1656E8F3" wp14:editId="1F337E7B">
            <wp:extent cx="8229600" cy="2044700"/>
            <wp:effectExtent l="0" t="0" r="0" b="0"/>
            <wp:docPr id="219" name="Pictur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8229600" cy="2044700"/>
                    </a:xfrm>
                    <a:prstGeom prst="rect">
                      <a:avLst/>
                    </a:prstGeom>
                  </pic:spPr>
                </pic:pic>
              </a:graphicData>
            </a:graphic>
          </wp:inline>
        </w:drawing>
      </w:r>
    </w:p>
    <w:p w14:paraId="1FEB6050" w14:textId="77777777" w:rsidR="00D46AE5" w:rsidRDefault="001B3C33" w:rsidP="00D46AE5">
      <w:r>
        <w:br w:type="page"/>
      </w:r>
    </w:p>
    <w:p w14:paraId="23DA9B2E" w14:textId="77777777" w:rsidR="00D46AE5" w:rsidRDefault="00D46AE5" w:rsidP="00761A5A">
      <w:pPr>
        <w:jc w:val="center"/>
      </w:pPr>
      <w:r w:rsidRPr="00E71000">
        <w:rPr>
          <w:noProof/>
        </w:rPr>
        <w:lastRenderedPageBreak/>
        <w:drawing>
          <wp:inline distT="0" distB="0" distL="0" distR="0" wp14:anchorId="0D2AA7B4" wp14:editId="38705B17">
            <wp:extent cx="8229600" cy="3418205"/>
            <wp:effectExtent l="0" t="0" r="0" b="0"/>
            <wp:docPr id="220" name="Pictur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8229600" cy="3418205"/>
                    </a:xfrm>
                    <a:prstGeom prst="rect">
                      <a:avLst/>
                    </a:prstGeom>
                  </pic:spPr>
                </pic:pic>
              </a:graphicData>
            </a:graphic>
          </wp:inline>
        </w:drawing>
      </w:r>
    </w:p>
    <w:p w14:paraId="147FFD72" w14:textId="77777777" w:rsidR="00D46AE5" w:rsidRPr="00D92261" w:rsidRDefault="00D46AE5" w:rsidP="00D46AE5"/>
    <w:p w14:paraId="254067BD" w14:textId="77777777" w:rsidR="001B3C33" w:rsidRDefault="001B3C33" w:rsidP="001B3C33">
      <w:pPr>
        <w:spacing w:after="160" w:line="259" w:lineRule="auto"/>
      </w:pPr>
    </w:p>
    <w:sectPr w:rsidR="001B3C33" w:rsidSect="00467356">
      <w:footerReference w:type="default" r:id="rId25"/>
      <w:pgSz w:w="15840" w:h="12240" w:orient="landscape"/>
      <w:pgMar w:top="1720" w:right="1500" w:bottom="1720" w:left="28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5291EC" w14:textId="77777777" w:rsidR="003B2897" w:rsidRDefault="003B2897">
      <w:r>
        <w:separator/>
      </w:r>
    </w:p>
    <w:p w14:paraId="00B4EBC5" w14:textId="77777777" w:rsidR="003B2897" w:rsidRDefault="003B2897"/>
  </w:endnote>
  <w:endnote w:type="continuationSeparator" w:id="0">
    <w:p w14:paraId="33B140CC" w14:textId="77777777" w:rsidR="003B2897" w:rsidRDefault="003B2897">
      <w:r>
        <w:continuationSeparator/>
      </w:r>
    </w:p>
    <w:p w14:paraId="320FA967" w14:textId="77777777" w:rsidR="003B2897" w:rsidRDefault="003B28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ld">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ABFC7" w14:textId="77777777" w:rsidR="00107CED" w:rsidRDefault="00107CED">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ABFC8" w14:textId="74B372E0" w:rsidR="00107CED" w:rsidRDefault="00660DD6">
    <w:pPr>
      <w:pStyle w:val="BodyText"/>
      <w:spacing w:line="14" w:lineRule="auto"/>
      <w:rPr>
        <w:sz w:val="20"/>
      </w:rPr>
    </w:pPr>
    <w:r>
      <w:rPr>
        <w:noProof/>
      </w:rPr>
      <mc:AlternateContent>
        <mc:Choice Requires="wps">
          <w:drawing>
            <wp:anchor distT="0" distB="0" distL="114300" distR="114300" simplePos="0" relativeHeight="503130632" behindDoc="1" locked="0" layoutInCell="1" allowOverlap="1" wp14:anchorId="4BEABFD7" wp14:editId="781C674A">
              <wp:simplePos x="0" y="0"/>
              <wp:positionH relativeFrom="page">
                <wp:posOffset>3784600</wp:posOffset>
              </wp:positionH>
              <wp:positionV relativeFrom="page">
                <wp:posOffset>9242425</wp:posOffset>
              </wp:positionV>
              <wp:extent cx="203200" cy="194310"/>
              <wp:effectExtent l="3175" t="3175" r="3175" b="254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EAC041" w14:textId="77777777" w:rsidR="00107CED" w:rsidRDefault="00A261F4">
                          <w:pPr>
                            <w:pStyle w:val="BodyText"/>
                            <w:spacing w:before="10"/>
                            <w:ind w:left="40"/>
                          </w:pPr>
                          <w:r>
                            <w:fldChar w:fldCharType="begin"/>
                          </w:r>
                          <w:r>
                            <w:rPr>
                              <w:color w:val="231F20"/>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EABFD7" id="_x0000_t202" coordsize="21600,21600" o:spt="202" path="m,l,21600r21600,l21600,xe">
              <v:stroke joinstyle="miter"/>
              <v:path gradientshapeok="t" o:connecttype="rect"/>
            </v:shapetype>
            <v:shape id="Text Box 4" o:spid="_x0000_s1026" type="#_x0000_t202" style="position:absolute;margin-left:298pt;margin-top:727.75pt;width:16pt;height:15.3pt;z-index:-185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" filled="f" stroked="f">
              <v:textbox inset="0,0,0,0">
                <w:txbxContent>
                  <w:p w14:paraId="4BEAC041" w14:textId="77777777" w:rsidR="00107CED" w:rsidRDefault="00A261F4">
                    <w:pPr>
                      <w:pStyle w:val="BodyText"/>
                      <w:spacing w:before="10"/>
                      <w:ind w:left="40"/>
                    </w:pPr>
                    <w:r>
                      <w:fldChar w:fldCharType="begin"/>
                    </w:r>
                    <w:r>
                      <w:rPr>
                        <w:color w:val="231F20"/>
                      </w:rPr>
                      <w:instrText xml:space="preserve"> PAGE </w:instrText>
                    </w:r>
                    <w:r>
                      <w:fldChar w:fldCharType="separate"/>
                    </w:r>
                    <w:r>
                      <w:t>10</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355917"/>
      <w:docPartObj>
        <w:docPartGallery w:val="Page Numbers (Bottom of Page)"/>
        <w:docPartUnique/>
      </w:docPartObj>
    </w:sdtPr>
    <w:sdtEndPr>
      <w:rPr>
        <w:noProof/>
      </w:rPr>
    </w:sdtEndPr>
    <w:sdtContent>
      <w:p w14:paraId="1588041C" w14:textId="77777777" w:rsidR="001B3C33" w:rsidRDefault="001B3C33">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1E126E55" w14:textId="77777777" w:rsidR="001B3C33" w:rsidRDefault="001B3C3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5941112"/>
      <w:docPartObj>
        <w:docPartGallery w:val="Page Numbers (Bottom of Page)"/>
        <w:docPartUnique/>
      </w:docPartObj>
    </w:sdtPr>
    <w:sdtEndPr>
      <w:rPr>
        <w:noProof/>
      </w:rPr>
    </w:sdtEndPr>
    <w:sdtContent>
      <w:p w14:paraId="0CAB113C" w14:textId="157847FC" w:rsidR="003133E6" w:rsidRDefault="003133E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BEABFD1" w14:textId="77777777" w:rsidR="00107CED" w:rsidRDefault="00107CED">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A8F46C" w14:textId="77777777" w:rsidR="003B2897" w:rsidRDefault="003B2897">
      <w:r>
        <w:separator/>
      </w:r>
    </w:p>
    <w:p w14:paraId="63B5B337" w14:textId="77777777" w:rsidR="003B2897" w:rsidRDefault="003B2897"/>
  </w:footnote>
  <w:footnote w:type="continuationSeparator" w:id="0">
    <w:p w14:paraId="12FB62D4" w14:textId="77777777" w:rsidR="003B2897" w:rsidRDefault="003B2897">
      <w:r>
        <w:continuationSeparator/>
      </w:r>
    </w:p>
    <w:p w14:paraId="510B2599" w14:textId="77777777" w:rsidR="003B2897" w:rsidRDefault="003B289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D4A3D0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164367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648AD5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8E6069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1427BD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164C20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D78288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F765E6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FFCA77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4B68E9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81E05"/>
    <w:multiLevelType w:val="hybridMultilevel"/>
    <w:tmpl w:val="CF0A6ACE"/>
    <w:lvl w:ilvl="0" w:tplc="D1F42BBE">
      <w:start w:val="1"/>
      <w:numFmt w:val="decimal"/>
      <w:lvlText w:val="(%1)"/>
      <w:lvlJc w:val="left"/>
      <w:pPr>
        <w:ind w:left="100" w:hanging="341"/>
      </w:pPr>
      <w:rPr>
        <w:rFonts w:hint="default"/>
        <w:spacing w:val="-3"/>
        <w:w w:val="100"/>
      </w:rPr>
    </w:lvl>
    <w:lvl w:ilvl="1" w:tplc="60E6DC78">
      <w:start w:val="1"/>
      <w:numFmt w:val="decimal"/>
      <w:lvlText w:val="(%2)"/>
      <w:lvlJc w:val="left"/>
      <w:pPr>
        <w:ind w:left="788" w:hanging="296"/>
      </w:pPr>
      <w:rPr>
        <w:rFonts w:ascii="Calibri" w:eastAsia="Calibri" w:hAnsi="Calibri" w:cs="Calibri" w:hint="default"/>
        <w:color w:val="231F20"/>
        <w:spacing w:val="-1"/>
        <w:w w:val="100"/>
        <w:sz w:val="22"/>
        <w:szCs w:val="22"/>
      </w:rPr>
    </w:lvl>
    <w:lvl w:ilvl="2" w:tplc="928A3C60">
      <w:numFmt w:val="bullet"/>
      <w:lvlText w:val="•"/>
      <w:lvlJc w:val="left"/>
      <w:pPr>
        <w:ind w:left="1648" w:hanging="296"/>
      </w:pPr>
      <w:rPr>
        <w:rFonts w:hint="default"/>
      </w:rPr>
    </w:lvl>
    <w:lvl w:ilvl="3" w:tplc="A7AAB77C">
      <w:numFmt w:val="bullet"/>
      <w:lvlText w:val="•"/>
      <w:lvlJc w:val="left"/>
      <w:pPr>
        <w:ind w:left="2517" w:hanging="296"/>
      </w:pPr>
      <w:rPr>
        <w:rFonts w:hint="default"/>
      </w:rPr>
    </w:lvl>
    <w:lvl w:ilvl="4" w:tplc="BDAE2DA6">
      <w:numFmt w:val="bullet"/>
      <w:lvlText w:val="•"/>
      <w:lvlJc w:val="left"/>
      <w:pPr>
        <w:ind w:left="3386" w:hanging="296"/>
      </w:pPr>
      <w:rPr>
        <w:rFonts w:hint="default"/>
      </w:rPr>
    </w:lvl>
    <w:lvl w:ilvl="5" w:tplc="8FFC352E">
      <w:numFmt w:val="bullet"/>
      <w:lvlText w:val="•"/>
      <w:lvlJc w:val="left"/>
      <w:pPr>
        <w:ind w:left="4255" w:hanging="296"/>
      </w:pPr>
      <w:rPr>
        <w:rFonts w:hint="default"/>
      </w:rPr>
    </w:lvl>
    <w:lvl w:ilvl="6" w:tplc="B84E1604">
      <w:numFmt w:val="bullet"/>
      <w:lvlText w:val="•"/>
      <w:lvlJc w:val="left"/>
      <w:pPr>
        <w:ind w:left="5124" w:hanging="296"/>
      </w:pPr>
      <w:rPr>
        <w:rFonts w:hint="default"/>
      </w:rPr>
    </w:lvl>
    <w:lvl w:ilvl="7" w:tplc="1722FA02">
      <w:numFmt w:val="bullet"/>
      <w:lvlText w:val="•"/>
      <w:lvlJc w:val="left"/>
      <w:pPr>
        <w:ind w:left="5993" w:hanging="296"/>
      </w:pPr>
      <w:rPr>
        <w:rFonts w:hint="default"/>
      </w:rPr>
    </w:lvl>
    <w:lvl w:ilvl="8" w:tplc="C80886A6">
      <w:numFmt w:val="bullet"/>
      <w:lvlText w:val="•"/>
      <w:lvlJc w:val="left"/>
      <w:pPr>
        <w:ind w:left="6862" w:hanging="296"/>
      </w:pPr>
      <w:rPr>
        <w:rFonts w:hint="default"/>
      </w:rPr>
    </w:lvl>
  </w:abstractNum>
  <w:abstractNum w:abstractNumId="11" w15:restartNumberingAfterBreak="0">
    <w:nsid w:val="05EA15B7"/>
    <w:multiLevelType w:val="hybridMultilevel"/>
    <w:tmpl w:val="AA1A3408"/>
    <w:lvl w:ilvl="0" w:tplc="A336B700">
      <w:start w:val="27"/>
      <w:numFmt w:val="decimal"/>
      <w:lvlText w:val="%1."/>
      <w:lvlJc w:val="left"/>
      <w:pPr>
        <w:ind w:left="440" w:hanging="330"/>
      </w:pPr>
      <w:rPr>
        <w:rFonts w:ascii="Times New Roman" w:eastAsia="Times New Roman" w:hAnsi="Times New Roman" w:cs="Times New Roman" w:hint="default"/>
        <w:b/>
        <w:bCs/>
        <w:color w:val="231F20"/>
        <w:w w:val="100"/>
        <w:sz w:val="22"/>
        <w:szCs w:val="22"/>
      </w:rPr>
    </w:lvl>
    <w:lvl w:ilvl="1" w:tplc="0F0801E8">
      <w:start w:val="1"/>
      <w:numFmt w:val="decimal"/>
      <w:lvlText w:val="(%2)"/>
      <w:lvlJc w:val="left"/>
      <w:pPr>
        <w:ind w:left="831" w:hanging="361"/>
      </w:pPr>
      <w:rPr>
        <w:rFonts w:ascii="Times New Roman" w:eastAsia="Times New Roman" w:hAnsi="Times New Roman" w:cs="Times New Roman" w:hint="default"/>
        <w:color w:val="231F20"/>
        <w:w w:val="100"/>
        <w:sz w:val="24"/>
        <w:szCs w:val="24"/>
      </w:rPr>
    </w:lvl>
    <w:lvl w:ilvl="2" w:tplc="6A129BAC">
      <w:start w:val="1"/>
      <w:numFmt w:val="lowerLetter"/>
      <w:lvlText w:val="%3."/>
      <w:lvlJc w:val="left"/>
      <w:pPr>
        <w:ind w:left="1551" w:hanging="360"/>
      </w:pPr>
      <w:rPr>
        <w:rFonts w:ascii="Times New Roman" w:eastAsia="Times New Roman" w:hAnsi="Times New Roman" w:cs="Times New Roman" w:hint="default"/>
        <w:color w:val="231F20"/>
        <w:spacing w:val="-7"/>
        <w:w w:val="100"/>
        <w:sz w:val="24"/>
        <w:szCs w:val="24"/>
      </w:rPr>
    </w:lvl>
    <w:lvl w:ilvl="3" w:tplc="894472A8">
      <w:numFmt w:val="bullet"/>
      <w:lvlText w:val="•"/>
      <w:lvlJc w:val="left"/>
      <w:pPr>
        <w:ind w:left="2632" w:hanging="360"/>
      </w:pPr>
      <w:rPr>
        <w:rFonts w:hint="default"/>
      </w:rPr>
    </w:lvl>
    <w:lvl w:ilvl="4" w:tplc="2AFA2E3A">
      <w:numFmt w:val="bullet"/>
      <w:lvlText w:val="•"/>
      <w:lvlJc w:val="left"/>
      <w:pPr>
        <w:ind w:left="3705" w:hanging="360"/>
      </w:pPr>
      <w:rPr>
        <w:rFonts w:hint="default"/>
      </w:rPr>
    </w:lvl>
    <w:lvl w:ilvl="5" w:tplc="EC6A31D4">
      <w:numFmt w:val="bullet"/>
      <w:lvlText w:val="•"/>
      <w:lvlJc w:val="left"/>
      <w:pPr>
        <w:ind w:left="4777" w:hanging="360"/>
      </w:pPr>
      <w:rPr>
        <w:rFonts w:hint="default"/>
      </w:rPr>
    </w:lvl>
    <w:lvl w:ilvl="6" w:tplc="147AD14C">
      <w:numFmt w:val="bullet"/>
      <w:lvlText w:val="•"/>
      <w:lvlJc w:val="left"/>
      <w:pPr>
        <w:ind w:left="5850" w:hanging="360"/>
      </w:pPr>
      <w:rPr>
        <w:rFonts w:hint="default"/>
      </w:rPr>
    </w:lvl>
    <w:lvl w:ilvl="7" w:tplc="F21A7AAE">
      <w:numFmt w:val="bullet"/>
      <w:lvlText w:val="•"/>
      <w:lvlJc w:val="left"/>
      <w:pPr>
        <w:ind w:left="6922" w:hanging="360"/>
      </w:pPr>
      <w:rPr>
        <w:rFonts w:hint="default"/>
      </w:rPr>
    </w:lvl>
    <w:lvl w:ilvl="8" w:tplc="F71442E4">
      <w:numFmt w:val="bullet"/>
      <w:lvlText w:val="•"/>
      <w:lvlJc w:val="left"/>
      <w:pPr>
        <w:ind w:left="7995" w:hanging="360"/>
      </w:pPr>
      <w:rPr>
        <w:rFonts w:hint="default"/>
      </w:rPr>
    </w:lvl>
  </w:abstractNum>
  <w:abstractNum w:abstractNumId="12" w15:restartNumberingAfterBreak="0">
    <w:nsid w:val="0EE05D26"/>
    <w:multiLevelType w:val="hybridMultilevel"/>
    <w:tmpl w:val="7AB88860"/>
    <w:lvl w:ilvl="0" w:tplc="6D2E0364">
      <w:start w:val="1"/>
      <w:numFmt w:val="decimal"/>
      <w:lvlText w:val="%1)"/>
      <w:lvlJc w:val="left"/>
      <w:pPr>
        <w:ind w:left="820" w:hanging="360"/>
      </w:pPr>
      <w:rPr>
        <w:rFonts w:ascii="Times New Roman" w:eastAsia="Times New Roman" w:hAnsi="Times New Roman" w:cs="Times New Roman" w:hint="default"/>
        <w:color w:val="231F20"/>
        <w:spacing w:val="-20"/>
        <w:w w:val="100"/>
        <w:sz w:val="24"/>
        <w:szCs w:val="24"/>
      </w:rPr>
    </w:lvl>
    <w:lvl w:ilvl="1" w:tplc="85D829E2">
      <w:start w:val="1"/>
      <w:numFmt w:val="lowerLetter"/>
      <w:lvlText w:val="%2)"/>
      <w:lvlJc w:val="left"/>
      <w:pPr>
        <w:ind w:left="1540" w:hanging="360"/>
      </w:pPr>
      <w:rPr>
        <w:rFonts w:ascii="Times New Roman" w:eastAsia="Times New Roman" w:hAnsi="Times New Roman" w:cs="Times New Roman" w:hint="default"/>
        <w:color w:val="231F20"/>
        <w:spacing w:val="-7"/>
        <w:w w:val="100"/>
        <w:sz w:val="24"/>
        <w:szCs w:val="24"/>
      </w:rPr>
    </w:lvl>
    <w:lvl w:ilvl="2" w:tplc="2F3C8122">
      <w:start w:val="1"/>
      <w:numFmt w:val="lowerRoman"/>
      <w:lvlText w:val="%3)"/>
      <w:lvlJc w:val="left"/>
      <w:pPr>
        <w:ind w:left="1900" w:hanging="360"/>
      </w:pPr>
      <w:rPr>
        <w:rFonts w:ascii="Times New Roman" w:eastAsia="Times New Roman" w:hAnsi="Times New Roman" w:cs="Times New Roman" w:hint="default"/>
        <w:color w:val="231F20"/>
        <w:spacing w:val="-2"/>
        <w:w w:val="100"/>
        <w:sz w:val="24"/>
        <w:szCs w:val="24"/>
      </w:rPr>
    </w:lvl>
    <w:lvl w:ilvl="3" w:tplc="9A3EB01C">
      <w:numFmt w:val="bullet"/>
      <w:lvlText w:val="•"/>
      <w:lvlJc w:val="left"/>
      <w:pPr>
        <w:ind w:left="2857" w:hanging="360"/>
      </w:pPr>
      <w:rPr>
        <w:rFonts w:hint="default"/>
      </w:rPr>
    </w:lvl>
    <w:lvl w:ilvl="4" w:tplc="92F8A09A">
      <w:numFmt w:val="bullet"/>
      <w:lvlText w:val="•"/>
      <w:lvlJc w:val="left"/>
      <w:pPr>
        <w:ind w:left="3815" w:hanging="360"/>
      </w:pPr>
      <w:rPr>
        <w:rFonts w:hint="default"/>
      </w:rPr>
    </w:lvl>
    <w:lvl w:ilvl="5" w:tplc="E5A2344E">
      <w:numFmt w:val="bullet"/>
      <w:lvlText w:val="•"/>
      <w:lvlJc w:val="left"/>
      <w:pPr>
        <w:ind w:left="4772" w:hanging="360"/>
      </w:pPr>
      <w:rPr>
        <w:rFonts w:hint="default"/>
      </w:rPr>
    </w:lvl>
    <w:lvl w:ilvl="6" w:tplc="EC9E0B1C">
      <w:numFmt w:val="bullet"/>
      <w:lvlText w:val="•"/>
      <w:lvlJc w:val="left"/>
      <w:pPr>
        <w:ind w:left="5730" w:hanging="360"/>
      </w:pPr>
      <w:rPr>
        <w:rFonts w:hint="default"/>
      </w:rPr>
    </w:lvl>
    <w:lvl w:ilvl="7" w:tplc="B11E3910">
      <w:numFmt w:val="bullet"/>
      <w:lvlText w:val="•"/>
      <w:lvlJc w:val="left"/>
      <w:pPr>
        <w:ind w:left="6687" w:hanging="360"/>
      </w:pPr>
      <w:rPr>
        <w:rFonts w:hint="default"/>
      </w:rPr>
    </w:lvl>
    <w:lvl w:ilvl="8" w:tplc="8BB62942">
      <w:numFmt w:val="bullet"/>
      <w:lvlText w:val="•"/>
      <w:lvlJc w:val="left"/>
      <w:pPr>
        <w:ind w:left="7645" w:hanging="360"/>
      </w:pPr>
      <w:rPr>
        <w:rFonts w:hint="default"/>
      </w:rPr>
    </w:lvl>
  </w:abstractNum>
  <w:abstractNum w:abstractNumId="13" w15:restartNumberingAfterBreak="0">
    <w:nsid w:val="14A064F1"/>
    <w:multiLevelType w:val="hybridMultilevel"/>
    <w:tmpl w:val="90F21486"/>
    <w:lvl w:ilvl="0" w:tplc="DA129584">
      <w:start w:val="8"/>
      <w:numFmt w:val="decimal"/>
      <w:lvlText w:val="%1."/>
      <w:lvlJc w:val="left"/>
      <w:pPr>
        <w:ind w:left="480" w:hanging="241"/>
      </w:pPr>
      <w:rPr>
        <w:rFonts w:ascii="Times New Roman" w:eastAsia="Times New Roman" w:hAnsi="Times New Roman" w:cs="Times New Roman" w:hint="default"/>
        <w:b/>
        <w:bCs/>
        <w:color w:val="231F20"/>
        <w:spacing w:val="-3"/>
        <w:w w:val="100"/>
        <w:sz w:val="24"/>
        <w:szCs w:val="24"/>
      </w:rPr>
    </w:lvl>
    <w:lvl w:ilvl="1" w:tplc="967C808C">
      <w:numFmt w:val="bullet"/>
      <w:lvlText w:val="•"/>
      <w:lvlJc w:val="left"/>
      <w:pPr>
        <w:ind w:left="1388" w:hanging="241"/>
      </w:pPr>
      <w:rPr>
        <w:rFonts w:hint="default"/>
      </w:rPr>
    </w:lvl>
    <w:lvl w:ilvl="2" w:tplc="F056BEAA">
      <w:numFmt w:val="bullet"/>
      <w:lvlText w:val="•"/>
      <w:lvlJc w:val="left"/>
      <w:pPr>
        <w:ind w:left="2296" w:hanging="241"/>
      </w:pPr>
      <w:rPr>
        <w:rFonts w:hint="default"/>
      </w:rPr>
    </w:lvl>
    <w:lvl w:ilvl="3" w:tplc="11E4AC58">
      <w:numFmt w:val="bullet"/>
      <w:lvlText w:val="•"/>
      <w:lvlJc w:val="left"/>
      <w:pPr>
        <w:ind w:left="3204" w:hanging="241"/>
      </w:pPr>
      <w:rPr>
        <w:rFonts w:hint="default"/>
      </w:rPr>
    </w:lvl>
    <w:lvl w:ilvl="4" w:tplc="18108B6A">
      <w:numFmt w:val="bullet"/>
      <w:lvlText w:val="•"/>
      <w:lvlJc w:val="left"/>
      <w:pPr>
        <w:ind w:left="4112" w:hanging="241"/>
      </w:pPr>
      <w:rPr>
        <w:rFonts w:hint="default"/>
      </w:rPr>
    </w:lvl>
    <w:lvl w:ilvl="5" w:tplc="D1F65CDE">
      <w:numFmt w:val="bullet"/>
      <w:lvlText w:val="•"/>
      <w:lvlJc w:val="left"/>
      <w:pPr>
        <w:ind w:left="5020" w:hanging="241"/>
      </w:pPr>
      <w:rPr>
        <w:rFonts w:hint="default"/>
      </w:rPr>
    </w:lvl>
    <w:lvl w:ilvl="6" w:tplc="12E2BCC4">
      <w:numFmt w:val="bullet"/>
      <w:lvlText w:val="•"/>
      <w:lvlJc w:val="left"/>
      <w:pPr>
        <w:ind w:left="5928" w:hanging="241"/>
      </w:pPr>
      <w:rPr>
        <w:rFonts w:hint="default"/>
      </w:rPr>
    </w:lvl>
    <w:lvl w:ilvl="7" w:tplc="30268782">
      <w:numFmt w:val="bullet"/>
      <w:lvlText w:val="•"/>
      <w:lvlJc w:val="left"/>
      <w:pPr>
        <w:ind w:left="6836" w:hanging="241"/>
      </w:pPr>
      <w:rPr>
        <w:rFonts w:hint="default"/>
      </w:rPr>
    </w:lvl>
    <w:lvl w:ilvl="8" w:tplc="F97CA972">
      <w:numFmt w:val="bullet"/>
      <w:lvlText w:val="•"/>
      <w:lvlJc w:val="left"/>
      <w:pPr>
        <w:ind w:left="7744" w:hanging="241"/>
      </w:pPr>
      <w:rPr>
        <w:rFonts w:hint="default"/>
      </w:rPr>
    </w:lvl>
  </w:abstractNum>
  <w:abstractNum w:abstractNumId="14" w15:restartNumberingAfterBreak="0">
    <w:nsid w:val="249E04FC"/>
    <w:multiLevelType w:val="hybridMultilevel"/>
    <w:tmpl w:val="C25031A0"/>
    <w:lvl w:ilvl="0" w:tplc="3A5E8D30">
      <w:start w:val="1"/>
      <w:numFmt w:val="upperRoman"/>
      <w:pStyle w:val="Heading1"/>
      <w:lvlText w:val="%1."/>
      <w:lvlJc w:val="left"/>
      <w:pPr>
        <w:ind w:left="820" w:hanging="720"/>
      </w:pPr>
      <w:rPr>
        <w:rFonts w:ascii="Times New Roman" w:eastAsia="Times New Roman" w:hAnsi="Times New Roman" w:cs="Times New Roman" w:hint="default"/>
        <w:b/>
        <w:bCs/>
        <w:color w:val="231F20"/>
        <w:spacing w:val="-1"/>
        <w:w w:val="100"/>
        <w:sz w:val="24"/>
        <w:szCs w:val="24"/>
      </w:rPr>
    </w:lvl>
    <w:lvl w:ilvl="1" w:tplc="2E26EFEE">
      <w:numFmt w:val="bullet"/>
      <w:lvlText w:val="•"/>
      <w:lvlJc w:val="left"/>
      <w:pPr>
        <w:ind w:left="1694" w:hanging="720"/>
      </w:pPr>
      <w:rPr>
        <w:rFonts w:hint="default"/>
      </w:rPr>
    </w:lvl>
    <w:lvl w:ilvl="2" w:tplc="3E56B3C4">
      <w:numFmt w:val="bullet"/>
      <w:lvlText w:val="•"/>
      <w:lvlJc w:val="left"/>
      <w:pPr>
        <w:ind w:left="2568" w:hanging="720"/>
      </w:pPr>
      <w:rPr>
        <w:rFonts w:hint="default"/>
      </w:rPr>
    </w:lvl>
    <w:lvl w:ilvl="3" w:tplc="E332B2C4">
      <w:numFmt w:val="bullet"/>
      <w:lvlText w:val="•"/>
      <w:lvlJc w:val="left"/>
      <w:pPr>
        <w:ind w:left="3442" w:hanging="720"/>
      </w:pPr>
      <w:rPr>
        <w:rFonts w:hint="default"/>
      </w:rPr>
    </w:lvl>
    <w:lvl w:ilvl="4" w:tplc="8CA415BC">
      <w:numFmt w:val="bullet"/>
      <w:lvlText w:val="•"/>
      <w:lvlJc w:val="left"/>
      <w:pPr>
        <w:ind w:left="4316" w:hanging="720"/>
      </w:pPr>
      <w:rPr>
        <w:rFonts w:hint="default"/>
      </w:rPr>
    </w:lvl>
    <w:lvl w:ilvl="5" w:tplc="13DAFB74">
      <w:numFmt w:val="bullet"/>
      <w:lvlText w:val="•"/>
      <w:lvlJc w:val="left"/>
      <w:pPr>
        <w:ind w:left="5190" w:hanging="720"/>
      </w:pPr>
      <w:rPr>
        <w:rFonts w:hint="default"/>
      </w:rPr>
    </w:lvl>
    <w:lvl w:ilvl="6" w:tplc="152EC8A4">
      <w:numFmt w:val="bullet"/>
      <w:lvlText w:val="•"/>
      <w:lvlJc w:val="left"/>
      <w:pPr>
        <w:ind w:left="6064" w:hanging="720"/>
      </w:pPr>
      <w:rPr>
        <w:rFonts w:hint="default"/>
      </w:rPr>
    </w:lvl>
    <w:lvl w:ilvl="7" w:tplc="C1DCBC28">
      <w:numFmt w:val="bullet"/>
      <w:lvlText w:val="•"/>
      <w:lvlJc w:val="left"/>
      <w:pPr>
        <w:ind w:left="6938" w:hanging="720"/>
      </w:pPr>
      <w:rPr>
        <w:rFonts w:hint="default"/>
      </w:rPr>
    </w:lvl>
    <w:lvl w:ilvl="8" w:tplc="F7C266EA">
      <w:numFmt w:val="bullet"/>
      <w:lvlText w:val="•"/>
      <w:lvlJc w:val="left"/>
      <w:pPr>
        <w:ind w:left="7812" w:hanging="720"/>
      </w:pPr>
      <w:rPr>
        <w:rFonts w:hint="default"/>
      </w:rPr>
    </w:lvl>
  </w:abstractNum>
  <w:abstractNum w:abstractNumId="15" w15:restartNumberingAfterBreak="0">
    <w:nsid w:val="256001EB"/>
    <w:multiLevelType w:val="hybridMultilevel"/>
    <w:tmpl w:val="99BC4D9C"/>
    <w:lvl w:ilvl="0" w:tplc="D292BE7A">
      <w:start w:val="7"/>
      <w:numFmt w:val="decimal"/>
      <w:lvlText w:val="%1."/>
      <w:lvlJc w:val="left"/>
      <w:pPr>
        <w:ind w:left="0" w:hanging="240"/>
        <w:jc w:val="right"/>
      </w:pPr>
      <w:rPr>
        <w:rFonts w:hint="default"/>
        <w:b/>
        <w:bCs/>
        <w:spacing w:val="-2"/>
        <w:w w:val="97"/>
      </w:rPr>
    </w:lvl>
    <w:lvl w:ilvl="1" w:tplc="EE26AC08">
      <w:start w:val="1"/>
      <w:numFmt w:val="decimal"/>
      <w:lvlText w:val="(%2)"/>
      <w:lvlJc w:val="left"/>
      <w:pPr>
        <w:ind w:left="700" w:hanging="341"/>
      </w:pPr>
      <w:rPr>
        <w:rFonts w:ascii="Times New Roman" w:eastAsia="Times New Roman" w:hAnsi="Times New Roman" w:cs="Times New Roman" w:hint="default"/>
        <w:color w:val="231F20"/>
        <w:w w:val="99"/>
        <w:sz w:val="24"/>
        <w:szCs w:val="24"/>
      </w:rPr>
    </w:lvl>
    <w:lvl w:ilvl="2" w:tplc="2520836A">
      <w:numFmt w:val="bullet"/>
      <w:lvlText w:val="•"/>
      <w:lvlJc w:val="left"/>
      <w:pPr>
        <w:ind w:left="1628" w:hanging="341"/>
      </w:pPr>
      <w:rPr>
        <w:rFonts w:hint="default"/>
      </w:rPr>
    </w:lvl>
    <w:lvl w:ilvl="3" w:tplc="2236C8FE">
      <w:numFmt w:val="bullet"/>
      <w:lvlText w:val="•"/>
      <w:lvlJc w:val="left"/>
      <w:pPr>
        <w:ind w:left="2557" w:hanging="341"/>
      </w:pPr>
      <w:rPr>
        <w:rFonts w:hint="default"/>
      </w:rPr>
    </w:lvl>
    <w:lvl w:ilvl="4" w:tplc="609A6F68">
      <w:numFmt w:val="bullet"/>
      <w:lvlText w:val="•"/>
      <w:lvlJc w:val="left"/>
      <w:pPr>
        <w:ind w:left="3486" w:hanging="341"/>
      </w:pPr>
      <w:rPr>
        <w:rFonts w:hint="default"/>
      </w:rPr>
    </w:lvl>
    <w:lvl w:ilvl="5" w:tplc="80B294B6">
      <w:numFmt w:val="bullet"/>
      <w:lvlText w:val="•"/>
      <w:lvlJc w:val="left"/>
      <w:pPr>
        <w:ind w:left="4415" w:hanging="341"/>
      </w:pPr>
      <w:rPr>
        <w:rFonts w:hint="default"/>
      </w:rPr>
    </w:lvl>
    <w:lvl w:ilvl="6" w:tplc="7BE47810">
      <w:numFmt w:val="bullet"/>
      <w:lvlText w:val="•"/>
      <w:lvlJc w:val="left"/>
      <w:pPr>
        <w:ind w:left="5344" w:hanging="341"/>
      </w:pPr>
      <w:rPr>
        <w:rFonts w:hint="default"/>
      </w:rPr>
    </w:lvl>
    <w:lvl w:ilvl="7" w:tplc="6354071A">
      <w:numFmt w:val="bullet"/>
      <w:lvlText w:val="•"/>
      <w:lvlJc w:val="left"/>
      <w:pPr>
        <w:ind w:left="6273" w:hanging="341"/>
      </w:pPr>
      <w:rPr>
        <w:rFonts w:hint="default"/>
      </w:rPr>
    </w:lvl>
    <w:lvl w:ilvl="8" w:tplc="BBF64454">
      <w:numFmt w:val="bullet"/>
      <w:lvlText w:val="•"/>
      <w:lvlJc w:val="left"/>
      <w:pPr>
        <w:ind w:left="7202" w:hanging="341"/>
      </w:pPr>
      <w:rPr>
        <w:rFonts w:hint="default"/>
      </w:rPr>
    </w:lvl>
  </w:abstractNum>
  <w:abstractNum w:abstractNumId="16" w15:restartNumberingAfterBreak="0">
    <w:nsid w:val="289A5B53"/>
    <w:multiLevelType w:val="hybridMultilevel"/>
    <w:tmpl w:val="3B6CF3F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1C6331"/>
    <w:multiLevelType w:val="hybridMultilevel"/>
    <w:tmpl w:val="1C8A3B00"/>
    <w:lvl w:ilvl="0" w:tplc="D292BE7A">
      <w:start w:val="7"/>
      <w:numFmt w:val="decimal"/>
      <w:lvlText w:val="%1."/>
      <w:lvlJc w:val="left"/>
      <w:pPr>
        <w:ind w:left="460" w:hanging="240"/>
        <w:jc w:val="right"/>
      </w:pPr>
      <w:rPr>
        <w:rFonts w:hint="default"/>
        <w:b/>
        <w:bCs/>
        <w:spacing w:val="-2"/>
        <w:w w:val="97"/>
      </w:rPr>
    </w:lvl>
    <w:lvl w:ilvl="1" w:tplc="0409000F">
      <w:start w:val="1"/>
      <w:numFmt w:val="decimal"/>
      <w:lvlText w:val="%2."/>
      <w:lvlJc w:val="left"/>
      <w:pPr>
        <w:ind w:left="1160" w:hanging="341"/>
      </w:pPr>
      <w:rPr>
        <w:rFonts w:hint="default"/>
        <w:color w:val="231F20"/>
        <w:w w:val="99"/>
        <w:sz w:val="24"/>
        <w:szCs w:val="24"/>
      </w:rPr>
    </w:lvl>
    <w:lvl w:ilvl="2" w:tplc="2520836A">
      <w:numFmt w:val="bullet"/>
      <w:lvlText w:val="•"/>
      <w:lvlJc w:val="left"/>
      <w:pPr>
        <w:ind w:left="2088" w:hanging="341"/>
      </w:pPr>
      <w:rPr>
        <w:rFonts w:hint="default"/>
      </w:rPr>
    </w:lvl>
    <w:lvl w:ilvl="3" w:tplc="2236C8FE">
      <w:numFmt w:val="bullet"/>
      <w:lvlText w:val="•"/>
      <w:lvlJc w:val="left"/>
      <w:pPr>
        <w:ind w:left="3017" w:hanging="341"/>
      </w:pPr>
      <w:rPr>
        <w:rFonts w:hint="default"/>
      </w:rPr>
    </w:lvl>
    <w:lvl w:ilvl="4" w:tplc="609A6F68">
      <w:numFmt w:val="bullet"/>
      <w:lvlText w:val="•"/>
      <w:lvlJc w:val="left"/>
      <w:pPr>
        <w:ind w:left="3946" w:hanging="341"/>
      </w:pPr>
      <w:rPr>
        <w:rFonts w:hint="default"/>
      </w:rPr>
    </w:lvl>
    <w:lvl w:ilvl="5" w:tplc="80B294B6">
      <w:numFmt w:val="bullet"/>
      <w:lvlText w:val="•"/>
      <w:lvlJc w:val="left"/>
      <w:pPr>
        <w:ind w:left="4875" w:hanging="341"/>
      </w:pPr>
      <w:rPr>
        <w:rFonts w:hint="default"/>
      </w:rPr>
    </w:lvl>
    <w:lvl w:ilvl="6" w:tplc="7BE47810">
      <w:numFmt w:val="bullet"/>
      <w:lvlText w:val="•"/>
      <w:lvlJc w:val="left"/>
      <w:pPr>
        <w:ind w:left="5804" w:hanging="341"/>
      </w:pPr>
      <w:rPr>
        <w:rFonts w:hint="default"/>
      </w:rPr>
    </w:lvl>
    <w:lvl w:ilvl="7" w:tplc="6354071A">
      <w:numFmt w:val="bullet"/>
      <w:lvlText w:val="•"/>
      <w:lvlJc w:val="left"/>
      <w:pPr>
        <w:ind w:left="6733" w:hanging="341"/>
      </w:pPr>
      <w:rPr>
        <w:rFonts w:hint="default"/>
      </w:rPr>
    </w:lvl>
    <w:lvl w:ilvl="8" w:tplc="BBF64454">
      <w:numFmt w:val="bullet"/>
      <w:lvlText w:val="•"/>
      <w:lvlJc w:val="left"/>
      <w:pPr>
        <w:ind w:left="7662" w:hanging="341"/>
      </w:pPr>
      <w:rPr>
        <w:rFonts w:hint="default"/>
      </w:rPr>
    </w:lvl>
  </w:abstractNum>
  <w:abstractNum w:abstractNumId="18" w15:restartNumberingAfterBreak="0">
    <w:nsid w:val="3A575450"/>
    <w:multiLevelType w:val="hybridMultilevel"/>
    <w:tmpl w:val="6AE68CFA"/>
    <w:lvl w:ilvl="0" w:tplc="C8D075F2">
      <w:start w:val="1"/>
      <w:numFmt w:val="decimal"/>
      <w:lvlText w:val="(%1)"/>
      <w:lvlJc w:val="left"/>
      <w:pPr>
        <w:ind w:left="216" w:hanging="200"/>
      </w:pPr>
      <w:rPr>
        <w:rFonts w:ascii="Calibri" w:eastAsia="Calibri" w:hAnsi="Calibri" w:cs="Calibri" w:hint="default"/>
        <w:color w:val="231F20"/>
        <w:spacing w:val="0"/>
        <w:w w:val="104"/>
        <w:sz w:val="14"/>
        <w:szCs w:val="14"/>
      </w:rPr>
    </w:lvl>
    <w:lvl w:ilvl="1" w:tplc="3D2AEA00">
      <w:numFmt w:val="bullet"/>
      <w:lvlText w:val="•"/>
      <w:lvlJc w:val="left"/>
      <w:pPr>
        <w:ind w:left="1684" w:hanging="200"/>
      </w:pPr>
      <w:rPr>
        <w:rFonts w:hint="default"/>
      </w:rPr>
    </w:lvl>
    <w:lvl w:ilvl="2" w:tplc="C27A5B8C">
      <w:numFmt w:val="bullet"/>
      <w:lvlText w:val="•"/>
      <w:lvlJc w:val="left"/>
      <w:pPr>
        <w:ind w:left="3149" w:hanging="200"/>
      </w:pPr>
      <w:rPr>
        <w:rFonts w:hint="default"/>
      </w:rPr>
    </w:lvl>
    <w:lvl w:ilvl="3" w:tplc="8738F864">
      <w:numFmt w:val="bullet"/>
      <w:lvlText w:val="•"/>
      <w:lvlJc w:val="left"/>
      <w:pPr>
        <w:ind w:left="4613" w:hanging="200"/>
      </w:pPr>
      <w:rPr>
        <w:rFonts w:hint="default"/>
      </w:rPr>
    </w:lvl>
    <w:lvl w:ilvl="4" w:tplc="9C68CE4A">
      <w:numFmt w:val="bullet"/>
      <w:lvlText w:val="•"/>
      <w:lvlJc w:val="left"/>
      <w:pPr>
        <w:ind w:left="6078" w:hanging="200"/>
      </w:pPr>
      <w:rPr>
        <w:rFonts w:hint="default"/>
      </w:rPr>
    </w:lvl>
    <w:lvl w:ilvl="5" w:tplc="A37EABFC">
      <w:numFmt w:val="bullet"/>
      <w:lvlText w:val="•"/>
      <w:lvlJc w:val="left"/>
      <w:pPr>
        <w:ind w:left="7542" w:hanging="200"/>
      </w:pPr>
      <w:rPr>
        <w:rFonts w:hint="default"/>
      </w:rPr>
    </w:lvl>
    <w:lvl w:ilvl="6" w:tplc="7842EF6E">
      <w:numFmt w:val="bullet"/>
      <w:lvlText w:val="•"/>
      <w:lvlJc w:val="left"/>
      <w:pPr>
        <w:ind w:left="9007" w:hanging="200"/>
      </w:pPr>
      <w:rPr>
        <w:rFonts w:hint="default"/>
      </w:rPr>
    </w:lvl>
    <w:lvl w:ilvl="7" w:tplc="150E20B4">
      <w:numFmt w:val="bullet"/>
      <w:lvlText w:val="•"/>
      <w:lvlJc w:val="left"/>
      <w:pPr>
        <w:ind w:left="10471" w:hanging="200"/>
      </w:pPr>
      <w:rPr>
        <w:rFonts w:hint="default"/>
      </w:rPr>
    </w:lvl>
    <w:lvl w:ilvl="8" w:tplc="0EF66352">
      <w:numFmt w:val="bullet"/>
      <w:lvlText w:val="•"/>
      <w:lvlJc w:val="left"/>
      <w:pPr>
        <w:ind w:left="11936" w:hanging="200"/>
      </w:pPr>
      <w:rPr>
        <w:rFonts w:hint="default"/>
      </w:rPr>
    </w:lvl>
  </w:abstractNum>
  <w:abstractNum w:abstractNumId="19" w15:restartNumberingAfterBreak="0">
    <w:nsid w:val="3D6E75FE"/>
    <w:multiLevelType w:val="hybridMultilevel"/>
    <w:tmpl w:val="B43006F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EC1309A"/>
    <w:multiLevelType w:val="hybridMultilevel"/>
    <w:tmpl w:val="6F9ACE52"/>
    <w:lvl w:ilvl="0" w:tplc="9D8C9BA6">
      <w:start w:val="1"/>
      <w:numFmt w:val="upperRoman"/>
      <w:lvlText w:val="%1."/>
      <w:lvlJc w:val="left"/>
      <w:pPr>
        <w:ind w:left="100" w:hanging="481"/>
      </w:pPr>
      <w:rPr>
        <w:rFonts w:ascii="Times New Roman" w:eastAsia="Times New Roman" w:hAnsi="Times New Roman" w:cs="Times New Roman" w:hint="default"/>
        <w:color w:val="231F20"/>
        <w:spacing w:val="-1"/>
        <w:w w:val="100"/>
        <w:sz w:val="24"/>
        <w:szCs w:val="24"/>
      </w:rPr>
    </w:lvl>
    <w:lvl w:ilvl="1" w:tplc="A58ECAB0">
      <w:start w:val="1"/>
      <w:numFmt w:val="upperLetter"/>
      <w:lvlText w:val="%2."/>
      <w:lvlJc w:val="left"/>
      <w:pPr>
        <w:ind w:left="340" w:hanging="640"/>
      </w:pPr>
      <w:rPr>
        <w:rFonts w:ascii="Times New Roman" w:eastAsia="Times New Roman" w:hAnsi="Times New Roman" w:cs="Times New Roman" w:hint="default"/>
        <w:color w:val="231F20"/>
        <w:spacing w:val="-2"/>
        <w:w w:val="100"/>
        <w:sz w:val="24"/>
        <w:szCs w:val="24"/>
      </w:rPr>
    </w:lvl>
    <w:lvl w:ilvl="2" w:tplc="631C8646">
      <w:numFmt w:val="bullet"/>
      <w:lvlText w:val="•"/>
      <w:lvlJc w:val="left"/>
      <w:pPr>
        <w:ind w:left="980" w:hanging="640"/>
      </w:pPr>
      <w:rPr>
        <w:rFonts w:hint="default"/>
      </w:rPr>
    </w:lvl>
    <w:lvl w:ilvl="3" w:tplc="98BC1368">
      <w:numFmt w:val="bullet"/>
      <w:lvlText w:val="•"/>
      <w:lvlJc w:val="left"/>
      <w:pPr>
        <w:ind w:left="2052" w:hanging="640"/>
      </w:pPr>
      <w:rPr>
        <w:rFonts w:hint="default"/>
      </w:rPr>
    </w:lvl>
    <w:lvl w:ilvl="4" w:tplc="D9D6636E">
      <w:numFmt w:val="bullet"/>
      <w:lvlText w:val="•"/>
      <w:lvlJc w:val="left"/>
      <w:pPr>
        <w:ind w:left="3125" w:hanging="640"/>
      </w:pPr>
      <w:rPr>
        <w:rFonts w:hint="default"/>
      </w:rPr>
    </w:lvl>
    <w:lvl w:ilvl="5" w:tplc="CC86CC3A">
      <w:numFmt w:val="bullet"/>
      <w:lvlText w:val="•"/>
      <w:lvlJc w:val="left"/>
      <w:pPr>
        <w:ind w:left="4197" w:hanging="640"/>
      </w:pPr>
      <w:rPr>
        <w:rFonts w:hint="default"/>
      </w:rPr>
    </w:lvl>
    <w:lvl w:ilvl="6" w:tplc="52CEFD68">
      <w:numFmt w:val="bullet"/>
      <w:lvlText w:val="•"/>
      <w:lvlJc w:val="left"/>
      <w:pPr>
        <w:ind w:left="5270" w:hanging="640"/>
      </w:pPr>
      <w:rPr>
        <w:rFonts w:hint="default"/>
      </w:rPr>
    </w:lvl>
    <w:lvl w:ilvl="7" w:tplc="302C7DF6">
      <w:numFmt w:val="bullet"/>
      <w:lvlText w:val="•"/>
      <w:lvlJc w:val="left"/>
      <w:pPr>
        <w:ind w:left="6342" w:hanging="640"/>
      </w:pPr>
      <w:rPr>
        <w:rFonts w:hint="default"/>
      </w:rPr>
    </w:lvl>
    <w:lvl w:ilvl="8" w:tplc="B58C6C04">
      <w:numFmt w:val="bullet"/>
      <w:lvlText w:val="•"/>
      <w:lvlJc w:val="left"/>
      <w:pPr>
        <w:ind w:left="7415" w:hanging="640"/>
      </w:pPr>
      <w:rPr>
        <w:rFonts w:hint="default"/>
      </w:rPr>
    </w:lvl>
  </w:abstractNum>
  <w:abstractNum w:abstractNumId="21" w15:restartNumberingAfterBreak="0">
    <w:nsid w:val="48E8269A"/>
    <w:multiLevelType w:val="hybridMultilevel"/>
    <w:tmpl w:val="4D867E90"/>
    <w:lvl w:ilvl="0" w:tplc="C6008F02">
      <w:start w:val="1"/>
      <w:numFmt w:val="upperLetter"/>
      <w:lvlText w:val="%1."/>
      <w:lvlJc w:val="left"/>
      <w:pPr>
        <w:ind w:left="820" w:hanging="721"/>
        <w:jc w:val="right"/>
      </w:pPr>
      <w:rPr>
        <w:rFonts w:ascii="Times New Roman" w:eastAsia="Times New Roman" w:hAnsi="Times New Roman" w:cs="Times New Roman" w:hint="default"/>
        <w:b/>
        <w:bCs/>
        <w:color w:val="231F20"/>
        <w:spacing w:val="-2"/>
        <w:w w:val="100"/>
        <w:sz w:val="24"/>
        <w:szCs w:val="24"/>
      </w:rPr>
    </w:lvl>
    <w:lvl w:ilvl="1" w:tplc="CAACC306">
      <w:numFmt w:val="bullet"/>
      <w:lvlText w:val="•"/>
      <w:lvlJc w:val="left"/>
      <w:pPr>
        <w:ind w:left="1688" w:hanging="721"/>
      </w:pPr>
      <w:rPr>
        <w:rFonts w:hint="default"/>
      </w:rPr>
    </w:lvl>
    <w:lvl w:ilvl="2" w:tplc="569296FE">
      <w:numFmt w:val="bullet"/>
      <w:lvlText w:val="•"/>
      <w:lvlJc w:val="left"/>
      <w:pPr>
        <w:ind w:left="2556" w:hanging="721"/>
      </w:pPr>
      <w:rPr>
        <w:rFonts w:hint="default"/>
      </w:rPr>
    </w:lvl>
    <w:lvl w:ilvl="3" w:tplc="3426E39A">
      <w:numFmt w:val="bullet"/>
      <w:lvlText w:val="•"/>
      <w:lvlJc w:val="left"/>
      <w:pPr>
        <w:ind w:left="3424" w:hanging="721"/>
      </w:pPr>
      <w:rPr>
        <w:rFonts w:hint="default"/>
      </w:rPr>
    </w:lvl>
    <w:lvl w:ilvl="4" w:tplc="0EE6DA1C">
      <w:numFmt w:val="bullet"/>
      <w:lvlText w:val="•"/>
      <w:lvlJc w:val="left"/>
      <w:pPr>
        <w:ind w:left="4292" w:hanging="721"/>
      </w:pPr>
      <w:rPr>
        <w:rFonts w:hint="default"/>
      </w:rPr>
    </w:lvl>
    <w:lvl w:ilvl="5" w:tplc="EBF23A10">
      <w:numFmt w:val="bullet"/>
      <w:lvlText w:val="•"/>
      <w:lvlJc w:val="left"/>
      <w:pPr>
        <w:ind w:left="5160" w:hanging="721"/>
      </w:pPr>
      <w:rPr>
        <w:rFonts w:hint="default"/>
      </w:rPr>
    </w:lvl>
    <w:lvl w:ilvl="6" w:tplc="D44A98CA">
      <w:numFmt w:val="bullet"/>
      <w:lvlText w:val="•"/>
      <w:lvlJc w:val="left"/>
      <w:pPr>
        <w:ind w:left="6028" w:hanging="721"/>
      </w:pPr>
      <w:rPr>
        <w:rFonts w:hint="default"/>
      </w:rPr>
    </w:lvl>
    <w:lvl w:ilvl="7" w:tplc="F92EE022">
      <w:numFmt w:val="bullet"/>
      <w:lvlText w:val="•"/>
      <w:lvlJc w:val="left"/>
      <w:pPr>
        <w:ind w:left="6896" w:hanging="721"/>
      </w:pPr>
      <w:rPr>
        <w:rFonts w:hint="default"/>
      </w:rPr>
    </w:lvl>
    <w:lvl w:ilvl="8" w:tplc="F7760A6C">
      <w:numFmt w:val="bullet"/>
      <w:lvlText w:val="•"/>
      <w:lvlJc w:val="left"/>
      <w:pPr>
        <w:ind w:left="7764" w:hanging="721"/>
      </w:pPr>
      <w:rPr>
        <w:rFonts w:hint="default"/>
      </w:rPr>
    </w:lvl>
  </w:abstractNum>
  <w:abstractNum w:abstractNumId="22" w15:restartNumberingAfterBreak="0">
    <w:nsid w:val="5FE657DD"/>
    <w:multiLevelType w:val="hybridMultilevel"/>
    <w:tmpl w:val="F6CEC162"/>
    <w:lvl w:ilvl="0" w:tplc="65F85716">
      <w:start w:val="101"/>
      <w:numFmt w:val="decimal"/>
      <w:lvlText w:val="%1."/>
      <w:lvlJc w:val="left"/>
      <w:pPr>
        <w:ind w:left="480" w:hanging="480"/>
      </w:pPr>
      <w:rPr>
        <w:rFonts w:ascii="Times New Roman" w:eastAsia="Times New Roman" w:hAnsi="Times New Roman" w:cs="Times New Roman" w:hint="default"/>
        <w:b/>
        <w:bCs/>
        <w:color w:val="231F20"/>
        <w:spacing w:val="-1"/>
        <w:w w:val="100"/>
        <w:sz w:val="24"/>
        <w:szCs w:val="24"/>
      </w:rPr>
    </w:lvl>
    <w:lvl w:ilvl="1" w:tplc="805E1902">
      <w:numFmt w:val="bullet"/>
      <w:lvlText w:val="•"/>
      <w:lvlJc w:val="left"/>
      <w:pPr>
        <w:ind w:left="840" w:hanging="480"/>
      </w:pPr>
      <w:rPr>
        <w:rFonts w:hint="default"/>
      </w:rPr>
    </w:lvl>
    <w:lvl w:ilvl="2" w:tplc="A460A400">
      <w:numFmt w:val="bullet"/>
      <w:lvlText w:val="•"/>
      <w:lvlJc w:val="left"/>
      <w:pPr>
        <w:ind w:left="1808" w:hanging="480"/>
      </w:pPr>
      <w:rPr>
        <w:rFonts w:hint="default"/>
      </w:rPr>
    </w:lvl>
    <w:lvl w:ilvl="3" w:tplc="28FCC026">
      <w:numFmt w:val="bullet"/>
      <w:lvlText w:val="•"/>
      <w:lvlJc w:val="left"/>
      <w:pPr>
        <w:ind w:left="2777" w:hanging="480"/>
      </w:pPr>
      <w:rPr>
        <w:rFonts w:hint="default"/>
      </w:rPr>
    </w:lvl>
    <w:lvl w:ilvl="4" w:tplc="F4226A2A">
      <w:numFmt w:val="bullet"/>
      <w:lvlText w:val="•"/>
      <w:lvlJc w:val="left"/>
      <w:pPr>
        <w:ind w:left="3746" w:hanging="480"/>
      </w:pPr>
      <w:rPr>
        <w:rFonts w:hint="default"/>
      </w:rPr>
    </w:lvl>
    <w:lvl w:ilvl="5" w:tplc="5A526054">
      <w:numFmt w:val="bullet"/>
      <w:lvlText w:val="•"/>
      <w:lvlJc w:val="left"/>
      <w:pPr>
        <w:ind w:left="4715" w:hanging="480"/>
      </w:pPr>
      <w:rPr>
        <w:rFonts w:hint="default"/>
      </w:rPr>
    </w:lvl>
    <w:lvl w:ilvl="6" w:tplc="FA6CB78E">
      <w:numFmt w:val="bullet"/>
      <w:lvlText w:val="•"/>
      <w:lvlJc w:val="left"/>
      <w:pPr>
        <w:ind w:left="5684" w:hanging="480"/>
      </w:pPr>
      <w:rPr>
        <w:rFonts w:hint="default"/>
      </w:rPr>
    </w:lvl>
    <w:lvl w:ilvl="7" w:tplc="35602D68">
      <w:numFmt w:val="bullet"/>
      <w:lvlText w:val="•"/>
      <w:lvlJc w:val="left"/>
      <w:pPr>
        <w:ind w:left="6653" w:hanging="480"/>
      </w:pPr>
      <w:rPr>
        <w:rFonts w:hint="default"/>
      </w:rPr>
    </w:lvl>
    <w:lvl w:ilvl="8" w:tplc="3490F9AC">
      <w:numFmt w:val="bullet"/>
      <w:lvlText w:val="•"/>
      <w:lvlJc w:val="left"/>
      <w:pPr>
        <w:ind w:left="7622" w:hanging="480"/>
      </w:pPr>
      <w:rPr>
        <w:rFonts w:hint="default"/>
      </w:rPr>
    </w:lvl>
  </w:abstractNum>
  <w:abstractNum w:abstractNumId="23" w15:restartNumberingAfterBreak="0">
    <w:nsid w:val="68DA3322"/>
    <w:multiLevelType w:val="hybridMultilevel"/>
    <w:tmpl w:val="20D61F7E"/>
    <w:lvl w:ilvl="0" w:tplc="A5E827A0">
      <w:start w:val="1"/>
      <w:numFmt w:val="upperLetter"/>
      <w:lvlText w:val="%1."/>
      <w:lvlJc w:val="left"/>
      <w:pPr>
        <w:ind w:left="820" w:hanging="721"/>
        <w:jc w:val="right"/>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EF2278D8">
      <w:start w:val="1"/>
      <w:numFmt w:val="decimal"/>
      <w:lvlText w:val="%2."/>
      <w:lvlJc w:val="left"/>
      <w:pPr>
        <w:ind w:left="100" w:hanging="241"/>
      </w:pPr>
      <w:rPr>
        <w:rFonts w:ascii="Times New Roman" w:eastAsia="Times New Roman" w:hAnsi="Times New Roman" w:cs="Times New Roman" w:hint="default"/>
        <w:b/>
        <w:bCs/>
        <w:color w:val="231F20"/>
        <w:spacing w:val="-3"/>
        <w:w w:val="100"/>
        <w:sz w:val="24"/>
        <w:szCs w:val="24"/>
      </w:rPr>
    </w:lvl>
    <w:lvl w:ilvl="2" w:tplc="6B96B056">
      <w:numFmt w:val="bullet"/>
      <w:lvlText w:val="•"/>
      <w:lvlJc w:val="left"/>
      <w:pPr>
        <w:ind w:left="1791" w:hanging="241"/>
      </w:pPr>
      <w:rPr>
        <w:rFonts w:hint="default"/>
      </w:rPr>
    </w:lvl>
    <w:lvl w:ilvl="3" w:tplc="42BA6044">
      <w:numFmt w:val="bullet"/>
      <w:lvlText w:val="•"/>
      <w:lvlJc w:val="left"/>
      <w:pPr>
        <w:ind w:left="2762" w:hanging="241"/>
      </w:pPr>
      <w:rPr>
        <w:rFonts w:hint="default"/>
      </w:rPr>
    </w:lvl>
    <w:lvl w:ilvl="4" w:tplc="891A23F6">
      <w:numFmt w:val="bullet"/>
      <w:lvlText w:val="•"/>
      <w:lvlJc w:val="left"/>
      <w:pPr>
        <w:ind w:left="3733" w:hanging="241"/>
      </w:pPr>
      <w:rPr>
        <w:rFonts w:hint="default"/>
      </w:rPr>
    </w:lvl>
    <w:lvl w:ilvl="5" w:tplc="F4A89AD2">
      <w:numFmt w:val="bullet"/>
      <w:lvlText w:val="•"/>
      <w:lvlJc w:val="left"/>
      <w:pPr>
        <w:ind w:left="4704" w:hanging="241"/>
      </w:pPr>
      <w:rPr>
        <w:rFonts w:hint="default"/>
      </w:rPr>
    </w:lvl>
    <w:lvl w:ilvl="6" w:tplc="E6A4C658">
      <w:numFmt w:val="bullet"/>
      <w:lvlText w:val="•"/>
      <w:lvlJc w:val="left"/>
      <w:pPr>
        <w:ind w:left="5675" w:hanging="241"/>
      </w:pPr>
      <w:rPr>
        <w:rFonts w:hint="default"/>
      </w:rPr>
    </w:lvl>
    <w:lvl w:ilvl="7" w:tplc="C51A1D7A">
      <w:numFmt w:val="bullet"/>
      <w:lvlText w:val="•"/>
      <w:lvlJc w:val="left"/>
      <w:pPr>
        <w:ind w:left="6646" w:hanging="241"/>
      </w:pPr>
      <w:rPr>
        <w:rFonts w:hint="default"/>
      </w:rPr>
    </w:lvl>
    <w:lvl w:ilvl="8" w:tplc="23FA7D7A">
      <w:numFmt w:val="bullet"/>
      <w:lvlText w:val="•"/>
      <w:lvlJc w:val="left"/>
      <w:pPr>
        <w:ind w:left="7617" w:hanging="241"/>
      </w:pPr>
      <w:rPr>
        <w:rFonts w:hint="default"/>
      </w:rPr>
    </w:lvl>
  </w:abstractNum>
  <w:abstractNum w:abstractNumId="24" w15:restartNumberingAfterBreak="0">
    <w:nsid w:val="6D7F6502"/>
    <w:multiLevelType w:val="hybridMultilevel"/>
    <w:tmpl w:val="361AE79C"/>
    <w:lvl w:ilvl="0" w:tplc="C338DA28">
      <w:start w:val="1"/>
      <w:numFmt w:val="decimal"/>
      <w:lvlText w:val="%1)"/>
      <w:lvlJc w:val="left"/>
      <w:pPr>
        <w:ind w:left="820" w:hanging="360"/>
      </w:pPr>
      <w:rPr>
        <w:rFonts w:ascii="Times New Roman" w:eastAsia="Times New Roman" w:hAnsi="Times New Roman" w:cs="Times New Roman" w:hint="default"/>
        <w:color w:val="231F20"/>
        <w:spacing w:val="-20"/>
        <w:w w:val="100"/>
        <w:sz w:val="24"/>
        <w:szCs w:val="24"/>
      </w:rPr>
    </w:lvl>
    <w:lvl w:ilvl="1" w:tplc="DF4AB084">
      <w:start w:val="1"/>
      <w:numFmt w:val="lowerLetter"/>
      <w:lvlText w:val="%2)"/>
      <w:lvlJc w:val="left"/>
      <w:pPr>
        <w:ind w:left="1540" w:hanging="360"/>
      </w:pPr>
      <w:rPr>
        <w:rFonts w:ascii="Times New Roman" w:eastAsia="Times New Roman" w:hAnsi="Times New Roman" w:cs="Times New Roman" w:hint="default"/>
        <w:color w:val="231F20"/>
        <w:spacing w:val="-7"/>
        <w:w w:val="100"/>
        <w:sz w:val="24"/>
        <w:szCs w:val="24"/>
      </w:rPr>
    </w:lvl>
    <w:lvl w:ilvl="2" w:tplc="47CE1556">
      <w:start w:val="1"/>
      <w:numFmt w:val="lowerRoman"/>
      <w:lvlText w:val="%3)"/>
      <w:lvlJc w:val="left"/>
      <w:pPr>
        <w:ind w:left="1900" w:hanging="360"/>
      </w:pPr>
      <w:rPr>
        <w:rFonts w:ascii="Times New Roman" w:eastAsia="Times New Roman" w:hAnsi="Times New Roman" w:cs="Times New Roman" w:hint="default"/>
        <w:color w:val="231F20"/>
        <w:spacing w:val="-2"/>
        <w:w w:val="100"/>
        <w:sz w:val="24"/>
        <w:szCs w:val="24"/>
      </w:rPr>
    </w:lvl>
    <w:lvl w:ilvl="3" w:tplc="C7F24B90">
      <w:numFmt w:val="bullet"/>
      <w:lvlText w:val="•"/>
      <w:lvlJc w:val="left"/>
      <w:pPr>
        <w:ind w:left="2857" w:hanging="360"/>
      </w:pPr>
      <w:rPr>
        <w:rFonts w:hint="default"/>
      </w:rPr>
    </w:lvl>
    <w:lvl w:ilvl="4" w:tplc="2670DF78">
      <w:numFmt w:val="bullet"/>
      <w:lvlText w:val="•"/>
      <w:lvlJc w:val="left"/>
      <w:pPr>
        <w:ind w:left="3815" w:hanging="360"/>
      </w:pPr>
      <w:rPr>
        <w:rFonts w:hint="default"/>
      </w:rPr>
    </w:lvl>
    <w:lvl w:ilvl="5" w:tplc="B0F8A39C">
      <w:numFmt w:val="bullet"/>
      <w:lvlText w:val="•"/>
      <w:lvlJc w:val="left"/>
      <w:pPr>
        <w:ind w:left="4772" w:hanging="360"/>
      </w:pPr>
      <w:rPr>
        <w:rFonts w:hint="default"/>
      </w:rPr>
    </w:lvl>
    <w:lvl w:ilvl="6" w:tplc="46EA1012">
      <w:numFmt w:val="bullet"/>
      <w:lvlText w:val="•"/>
      <w:lvlJc w:val="left"/>
      <w:pPr>
        <w:ind w:left="5730" w:hanging="360"/>
      </w:pPr>
      <w:rPr>
        <w:rFonts w:hint="default"/>
      </w:rPr>
    </w:lvl>
    <w:lvl w:ilvl="7" w:tplc="EB220A8C">
      <w:numFmt w:val="bullet"/>
      <w:lvlText w:val="•"/>
      <w:lvlJc w:val="left"/>
      <w:pPr>
        <w:ind w:left="6687" w:hanging="360"/>
      </w:pPr>
      <w:rPr>
        <w:rFonts w:hint="default"/>
      </w:rPr>
    </w:lvl>
    <w:lvl w:ilvl="8" w:tplc="FC10BFAC">
      <w:numFmt w:val="bullet"/>
      <w:lvlText w:val="•"/>
      <w:lvlJc w:val="left"/>
      <w:pPr>
        <w:ind w:left="7645" w:hanging="360"/>
      </w:pPr>
      <w:rPr>
        <w:rFonts w:hint="default"/>
      </w:rPr>
    </w:lvl>
  </w:abstractNum>
  <w:abstractNum w:abstractNumId="25" w15:restartNumberingAfterBreak="0">
    <w:nsid w:val="760E540F"/>
    <w:multiLevelType w:val="hybridMultilevel"/>
    <w:tmpl w:val="258A7132"/>
    <w:lvl w:ilvl="0" w:tplc="096A9942">
      <w:start w:val="3"/>
      <w:numFmt w:val="upperLetter"/>
      <w:lvlText w:val="%1."/>
      <w:lvlJc w:val="left"/>
      <w:pPr>
        <w:ind w:left="413" w:hanging="294"/>
      </w:pPr>
      <w:rPr>
        <w:rFonts w:ascii="Times New Roman" w:eastAsia="Times New Roman" w:hAnsi="Times New Roman" w:cs="Times New Roman" w:hint="default"/>
        <w:b/>
        <w:bCs/>
        <w:color w:val="231F20"/>
        <w:spacing w:val="-2"/>
        <w:w w:val="100"/>
        <w:sz w:val="24"/>
        <w:szCs w:val="24"/>
      </w:rPr>
    </w:lvl>
    <w:lvl w:ilvl="1" w:tplc="F8465AC2">
      <w:numFmt w:val="bullet"/>
      <w:lvlText w:val="•"/>
      <w:lvlJc w:val="left"/>
      <w:pPr>
        <w:ind w:left="1334" w:hanging="294"/>
      </w:pPr>
      <w:rPr>
        <w:rFonts w:hint="default"/>
      </w:rPr>
    </w:lvl>
    <w:lvl w:ilvl="2" w:tplc="2410E07A">
      <w:numFmt w:val="bullet"/>
      <w:lvlText w:val="•"/>
      <w:lvlJc w:val="left"/>
      <w:pPr>
        <w:ind w:left="2248" w:hanging="294"/>
      </w:pPr>
      <w:rPr>
        <w:rFonts w:hint="default"/>
      </w:rPr>
    </w:lvl>
    <w:lvl w:ilvl="3" w:tplc="2A02D80C">
      <w:numFmt w:val="bullet"/>
      <w:lvlText w:val="•"/>
      <w:lvlJc w:val="left"/>
      <w:pPr>
        <w:ind w:left="3162" w:hanging="294"/>
      </w:pPr>
      <w:rPr>
        <w:rFonts w:hint="default"/>
      </w:rPr>
    </w:lvl>
    <w:lvl w:ilvl="4" w:tplc="E7DC6228">
      <w:numFmt w:val="bullet"/>
      <w:lvlText w:val="•"/>
      <w:lvlJc w:val="left"/>
      <w:pPr>
        <w:ind w:left="4076" w:hanging="294"/>
      </w:pPr>
      <w:rPr>
        <w:rFonts w:hint="default"/>
      </w:rPr>
    </w:lvl>
    <w:lvl w:ilvl="5" w:tplc="2D02248C">
      <w:numFmt w:val="bullet"/>
      <w:lvlText w:val="•"/>
      <w:lvlJc w:val="left"/>
      <w:pPr>
        <w:ind w:left="4990" w:hanging="294"/>
      </w:pPr>
      <w:rPr>
        <w:rFonts w:hint="default"/>
      </w:rPr>
    </w:lvl>
    <w:lvl w:ilvl="6" w:tplc="8E1C4D20">
      <w:numFmt w:val="bullet"/>
      <w:lvlText w:val="•"/>
      <w:lvlJc w:val="left"/>
      <w:pPr>
        <w:ind w:left="5904" w:hanging="294"/>
      </w:pPr>
      <w:rPr>
        <w:rFonts w:hint="default"/>
      </w:rPr>
    </w:lvl>
    <w:lvl w:ilvl="7" w:tplc="4EB84F18">
      <w:numFmt w:val="bullet"/>
      <w:lvlText w:val="•"/>
      <w:lvlJc w:val="left"/>
      <w:pPr>
        <w:ind w:left="6818" w:hanging="294"/>
      </w:pPr>
      <w:rPr>
        <w:rFonts w:hint="default"/>
      </w:rPr>
    </w:lvl>
    <w:lvl w:ilvl="8" w:tplc="C3563998">
      <w:numFmt w:val="bullet"/>
      <w:lvlText w:val="•"/>
      <w:lvlJc w:val="left"/>
      <w:pPr>
        <w:ind w:left="7732" w:hanging="294"/>
      </w:pPr>
      <w:rPr>
        <w:rFonts w:hint="default"/>
      </w:rPr>
    </w:lvl>
  </w:abstractNum>
  <w:abstractNum w:abstractNumId="26" w15:restartNumberingAfterBreak="0">
    <w:nsid w:val="7AE2035A"/>
    <w:multiLevelType w:val="hybridMultilevel"/>
    <w:tmpl w:val="79401FE4"/>
    <w:lvl w:ilvl="0" w:tplc="F4445E52">
      <w:start w:val="5"/>
      <w:numFmt w:val="upperLetter"/>
      <w:lvlText w:val="%1-"/>
      <w:lvlJc w:val="left"/>
      <w:pPr>
        <w:ind w:left="347" w:hanging="228"/>
      </w:pPr>
      <w:rPr>
        <w:rFonts w:ascii="Times New Roman" w:eastAsia="Times New Roman" w:hAnsi="Times New Roman" w:cs="Times New Roman" w:hint="default"/>
        <w:color w:val="231F20"/>
        <w:w w:val="100"/>
        <w:sz w:val="24"/>
        <w:szCs w:val="24"/>
      </w:rPr>
    </w:lvl>
    <w:lvl w:ilvl="1" w:tplc="F84C1128">
      <w:start w:val="1"/>
      <w:numFmt w:val="decimal"/>
      <w:lvlText w:val="%2."/>
      <w:lvlJc w:val="left"/>
      <w:pPr>
        <w:ind w:left="100" w:hanging="721"/>
      </w:pPr>
      <w:rPr>
        <w:rFonts w:ascii="Times New Roman" w:eastAsia="Times New Roman" w:hAnsi="Times New Roman" w:cs="Times New Roman" w:hint="default"/>
        <w:color w:val="231F20"/>
        <w:spacing w:val="-2"/>
        <w:w w:val="100"/>
        <w:sz w:val="24"/>
        <w:szCs w:val="24"/>
      </w:rPr>
    </w:lvl>
    <w:lvl w:ilvl="2" w:tplc="6E74D848">
      <w:numFmt w:val="bullet"/>
      <w:lvlText w:val="•"/>
      <w:lvlJc w:val="left"/>
      <w:pPr>
        <w:ind w:left="844" w:hanging="721"/>
      </w:pPr>
      <w:rPr>
        <w:rFonts w:hint="default"/>
      </w:rPr>
    </w:lvl>
    <w:lvl w:ilvl="3" w:tplc="F22630E6">
      <w:numFmt w:val="bullet"/>
      <w:lvlText w:val="•"/>
      <w:lvlJc w:val="left"/>
      <w:pPr>
        <w:ind w:left="1348" w:hanging="721"/>
      </w:pPr>
      <w:rPr>
        <w:rFonts w:hint="default"/>
      </w:rPr>
    </w:lvl>
    <w:lvl w:ilvl="4" w:tplc="30A0F17C">
      <w:numFmt w:val="bullet"/>
      <w:lvlText w:val="•"/>
      <w:lvlJc w:val="left"/>
      <w:pPr>
        <w:ind w:left="1853" w:hanging="721"/>
      </w:pPr>
      <w:rPr>
        <w:rFonts w:hint="default"/>
      </w:rPr>
    </w:lvl>
    <w:lvl w:ilvl="5" w:tplc="E3A02F3C">
      <w:numFmt w:val="bullet"/>
      <w:lvlText w:val="•"/>
      <w:lvlJc w:val="left"/>
      <w:pPr>
        <w:ind w:left="2357" w:hanging="721"/>
      </w:pPr>
      <w:rPr>
        <w:rFonts w:hint="default"/>
      </w:rPr>
    </w:lvl>
    <w:lvl w:ilvl="6" w:tplc="88CEDEFA">
      <w:numFmt w:val="bullet"/>
      <w:lvlText w:val="•"/>
      <w:lvlJc w:val="left"/>
      <w:pPr>
        <w:ind w:left="2862" w:hanging="721"/>
      </w:pPr>
      <w:rPr>
        <w:rFonts w:hint="default"/>
      </w:rPr>
    </w:lvl>
    <w:lvl w:ilvl="7" w:tplc="BF28D410">
      <w:numFmt w:val="bullet"/>
      <w:lvlText w:val="•"/>
      <w:lvlJc w:val="left"/>
      <w:pPr>
        <w:ind w:left="3366" w:hanging="721"/>
      </w:pPr>
      <w:rPr>
        <w:rFonts w:hint="default"/>
      </w:rPr>
    </w:lvl>
    <w:lvl w:ilvl="8" w:tplc="17F0DBD4">
      <w:numFmt w:val="bullet"/>
      <w:lvlText w:val="•"/>
      <w:lvlJc w:val="left"/>
      <w:pPr>
        <w:ind w:left="3871" w:hanging="721"/>
      </w:pPr>
      <w:rPr>
        <w:rFonts w:hint="default"/>
      </w:rPr>
    </w:lvl>
  </w:abstractNum>
  <w:num w:numId="1">
    <w:abstractNumId w:val="11"/>
  </w:num>
  <w:num w:numId="2">
    <w:abstractNumId w:val="21"/>
  </w:num>
  <w:num w:numId="3">
    <w:abstractNumId w:val="12"/>
  </w:num>
  <w:num w:numId="4">
    <w:abstractNumId w:val="15"/>
  </w:num>
  <w:num w:numId="5">
    <w:abstractNumId w:val="24"/>
  </w:num>
  <w:num w:numId="6">
    <w:abstractNumId w:val="23"/>
  </w:num>
  <w:num w:numId="7">
    <w:abstractNumId w:val="14"/>
  </w:num>
  <w:num w:numId="8">
    <w:abstractNumId w:val="20"/>
  </w:num>
  <w:num w:numId="9">
    <w:abstractNumId w:val="18"/>
  </w:num>
  <w:num w:numId="10">
    <w:abstractNumId w:val="22"/>
  </w:num>
  <w:num w:numId="11">
    <w:abstractNumId w:val="25"/>
  </w:num>
  <w:num w:numId="12">
    <w:abstractNumId w:val="10"/>
  </w:num>
  <w:num w:numId="13">
    <w:abstractNumId w:val="13"/>
  </w:num>
  <w:num w:numId="14">
    <w:abstractNumId w:val="26"/>
  </w:num>
  <w:num w:numId="15">
    <w:abstractNumId w:val="19"/>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23"/>
    <w:lvlOverride w:ilvl="0">
      <w:startOverride w:val="1"/>
    </w:lvlOverride>
  </w:num>
  <w:num w:numId="27">
    <w:abstractNumId w:val="23"/>
    <w:lvlOverride w:ilvl="0">
      <w:startOverride w:val="1"/>
    </w:lvlOverride>
  </w:num>
  <w:num w:numId="28">
    <w:abstractNumId w:val="23"/>
  </w:num>
  <w:num w:numId="29">
    <w:abstractNumId w:val="23"/>
  </w:num>
  <w:num w:numId="30">
    <w:abstractNumId w:val="17"/>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CED"/>
    <w:rsid w:val="000044D3"/>
    <w:rsid w:val="000200C5"/>
    <w:rsid w:val="00020E7B"/>
    <w:rsid w:val="0002170E"/>
    <w:rsid w:val="00026827"/>
    <w:rsid w:val="00044F9C"/>
    <w:rsid w:val="00045F6E"/>
    <w:rsid w:val="00061DB6"/>
    <w:rsid w:val="000629BA"/>
    <w:rsid w:val="000643AA"/>
    <w:rsid w:val="00094602"/>
    <w:rsid w:val="000A2E92"/>
    <w:rsid w:val="000C3D3B"/>
    <w:rsid w:val="000E2FB4"/>
    <w:rsid w:val="000E4FB8"/>
    <w:rsid w:val="001020AE"/>
    <w:rsid w:val="001043BC"/>
    <w:rsid w:val="00107CED"/>
    <w:rsid w:val="00122C85"/>
    <w:rsid w:val="00125956"/>
    <w:rsid w:val="00134EB1"/>
    <w:rsid w:val="001355A5"/>
    <w:rsid w:val="00136288"/>
    <w:rsid w:val="001A2B6C"/>
    <w:rsid w:val="001B19BC"/>
    <w:rsid w:val="001B3C33"/>
    <w:rsid w:val="001C4C81"/>
    <w:rsid w:val="00224220"/>
    <w:rsid w:val="00231FF7"/>
    <w:rsid w:val="0025007B"/>
    <w:rsid w:val="002535DD"/>
    <w:rsid w:val="00265506"/>
    <w:rsid w:val="002859DD"/>
    <w:rsid w:val="00292764"/>
    <w:rsid w:val="0029422D"/>
    <w:rsid w:val="002B105B"/>
    <w:rsid w:val="002B1D05"/>
    <w:rsid w:val="002C555E"/>
    <w:rsid w:val="002E2D59"/>
    <w:rsid w:val="003133E6"/>
    <w:rsid w:val="0033597C"/>
    <w:rsid w:val="003649FB"/>
    <w:rsid w:val="00377B93"/>
    <w:rsid w:val="00381703"/>
    <w:rsid w:val="00391038"/>
    <w:rsid w:val="00391775"/>
    <w:rsid w:val="003A1EC1"/>
    <w:rsid w:val="003A5718"/>
    <w:rsid w:val="003B2897"/>
    <w:rsid w:val="003F585B"/>
    <w:rsid w:val="00410643"/>
    <w:rsid w:val="00420848"/>
    <w:rsid w:val="00440080"/>
    <w:rsid w:val="00440593"/>
    <w:rsid w:val="00443871"/>
    <w:rsid w:val="00460B39"/>
    <w:rsid w:val="00467356"/>
    <w:rsid w:val="004D6BF6"/>
    <w:rsid w:val="004E21A8"/>
    <w:rsid w:val="004E3269"/>
    <w:rsid w:val="004F0181"/>
    <w:rsid w:val="004F4897"/>
    <w:rsid w:val="004F78C4"/>
    <w:rsid w:val="005004B6"/>
    <w:rsid w:val="0051427B"/>
    <w:rsid w:val="00522795"/>
    <w:rsid w:val="00523AAF"/>
    <w:rsid w:val="00524028"/>
    <w:rsid w:val="005316ED"/>
    <w:rsid w:val="0054647A"/>
    <w:rsid w:val="00546921"/>
    <w:rsid w:val="00554772"/>
    <w:rsid w:val="006122E8"/>
    <w:rsid w:val="006135C8"/>
    <w:rsid w:val="00635696"/>
    <w:rsid w:val="006403F5"/>
    <w:rsid w:val="00643DE7"/>
    <w:rsid w:val="00660DD6"/>
    <w:rsid w:val="00665CA2"/>
    <w:rsid w:val="00667EEB"/>
    <w:rsid w:val="00672DF8"/>
    <w:rsid w:val="006A3DD5"/>
    <w:rsid w:val="006F5335"/>
    <w:rsid w:val="007318BB"/>
    <w:rsid w:val="00746E58"/>
    <w:rsid w:val="00755139"/>
    <w:rsid w:val="00761A5A"/>
    <w:rsid w:val="007657CD"/>
    <w:rsid w:val="00774753"/>
    <w:rsid w:val="00774AB4"/>
    <w:rsid w:val="007912C3"/>
    <w:rsid w:val="00796658"/>
    <w:rsid w:val="007A79F6"/>
    <w:rsid w:val="007C193F"/>
    <w:rsid w:val="007C3356"/>
    <w:rsid w:val="007C7694"/>
    <w:rsid w:val="007D7375"/>
    <w:rsid w:val="007E47DB"/>
    <w:rsid w:val="007F0E51"/>
    <w:rsid w:val="00833BFD"/>
    <w:rsid w:val="00847F85"/>
    <w:rsid w:val="008618A8"/>
    <w:rsid w:val="00867440"/>
    <w:rsid w:val="00890995"/>
    <w:rsid w:val="008A4221"/>
    <w:rsid w:val="008B33B9"/>
    <w:rsid w:val="008D3FF9"/>
    <w:rsid w:val="00914FDB"/>
    <w:rsid w:val="009559AB"/>
    <w:rsid w:val="00963D7E"/>
    <w:rsid w:val="009733A9"/>
    <w:rsid w:val="009973AD"/>
    <w:rsid w:val="009B6AA7"/>
    <w:rsid w:val="009D5DAC"/>
    <w:rsid w:val="009E6C65"/>
    <w:rsid w:val="009F3A51"/>
    <w:rsid w:val="009F41D3"/>
    <w:rsid w:val="00A02BFD"/>
    <w:rsid w:val="00A1229E"/>
    <w:rsid w:val="00A13A90"/>
    <w:rsid w:val="00A261F4"/>
    <w:rsid w:val="00A26C7C"/>
    <w:rsid w:val="00A3116E"/>
    <w:rsid w:val="00A432D7"/>
    <w:rsid w:val="00A4361E"/>
    <w:rsid w:val="00A6432C"/>
    <w:rsid w:val="00A723C0"/>
    <w:rsid w:val="00A74BE4"/>
    <w:rsid w:val="00AA6D70"/>
    <w:rsid w:val="00AB0CC9"/>
    <w:rsid w:val="00AC1FD2"/>
    <w:rsid w:val="00AE0236"/>
    <w:rsid w:val="00AE17BD"/>
    <w:rsid w:val="00AF64E7"/>
    <w:rsid w:val="00B14783"/>
    <w:rsid w:val="00B37845"/>
    <w:rsid w:val="00B50E61"/>
    <w:rsid w:val="00B55B29"/>
    <w:rsid w:val="00B56740"/>
    <w:rsid w:val="00B628CB"/>
    <w:rsid w:val="00BA0064"/>
    <w:rsid w:val="00BB2978"/>
    <w:rsid w:val="00BB623C"/>
    <w:rsid w:val="00BC6530"/>
    <w:rsid w:val="00BD0AEB"/>
    <w:rsid w:val="00BE1834"/>
    <w:rsid w:val="00BF50E8"/>
    <w:rsid w:val="00C02541"/>
    <w:rsid w:val="00C534C0"/>
    <w:rsid w:val="00C63C92"/>
    <w:rsid w:val="00C65DC4"/>
    <w:rsid w:val="00CA09F3"/>
    <w:rsid w:val="00CA47FE"/>
    <w:rsid w:val="00CB163B"/>
    <w:rsid w:val="00CB72BB"/>
    <w:rsid w:val="00CC77FB"/>
    <w:rsid w:val="00CD2C1E"/>
    <w:rsid w:val="00CD6AA4"/>
    <w:rsid w:val="00D00E44"/>
    <w:rsid w:val="00D46AE5"/>
    <w:rsid w:val="00D50FAB"/>
    <w:rsid w:val="00D51756"/>
    <w:rsid w:val="00D60858"/>
    <w:rsid w:val="00D652CA"/>
    <w:rsid w:val="00D663B1"/>
    <w:rsid w:val="00D67507"/>
    <w:rsid w:val="00D72E0F"/>
    <w:rsid w:val="00D96258"/>
    <w:rsid w:val="00D97CFC"/>
    <w:rsid w:val="00DB3C58"/>
    <w:rsid w:val="00DB49ED"/>
    <w:rsid w:val="00DC1312"/>
    <w:rsid w:val="00DC43D0"/>
    <w:rsid w:val="00DD494B"/>
    <w:rsid w:val="00DD68CF"/>
    <w:rsid w:val="00E343DC"/>
    <w:rsid w:val="00E43ECC"/>
    <w:rsid w:val="00E53FC3"/>
    <w:rsid w:val="00E73079"/>
    <w:rsid w:val="00E84F76"/>
    <w:rsid w:val="00E95787"/>
    <w:rsid w:val="00EA486B"/>
    <w:rsid w:val="00EE03D4"/>
    <w:rsid w:val="00F077A8"/>
    <w:rsid w:val="00F1063D"/>
    <w:rsid w:val="00F459C6"/>
    <w:rsid w:val="00F47151"/>
    <w:rsid w:val="00F56776"/>
    <w:rsid w:val="00F723DA"/>
    <w:rsid w:val="00F911FA"/>
    <w:rsid w:val="00F95AFF"/>
    <w:rsid w:val="00FB0DE1"/>
    <w:rsid w:val="00FC4C9D"/>
    <w:rsid w:val="00FC7731"/>
    <w:rsid w:val="00FF51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EAB33A"/>
  <w15:docId w15:val="{3B500560-6478-4BBA-814F-92E05BDEA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513A"/>
    <w:pPr>
      <w:spacing w:before="120" w:after="120"/>
    </w:pPr>
    <w:rPr>
      <w:rFonts w:ascii="Times New Roman" w:eastAsia="Times New Roman" w:hAnsi="Times New Roman" w:cs="Times New Roman"/>
    </w:rPr>
  </w:style>
  <w:style w:type="paragraph" w:styleId="Heading1">
    <w:name w:val="heading 1"/>
    <w:basedOn w:val="ListParagraph"/>
    <w:uiPriority w:val="9"/>
    <w:qFormat/>
    <w:rsid w:val="00665CA2"/>
    <w:pPr>
      <w:numPr>
        <w:numId w:val="7"/>
      </w:numPr>
      <w:tabs>
        <w:tab w:val="left" w:pos="819"/>
        <w:tab w:val="left" w:pos="820"/>
      </w:tabs>
      <w:spacing w:before="240" w:after="240"/>
      <w:ind w:left="720"/>
      <w:outlineLvl w:val="0"/>
    </w:pPr>
    <w:rPr>
      <w:rFonts w:ascii="Times New Roman Bold" w:hAnsi="Times New Roman Bold"/>
      <w:b/>
      <w:caps/>
      <w:color w:val="231F20"/>
    </w:rPr>
  </w:style>
  <w:style w:type="paragraph" w:styleId="Heading2">
    <w:name w:val="heading 2"/>
    <w:basedOn w:val="Normal"/>
    <w:uiPriority w:val="9"/>
    <w:unhideWhenUsed/>
    <w:qFormat/>
    <w:rsid w:val="00443871"/>
    <w:pPr>
      <w:spacing w:before="240" w:after="240"/>
      <w:ind w:left="720" w:hanging="720"/>
      <w:outlineLvl w:val="1"/>
    </w:pPr>
    <w:rPr>
      <w:b/>
      <w:color w:val="231F20"/>
    </w:rPr>
  </w:style>
  <w:style w:type="paragraph" w:styleId="Heading3">
    <w:name w:val="heading 3"/>
    <w:basedOn w:val="Normal"/>
    <w:uiPriority w:val="9"/>
    <w:unhideWhenUsed/>
    <w:pPr>
      <w:ind w:left="10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
      <w:ind w:left="100"/>
    </w:pPr>
    <w:rPr>
      <w:sz w:val="24"/>
      <w:szCs w:val="24"/>
    </w:rPr>
  </w:style>
  <w:style w:type="paragraph" w:styleId="TOC2">
    <w:name w:val="toc 2"/>
    <w:basedOn w:val="Normal"/>
    <w:uiPriority w:val="39"/>
    <w:qFormat/>
    <w:pPr>
      <w:ind w:left="340"/>
    </w:pPr>
    <w:rPr>
      <w:sz w:val="24"/>
      <w:szCs w:val="24"/>
    </w:rPr>
  </w:style>
  <w:style w:type="paragraph" w:styleId="BodyText">
    <w:name w:val="Body Text"/>
    <w:basedOn w:val="Normal"/>
    <w:link w:val="BodyTextChar"/>
    <w:uiPriority w:val="1"/>
    <w:qFormat/>
    <w:rsid w:val="00DD68CF"/>
    <w:pPr>
      <w:spacing w:after="240"/>
    </w:pPr>
    <w:rPr>
      <w:sz w:val="24"/>
      <w:szCs w:val="24"/>
    </w:rPr>
  </w:style>
  <w:style w:type="paragraph" w:styleId="ListParagraph">
    <w:name w:val="List Paragraph"/>
    <w:basedOn w:val="Normal"/>
    <w:uiPriority w:val="1"/>
    <w:qFormat/>
    <w:rsid w:val="004E21A8"/>
    <w:pPr>
      <w:ind w:left="360" w:hanging="360"/>
    </w:pPr>
    <w:rPr>
      <w:sz w:val="24"/>
    </w:rPr>
  </w:style>
  <w:style w:type="paragraph" w:customStyle="1" w:styleId="TableParagraph">
    <w:name w:val="Table Paragraph"/>
    <w:basedOn w:val="Normal"/>
    <w:uiPriority w:val="1"/>
    <w:qFormat/>
    <w:rPr>
      <w:rFonts w:ascii="Calibri" w:eastAsia="Calibri" w:hAnsi="Calibri" w:cs="Calibri"/>
    </w:rPr>
  </w:style>
  <w:style w:type="paragraph" w:styleId="BalloonText">
    <w:name w:val="Balloon Text"/>
    <w:basedOn w:val="Normal"/>
    <w:link w:val="BalloonTextChar"/>
    <w:uiPriority w:val="99"/>
    <w:semiHidden/>
    <w:unhideWhenUsed/>
    <w:rsid w:val="00660D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0DD6"/>
    <w:rPr>
      <w:rFonts w:ascii="Segoe UI" w:eastAsia="Times New Roman" w:hAnsi="Segoe UI" w:cs="Segoe UI"/>
      <w:sz w:val="18"/>
      <w:szCs w:val="18"/>
    </w:rPr>
  </w:style>
  <w:style w:type="paragraph" w:styleId="Footer">
    <w:name w:val="footer"/>
    <w:basedOn w:val="Normal"/>
    <w:link w:val="FooterChar"/>
    <w:uiPriority w:val="99"/>
    <w:unhideWhenUsed/>
    <w:rsid w:val="001B3C33"/>
    <w:pPr>
      <w:widowControl/>
      <w:tabs>
        <w:tab w:val="center" w:pos="4680"/>
        <w:tab w:val="right" w:pos="9360"/>
      </w:tabs>
      <w:autoSpaceDE/>
      <w:autoSpaceDN/>
    </w:pPr>
    <w:rPr>
      <w:rFonts w:eastAsiaTheme="minorHAnsi" w:cstheme="minorBidi"/>
      <w:sz w:val="24"/>
    </w:rPr>
  </w:style>
  <w:style w:type="character" w:customStyle="1" w:styleId="FooterChar">
    <w:name w:val="Footer Char"/>
    <w:basedOn w:val="DefaultParagraphFont"/>
    <w:link w:val="Footer"/>
    <w:uiPriority w:val="99"/>
    <w:rsid w:val="001B3C33"/>
    <w:rPr>
      <w:rFonts w:ascii="Times New Roman" w:hAnsi="Times New Roman"/>
      <w:sz w:val="24"/>
    </w:rPr>
  </w:style>
  <w:style w:type="paragraph" w:customStyle="1" w:styleId="Default">
    <w:name w:val="Default"/>
    <w:rsid w:val="00F56776"/>
    <w:pPr>
      <w:widowControl/>
      <w:adjustRightInd w:val="0"/>
    </w:pPr>
    <w:rPr>
      <w:rFonts w:ascii="Book Antiqua" w:hAnsi="Book Antiqua" w:cs="Book Antiqua"/>
      <w:color w:val="000000"/>
      <w:sz w:val="24"/>
      <w:szCs w:val="24"/>
    </w:rPr>
  </w:style>
  <w:style w:type="paragraph" w:styleId="Title">
    <w:name w:val="Title"/>
    <w:basedOn w:val="Normal"/>
    <w:next w:val="Normal"/>
    <w:link w:val="TitleChar"/>
    <w:uiPriority w:val="10"/>
    <w:qFormat/>
    <w:rsid w:val="00AA6D70"/>
    <w:pPr>
      <w:spacing w:after="360"/>
      <w:contextualSpacing/>
      <w:jc w:val="center"/>
    </w:pPr>
    <w:rPr>
      <w:rFonts w:eastAsiaTheme="majorEastAsia" w:cstheme="majorBidi"/>
      <w:b/>
      <w:spacing w:val="-10"/>
      <w:kern w:val="28"/>
      <w:sz w:val="24"/>
      <w:szCs w:val="56"/>
    </w:rPr>
  </w:style>
  <w:style w:type="character" w:customStyle="1" w:styleId="TitleChar">
    <w:name w:val="Title Char"/>
    <w:basedOn w:val="DefaultParagraphFont"/>
    <w:link w:val="Title"/>
    <w:uiPriority w:val="10"/>
    <w:rsid w:val="00AA6D70"/>
    <w:rPr>
      <w:rFonts w:ascii="Times New Roman" w:eastAsiaTheme="majorEastAsia" w:hAnsi="Times New Roman" w:cstheme="majorBidi"/>
      <w:b/>
      <w:spacing w:val="-10"/>
      <w:kern w:val="28"/>
      <w:sz w:val="24"/>
      <w:szCs w:val="56"/>
    </w:rPr>
  </w:style>
  <w:style w:type="paragraph" w:styleId="NormalIndent">
    <w:name w:val="Normal Indent"/>
    <w:basedOn w:val="Normal"/>
    <w:uiPriority w:val="99"/>
    <w:unhideWhenUsed/>
    <w:qFormat/>
    <w:rsid w:val="00F47151"/>
    <w:pPr>
      <w:ind w:firstLine="720"/>
    </w:pPr>
    <w:rPr>
      <w:sz w:val="24"/>
    </w:rPr>
  </w:style>
  <w:style w:type="character" w:customStyle="1" w:styleId="BodyTextChar">
    <w:name w:val="Body Text Char"/>
    <w:basedOn w:val="DefaultParagraphFont"/>
    <w:link w:val="BodyText"/>
    <w:uiPriority w:val="1"/>
    <w:rsid w:val="00DD68CF"/>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200C5"/>
    <w:rPr>
      <w:color w:val="0000FF" w:themeColor="hyperlink"/>
      <w:u w:val="single"/>
    </w:rPr>
  </w:style>
  <w:style w:type="character" w:styleId="UnresolvedMention">
    <w:name w:val="Unresolved Mention"/>
    <w:basedOn w:val="DefaultParagraphFont"/>
    <w:uiPriority w:val="99"/>
    <w:semiHidden/>
    <w:unhideWhenUsed/>
    <w:rsid w:val="000200C5"/>
    <w:rPr>
      <w:color w:val="605E5C"/>
      <w:shd w:val="clear" w:color="auto" w:fill="E1DFDD"/>
    </w:rPr>
  </w:style>
  <w:style w:type="paragraph" w:styleId="Header">
    <w:name w:val="header"/>
    <w:basedOn w:val="Normal"/>
    <w:link w:val="HeaderChar"/>
    <w:uiPriority w:val="99"/>
    <w:unhideWhenUsed/>
    <w:rsid w:val="003133E6"/>
    <w:pPr>
      <w:tabs>
        <w:tab w:val="center" w:pos="4680"/>
        <w:tab w:val="right" w:pos="9360"/>
      </w:tabs>
      <w:spacing w:before="0" w:after="0"/>
    </w:pPr>
  </w:style>
  <w:style w:type="character" w:customStyle="1" w:styleId="HeaderChar">
    <w:name w:val="Header Char"/>
    <w:basedOn w:val="DefaultParagraphFont"/>
    <w:link w:val="Header"/>
    <w:uiPriority w:val="99"/>
    <w:rsid w:val="003133E6"/>
    <w:rPr>
      <w:rFonts w:ascii="Times New Roman" w:eastAsia="Times New Roman" w:hAnsi="Times New Roman" w:cs="Times New Roman"/>
    </w:rPr>
  </w:style>
  <w:style w:type="paragraph" w:styleId="TOCHeading">
    <w:name w:val="TOC Heading"/>
    <w:basedOn w:val="Heading1"/>
    <w:next w:val="Normal"/>
    <w:uiPriority w:val="39"/>
    <w:unhideWhenUsed/>
    <w:qFormat/>
    <w:rsid w:val="000E4FB8"/>
    <w:pPr>
      <w:keepNext/>
      <w:keepLines/>
      <w:widowControl/>
      <w:numPr>
        <w:numId w:val="0"/>
      </w:numPr>
      <w:tabs>
        <w:tab w:val="clear" w:pos="819"/>
        <w:tab w:val="clear" w:pos="820"/>
      </w:tabs>
      <w:autoSpaceDE/>
      <w:autoSpaceDN/>
      <w:spacing w:after="0" w:line="259" w:lineRule="auto"/>
      <w:outlineLvl w:val="9"/>
    </w:pPr>
    <w:rPr>
      <w:rFonts w:asciiTheme="majorHAnsi" w:eastAsiaTheme="majorEastAsia" w:hAnsiTheme="majorHAnsi" w:cstheme="majorBidi"/>
      <w:b w:val="0"/>
      <w:caps w:val="0"/>
      <w:color w:val="365F91" w:themeColor="accent1" w:themeShade="BF"/>
      <w:sz w:val="32"/>
      <w:szCs w:val="32"/>
    </w:rPr>
  </w:style>
  <w:style w:type="paragraph" w:styleId="TOC3">
    <w:name w:val="toc 3"/>
    <w:basedOn w:val="Normal"/>
    <w:next w:val="Normal"/>
    <w:autoRedefine/>
    <w:uiPriority w:val="39"/>
    <w:unhideWhenUsed/>
    <w:rsid w:val="000E4FB8"/>
    <w:pPr>
      <w:spacing w:after="100"/>
      <w:ind w:left="440"/>
    </w:pPr>
  </w:style>
  <w:style w:type="character" w:styleId="CommentReference">
    <w:name w:val="annotation reference"/>
    <w:basedOn w:val="DefaultParagraphFont"/>
    <w:uiPriority w:val="99"/>
    <w:semiHidden/>
    <w:unhideWhenUsed/>
    <w:rsid w:val="007F0E51"/>
    <w:rPr>
      <w:sz w:val="16"/>
      <w:szCs w:val="16"/>
    </w:rPr>
  </w:style>
  <w:style w:type="paragraph" w:styleId="CommentText">
    <w:name w:val="annotation text"/>
    <w:basedOn w:val="Normal"/>
    <w:link w:val="CommentTextChar"/>
    <w:uiPriority w:val="99"/>
    <w:unhideWhenUsed/>
    <w:rsid w:val="007F0E51"/>
    <w:rPr>
      <w:sz w:val="20"/>
      <w:szCs w:val="20"/>
    </w:rPr>
  </w:style>
  <w:style w:type="character" w:customStyle="1" w:styleId="CommentTextChar">
    <w:name w:val="Comment Text Char"/>
    <w:basedOn w:val="DefaultParagraphFont"/>
    <w:link w:val="CommentText"/>
    <w:uiPriority w:val="99"/>
    <w:rsid w:val="007F0E5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F0E51"/>
    <w:rPr>
      <w:b/>
      <w:bCs/>
    </w:rPr>
  </w:style>
  <w:style w:type="character" w:customStyle="1" w:styleId="CommentSubjectChar">
    <w:name w:val="Comment Subject Char"/>
    <w:basedOn w:val="CommentTextChar"/>
    <w:link w:val="CommentSubject"/>
    <w:uiPriority w:val="99"/>
    <w:semiHidden/>
    <w:rsid w:val="007F0E51"/>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911916">
      <w:bodyDiv w:val="1"/>
      <w:marLeft w:val="0"/>
      <w:marRight w:val="0"/>
      <w:marTop w:val="0"/>
      <w:marBottom w:val="0"/>
      <w:divBdr>
        <w:top w:val="none" w:sz="0" w:space="0" w:color="auto"/>
        <w:left w:val="none" w:sz="0" w:space="0" w:color="auto"/>
        <w:bottom w:val="none" w:sz="0" w:space="0" w:color="auto"/>
        <w:right w:val="none" w:sz="0" w:space="0" w:color="auto"/>
      </w:divBdr>
    </w:div>
    <w:div w:id="14239890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4.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3.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www.sdge.com/more-information/doing-business-with-us/energy-efficiency-third-party-solicitations" TargetMode="Externa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image" Target="media/image10.png"/><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9.png"/><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image" Target="media/image8.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0522BF51919F14F84F3F1C9680DD17D" ma:contentTypeVersion="8" ma:contentTypeDescription="Create a new document." ma:contentTypeScope="" ma:versionID="c5289ebc4f4be54151dc7d84e932af3a">
  <xsd:schema xmlns:xsd="http://www.w3.org/2001/XMLSchema" xmlns:xs="http://www.w3.org/2001/XMLSchema" xmlns:p="http://schemas.microsoft.com/office/2006/metadata/properties" xmlns:ns3="b6dfc9e5-59d7-4089-932f-2b4d1c9549c0" targetNamespace="http://schemas.microsoft.com/office/2006/metadata/properties" ma:root="true" ma:fieldsID="9f866c71b41d7514cf46dcc370c6935f" ns3:_="">
    <xsd:import namespace="b6dfc9e5-59d7-4089-932f-2b4d1c9549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dfc9e5-59d7-4089-932f-2b4d1c9549c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1A82B6-F3C6-458D-817E-7520F6DDC4CA}">
  <ds:schemaRefs>
    <ds:schemaRef ds:uri="http://schemas.microsoft.com/sharepoint/v3/contenttype/forms"/>
  </ds:schemaRefs>
</ds:datastoreItem>
</file>

<file path=customXml/itemProps2.xml><?xml version="1.0" encoding="utf-8"?>
<ds:datastoreItem xmlns:ds="http://schemas.openxmlformats.org/officeDocument/2006/customXml" ds:itemID="{F411E3E8-EC28-41FF-B3A7-CEC0F45AC6B8}">
  <ds:schemaRefs>
    <ds:schemaRef ds:uri="http://purl.org/dc/elements/1.1/"/>
    <ds:schemaRef ds:uri="http://schemas.microsoft.com/office/2006/metadata/properties"/>
    <ds:schemaRef ds:uri="b6dfc9e5-59d7-4089-932f-2b4d1c9549c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D050A976-DB71-4C8D-8061-FC29FA9A98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dfc9e5-59d7-4089-932f-2b4d1c9549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B8CAAA-226A-4816-A16B-9BCECFB94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17</Pages>
  <Words>2284</Words>
  <Characters>13024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Microsoft Word - A.17-01-013 SDG&amp;E Supplemental Budget Information 6-12-17</vt:lpstr>
    </vt:vector>
  </TitlesOfParts>
  <Company/>
  <LinksUpToDate>false</LinksUpToDate>
  <CharactersWithSpaces>15278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A.17-01-013 SDG&amp;E Supplemental Budget Information 6-12-17</dc:title>
  <dc:creator>devans</dc:creator>
  <cp:lastModifiedBy>Besa, Athena</cp:lastModifiedBy>
  <cp:revision>6</cp:revision>
  <dcterms:created xsi:type="dcterms:W3CDTF">2019-09-03T21:10:00Z</dcterms:created>
  <dcterms:modified xsi:type="dcterms:W3CDTF">2019-09-03T21:13:00Z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2017-06-12T00:00:00Z</vt:filetime>
  </property>
  <property fmtid="{D5CDD505-2E9C-101B-9397-08002B2CF9AE}" pid="3" name="Creator">
    <vt:lpwstr>PScript5.dll Version 5.2.2</vt:lpwstr>
  </property>
  <property fmtid="{D5CDD505-2E9C-101B-9397-08002B2CF9AE}" pid="4" name="LastSaved">
    <vt:filetime>2019-08-31T00:00:00Z</vt:filetime>
  </property>
  <property fmtid="{D5CDD505-2E9C-101B-9397-08002B2CF9AE}" pid="5" name="ContentTypeId">
    <vt:lpwstr>0x01010000522BF51919F14F84F3F1C9680DD17D</vt:lpwstr>
  </property>
</Properties>
</file>