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772" w:rsidRDefault="00F45772" w:rsidP="00F45772">
      <w:pPr>
        <w:jc w:val="cente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FEDERAL ENERGY REGULATORY COMMISSION</w:t>
      </w:r>
    </w:p>
    <w:p w:rsidR="00F45772" w:rsidRDefault="00F45772" w:rsidP="00F45772">
      <w:pPr>
        <w:jc w:val="center"/>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20426</w:t>
      </w:r>
    </w:p>
    <w:p w:rsidR="00F45772" w:rsidRDefault="00F45772" w:rsidP="00F45772"/>
    <w:p w:rsidR="00F45772" w:rsidRDefault="00F45772" w:rsidP="00F45772"/>
    <w:p w:rsidR="00F45772" w:rsidRDefault="00F45772" w:rsidP="00F45772">
      <w:r>
        <w:t>OFFICE OF ENERGY MARKET REGULATION</w:t>
      </w:r>
    </w:p>
    <w:p w:rsidR="00F45772" w:rsidRDefault="00F45772" w:rsidP="00F45772"/>
    <w:p w:rsidR="00F45772" w:rsidRPr="00D82D4B" w:rsidRDefault="00F45772" w:rsidP="00F45772">
      <w:pPr>
        <w:ind w:left="4320" w:firstLine="720"/>
      </w:pPr>
      <w:r w:rsidRPr="00D82D4B">
        <w:t>San Diego Gas &amp; Electric Company</w:t>
      </w:r>
      <w:r w:rsidRPr="00D82D4B">
        <w:tab/>
      </w:r>
    </w:p>
    <w:p w:rsidR="00F45772" w:rsidRPr="00285F6A" w:rsidRDefault="00F45772" w:rsidP="00F45772">
      <w:r w:rsidRPr="00D82D4B">
        <w:t xml:space="preserve">                                                        </w:t>
      </w:r>
      <w:r w:rsidR="00285F6A" w:rsidRPr="00D82D4B">
        <w:t xml:space="preserve">                    </w:t>
      </w:r>
      <w:r w:rsidR="00D14E0A" w:rsidRPr="00D82D4B">
        <w:tab/>
      </w:r>
      <w:r w:rsidR="00285F6A" w:rsidRPr="00D82D4B">
        <w:t>Docket No</w:t>
      </w:r>
      <w:r w:rsidRPr="00D82D4B">
        <w:t>.  ER15-1798</w:t>
      </w:r>
      <w:r w:rsidR="00285F6A" w:rsidRPr="00D82D4B">
        <w:t>-000</w:t>
      </w:r>
      <w:r w:rsidRPr="00D82D4B">
        <w:t xml:space="preserve">                                                                              </w:t>
      </w:r>
      <w:r w:rsidRPr="00D82D4B">
        <w:rPr>
          <w:b/>
        </w:rPr>
        <w:tab/>
      </w:r>
      <w:r w:rsidRPr="00D82D4B">
        <w:rPr>
          <w:b/>
        </w:rPr>
        <w:tab/>
        <w:t xml:space="preserve">  </w:t>
      </w:r>
      <w:r w:rsidRPr="00D82D4B">
        <w:rPr>
          <w:b/>
        </w:rPr>
        <w:tab/>
      </w:r>
      <w:r w:rsidRPr="00D82D4B">
        <w:rPr>
          <w:b/>
        </w:rPr>
        <w:tab/>
      </w:r>
      <w:r w:rsidRPr="00D82D4B">
        <w:rPr>
          <w:b/>
        </w:rPr>
        <w:tab/>
      </w:r>
      <w:r w:rsidRPr="00D82D4B">
        <w:rPr>
          <w:b/>
        </w:rPr>
        <w:tab/>
      </w:r>
      <w:r w:rsidRPr="00D82D4B">
        <w:rPr>
          <w:b/>
        </w:rPr>
        <w:tab/>
      </w:r>
      <w:r w:rsidR="00D14E0A" w:rsidRPr="00D82D4B">
        <w:rPr>
          <w:b/>
        </w:rPr>
        <w:t>November 2</w:t>
      </w:r>
      <w:r w:rsidR="00960162">
        <w:rPr>
          <w:b/>
        </w:rPr>
        <w:t>4</w:t>
      </w:r>
      <w:r w:rsidR="00D14E0A" w:rsidRPr="00D82D4B">
        <w:rPr>
          <w:b/>
        </w:rPr>
        <w:t>, 2015</w:t>
      </w:r>
    </w:p>
    <w:p w:rsidR="00F45772" w:rsidRDefault="00F45772" w:rsidP="00F45772">
      <w:pPr>
        <w:rPr>
          <w:b/>
        </w:rPr>
      </w:pPr>
    </w:p>
    <w:p w:rsidR="00F45772" w:rsidRPr="00D253A7" w:rsidRDefault="00F45772" w:rsidP="00F45772">
      <w:pPr>
        <w:rPr>
          <w:b/>
        </w:rPr>
      </w:pPr>
    </w:p>
    <w:p w:rsidR="00F45772" w:rsidRDefault="00F45772" w:rsidP="00F45772">
      <w:r>
        <w:t>San Diego Gas &amp; Electric Company</w:t>
      </w:r>
    </w:p>
    <w:p w:rsidR="00F45772" w:rsidRDefault="00F45772" w:rsidP="00F45772">
      <w:r>
        <w:t>101 Ash Street, HQ-12</w:t>
      </w:r>
    </w:p>
    <w:p w:rsidR="00F45772" w:rsidRDefault="00F45772" w:rsidP="00F45772">
      <w:smartTag w:uri="urn:schemas-microsoft-com:office:smarttags" w:element="place">
        <w:smartTag w:uri="urn:schemas-microsoft-com:office:smarttags" w:element="City">
          <w:r>
            <w:t>San Diego</w:t>
          </w:r>
        </w:smartTag>
        <w:r>
          <w:t xml:space="preserve">, </w:t>
        </w:r>
        <w:smartTag w:uri="urn:schemas-microsoft-com:office:smarttags" w:element="State">
          <w:r>
            <w:t>CA</w:t>
          </w:r>
        </w:smartTag>
        <w:r>
          <w:t xml:space="preserve">  </w:t>
        </w:r>
        <w:smartTag w:uri="urn:schemas-microsoft-com:office:smarttags" w:element="PostalCode">
          <w:r>
            <w:t>92101</w:t>
          </w:r>
        </w:smartTag>
      </w:smartTag>
    </w:p>
    <w:p w:rsidR="00F45772" w:rsidRDefault="00F45772" w:rsidP="00F45772"/>
    <w:p w:rsidR="00F45772" w:rsidRDefault="00F45772" w:rsidP="00F45772">
      <w:r>
        <w:t>Attention:</w:t>
      </w:r>
      <w:r>
        <w:tab/>
        <w:t>Georgetta J. Baker, Esq.</w:t>
      </w:r>
    </w:p>
    <w:p w:rsidR="00F45772" w:rsidRDefault="00F45772" w:rsidP="00F45772">
      <w:r>
        <w:tab/>
      </w:r>
      <w:r>
        <w:tab/>
        <w:t>Attorney for San Diego Gas &amp; Electric Company</w:t>
      </w:r>
    </w:p>
    <w:p w:rsidR="00F45772" w:rsidRDefault="00F45772" w:rsidP="00F45772"/>
    <w:p w:rsidR="00F45772" w:rsidRDefault="00F45772" w:rsidP="00F45772">
      <w:pPr>
        <w:ind w:left="1440" w:hanging="1440"/>
      </w:pPr>
      <w:r>
        <w:t>Reference:</w:t>
      </w:r>
      <w:r>
        <w:tab/>
        <w:t xml:space="preserve">2014 Costs and Accruals of Post-Employment Benefits </w:t>
      </w:r>
    </w:p>
    <w:p w:rsidR="00F45772" w:rsidRDefault="00F45772" w:rsidP="001D58AA">
      <w:pPr>
        <w:ind w:left="1440"/>
      </w:pPr>
      <w:r>
        <w:t xml:space="preserve">Other than Pensions </w:t>
      </w:r>
    </w:p>
    <w:p w:rsidR="00F45772" w:rsidRDefault="00F45772" w:rsidP="00F45772"/>
    <w:p w:rsidR="00F45772" w:rsidRDefault="00F45772" w:rsidP="00F45772">
      <w:r>
        <w:t>Dear Ms. Baker:</w:t>
      </w:r>
    </w:p>
    <w:p w:rsidR="00F45772" w:rsidRDefault="00F45772" w:rsidP="00F45772"/>
    <w:p w:rsidR="00F45772" w:rsidRDefault="00F45772" w:rsidP="00F45772">
      <w:pPr>
        <w:ind w:firstLine="720"/>
      </w:pPr>
      <w:r>
        <w:t>On May 28, 2015, San Diego Gas &amp; Electric Company (SDG&amp;E) submitted for approval its 2014 costs and accruals of Post-Employment Benefits Other Than Pensions (PBOP) as recorded in the Commission’s Uniform System of Accounts No. 926 (Employee Pensions and Benefits).  SDG&amp;E asserts that the instant PBOP filing is consistent with the terms of SDG&amp;E’s fourth Transmission Owner rate formula (TO4) settlement approved by the Commission in a May 27, 2014 letter order.</w:t>
      </w:r>
      <w:r w:rsidRPr="004801F1">
        <w:rPr>
          <w:rStyle w:val="FootnoteReference"/>
          <w:b/>
        </w:rPr>
        <w:footnoteReference w:id="1"/>
      </w:r>
      <w:r>
        <w:t xml:space="preserve">  SDG&amp;E states that the 2014 PBOP costs will be reflected in SDG&amp;E’s TO4 Cycle 3 informational filing on December 1, 2015.  SDG&amp;E’s submittal is accepted for filing</w:t>
      </w:r>
      <w:r w:rsidR="009E0E56">
        <w:t>, effective January 1, 2016</w:t>
      </w:r>
      <w:r w:rsidR="001D58AA">
        <w:t>, as requested</w:t>
      </w:r>
      <w:r>
        <w:t xml:space="preserve">.  </w:t>
      </w:r>
    </w:p>
    <w:p w:rsidR="00F45772" w:rsidRDefault="00F45772" w:rsidP="00F45772">
      <w:pPr>
        <w:ind w:firstLine="720"/>
        <w:rPr>
          <w:rFonts w:ascii="Times New Roman TUR" w:hAnsi="Times New Roman TUR" w:cs="Times New Roman TUR"/>
          <w:bCs/>
        </w:rPr>
      </w:pPr>
    </w:p>
    <w:p w:rsidR="00F45772" w:rsidRDefault="00F45772" w:rsidP="00F45772">
      <w:pPr>
        <w:ind w:firstLine="720"/>
      </w:pPr>
      <w:r>
        <w:t>The filing was noticed on May 28, 2015, with comments, protests or interven</w:t>
      </w:r>
      <w:r w:rsidR="00D14E0A">
        <w:t>tions</w:t>
      </w:r>
      <w:r>
        <w:t xml:space="preserve"> due on or before June 18, 2015.  No protests or adverse comments were filed.  Notices of intervention and unopposed timely filed motions to intervene are granted pursuant to the operation of Rule 214 of the Commission</w:t>
      </w:r>
      <w:r w:rsidR="00224E9E">
        <w:t>’</w:t>
      </w:r>
      <w:r>
        <w:t>s Rules of Practice and Procedure (18 C.F.R § 385.214).  Any opposed or untimely filed motion to intervene is governed by the provision</w:t>
      </w:r>
      <w:r w:rsidR="00FF07CF">
        <w:t xml:space="preserve">s of </w:t>
      </w:r>
      <w:r>
        <w:t>Rule 214.</w:t>
      </w:r>
    </w:p>
    <w:p w:rsidR="00F45772" w:rsidRDefault="00F45772" w:rsidP="00F45772"/>
    <w:p w:rsidR="00F45772" w:rsidRDefault="00F45772" w:rsidP="00F45772">
      <w:pPr>
        <w:ind w:firstLine="720"/>
      </w:pPr>
      <w:r>
        <w:t>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SDG&amp;E.</w:t>
      </w:r>
    </w:p>
    <w:p w:rsidR="00F45772" w:rsidRDefault="00F45772" w:rsidP="00F45772"/>
    <w:p w:rsidR="00F45772" w:rsidRDefault="00F45772" w:rsidP="00F45772">
      <w:pPr>
        <w:tabs>
          <w:tab w:val="left" w:pos="-10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This action is taken pursuant to authority delegated to the Director, Division of Electric Power Regulation </w:t>
      </w:r>
      <w:r w:rsidR="008053FA">
        <w:t>–</w:t>
      </w:r>
      <w:r>
        <w:t xml:space="preserve"> West</w:t>
      </w:r>
      <w:r w:rsidR="00D14E0A">
        <w:t>,</w:t>
      </w:r>
      <w:r>
        <w:t xml:space="preserve"> under 18 C.F.R. § 375.307.  This order constitutes final agency action.  Requests for rehearing by the Commission may be filed within 30 days of the date of issuance of this order, pursuant to 18 C.F.R. § 385.713.</w:t>
      </w:r>
    </w:p>
    <w:p w:rsidR="00F45772" w:rsidRDefault="00F45772" w:rsidP="00F45772">
      <w:pPr>
        <w:tabs>
          <w:tab w:val="left" w:pos="-10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45772" w:rsidRDefault="00F45772" w:rsidP="00F45772">
      <w:pPr>
        <w:tabs>
          <w:tab w:val="left" w:pos="-10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tab/>
      </w:r>
      <w:r>
        <w:tab/>
      </w:r>
      <w:r>
        <w:tab/>
      </w:r>
      <w:r>
        <w:tab/>
      </w:r>
      <w:r>
        <w:tab/>
        <w:t>Sincerely,</w:t>
      </w:r>
    </w:p>
    <w:p w:rsidR="00F45772" w:rsidRDefault="00F45772" w:rsidP="00F45772">
      <w:pPr>
        <w:tabs>
          <w:tab w:val="left" w:pos="-10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tab/>
      </w:r>
      <w:r>
        <w:tab/>
      </w:r>
      <w:r>
        <w:tab/>
      </w:r>
      <w:r>
        <w:tab/>
      </w:r>
      <w:r>
        <w:tab/>
      </w:r>
      <w:r>
        <w:tab/>
      </w:r>
    </w:p>
    <w:p w:rsidR="00F45772" w:rsidRDefault="00F45772" w:rsidP="00F45772">
      <w:pPr>
        <w:ind w:firstLine="5040"/>
      </w:pPr>
      <w:r>
        <w:tab/>
      </w:r>
    </w:p>
    <w:p w:rsidR="00F45772" w:rsidRDefault="00F45772" w:rsidP="00F45772">
      <w:pPr>
        <w:ind w:firstLine="5040"/>
      </w:pPr>
      <w:r>
        <w:tab/>
      </w:r>
      <w:r>
        <w:tab/>
      </w:r>
      <w:r>
        <w:tab/>
      </w:r>
      <w:r>
        <w:tab/>
      </w:r>
      <w:r>
        <w:tab/>
      </w:r>
      <w:r>
        <w:tab/>
      </w:r>
      <w:r>
        <w:tab/>
      </w:r>
      <w:r>
        <w:tab/>
      </w:r>
      <w:r>
        <w:tab/>
      </w:r>
      <w:r>
        <w:tab/>
      </w:r>
      <w:r>
        <w:tab/>
      </w:r>
      <w:r>
        <w:tab/>
      </w:r>
      <w:r>
        <w:tab/>
        <w:t>Steve P. Rodgers, Director</w:t>
      </w:r>
    </w:p>
    <w:p w:rsidR="00F45772" w:rsidRDefault="00F45772" w:rsidP="00F45772">
      <w:pPr>
        <w:ind w:left="5040"/>
      </w:pPr>
      <w:r>
        <w:t xml:space="preserve">Division of Electric Power </w:t>
      </w:r>
    </w:p>
    <w:p w:rsidR="00F45772" w:rsidRDefault="00F45772" w:rsidP="00F45772">
      <w:pPr>
        <w:ind w:left="5040"/>
      </w:pPr>
      <w:r>
        <w:t>Regulation – West</w:t>
      </w:r>
    </w:p>
    <w:p w:rsidR="00F45772" w:rsidRDefault="00F45772" w:rsidP="00F45772">
      <w:pPr>
        <w:ind w:left="5040"/>
      </w:pPr>
      <w:r>
        <w:t xml:space="preserve"> </w:t>
      </w:r>
    </w:p>
    <w:p w:rsidR="00F45772" w:rsidRDefault="00F45772" w:rsidP="00F45772">
      <w:r>
        <w:t>cc:   All Parties</w:t>
      </w:r>
    </w:p>
    <w:p w:rsidR="00F45772" w:rsidRDefault="00F45772" w:rsidP="00F45772"/>
    <w:p w:rsidR="00967E8E" w:rsidRDefault="00967E8E" w:rsidP="00F45772"/>
    <w:sectPr w:rsidR="00967E8E" w:rsidSect="00F45772">
      <w:headerReference w:type="even" r:id="rId11"/>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53B" w:rsidRDefault="00B5053B" w:rsidP="00F45772">
      <w:r>
        <w:separator/>
      </w:r>
    </w:p>
  </w:endnote>
  <w:endnote w:type="continuationSeparator" w:id="0">
    <w:p w:rsidR="00B5053B" w:rsidRDefault="00B5053B" w:rsidP="00F4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53B" w:rsidRDefault="00B5053B" w:rsidP="00F45772">
      <w:r>
        <w:separator/>
      </w:r>
    </w:p>
  </w:footnote>
  <w:footnote w:type="continuationSeparator" w:id="0">
    <w:p w:rsidR="00B5053B" w:rsidRDefault="00B5053B" w:rsidP="00F45772">
      <w:r>
        <w:continuationSeparator/>
      </w:r>
    </w:p>
  </w:footnote>
  <w:footnote w:id="1">
    <w:p w:rsidR="00F45772" w:rsidRDefault="00F45772" w:rsidP="004801F1">
      <w:pPr>
        <w:pStyle w:val="FootnoteText"/>
        <w:spacing w:after="240"/>
        <w:ind w:firstLine="720"/>
      </w:pPr>
      <w:r w:rsidRPr="00F45772">
        <w:rPr>
          <w:rStyle w:val="FootnoteReference"/>
          <w:b/>
          <w:sz w:val="26"/>
          <w:szCs w:val="26"/>
        </w:rPr>
        <w:footnoteRef/>
      </w:r>
      <w:r w:rsidRPr="00F45772">
        <w:rPr>
          <w:b/>
          <w:sz w:val="26"/>
          <w:szCs w:val="26"/>
        </w:rPr>
        <w:t xml:space="preserve"> </w:t>
      </w:r>
      <w:proofErr w:type="gramStart"/>
      <w:r w:rsidRPr="00F45772">
        <w:rPr>
          <w:i/>
          <w:sz w:val="26"/>
          <w:szCs w:val="26"/>
        </w:rPr>
        <w:t>San</w:t>
      </w:r>
      <w:r w:rsidRPr="00F45772">
        <w:rPr>
          <w:sz w:val="26"/>
          <w:szCs w:val="26"/>
        </w:rPr>
        <w:t xml:space="preserve"> </w:t>
      </w:r>
      <w:r w:rsidRPr="00F45772">
        <w:rPr>
          <w:i/>
          <w:sz w:val="26"/>
          <w:szCs w:val="26"/>
        </w:rPr>
        <w:t>Diego Gas &amp; Electric Co.,</w:t>
      </w:r>
      <w:r w:rsidRPr="00F45772">
        <w:rPr>
          <w:sz w:val="26"/>
          <w:szCs w:val="26"/>
        </w:rPr>
        <w:t xml:space="preserve"> 147 FERC ¶ 61,150 (2014).</w:t>
      </w:r>
      <w:proofErr w:type="gramEnd"/>
      <w:r w:rsidRPr="00F45772">
        <w:rPr>
          <w:sz w:val="26"/>
          <w:szCs w:val="26"/>
        </w:rPr>
        <w:t xml:space="preserve">  The PBOP provisions are contained in the Offer of Settlement, Article I, Section 1.8., and the TO4 Formula (Appendix VIII, Section B.57. and the Formula Rate Protocols, Section D.1).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3245677"/>
      <w:docPartObj>
        <w:docPartGallery w:val="Page Numbers (Top of Page)"/>
        <w:docPartUnique/>
      </w:docPartObj>
    </w:sdtPr>
    <w:sdtEndPr>
      <w:rPr>
        <w:noProof/>
      </w:rPr>
    </w:sdtEndPr>
    <w:sdtContent>
      <w:p w:rsidR="00F45772" w:rsidRDefault="00F45772">
        <w:pPr>
          <w:pStyle w:val="Header"/>
          <w:jc w:val="right"/>
        </w:pPr>
        <w:r>
          <w:fldChar w:fldCharType="begin"/>
        </w:r>
        <w:r>
          <w:instrText xml:space="preserve"> PAGE   \* MERGEFORMAT </w:instrText>
        </w:r>
        <w:r>
          <w:fldChar w:fldCharType="separate"/>
        </w:r>
        <w:r w:rsidR="00751445">
          <w:rPr>
            <w:noProof/>
          </w:rPr>
          <w:t>2</w:t>
        </w:r>
        <w:r>
          <w:rPr>
            <w:noProof/>
          </w:rPr>
          <w:fldChar w:fldCharType="end"/>
        </w:r>
      </w:p>
    </w:sdtContent>
  </w:sdt>
  <w:p w:rsidR="00F45772" w:rsidRDefault="00F45772">
    <w:pPr>
      <w:pStyle w:val="Header"/>
    </w:pPr>
    <w:r>
      <w:t>Docket No. ER15-1798-000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096572"/>
      <w:temporary/>
      <w:showingPlcHdr/>
    </w:sdtPr>
    <w:sdtEndPr/>
    <w:sdtContent>
      <w:p w:rsidR="00F45772" w:rsidRDefault="00F45772">
        <w:pPr>
          <w:pStyle w:val="Header"/>
        </w:pPr>
        <w:r>
          <w:t>[Type text]</w:t>
        </w:r>
      </w:p>
    </w:sdtContent>
  </w:sdt>
  <w:p w:rsidR="00F45772" w:rsidRDefault="00F457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772" w:rsidRDefault="00F45772">
    <w:pPr>
      <w:pStyle w:val="Header"/>
    </w:pPr>
  </w:p>
  <w:p w:rsidR="00F45772" w:rsidRDefault="00F457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772"/>
    <w:rsid w:val="00184529"/>
    <w:rsid w:val="001D58AA"/>
    <w:rsid w:val="00224E9E"/>
    <w:rsid w:val="00285F6A"/>
    <w:rsid w:val="00315E8C"/>
    <w:rsid w:val="00441515"/>
    <w:rsid w:val="00467878"/>
    <w:rsid w:val="004801F1"/>
    <w:rsid w:val="006C6F95"/>
    <w:rsid w:val="00751445"/>
    <w:rsid w:val="008053FA"/>
    <w:rsid w:val="00890A38"/>
    <w:rsid w:val="008C70DB"/>
    <w:rsid w:val="00943AD9"/>
    <w:rsid w:val="00960162"/>
    <w:rsid w:val="00967E8E"/>
    <w:rsid w:val="009E0E56"/>
    <w:rsid w:val="00A60CD5"/>
    <w:rsid w:val="00B5053B"/>
    <w:rsid w:val="00B97E3B"/>
    <w:rsid w:val="00D14E0A"/>
    <w:rsid w:val="00D82D4B"/>
    <w:rsid w:val="00D83E3B"/>
    <w:rsid w:val="00F36282"/>
    <w:rsid w:val="00F45772"/>
    <w:rsid w:val="00FF0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F45772"/>
    <w:pPr>
      <w:autoSpaceDE w:val="0"/>
      <w:autoSpaceDN w:val="0"/>
      <w:adjustRightInd w:val="0"/>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F45772"/>
    <w:rPr>
      <w:sz w:val="20"/>
      <w:szCs w:val="20"/>
    </w:rPr>
  </w:style>
  <w:style w:type="character" w:customStyle="1" w:styleId="FootnoteTextChar">
    <w:name w:val="Footnote Text Char"/>
    <w:basedOn w:val="DefaultParagraphFont"/>
    <w:link w:val="FootnoteText"/>
    <w:uiPriority w:val="99"/>
    <w:semiHidden/>
    <w:rsid w:val="00F4577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45772"/>
    <w:rPr>
      <w:vertAlign w:val="superscript"/>
    </w:rPr>
  </w:style>
  <w:style w:type="paragraph" w:styleId="Header">
    <w:name w:val="header"/>
    <w:basedOn w:val="Normal"/>
    <w:link w:val="HeaderChar"/>
    <w:uiPriority w:val="99"/>
    <w:unhideWhenUsed/>
    <w:rsid w:val="00F45772"/>
    <w:pPr>
      <w:tabs>
        <w:tab w:val="center" w:pos="4680"/>
        <w:tab w:val="right" w:pos="9360"/>
      </w:tabs>
    </w:pPr>
  </w:style>
  <w:style w:type="character" w:customStyle="1" w:styleId="HeaderChar">
    <w:name w:val="Header Char"/>
    <w:basedOn w:val="DefaultParagraphFont"/>
    <w:link w:val="Header"/>
    <w:uiPriority w:val="99"/>
    <w:rsid w:val="00F45772"/>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F45772"/>
    <w:pPr>
      <w:tabs>
        <w:tab w:val="center" w:pos="4680"/>
        <w:tab w:val="right" w:pos="9360"/>
      </w:tabs>
    </w:pPr>
  </w:style>
  <w:style w:type="character" w:customStyle="1" w:styleId="FooterChar">
    <w:name w:val="Footer Char"/>
    <w:basedOn w:val="DefaultParagraphFont"/>
    <w:link w:val="Footer"/>
    <w:uiPriority w:val="99"/>
    <w:rsid w:val="00F45772"/>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F45772"/>
    <w:rPr>
      <w:rFonts w:ascii="Tahoma" w:hAnsi="Tahoma" w:cs="Tahoma"/>
      <w:sz w:val="16"/>
      <w:szCs w:val="16"/>
    </w:rPr>
  </w:style>
  <w:style w:type="character" w:customStyle="1" w:styleId="BalloonTextChar">
    <w:name w:val="Balloon Text Char"/>
    <w:basedOn w:val="DefaultParagraphFont"/>
    <w:link w:val="BalloonText"/>
    <w:uiPriority w:val="99"/>
    <w:semiHidden/>
    <w:rsid w:val="00F4577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F45772"/>
    <w:pPr>
      <w:autoSpaceDE w:val="0"/>
      <w:autoSpaceDN w:val="0"/>
      <w:adjustRightInd w:val="0"/>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F45772"/>
    <w:rPr>
      <w:sz w:val="20"/>
      <w:szCs w:val="20"/>
    </w:rPr>
  </w:style>
  <w:style w:type="character" w:customStyle="1" w:styleId="FootnoteTextChar">
    <w:name w:val="Footnote Text Char"/>
    <w:basedOn w:val="DefaultParagraphFont"/>
    <w:link w:val="FootnoteText"/>
    <w:uiPriority w:val="99"/>
    <w:semiHidden/>
    <w:rsid w:val="00F4577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45772"/>
    <w:rPr>
      <w:vertAlign w:val="superscript"/>
    </w:rPr>
  </w:style>
  <w:style w:type="paragraph" w:styleId="Header">
    <w:name w:val="header"/>
    <w:basedOn w:val="Normal"/>
    <w:link w:val="HeaderChar"/>
    <w:uiPriority w:val="99"/>
    <w:unhideWhenUsed/>
    <w:rsid w:val="00F45772"/>
    <w:pPr>
      <w:tabs>
        <w:tab w:val="center" w:pos="4680"/>
        <w:tab w:val="right" w:pos="9360"/>
      </w:tabs>
    </w:pPr>
  </w:style>
  <w:style w:type="character" w:customStyle="1" w:styleId="HeaderChar">
    <w:name w:val="Header Char"/>
    <w:basedOn w:val="DefaultParagraphFont"/>
    <w:link w:val="Header"/>
    <w:uiPriority w:val="99"/>
    <w:rsid w:val="00F45772"/>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F45772"/>
    <w:pPr>
      <w:tabs>
        <w:tab w:val="center" w:pos="4680"/>
        <w:tab w:val="right" w:pos="9360"/>
      </w:tabs>
    </w:pPr>
  </w:style>
  <w:style w:type="character" w:customStyle="1" w:styleId="FooterChar">
    <w:name w:val="Footer Char"/>
    <w:basedOn w:val="DefaultParagraphFont"/>
    <w:link w:val="Footer"/>
    <w:uiPriority w:val="99"/>
    <w:rsid w:val="00F45772"/>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F45772"/>
    <w:rPr>
      <w:rFonts w:ascii="Tahoma" w:hAnsi="Tahoma" w:cs="Tahoma"/>
      <w:sz w:val="16"/>
      <w:szCs w:val="16"/>
    </w:rPr>
  </w:style>
  <w:style w:type="character" w:customStyle="1" w:styleId="BalloonTextChar">
    <w:name w:val="Balloon Text Char"/>
    <w:basedOn w:val="DefaultParagraphFont"/>
    <w:link w:val="BalloonText"/>
    <w:uiPriority w:val="99"/>
    <w:semiHidden/>
    <w:rsid w:val="00F4577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B3925-3210-45C5-93E5-2FB967D7F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7BE6E47-EA9B-4C62-95DE-92C7AD41917B}">
  <ds:schemaRefs>
    <ds:schemaRef ds:uri="http://schemas.microsoft.com/office/2006/metadata/properties"/>
  </ds:schemaRefs>
</ds:datastoreItem>
</file>

<file path=customXml/itemProps3.xml><?xml version="1.0" encoding="utf-8"?>
<ds:datastoreItem xmlns:ds="http://schemas.openxmlformats.org/officeDocument/2006/customXml" ds:itemID="{17591788-D3C6-4AFA-9867-BAFCFCE22DE3}">
  <ds:schemaRefs>
    <ds:schemaRef ds:uri="http://schemas.microsoft.com/sharepoint/v3/contenttype/forms"/>
  </ds:schemaRefs>
</ds:datastoreItem>
</file>

<file path=customXml/itemProps4.xml><?xml version="1.0" encoding="utf-8"?>
<ds:datastoreItem xmlns:ds="http://schemas.openxmlformats.org/officeDocument/2006/customXml" ds:itemID="{D821CFF9-0E6F-4BC3-A951-17EC966A3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2757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0</cp:revision>
  <cp:lastPrinted>2015-11-24T15:56:00Z</cp:lastPrinted>
  <dcterms:created xsi:type="dcterms:W3CDTF">2015-11-24T18:20:00Z</dcterms:created>
  <dcterms:modified xsi:type="dcterms:W3CDTF">2015-11-24T18:20:00Z</dcterms:modified>
  <cp:category/>
  <dc:identifier/>
  <cp:contentStatus/>
  <cp:version/>
</cp:coreProperties>
</file>