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91dc9d47f75f429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DF339" w14:textId="77777777" w:rsidR="00A13067" w:rsidRDefault="00E31DAF">
      <w:pPr>
        <w:jc w:val="center"/>
      </w:pPr>
      <w:r>
        <w:t>164 FERC ¶ 61,048</w:t>
      </w:r>
    </w:p>
    <w:p w14:paraId="3A6A2B0A" w14:textId="77777777" w:rsidR="00852FA3" w:rsidRPr="009F3F1F" w:rsidRDefault="00852FA3" w:rsidP="009F3F1F">
      <w:pPr>
        <w:jc w:val="center"/>
      </w:pPr>
      <w:r w:rsidRPr="009F3F1F">
        <w:t>FEDERAL ENERGY REGULATORY COMMISSION</w:t>
      </w:r>
    </w:p>
    <w:p w14:paraId="1601F075" w14:textId="77777777" w:rsidR="00852FA3" w:rsidRDefault="00852FA3" w:rsidP="009F3F1F">
      <w:pPr>
        <w:jc w:val="center"/>
      </w:pPr>
      <w:r w:rsidRPr="009F3F1F">
        <w:t>WASHINGTON, DC 20426</w:t>
      </w:r>
    </w:p>
    <w:p w14:paraId="15D751E9" w14:textId="77777777" w:rsidR="006C0889" w:rsidRDefault="006C0889" w:rsidP="009F3F1F">
      <w:pPr>
        <w:jc w:val="center"/>
      </w:pPr>
    </w:p>
    <w:p w14:paraId="006E0727" w14:textId="130A7679" w:rsidR="006C0889" w:rsidRDefault="006C0889" w:rsidP="006C0889">
      <w:pPr>
        <w:widowControl/>
        <w:jc w:val="center"/>
      </w:pPr>
      <w:r w:rsidRPr="006C0889">
        <w:t>July 24, 2018</w:t>
      </w:r>
    </w:p>
    <w:p w14:paraId="39AAB694" w14:textId="136FB8D5" w:rsidR="00852FA3" w:rsidRPr="009F3F1F" w:rsidRDefault="00852FA3" w:rsidP="009F3F1F">
      <w:pPr>
        <w:jc w:val="center"/>
      </w:pPr>
      <w:bookmarkStart w:id="0" w:name="_GoBack"/>
      <w:bookmarkEnd w:id="0"/>
    </w:p>
    <w:p w14:paraId="0827E20A" w14:textId="77777777" w:rsidR="00852FA3" w:rsidRPr="009F3F1F" w:rsidRDefault="00852FA3" w:rsidP="009F3F1F">
      <w:r w:rsidRPr="009F3F1F">
        <w:tab/>
      </w:r>
      <w:r w:rsidRPr="009F3F1F">
        <w:tab/>
      </w:r>
      <w:r w:rsidRPr="009F3F1F">
        <w:tab/>
      </w:r>
      <w:r w:rsidRPr="009F3F1F">
        <w:tab/>
      </w:r>
      <w:r w:rsidRPr="009F3F1F">
        <w:tab/>
      </w:r>
      <w:r w:rsidR="00F24854">
        <w:tab/>
      </w:r>
      <w:r w:rsidR="00F24854">
        <w:tab/>
      </w:r>
      <w:r w:rsidRPr="009F3F1F">
        <w:t>In Reply Refer To:</w:t>
      </w:r>
    </w:p>
    <w:p w14:paraId="7D174B88" w14:textId="77777777" w:rsidR="00852FA3" w:rsidRPr="009F3F1F" w:rsidRDefault="00852FA3" w:rsidP="00F24854">
      <w:pPr>
        <w:ind w:left="5040"/>
      </w:pPr>
      <w:bookmarkStart w:id="1" w:name="Company"/>
      <w:bookmarkEnd w:id="1"/>
      <w:r>
        <w:t>Citizens Sunrise Transmission LLC</w:t>
      </w:r>
    </w:p>
    <w:p w14:paraId="01B99F90" w14:textId="77777777" w:rsidR="00905571" w:rsidRDefault="00905571" w:rsidP="00F24854">
      <w:pPr>
        <w:ind w:left="4320" w:firstLine="720"/>
      </w:pPr>
      <w:bookmarkStart w:id="2" w:name="Docket_Number"/>
      <w:bookmarkEnd w:id="2"/>
      <w:r>
        <w:t>San Diego Gas &amp; Electric Company</w:t>
      </w:r>
    </w:p>
    <w:p w14:paraId="492B143B" w14:textId="77777777" w:rsidR="00852FA3" w:rsidRPr="009F3F1F" w:rsidRDefault="00F24854" w:rsidP="00F24854">
      <w:pPr>
        <w:ind w:left="4320" w:firstLine="720"/>
      </w:pPr>
      <w:r>
        <w:t>Docket No</w:t>
      </w:r>
      <w:r w:rsidR="00905571">
        <w:t>s</w:t>
      </w:r>
      <w:r>
        <w:t xml:space="preserve">. </w:t>
      </w:r>
      <w:r w:rsidR="00852FA3">
        <w:t>ER18-1687-000</w:t>
      </w:r>
    </w:p>
    <w:p w14:paraId="14B3E8C4" w14:textId="77777777" w:rsidR="00852FA3" w:rsidRPr="009F3F1F" w:rsidRDefault="00852FA3" w:rsidP="009F3F1F">
      <w:r w:rsidRPr="009F3F1F">
        <w:tab/>
      </w:r>
      <w:r w:rsidRPr="009F3F1F">
        <w:tab/>
      </w:r>
      <w:r w:rsidRPr="009F3F1F">
        <w:tab/>
      </w:r>
      <w:r w:rsidRPr="009F3F1F">
        <w:tab/>
      </w:r>
      <w:r w:rsidRPr="009F3F1F">
        <w:tab/>
      </w:r>
      <w:r w:rsidR="00905571">
        <w:tab/>
      </w:r>
      <w:r w:rsidR="00905571">
        <w:tab/>
      </w:r>
      <w:r w:rsidR="00905571">
        <w:tab/>
        <w:t xml:space="preserve">          ER18-1690-000</w:t>
      </w:r>
    </w:p>
    <w:p w14:paraId="54F55CB3" w14:textId="50ABAE19" w:rsidR="00905571" w:rsidRDefault="00B62DE0" w:rsidP="00B62DE0">
      <w:bookmarkStart w:id="3" w:name="Address"/>
      <w:bookmarkEnd w:id="3"/>
      <w:r>
        <w:tab/>
      </w:r>
      <w:r>
        <w:tab/>
      </w:r>
      <w:r>
        <w:tab/>
        <w:t xml:space="preserve">                                                                 (not consolidated)</w:t>
      </w:r>
    </w:p>
    <w:p w14:paraId="43764D5F" w14:textId="77777777" w:rsidR="00CD3209" w:rsidRDefault="00CD3209" w:rsidP="00B62DE0"/>
    <w:p w14:paraId="3BA0197B" w14:textId="77777777" w:rsidR="00CD3209" w:rsidRDefault="00CD3209" w:rsidP="009F3F1F"/>
    <w:p w14:paraId="5DAA608A" w14:textId="77777777" w:rsidR="00852FA3" w:rsidRDefault="00852FA3" w:rsidP="009F3F1F">
      <w:r>
        <w:t>Duncan &amp; Allen</w:t>
      </w:r>
    </w:p>
    <w:p w14:paraId="6C466679" w14:textId="542FB5ED" w:rsidR="00852FA3" w:rsidRDefault="00852FA3" w:rsidP="009F3F1F">
      <w:r>
        <w:t>1730 Rhode Island Avenue, NW</w:t>
      </w:r>
      <w:r w:rsidR="00A5408E">
        <w:t>, Ste. 700</w:t>
      </w:r>
    </w:p>
    <w:p w14:paraId="63D60FB7" w14:textId="4117F4BA" w:rsidR="00852FA3" w:rsidRDefault="00852FA3" w:rsidP="009F3F1F">
      <w:r>
        <w:t>Washington, DC</w:t>
      </w:r>
      <w:r w:rsidR="00CD3209">
        <w:t xml:space="preserve">  </w:t>
      </w:r>
      <w:r>
        <w:t>20036</w:t>
      </w:r>
    </w:p>
    <w:p w14:paraId="2625BEB7" w14:textId="77777777" w:rsidR="00905571" w:rsidRDefault="00905571" w:rsidP="009F3F1F"/>
    <w:p w14:paraId="11124727" w14:textId="77777777" w:rsidR="00905571" w:rsidRDefault="00905571" w:rsidP="00905571">
      <w:r>
        <w:t>San Diego Gas &amp; Electric Company</w:t>
      </w:r>
    </w:p>
    <w:p w14:paraId="05406063" w14:textId="77777777" w:rsidR="00905571" w:rsidRDefault="00905571" w:rsidP="00905571">
      <w:r>
        <w:t>8330 Century Park Court, CP32D</w:t>
      </w:r>
    </w:p>
    <w:p w14:paraId="11BE78CE" w14:textId="5B81349E" w:rsidR="00905571" w:rsidRDefault="00905571" w:rsidP="009F3F1F">
      <w:r>
        <w:t>San Diego, CA</w:t>
      </w:r>
      <w:r w:rsidR="00CD3209">
        <w:t xml:space="preserve">  </w:t>
      </w:r>
      <w:r>
        <w:t>92123</w:t>
      </w:r>
    </w:p>
    <w:p w14:paraId="532D2B36" w14:textId="77777777" w:rsidR="00852FA3" w:rsidRDefault="00852FA3" w:rsidP="009F3F1F"/>
    <w:p w14:paraId="06DF8F30" w14:textId="6C296A18" w:rsidR="00852FA3" w:rsidRDefault="00852FA3" w:rsidP="009F3F1F">
      <w:r>
        <w:t>Attention:</w:t>
      </w:r>
      <w:r w:rsidR="00CD3209">
        <w:t xml:space="preserve">  </w:t>
      </w:r>
      <w:r>
        <w:t>Donald R. Allen</w:t>
      </w:r>
      <w:r w:rsidR="00905571">
        <w:t xml:space="preserve"> and Christopher M. Lyons</w:t>
      </w:r>
    </w:p>
    <w:p w14:paraId="4984CC60" w14:textId="77777777" w:rsidR="00852FA3" w:rsidRPr="009F3F1F" w:rsidRDefault="00852FA3" w:rsidP="009F3F1F"/>
    <w:p w14:paraId="06A1519A" w14:textId="77777777" w:rsidR="00852FA3" w:rsidRPr="009F3F1F" w:rsidRDefault="00852FA3" w:rsidP="009F3F1F">
      <w:bookmarkStart w:id="4" w:name="Name"/>
      <w:bookmarkEnd w:id="4"/>
      <w:r w:rsidRPr="009F3F1F">
        <w:t xml:space="preserve">Dear </w:t>
      </w:r>
      <w:bookmarkStart w:id="5" w:name="Name2"/>
      <w:bookmarkEnd w:id="5"/>
      <w:r>
        <w:t>Mr. Allen</w:t>
      </w:r>
      <w:r w:rsidR="00905571">
        <w:t xml:space="preserve"> and Mr. Lyons</w:t>
      </w:r>
      <w:r w:rsidRPr="009F3F1F">
        <w:t>:</w:t>
      </w:r>
    </w:p>
    <w:p w14:paraId="75C4226F" w14:textId="77777777" w:rsidR="00852FA3" w:rsidRPr="009F3F1F" w:rsidRDefault="00852FA3" w:rsidP="009F3F1F"/>
    <w:p w14:paraId="006A03F3" w14:textId="1050B1AA" w:rsidR="00852FA3" w:rsidRDefault="00F24854" w:rsidP="003830CE">
      <w:pPr>
        <w:pStyle w:val="FERCparanumber"/>
      </w:pPr>
      <w:r>
        <w:t>On May 25, 2018, Citizens Sunrise Transmission LLC (Citizens Sunrise) filed</w:t>
      </w:r>
      <w:r w:rsidR="00FE6C47">
        <w:t>, pursuant to section 205 of the Federal Power Act</w:t>
      </w:r>
      <w:r w:rsidR="005C7613">
        <w:t xml:space="preserve"> (FPA)</w:t>
      </w:r>
      <w:r w:rsidR="00FE6C47">
        <w:t>,</w:t>
      </w:r>
      <w:r w:rsidR="005C7613">
        <w:rPr>
          <w:rStyle w:val="FootnoteReference"/>
        </w:rPr>
        <w:footnoteReference w:id="2"/>
      </w:r>
      <w:r>
        <w:t xml:space="preserve"> revisions to </w:t>
      </w:r>
      <w:r w:rsidR="00FE6C47">
        <w:t xml:space="preserve">Appendix III of its </w:t>
      </w:r>
      <w:r>
        <w:t>California Independent System Operator Corporation (CAISO) Transmission Owner Tariff</w:t>
      </w:r>
      <w:r w:rsidR="00FE6C47">
        <w:t xml:space="preserve"> (TO Tariff)</w:t>
      </w:r>
      <w:r>
        <w:t xml:space="preserve"> to </w:t>
      </w:r>
      <w:r>
        <w:lastRenderedPageBreak/>
        <w:t xml:space="preserve">reflect the annual </w:t>
      </w:r>
      <w:r w:rsidR="005F4253">
        <w:t xml:space="preserve">true-up of the </w:t>
      </w:r>
      <w:r>
        <w:t xml:space="preserve">operating cost </w:t>
      </w:r>
      <w:r w:rsidR="00C06BA0">
        <w:t>associated with its entitlement to 50 percent of the transfer capability of the Border East Line</w:t>
      </w:r>
      <w:r>
        <w:t>.</w:t>
      </w:r>
      <w:r w:rsidR="00510404">
        <w:rPr>
          <w:rStyle w:val="FootnoteReference"/>
        </w:rPr>
        <w:footnoteReference w:id="3"/>
      </w:r>
      <w:r>
        <w:t xml:space="preserve">  </w:t>
      </w:r>
      <w:r w:rsidR="008C4E83">
        <w:t>Also o</w:t>
      </w:r>
      <w:r w:rsidR="0068097A">
        <w:t xml:space="preserve">n </w:t>
      </w:r>
      <w:r w:rsidR="00E85A7A">
        <w:t xml:space="preserve"> </w:t>
      </w:r>
      <w:r w:rsidR="0068097A">
        <w:t xml:space="preserve">May 25, 2018, San Diego Gas &amp; Electric </w:t>
      </w:r>
      <w:r w:rsidR="006742C5">
        <w:t xml:space="preserve">Company </w:t>
      </w:r>
      <w:r w:rsidR="0068097A">
        <w:t>(SDG&amp;E) filed its Appendix X Seventh Information</w:t>
      </w:r>
      <w:r w:rsidR="0030368F">
        <w:t>al</w:t>
      </w:r>
      <w:r w:rsidR="0068097A">
        <w:t xml:space="preserve"> Filing (Cycle 7 Filing)</w:t>
      </w:r>
      <w:r w:rsidR="0030368F">
        <w:rPr>
          <w:rStyle w:val="FootnoteReference"/>
        </w:rPr>
        <w:footnoteReference w:id="4"/>
      </w:r>
      <w:r w:rsidR="0068097A">
        <w:t xml:space="preserve"> containing </w:t>
      </w:r>
      <w:r w:rsidR="00391196">
        <w:t xml:space="preserve">its annual update to the Border </w:t>
      </w:r>
      <w:r w:rsidR="0068097A">
        <w:t>East Line Rate under Appendix X of its TO Tariff.  As discussed below, we accept Citizen</w:t>
      </w:r>
      <w:r w:rsidR="00735527">
        <w:t>s</w:t>
      </w:r>
      <w:r w:rsidR="0068097A">
        <w:t xml:space="preserve"> Sunrise’s revised </w:t>
      </w:r>
      <w:r w:rsidR="005F4253">
        <w:t xml:space="preserve">TO Tariff </w:t>
      </w:r>
      <w:r w:rsidR="0068097A">
        <w:t xml:space="preserve">and </w:t>
      </w:r>
      <w:r w:rsidR="005F4253">
        <w:t xml:space="preserve">acknowledge receipt of </w:t>
      </w:r>
      <w:r w:rsidR="0068097A">
        <w:t xml:space="preserve">SDG&amp;E’s Cycle 7 Filing, effective June 1, 2018.  </w:t>
      </w:r>
    </w:p>
    <w:p w14:paraId="7E262C0F" w14:textId="655F5201" w:rsidR="00FE6C47" w:rsidRDefault="0068097A" w:rsidP="00FE6C47">
      <w:pPr>
        <w:pStyle w:val="FERCparanumber"/>
      </w:pPr>
      <w:r>
        <w:t xml:space="preserve">Citizens Sunrise leases 50 percent of the transfer capability </w:t>
      </w:r>
      <w:r w:rsidR="00391196">
        <w:t xml:space="preserve">of the Border </w:t>
      </w:r>
      <w:r>
        <w:t xml:space="preserve">East Line from SDG&amp;E.  </w:t>
      </w:r>
      <w:r w:rsidR="00454E0B">
        <w:t>SDG&amp;E op</w:t>
      </w:r>
      <w:r w:rsidR="00391196">
        <w:t xml:space="preserve">erates and maintains the Border </w:t>
      </w:r>
      <w:r w:rsidR="00454E0B">
        <w:t xml:space="preserve">East Line for Citizens Sunrise for a charge, i.e., the Border East Line Rate.  </w:t>
      </w:r>
      <w:r w:rsidR="00FE6C47">
        <w:t>On February 21, 2012, the Commission conditionally accepted Citizen</w:t>
      </w:r>
      <w:r w:rsidR="00EC1003">
        <w:t>s</w:t>
      </w:r>
      <w:r w:rsidR="00FE6C47">
        <w:t xml:space="preserve"> Sunrise’s TO Tariff and </w:t>
      </w:r>
      <w:r>
        <w:t xml:space="preserve">transmission revenue requirement formula </w:t>
      </w:r>
      <w:r w:rsidR="00FE6C47" w:rsidRPr="00623D78">
        <w:t>and</w:t>
      </w:r>
      <w:r>
        <w:t xml:space="preserve"> estimated rates</w:t>
      </w:r>
      <w:r w:rsidR="00834C54">
        <w:t xml:space="preserve"> for the Border East Line</w:t>
      </w:r>
      <w:r>
        <w:t>.</w:t>
      </w:r>
      <w:r w:rsidR="00834C54">
        <w:rPr>
          <w:rStyle w:val="FootnoteReference"/>
        </w:rPr>
        <w:footnoteReference w:id="5"/>
      </w:r>
      <w:r>
        <w:t xml:space="preserve">  </w:t>
      </w:r>
      <w:r w:rsidR="00FE6C47">
        <w:t xml:space="preserve">Under Appendix III of </w:t>
      </w:r>
      <w:r w:rsidR="00FB6DF7">
        <w:t>the Citizen</w:t>
      </w:r>
      <w:r w:rsidR="00EC1003">
        <w:t>s</w:t>
      </w:r>
      <w:r w:rsidR="00FB6DF7">
        <w:t xml:space="preserve"> Sunrise</w:t>
      </w:r>
      <w:r w:rsidR="00FE6C47">
        <w:t xml:space="preserve"> TO Tariff, Citizen</w:t>
      </w:r>
      <w:r w:rsidR="00EC1003">
        <w:t>s</w:t>
      </w:r>
      <w:r w:rsidR="00FE6C47">
        <w:t xml:space="preserve"> Sunrise is required to file an annual operating cost true-up to update its transmission revenue requirement and reflect the actual operating costs of the prior calendar year.</w:t>
      </w:r>
      <w:r w:rsidR="00FE6C47">
        <w:rPr>
          <w:rStyle w:val="FootnoteReference"/>
        </w:rPr>
        <w:footnoteReference w:id="6"/>
      </w:r>
      <w:r w:rsidR="00FE6C47">
        <w:t xml:space="preserve">  Citizens Sunrise is also required to submit an informational filing</w:t>
      </w:r>
      <w:r w:rsidR="00D7649B">
        <w:t>,</w:t>
      </w:r>
      <w:r w:rsidR="00FE6C47">
        <w:t xml:space="preserve"> on or before May 30 of each year</w:t>
      </w:r>
      <w:r w:rsidR="00D7649B">
        <w:t>, showing the transmission operating cost revenue requirement</w:t>
      </w:r>
      <w:r w:rsidR="00FE6C47">
        <w:t xml:space="preserve"> to be in effect for the </w:t>
      </w:r>
      <w:r w:rsidR="00FE6C47">
        <w:lastRenderedPageBreak/>
        <w:t>period beginning on June 1 of that year through May 31 of the subsequent year.</w:t>
      </w:r>
      <w:r w:rsidR="00FE6C47" w:rsidRPr="00F55CD8">
        <w:rPr>
          <w:rStyle w:val="FootnoteReference"/>
        </w:rPr>
        <w:footnoteReference w:id="7"/>
      </w:r>
      <w:r w:rsidR="00FE6C47">
        <w:t xml:space="preserve">  A portion of the operating costs incorporated into the true-up are those operating costs incurred by SDG&amp;E and billed to Citizens Sunrise for its share of the </w:t>
      </w:r>
      <w:r w:rsidR="00FB6DF7">
        <w:t>costs for operation and maintenance of the Border East Line</w:t>
      </w:r>
      <w:r w:rsidR="00FE6C47">
        <w:t>.</w:t>
      </w:r>
      <w:r w:rsidR="00FE6C47" w:rsidRPr="0030368F">
        <w:rPr>
          <w:rStyle w:val="FootnoteReference"/>
        </w:rPr>
        <w:footnoteReference w:id="8"/>
      </w:r>
      <w:r w:rsidR="00454E0B">
        <w:t xml:space="preserve">  Appendix X of the SDG&amp;E TO Tariff sets forth the formula rate to calculate Citizens Sunrise’s share of the </w:t>
      </w:r>
      <w:r w:rsidR="0030368F">
        <w:t>operating costs</w:t>
      </w:r>
      <w:r w:rsidR="00454E0B">
        <w:t>.</w:t>
      </w:r>
      <w:r w:rsidR="0030368F">
        <w:rPr>
          <w:rStyle w:val="FootnoteReference"/>
        </w:rPr>
        <w:footnoteReference w:id="9"/>
      </w:r>
      <w:r w:rsidR="00454E0B">
        <w:t xml:space="preserve">  </w:t>
      </w:r>
    </w:p>
    <w:p w14:paraId="197530CB" w14:textId="77777777" w:rsidR="00FE6C47" w:rsidRDefault="00454E0B" w:rsidP="00FE6C47">
      <w:pPr>
        <w:pStyle w:val="FERCparanumber"/>
      </w:pPr>
      <w:r>
        <w:t>Citizens Sunrise proposes to revise Appendix III of the TO Tariff to reflect an</w:t>
      </w:r>
      <w:r w:rsidR="00FE6C47">
        <w:t xml:space="preserve"> increase </w:t>
      </w:r>
      <w:r>
        <w:t xml:space="preserve">in </w:t>
      </w:r>
      <w:r w:rsidR="00FE6C47">
        <w:t xml:space="preserve">its </w:t>
      </w:r>
      <w:r w:rsidR="00FB6DF7">
        <w:t>transmission revenue requirement</w:t>
      </w:r>
      <w:r w:rsidR="00FE6C47">
        <w:t xml:space="preserve"> </w:t>
      </w:r>
      <w:r>
        <w:t>of</w:t>
      </w:r>
      <w:r w:rsidR="00FE6C47">
        <w:t xml:space="preserve"> $2,267,424, or 20 percent, in accordance with the true-up mechanism.</w:t>
      </w:r>
      <w:r w:rsidR="00FE6C47" w:rsidRPr="00F55CD8">
        <w:rPr>
          <w:rStyle w:val="FootnoteReference"/>
        </w:rPr>
        <w:footnoteReference w:id="10"/>
      </w:r>
      <w:r w:rsidR="00FE6C47">
        <w:t xml:space="preserve">  Citizens Sunrise explains that the increase is the result of increases in the costs billed by SDG&amp;E, which are flowed through pursuant to the terms of Appendix III.</w:t>
      </w:r>
      <w:r w:rsidR="00F55CD8" w:rsidRPr="00F55CD8">
        <w:rPr>
          <w:rStyle w:val="FootnoteReference"/>
        </w:rPr>
        <w:footnoteReference w:id="11"/>
      </w:r>
    </w:p>
    <w:p w14:paraId="3FDD887B" w14:textId="140DCCB6" w:rsidR="00FE6C47" w:rsidRDefault="00FE6C47" w:rsidP="00FE6C47">
      <w:pPr>
        <w:pStyle w:val="FERCparanumber"/>
      </w:pPr>
      <w:r>
        <w:t xml:space="preserve">Citizens Sunrise notes that, with respect to those operating costs billed by SDG&amp;E, certain credits are required to be flowed through to Citizens Sunrise under the terms of the SDG&amp;E </w:t>
      </w:r>
      <w:r w:rsidR="00FB6DF7">
        <w:t>TO T</w:t>
      </w:r>
      <w:r>
        <w:t xml:space="preserve">ariff Appendix X formula, and that, for the operating cost rate effective June 1, 2017, these credits more than offset Citizens Sunrise’s share of direct maintenance expenses and non-direct expenses, resulting in a negative amount of $961,000 for net operating costs.  </w:t>
      </w:r>
      <w:r w:rsidRPr="00E038D2">
        <w:t>However, rather than refund the net negative amount</w:t>
      </w:r>
      <w:r w:rsidR="00DB54E4">
        <w:t>,</w:t>
      </w:r>
      <w:r>
        <w:t xml:space="preserve"> </w:t>
      </w:r>
      <w:r w:rsidRPr="00E038D2">
        <w:t>Citizens Sunrise states that</w:t>
      </w:r>
      <w:r w:rsidR="00DB54E4">
        <w:t>, in accordance with the terms of SDG</w:t>
      </w:r>
      <w:r w:rsidR="00F535BE">
        <w:t>&amp;</w:t>
      </w:r>
      <w:r w:rsidR="00DB54E4">
        <w:t>E’s tariff,</w:t>
      </w:r>
      <w:r w:rsidRPr="00E038D2">
        <w:t xml:space="preserve"> the amount </w:t>
      </w:r>
      <w:r>
        <w:t xml:space="preserve">was carried forward and used as a credit </w:t>
      </w:r>
      <w:r>
        <w:lastRenderedPageBreak/>
        <w:t xml:space="preserve">in the operating cost adjustment in this case.  Citizens Sunrise explains that, after the credit, the net amount for the SDG&amp;E operating costs attributable to Citizens Sunrise </w:t>
      </w:r>
      <w:r w:rsidR="00F535BE">
        <w:t>to be effective on June 1, 2018</w:t>
      </w:r>
      <w:r w:rsidR="00706A3B">
        <w:t xml:space="preserve"> is $2,571,816</w:t>
      </w:r>
      <w:r>
        <w:t>.</w:t>
      </w:r>
      <w:r w:rsidR="00F55CD8" w:rsidRPr="00F55CD8">
        <w:rPr>
          <w:rStyle w:val="FootnoteReference"/>
        </w:rPr>
        <w:footnoteReference w:id="12"/>
      </w:r>
    </w:p>
    <w:p w14:paraId="30C99B05" w14:textId="2F8792BE" w:rsidR="00454E0B" w:rsidRDefault="00454E0B" w:rsidP="00FE6C47">
      <w:pPr>
        <w:pStyle w:val="FERCparanumber"/>
      </w:pPr>
      <w:r>
        <w:t xml:space="preserve">In </w:t>
      </w:r>
      <w:r w:rsidR="00D3252E">
        <w:t>its</w:t>
      </w:r>
      <w:r w:rsidR="004C71C3">
        <w:t xml:space="preserve"> </w:t>
      </w:r>
      <w:r w:rsidR="0016302C">
        <w:t>informational</w:t>
      </w:r>
      <w:r>
        <w:t xml:space="preserve"> </w:t>
      </w:r>
      <w:r w:rsidR="00CC66D6">
        <w:t>filing</w:t>
      </w:r>
      <w:r>
        <w:t xml:space="preserve">, SDG&amp;E </w:t>
      </w:r>
      <w:r w:rsidR="0030368F">
        <w:t xml:space="preserve">states that the Cycle 7 Filing reflects an under-collection of $3.5 million.  SDG&amp;E explains that, consistent with Appendix X of its TO Tariff, the Cycle 5 and Cycle 6 over-collections of $441,000 and $521,000, respectively, are reflected as a credit in the Cycle 7 Filing resulting in a total under-collection of </w:t>
      </w:r>
      <w:r w:rsidR="007308B3">
        <w:t xml:space="preserve">approximately </w:t>
      </w:r>
      <w:r w:rsidR="0030368F">
        <w:t xml:space="preserve">$2.6 million.  </w:t>
      </w:r>
      <w:r w:rsidR="00B11B84">
        <w:t xml:space="preserve">SDG&amp;E explains that the primary reasons for the annual rate </w:t>
      </w:r>
      <w:r w:rsidR="00547B88">
        <w:t>increases</w:t>
      </w:r>
      <w:r w:rsidR="00B11B84">
        <w:t xml:space="preserve"> are</w:t>
      </w:r>
      <w:r w:rsidR="007948A3">
        <w:t>:</w:t>
      </w:r>
      <w:r w:rsidR="00B11B84">
        <w:t xml:space="preserve"> </w:t>
      </w:r>
      <w:r w:rsidR="00715F38">
        <w:t>(</w:t>
      </w:r>
      <w:r w:rsidR="005C7613">
        <w:t xml:space="preserve">1) </w:t>
      </w:r>
      <w:r w:rsidR="00B11B84">
        <w:t xml:space="preserve">a decrease in year-end deferred tax liability </w:t>
      </w:r>
      <w:r w:rsidR="00D56BFD">
        <w:t>balances</w:t>
      </w:r>
      <w:r w:rsidR="007948A3">
        <w:t>,</w:t>
      </w:r>
      <w:r w:rsidR="00D56BFD">
        <w:t xml:space="preserve"> and </w:t>
      </w:r>
      <w:r w:rsidR="00715F38">
        <w:t>(</w:t>
      </w:r>
      <w:r w:rsidR="005C7613">
        <w:t xml:space="preserve">2) </w:t>
      </w:r>
      <w:r w:rsidR="00D56BFD">
        <w:t xml:space="preserve">2017 expenses exceeding 2017 </w:t>
      </w:r>
      <w:r w:rsidR="005C7613">
        <w:t xml:space="preserve">recorded revenues.  </w:t>
      </w:r>
      <w:r w:rsidR="00715F38">
        <w:t>SDG&amp;E notes that after conducting a review of its accumulated deferred income tax</w:t>
      </w:r>
      <w:r w:rsidR="00547B88">
        <w:t xml:space="preserve"> (ADIT)</w:t>
      </w:r>
      <w:r w:rsidR="00715F38">
        <w:t xml:space="preserve"> balances, it discovered an error in transmission-related ADIT figures reported in its FERC Form 1 for the years 2012 through 2016.  SDG&amp;E </w:t>
      </w:r>
      <w:r w:rsidR="00547B88">
        <w:t xml:space="preserve">states that it </w:t>
      </w:r>
      <w:r w:rsidR="00391196">
        <w:t xml:space="preserve">has </w:t>
      </w:r>
      <w:r w:rsidR="00547B88">
        <w:t xml:space="preserve">submitted revised FERC Form 1 reports and </w:t>
      </w:r>
      <w:r w:rsidR="00715F38">
        <w:t>plans to correct the error through an upcoming</w:t>
      </w:r>
      <w:r w:rsidR="00547B88">
        <w:t xml:space="preserve"> TO Tariff filing.</w:t>
      </w:r>
      <w:r w:rsidR="00953043">
        <w:rPr>
          <w:rStyle w:val="FootnoteReference"/>
        </w:rPr>
        <w:footnoteReference w:id="13"/>
      </w:r>
      <w:r w:rsidR="00715F38">
        <w:t xml:space="preserve"> </w:t>
      </w:r>
      <w:r w:rsidR="00547B88">
        <w:t xml:space="preserve"> According to SDG&amp;E, </w:t>
      </w:r>
      <w:r w:rsidR="00715F38">
        <w:t xml:space="preserve">correct transmission-related ADIT figures were included in this Cycle 7 Filing resulting in a </w:t>
      </w:r>
      <w:r w:rsidR="00547B88">
        <w:t>decrease in year-end deferred tax liability balances</w:t>
      </w:r>
      <w:r w:rsidR="00715F38">
        <w:t>.</w:t>
      </w:r>
      <w:r w:rsidR="00715F38">
        <w:rPr>
          <w:rStyle w:val="FootnoteReference"/>
        </w:rPr>
        <w:footnoteReference w:id="14"/>
      </w:r>
    </w:p>
    <w:p w14:paraId="414CDB78" w14:textId="77777777" w:rsidR="00201200" w:rsidRDefault="00FE6C47" w:rsidP="00201200">
      <w:pPr>
        <w:pStyle w:val="FERCparanumber"/>
      </w:pPr>
      <w:r>
        <w:t>Citizens Sunrise requests an effective date for the revi</w:t>
      </w:r>
      <w:r w:rsidR="00706A3B">
        <w:t>sed Appendix III of June 1, 2018</w:t>
      </w:r>
      <w:r>
        <w:t>, in accordance with the specifications of the true-up procedure, and any necessary waivers.</w:t>
      </w:r>
      <w:r>
        <w:rPr>
          <w:rStyle w:val="FootnoteReference"/>
        </w:rPr>
        <w:footnoteReference w:id="15"/>
      </w:r>
      <w:r w:rsidR="00547B88">
        <w:t xml:space="preserve">  SDG&amp;E requests an effective date of June 1, 2018.  </w:t>
      </w:r>
    </w:p>
    <w:p w14:paraId="3C8C5D77" w14:textId="23AE2E9E" w:rsidR="00F24854" w:rsidRDefault="00F24854" w:rsidP="003830CE">
      <w:pPr>
        <w:pStyle w:val="FERCparanumber"/>
      </w:pPr>
      <w:r>
        <w:lastRenderedPageBreak/>
        <w:t xml:space="preserve">Notice of Citizens Sunrise’s </w:t>
      </w:r>
      <w:r w:rsidR="00F55CD8">
        <w:t xml:space="preserve">filing in Docket No. </w:t>
      </w:r>
      <w:r w:rsidR="00391196">
        <w:t xml:space="preserve">ER18-1687-000 and SDG&amp;E’s filing in Docket No. ER18-1690-000 </w:t>
      </w:r>
      <w:r w:rsidR="00F55CD8">
        <w:t xml:space="preserve">was </w:t>
      </w:r>
      <w:r>
        <w:t xml:space="preserve">published in the </w:t>
      </w:r>
      <w:r w:rsidR="00391196" w:rsidRPr="00CD3209">
        <w:rPr>
          <w:i/>
        </w:rPr>
        <w:t>Federal Register</w:t>
      </w:r>
      <w:r w:rsidR="00391196">
        <w:t>, 83 Fed. Reg. 25</w:t>
      </w:r>
      <w:r w:rsidR="00F55CD8">
        <w:t>,</w:t>
      </w:r>
      <w:r w:rsidR="00391196">
        <w:t>663</w:t>
      </w:r>
      <w:r>
        <w:t xml:space="preserve"> (2018)</w:t>
      </w:r>
      <w:r w:rsidR="00B62F3C">
        <w:t>,</w:t>
      </w:r>
      <w:r w:rsidR="00547B88">
        <w:t xml:space="preserve"> </w:t>
      </w:r>
      <w:r>
        <w:t xml:space="preserve">with interventions or protests due on or before June </w:t>
      </w:r>
      <w:r w:rsidR="00391196">
        <w:t>15</w:t>
      </w:r>
      <w:r>
        <w:t xml:space="preserve">, 2018.  </w:t>
      </w:r>
      <w:r w:rsidR="00B62F3C">
        <w:t>Timely motions to intervene in ER18-1687</w:t>
      </w:r>
      <w:r w:rsidR="008017CD">
        <w:t>-000</w:t>
      </w:r>
      <w:r w:rsidR="00B62F3C">
        <w:t xml:space="preserve"> and ER18-1690</w:t>
      </w:r>
      <w:r w:rsidR="008017CD">
        <w:t>-000</w:t>
      </w:r>
      <w:r w:rsidR="00B62F3C">
        <w:t xml:space="preserve"> were filed by Southern California Edison Company, the City of Santa Clara, California and M-S-R Public Power Agency, and the Modes</w:t>
      </w:r>
      <w:r w:rsidR="006531EE">
        <w:t>to Irrigation District</w:t>
      </w:r>
      <w:r w:rsidR="00B62F3C">
        <w:t>.  SDG&amp;E filed a timely motion to intervene in ER18-1687</w:t>
      </w:r>
      <w:r w:rsidR="00C82287">
        <w:t>-000</w:t>
      </w:r>
      <w:r w:rsidR="00B62F3C">
        <w:t>.  Citizens Sunrise filed a timely motion to intervene in ER18-1690</w:t>
      </w:r>
      <w:r w:rsidR="00C82287">
        <w:t>-000</w:t>
      </w:r>
      <w:r w:rsidR="00B62F3C">
        <w:t xml:space="preserve">.  </w:t>
      </w:r>
      <w:r w:rsidR="00201200">
        <w:t xml:space="preserve">The Cities of Anaheim, Azusa, Banning, Colton, Pasadena, and Riverside, California (Six Cities) </w:t>
      </w:r>
      <w:r>
        <w:t>filed a timely motion to intervene and comments</w:t>
      </w:r>
      <w:r w:rsidR="00201200">
        <w:t xml:space="preserve"> in </w:t>
      </w:r>
      <w:r w:rsidR="00B62F3C">
        <w:t>ER18-1687-000 and ER18-1690-000</w:t>
      </w:r>
      <w:r w:rsidR="008E73C8">
        <w:t>.</w:t>
      </w:r>
      <w:r>
        <w:t xml:space="preserve">  Pursuant to Rule 214 of the Commission’s Rules of Practice and Procedure, 18 C.F.R. </w:t>
      </w:r>
      <w:r w:rsidR="008C4E83">
        <w:t xml:space="preserve">§ </w:t>
      </w:r>
      <w:r>
        <w:t>385.214 (2017), the timely, unopposed motion</w:t>
      </w:r>
      <w:r w:rsidR="00C82287">
        <w:t>s</w:t>
      </w:r>
      <w:r>
        <w:t xml:space="preserve"> to intervene serve to make </w:t>
      </w:r>
      <w:r w:rsidR="00C82287">
        <w:t>the entities that filed them parties</w:t>
      </w:r>
      <w:r w:rsidR="00AD7BF6">
        <w:t xml:space="preserve"> </w:t>
      </w:r>
      <w:r w:rsidR="00201200">
        <w:t>to these</w:t>
      </w:r>
      <w:r>
        <w:t xml:space="preserve"> proceeding</w:t>
      </w:r>
      <w:r w:rsidR="00201200">
        <w:t>s</w:t>
      </w:r>
      <w:r>
        <w:t xml:space="preserve">.  </w:t>
      </w:r>
    </w:p>
    <w:p w14:paraId="6FEA7405" w14:textId="3CF8DAA6" w:rsidR="00201200" w:rsidRDefault="00201200" w:rsidP="003830CE">
      <w:pPr>
        <w:pStyle w:val="FERCparanumber"/>
      </w:pPr>
      <w:r>
        <w:t xml:space="preserve">Six </w:t>
      </w:r>
      <w:r w:rsidR="00186367">
        <w:t>Cities state</w:t>
      </w:r>
      <w:r>
        <w:t xml:space="preserve"> that they identified issues with SDG&amp;E’s explanation of the ADIT error and that SDG&amp;E</w:t>
      </w:r>
      <w:r w:rsidR="00103847">
        <w:t xml:space="preserve"> </w:t>
      </w:r>
      <w:r>
        <w:t>need</w:t>
      </w:r>
      <w:r w:rsidR="00103847">
        <w:t>s</w:t>
      </w:r>
      <w:r>
        <w:t xml:space="preserve"> to provide more information in its upcoming TO Tariff filing in order for Six Cities to validate SDG&amp;E’s</w:t>
      </w:r>
      <w:r w:rsidR="00186367">
        <w:t xml:space="preserve"> explanation.  Six Cities state</w:t>
      </w:r>
      <w:r>
        <w:t xml:space="preserve"> that because the upcoming TO Tariff filing will involve a more comprehensive review of SDG&amp;E’s formula rate, it is a more appropriate forum for addressing whether SDG&amp;E has correct</w:t>
      </w:r>
      <w:r w:rsidR="00EB64BF">
        <w:t xml:space="preserve">ly adjusted for its error and whether additional modifications are needed. </w:t>
      </w:r>
      <w:r w:rsidR="00F050C5">
        <w:t xml:space="preserve"> Six Cities note that any corrections to SDG&amp;E’s operating costs resulting from SDG&amp;E’s correction in its upcoming filing must then be flowed through to transmission customers in a future Citizens Sunrise annual true-up filing.</w:t>
      </w:r>
      <w:r w:rsidR="00F050C5">
        <w:rPr>
          <w:rStyle w:val="FootnoteReference"/>
        </w:rPr>
        <w:footnoteReference w:id="16"/>
      </w:r>
      <w:r w:rsidR="00F050C5">
        <w:t xml:space="preserve">  </w:t>
      </w:r>
      <w:r w:rsidR="00EB64BF">
        <w:t xml:space="preserve"> </w:t>
      </w:r>
      <w:r>
        <w:t xml:space="preserve"> </w:t>
      </w:r>
    </w:p>
    <w:p w14:paraId="1071E333" w14:textId="2D78C475" w:rsidR="00852FA3" w:rsidRPr="009F3F1F" w:rsidRDefault="00F050C5" w:rsidP="009F3F1F">
      <w:pPr>
        <w:pStyle w:val="FERCparanumber"/>
      </w:pPr>
      <w:r>
        <w:t>We accept Citizens Sunrise’s filing, effective June 1, 2018</w:t>
      </w:r>
      <w:r w:rsidR="007F6A8F">
        <w:t>, as requested.</w:t>
      </w:r>
      <w:r>
        <w:rPr>
          <w:rStyle w:val="FootnoteReference"/>
        </w:rPr>
        <w:footnoteReference w:id="17"/>
      </w:r>
      <w:r>
        <w:t xml:space="preserve">  We find that Citizens Sunrise properly followed the annual true-up procedures required under Appendix III of its TO Tariff in updating its transmission revenue requirement to reflect the actual operating costs of the prior year.</w:t>
      </w:r>
      <w:r w:rsidDel="00307476">
        <w:t xml:space="preserve"> </w:t>
      </w:r>
      <w:r>
        <w:t xml:space="preserve"> </w:t>
      </w:r>
      <w:r w:rsidR="00F55CD8">
        <w:t xml:space="preserve">We also </w:t>
      </w:r>
      <w:r w:rsidR="006A11F6">
        <w:t xml:space="preserve">acknowledge receipt of </w:t>
      </w:r>
      <w:r w:rsidR="00F55CD8">
        <w:t>SDG&amp;E’s information</w:t>
      </w:r>
      <w:r w:rsidR="00391196">
        <w:t>al</w:t>
      </w:r>
      <w:r w:rsidR="00F55CD8">
        <w:t xml:space="preserve"> </w:t>
      </w:r>
      <w:r w:rsidR="00F55CD8">
        <w:lastRenderedPageBreak/>
        <w:t>filing, effective June 1, 2018</w:t>
      </w:r>
      <w:r w:rsidR="007F2EAC">
        <w:t>, as requested</w:t>
      </w:r>
      <w:r w:rsidR="00391196">
        <w:t xml:space="preserve">.  </w:t>
      </w:r>
      <w:r>
        <w:t xml:space="preserve">SDG&amp;E’s upcoming TO Tariff filing is the appropriate forum to address whether </w:t>
      </w:r>
      <w:r w:rsidR="00391196">
        <w:t xml:space="preserve">SDG&amp;E will need to make </w:t>
      </w:r>
      <w:r>
        <w:t>additional modifications to adjust for the ADIT error</w:t>
      </w:r>
      <w:r w:rsidR="00CD7AA3">
        <w:t>, as suggested by Six Cities</w:t>
      </w:r>
      <w:r>
        <w:t>.</w:t>
      </w:r>
      <w:r w:rsidR="00C30A81">
        <w:t xml:space="preserve">  We note that should that proceeding result in a change to the ADIT figures, pursuant to the terms of the SDG&amp;E TO Tariff Appendix X formula rate, any changes will be reflected in the subsequent true-up process related to the Border East Line Rate or as otherwise provided for by the Commission.</w:t>
      </w:r>
      <w:r w:rsidR="00FB6CA0">
        <w:rPr>
          <w:rStyle w:val="FootnoteReference"/>
        </w:rPr>
        <w:footnoteReference w:id="18"/>
      </w:r>
      <w:r>
        <w:t xml:space="preserve">  </w:t>
      </w:r>
    </w:p>
    <w:p w14:paraId="2A62259E" w14:textId="1C65D974" w:rsidR="00852FA3" w:rsidRDefault="00852FA3" w:rsidP="00CD3209">
      <w:pPr>
        <w:ind w:firstLine="720"/>
      </w:pPr>
      <w:r w:rsidRPr="009F3F1F">
        <w:t>By direction of the Commission</w:t>
      </w:r>
      <w:r w:rsidR="00CD3209">
        <w:t>.</w:t>
      </w:r>
    </w:p>
    <w:p w14:paraId="0A53FE1A" w14:textId="77777777" w:rsidR="00CD3209" w:rsidRPr="009F3F1F" w:rsidRDefault="00CD3209" w:rsidP="00CD3209">
      <w:pPr>
        <w:ind w:firstLine="720"/>
      </w:pPr>
    </w:p>
    <w:p w14:paraId="1249F877" w14:textId="5347DF72" w:rsidR="00964625" w:rsidRDefault="00964625" w:rsidP="00CD3209">
      <w:pPr>
        <w:widowControl/>
      </w:pPr>
    </w:p>
    <w:p w14:paraId="0753F481" w14:textId="0616C07A" w:rsidR="00CD3209" w:rsidRDefault="00CD3209" w:rsidP="00E62234">
      <w:pPr>
        <w:widowControl/>
      </w:pPr>
    </w:p>
    <w:p w14:paraId="31E2B44E" w14:textId="612BDFB6" w:rsidR="00E62234" w:rsidRDefault="00E62234" w:rsidP="00E62234">
      <w:pPr>
        <w:widowControl/>
      </w:pPr>
    </w:p>
    <w:p w14:paraId="6B323EFA" w14:textId="01A6F250" w:rsidR="00E62234" w:rsidRDefault="00E62234" w:rsidP="00E62234">
      <w:pPr>
        <w:widowControl/>
      </w:pPr>
    </w:p>
    <w:p w14:paraId="7CAA9357" w14:textId="36E37E39" w:rsidR="00E62234" w:rsidRDefault="00E62234" w:rsidP="00E62234">
      <w:pPr>
        <w:widowControl/>
      </w:pPr>
    </w:p>
    <w:p w14:paraId="506E1B43" w14:textId="0042D7C7" w:rsidR="00E62234" w:rsidRPr="00E62234" w:rsidRDefault="00E62234" w:rsidP="00E62234">
      <w:pPr>
        <w:widowControl/>
        <w:ind w:firstLine="2606"/>
        <w:jc w:val="center"/>
      </w:pPr>
      <w:r w:rsidRPr="00E62234">
        <w:t>Nathaniel J. Davis, Sr.,</w:t>
      </w:r>
    </w:p>
    <w:p w14:paraId="6C14EF19" w14:textId="1F5CB048" w:rsidR="00E62234" w:rsidRPr="00E62234" w:rsidRDefault="00E62234" w:rsidP="00E62234">
      <w:pPr>
        <w:widowControl/>
        <w:ind w:firstLine="2606"/>
        <w:jc w:val="center"/>
      </w:pPr>
      <w:r w:rsidRPr="00E62234">
        <w:t>Deputy Secretary.</w:t>
      </w:r>
    </w:p>
    <w:p w14:paraId="0CB7BFB9" w14:textId="77777777" w:rsidR="00E62234" w:rsidRDefault="00E62234" w:rsidP="00E62234">
      <w:pPr>
        <w:widowControl/>
      </w:pPr>
    </w:p>
    <w:p w14:paraId="005727A2" w14:textId="2A9824F4" w:rsidR="00CD3209" w:rsidRDefault="00CD3209" w:rsidP="00CD3209">
      <w:pPr>
        <w:widowControl/>
      </w:pPr>
    </w:p>
    <w:p w14:paraId="29CE79D6" w14:textId="7124DCC2" w:rsidR="00CD3209" w:rsidRDefault="00CD3209" w:rsidP="00CD3209">
      <w:pPr>
        <w:widowControl/>
      </w:pPr>
    </w:p>
    <w:sectPr w:rsidR="00CD3209" w:rsidSect="00852FA3">
      <w:headerReference w:type="even" r:id="rId12"/>
      <w:headerReference w:type="default" r:id="rId13"/>
      <w:headerReference w:type="firs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9F5AD" w14:textId="77777777" w:rsidR="005055D7" w:rsidRDefault="005055D7" w:rsidP="0048020B">
      <w:r>
        <w:separator/>
      </w:r>
    </w:p>
  </w:endnote>
  <w:endnote w:type="continuationSeparator" w:id="0">
    <w:p w14:paraId="341CDA0E" w14:textId="77777777" w:rsidR="005055D7" w:rsidRDefault="005055D7" w:rsidP="0048020B">
      <w:r>
        <w:continuationSeparator/>
      </w:r>
    </w:p>
  </w:endnote>
  <w:endnote w:type="continuationNotice" w:id="1">
    <w:p w14:paraId="00D67B4E" w14:textId="77777777" w:rsidR="005055D7" w:rsidRDefault="00505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587E4" w14:textId="77777777" w:rsidR="005055D7" w:rsidRDefault="005055D7" w:rsidP="0048020B">
      <w:r>
        <w:separator/>
      </w:r>
    </w:p>
  </w:footnote>
  <w:footnote w:type="continuationSeparator" w:id="0">
    <w:p w14:paraId="592CF779" w14:textId="77777777" w:rsidR="005055D7" w:rsidRDefault="005055D7" w:rsidP="0048020B">
      <w:r>
        <w:continuationSeparator/>
      </w:r>
    </w:p>
  </w:footnote>
  <w:footnote w:type="continuationNotice" w:id="1">
    <w:p w14:paraId="0DE766D4" w14:textId="77777777" w:rsidR="005055D7" w:rsidRPr="005D2A79" w:rsidRDefault="005055D7" w:rsidP="005D2A79">
      <w:pPr>
        <w:pStyle w:val="Footer"/>
      </w:pPr>
      <w:r w:rsidRPr="005D2A79">
        <w:rPr>
          <w:i/>
        </w:rPr>
        <w:t>(continued ...)</w:t>
      </w:r>
    </w:p>
  </w:footnote>
  <w:footnote w:id="2">
    <w:p w14:paraId="22C9A8AD" w14:textId="77777777" w:rsidR="005B186F" w:rsidRDefault="005B186F">
      <w:pPr>
        <w:pStyle w:val="FootnoteText"/>
      </w:pPr>
      <w:r>
        <w:rPr>
          <w:rStyle w:val="FootnoteReference"/>
        </w:rPr>
        <w:footnoteRef/>
      </w:r>
      <w:r>
        <w:t xml:space="preserve"> 16 U.S.C. § 824d (2012). </w:t>
      </w:r>
    </w:p>
  </w:footnote>
  <w:footnote w:id="3">
    <w:p w14:paraId="60962138" w14:textId="77777777" w:rsidR="005B186F" w:rsidRDefault="005B186F" w:rsidP="00510404">
      <w:pPr>
        <w:pStyle w:val="FootnoteText"/>
      </w:pPr>
      <w:r>
        <w:rPr>
          <w:rStyle w:val="FootnoteReference"/>
        </w:rPr>
        <w:footnoteRef/>
      </w:r>
      <w:r>
        <w:t xml:space="preserve"> The Border East Line is a 30-mile segment of the Sunrise Powerlink Transmission Project.  </w:t>
      </w:r>
    </w:p>
  </w:footnote>
  <w:footnote w:id="4">
    <w:p w14:paraId="2D58B8E2" w14:textId="77777777" w:rsidR="005B186F" w:rsidRDefault="005B186F" w:rsidP="0030368F">
      <w:pPr>
        <w:pStyle w:val="FootnoteText"/>
      </w:pPr>
      <w:r>
        <w:rPr>
          <w:rStyle w:val="FootnoteReference"/>
        </w:rPr>
        <w:footnoteRef/>
      </w:r>
      <w:r>
        <w:t xml:space="preserve"> The term “Cycle” refers to the number of annual filings made under the formula rate in Appendix X of the SDG&amp;E TO Tariff.  </w:t>
      </w:r>
      <w:r w:rsidRPr="00982096">
        <w:rPr>
          <w:i/>
        </w:rPr>
        <w:t>See</w:t>
      </w:r>
      <w:r>
        <w:t xml:space="preserve"> SDG&amp;E Transmittal at n.2.  </w:t>
      </w:r>
    </w:p>
  </w:footnote>
  <w:footnote w:id="5">
    <w:p w14:paraId="395351C5" w14:textId="5745E51F" w:rsidR="005B186F" w:rsidRDefault="005B186F">
      <w:pPr>
        <w:pStyle w:val="FootnoteText"/>
      </w:pPr>
      <w:r>
        <w:rPr>
          <w:rStyle w:val="FootnoteReference"/>
        </w:rPr>
        <w:footnoteRef/>
      </w:r>
      <w:r>
        <w:t xml:space="preserve"> </w:t>
      </w:r>
      <w:r>
        <w:rPr>
          <w:i/>
        </w:rPr>
        <w:t>Citizens Sunrise Transmission LLC</w:t>
      </w:r>
      <w:r>
        <w:t>, 138 FERC ¶ 61,129 (2012).</w:t>
      </w:r>
      <w:r w:rsidRPr="002834D6">
        <w:t xml:space="preserve"> </w:t>
      </w:r>
      <w:r>
        <w:t xml:space="preserve"> The Commission</w:t>
      </w:r>
      <w:r w:rsidRPr="00623D78">
        <w:t xml:space="preserve"> subsequently accepted a compliance filing which provided for an effective date of July 3, 2012</w:t>
      </w:r>
      <w:r>
        <w:t>.</w:t>
      </w:r>
      <w:r w:rsidRPr="000B5B22">
        <w:t xml:space="preserve"> </w:t>
      </w:r>
      <w:r w:rsidRPr="000B5B22">
        <w:rPr>
          <w:i/>
        </w:rPr>
        <w:t xml:space="preserve"> </w:t>
      </w:r>
      <w:r w:rsidRPr="00391196">
        <w:rPr>
          <w:i/>
        </w:rPr>
        <w:t>Citizens Sunrise Transmission LLC</w:t>
      </w:r>
      <w:r w:rsidRPr="008E69F3">
        <w:t>, Docket No. ER12-686-001 (Oct. 26, 2012) (delegated</w:t>
      </w:r>
      <w:r>
        <w:t xml:space="preserve"> order)</w:t>
      </w:r>
      <w:r w:rsidRPr="008E69F3">
        <w:t>.</w:t>
      </w:r>
    </w:p>
  </w:footnote>
  <w:footnote w:id="6">
    <w:p w14:paraId="75B39A08" w14:textId="779D2734" w:rsidR="005B186F" w:rsidRDefault="005B186F" w:rsidP="00FE6C47">
      <w:pPr>
        <w:pStyle w:val="FootnoteText"/>
      </w:pPr>
      <w:r>
        <w:rPr>
          <w:rStyle w:val="FootnoteReference"/>
        </w:rPr>
        <w:footnoteRef/>
      </w:r>
      <w:r>
        <w:t xml:space="preserve"> </w:t>
      </w:r>
      <w:r w:rsidRPr="0005166A">
        <w:rPr>
          <w:i/>
        </w:rPr>
        <w:t>See</w:t>
      </w:r>
      <w:r>
        <w:t xml:space="preserve"> Citizens Sunrise TO Tariff Appendix III P 8.  The operating cost true-up procedure is discussed in paragraphs four through eight of Appendix III.</w:t>
      </w:r>
    </w:p>
  </w:footnote>
  <w:footnote w:id="7">
    <w:p w14:paraId="06290C03" w14:textId="77777777" w:rsidR="005B186F" w:rsidRPr="00900689" w:rsidRDefault="005B186F" w:rsidP="00FE6C47">
      <w:pPr>
        <w:pStyle w:val="FootnoteText"/>
      </w:pPr>
      <w:r>
        <w:rPr>
          <w:rStyle w:val="FootnoteReference"/>
        </w:rPr>
        <w:footnoteRef/>
      </w:r>
      <w:r>
        <w:t xml:space="preserve"> Citizens Sunrise Transmittal at 2-3.</w:t>
      </w:r>
    </w:p>
  </w:footnote>
  <w:footnote w:id="8">
    <w:p w14:paraId="6FBE802A" w14:textId="77777777" w:rsidR="005B186F" w:rsidRPr="00827907" w:rsidRDefault="005B186F" w:rsidP="00FE6C47">
      <w:pPr>
        <w:pStyle w:val="FootnoteText"/>
      </w:pPr>
      <w:r>
        <w:rPr>
          <w:rStyle w:val="FootnoteReference"/>
        </w:rPr>
        <w:footnoteRef/>
      </w:r>
      <w:r>
        <w:rPr>
          <w:i/>
        </w:rPr>
        <w:t xml:space="preserve"> </w:t>
      </w:r>
      <w:r>
        <w:t xml:space="preserve">Citizens Sunrise Transmittal at 3. </w:t>
      </w:r>
    </w:p>
  </w:footnote>
  <w:footnote w:id="9">
    <w:p w14:paraId="7A47CA7C" w14:textId="5AAA2838" w:rsidR="005B186F" w:rsidRDefault="005B186F">
      <w:pPr>
        <w:pStyle w:val="FootnoteText"/>
      </w:pPr>
      <w:r>
        <w:rPr>
          <w:rStyle w:val="FootnoteReference"/>
        </w:rPr>
        <w:footnoteRef/>
      </w:r>
      <w:r>
        <w:t xml:space="preserve"> SDG&amp;E Transmittal at 2.  The Commission approved the original Appendix X formula in </w:t>
      </w:r>
      <w:r w:rsidRPr="0030368F">
        <w:rPr>
          <w:i/>
        </w:rPr>
        <w:t>San Diego Gas &amp; Electric Co.</w:t>
      </w:r>
      <w:r>
        <w:t xml:space="preserve">, 139 FERC ¶ 61,188 (2012) and </w:t>
      </w:r>
      <w:r w:rsidRPr="0030368F">
        <w:rPr>
          <w:i/>
        </w:rPr>
        <w:t>San Diego Gas &amp; Electric Co.</w:t>
      </w:r>
      <w:r w:rsidR="00EC1003">
        <w:t>, 141 FERC ¶ 61,054 (2012).  The updated Appendix X formula was approved in</w:t>
      </w:r>
      <w:r>
        <w:t xml:space="preserve"> </w:t>
      </w:r>
      <w:r w:rsidRPr="0030368F">
        <w:rPr>
          <w:i/>
        </w:rPr>
        <w:t>San Diego Gas &amp; Electric Co.</w:t>
      </w:r>
      <w:r>
        <w:rPr>
          <w:i/>
        </w:rPr>
        <w:t xml:space="preserve">, </w:t>
      </w:r>
      <w:r>
        <w:t>151 FERC ¶ 61,177</w:t>
      </w:r>
      <w:r w:rsidR="00EC1003">
        <w:t xml:space="preserve"> (2015) and</w:t>
      </w:r>
      <w:r>
        <w:t xml:space="preserve"> </w:t>
      </w:r>
      <w:r w:rsidRPr="00DB2EF7">
        <w:rPr>
          <w:i/>
        </w:rPr>
        <w:t>San Diego Gas &amp; Electric Co.</w:t>
      </w:r>
      <w:r>
        <w:t>, Docket No. ER15-1410-002 (July 8, 2015) (delegated or</w:t>
      </w:r>
      <w:r w:rsidR="00EC1003">
        <w:t>der</w:t>
      </w:r>
      <w:r>
        <w:t xml:space="preserve">).    </w:t>
      </w:r>
    </w:p>
  </w:footnote>
  <w:footnote w:id="10">
    <w:p w14:paraId="2F2FE15F" w14:textId="77777777" w:rsidR="005B186F" w:rsidRDefault="005B186F" w:rsidP="00FE6C47">
      <w:pPr>
        <w:pStyle w:val="FootnoteText"/>
      </w:pPr>
      <w:r>
        <w:rPr>
          <w:rStyle w:val="FootnoteReference"/>
        </w:rPr>
        <w:footnoteRef/>
      </w:r>
      <w:r>
        <w:t xml:space="preserve"> Citizens Sunrise Transmittal at 4.</w:t>
      </w:r>
    </w:p>
  </w:footnote>
  <w:footnote w:id="11">
    <w:p w14:paraId="5AE5C9C2" w14:textId="72634935" w:rsidR="005B186F" w:rsidRDefault="005B186F" w:rsidP="00F55CD8">
      <w:pPr>
        <w:pStyle w:val="FootnoteText"/>
      </w:pPr>
      <w:r>
        <w:rPr>
          <w:rStyle w:val="FootnoteReference"/>
        </w:rPr>
        <w:footnoteRef/>
      </w:r>
      <w:r>
        <w:t xml:space="preserve"> </w:t>
      </w:r>
      <w:r w:rsidRPr="000B5B22">
        <w:rPr>
          <w:i/>
        </w:rPr>
        <w:t>Id</w:t>
      </w:r>
      <w:r>
        <w:t>.</w:t>
      </w:r>
    </w:p>
  </w:footnote>
  <w:footnote w:id="12">
    <w:p w14:paraId="3C7A05EC" w14:textId="5DAA8954" w:rsidR="005B186F" w:rsidRDefault="005B186F" w:rsidP="00F55CD8">
      <w:pPr>
        <w:pStyle w:val="FootnoteText"/>
      </w:pPr>
      <w:r>
        <w:rPr>
          <w:rStyle w:val="FootnoteReference"/>
        </w:rPr>
        <w:footnoteRef/>
      </w:r>
      <w:r>
        <w:t xml:space="preserve"> </w:t>
      </w:r>
      <w:r w:rsidRPr="000B5B22">
        <w:rPr>
          <w:i/>
        </w:rPr>
        <w:t>Id</w:t>
      </w:r>
      <w:r>
        <w:t>.</w:t>
      </w:r>
    </w:p>
  </w:footnote>
  <w:footnote w:id="13">
    <w:p w14:paraId="4EDA4DEB" w14:textId="259A4FE7" w:rsidR="005B186F" w:rsidRDefault="005B186F">
      <w:pPr>
        <w:pStyle w:val="FootnoteText"/>
      </w:pPr>
      <w:r>
        <w:rPr>
          <w:rStyle w:val="FootnoteReference"/>
        </w:rPr>
        <w:footnoteRef/>
      </w:r>
      <w:r>
        <w:t xml:space="preserve"> SDG&amp;E is required to submit annual informational filings to the Commission showing the base transmission revenue requirements in effect for the succeeding calendar year.  </w:t>
      </w:r>
      <w:r w:rsidRPr="00637873">
        <w:rPr>
          <w:i/>
        </w:rPr>
        <w:t>See</w:t>
      </w:r>
      <w:r>
        <w:t xml:space="preserve">, </w:t>
      </w:r>
      <w:r w:rsidRPr="00753827">
        <w:rPr>
          <w:i/>
        </w:rPr>
        <w:t>e</w:t>
      </w:r>
      <w:r w:rsidRPr="004C71C3">
        <w:t>.</w:t>
      </w:r>
      <w:r w:rsidRPr="00753827">
        <w:rPr>
          <w:i/>
        </w:rPr>
        <w:t>g.</w:t>
      </w:r>
      <w:r>
        <w:t xml:space="preserve">, </w:t>
      </w:r>
      <w:r w:rsidRPr="0030368F">
        <w:rPr>
          <w:i/>
        </w:rPr>
        <w:t>San Diego Gas &amp; Elec</w:t>
      </w:r>
      <w:r>
        <w:rPr>
          <w:i/>
        </w:rPr>
        <w:t>.</w:t>
      </w:r>
      <w:r w:rsidRPr="0030368F">
        <w:rPr>
          <w:i/>
        </w:rPr>
        <w:t xml:space="preserve"> Co.</w:t>
      </w:r>
      <w:r>
        <w:t>, Docket No. ER18-358-000 (Jan. 26, 2018) (delegated order</w:t>
      </w:r>
      <w:r w:rsidR="00840216">
        <w:t xml:space="preserve"> acknowledging receipt of SDG&amp;E’s informational filing</w:t>
      </w:r>
      <w:r>
        <w:t>).</w:t>
      </w:r>
    </w:p>
  </w:footnote>
  <w:footnote w:id="14">
    <w:p w14:paraId="3041FE89" w14:textId="77777777" w:rsidR="005B186F" w:rsidRDefault="005B186F">
      <w:pPr>
        <w:pStyle w:val="FootnoteText"/>
      </w:pPr>
      <w:r>
        <w:rPr>
          <w:rStyle w:val="FootnoteReference"/>
        </w:rPr>
        <w:footnoteRef/>
      </w:r>
      <w:r>
        <w:t xml:space="preserve"> SDG&amp;E Cycle 7 Informational Filing Report at 6.</w:t>
      </w:r>
    </w:p>
  </w:footnote>
  <w:footnote w:id="15">
    <w:p w14:paraId="6ECE9267" w14:textId="77777777" w:rsidR="005B186F" w:rsidRPr="006359F9" w:rsidRDefault="005B186F" w:rsidP="00FE6C47">
      <w:pPr>
        <w:pStyle w:val="FootnoteText"/>
      </w:pPr>
      <w:r>
        <w:rPr>
          <w:rStyle w:val="FootnoteReference"/>
        </w:rPr>
        <w:footnoteRef/>
      </w:r>
      <w:r>
        <w:t xml:space="preserve"> Citizens Sunrise Transmittal at 4-5.</w:t>
      </w:r>
    </w:p>
  </w:footnote>
  <w:footnote w:id="16">
    <w:p w14:paraId="05D361F2" w14:textId="77777777" w:rsidR="005B186F" w:rsidRDefault="005B186F">
      <w:pPr>
        <w:pStyle w:val="FootnoteText"/>
      </w:pPr>
      <w:r>
        <w:rPr>
          <w:rStyle w:val="FootnoteReference"/>
        </w:rPr>
        <w:footnoteRef/>
      </w:r>
      <w:r>
        <w:t xml:space="preserve"> Six Cities Comments at 3-4.</w:t>
      </w:r>
    </w:p>
  </w:footnote>
  <w:footnote w:id="17">
    <w:p w14:paraId="19614361" w14:textId="3BE5662F" w:rsidR="005B186F" w:rsidRDefault="005B186F" w:rsidP="00F050C5">
      <w:pPr>
        <w:pStyle w:val="FootnoteText"/>
      </w:pPr>
      <w:r>
        <w:rPr>
          <w:rStyle w:val="FootnoteReference"/>
        </w:rPr>
        <w:footnoteRef/>
      </w:r>
      <w:r>
        <w:t xml:space="preserve"> 18 C.F.R. § 35.11 (2017); </w:t>
      </w:r>
      <w:r w:rsidRPr="00715DEC">
        <w:rPr>
          <w:i/>
        </w:rPr>
        <w:t xml:space="preserve">Central Hudson Gas </w:t>
      </w:r>
      <w:r>
        <w:rPr>
          <w:i/>
        </w:rPr>
        <w:t>&amp;</w:t>
      </w:r>
      <w:r w:rsidRPr="00715DEC">
        <w:rPr>
          <w:i/>
        </w:rPr>
        <w:t xml:space="preserve"> Elec</w:t>
      </w:r>
      <w:r>
        <w:rPr>
          <w:i/>
        </w:rPr>
        <w:t>.</w:t>
      </w:r>
      <w:r w:rsidRPr="00715DEC">
        <w:rPr>
          <w:i/>
        </w:rPr>
        <w:t xml:space="preserve"> Corp.</w:t>
      </w:r>
      <w:r w:rsidRPr="00EF3224">
        <w:t>, 60 FERC</w:t>
      </w:r>
      <w:r w:rsidR="00CD3209">
        <w:t xml:space="preserve"> </w:t>
      </w:r>
      <w:r w:rsidRPr="00EF3224">
        <w:t xml:space="preserve"> </w:t>
      </w:r>
      <w:r w:rsidR="00CD3209">
        <w:t xml:space="preserve">          </w:t>
      </w:r>
      <w:r>
        <w:t xml:space="preserve">¶ </w:t>
      </w:r>
      <w:r w:rsidRPr="00EF3224">
        <w:t>61,106</w:t>
      </w:r>
      <w:r>
        <w:t>, at 61,338</w:t>
      </w:r>
      <w:r w:rsidRPr="00EF3224">
        <w:t xml:space="preserve">, </w:t>
      </w:r>
      <w:r>
        <w:rPr>
          <w:i/>
        </w:rPr>
        <w:t>order on reh’</w:t>
      </w:r>
      <w:r w:rsidRPr="00715DEC">
        <w:rPr>
          <w:i/>
        </w:rPr>
        <w:t>g</w:t>
      </w:r>
      <w:r w:rsidRPr="00EF3224">
        <w:t>, 61 FERC</w:t>
      </w:r>
      <w:r>
        <w:t xml:space="preserve"> ¶</w:t>
      </w:r>
      <w:r w:rsidRPr="00EF3224">
        <w:t xml:space="preserve"> 61,089 (1992)</w:t>
      </w:r>
      <w:r>
        <w:t>.</w:t>
      </w:r>
    </w:p>
  </w:footnote>
  <w:footnote w:id="18">
    <w:p w14:paraId="71E08811" w14:textId="0E277750" w:rsidR="005B186F" w:rsidRDefault="005B186F">
      <w:pPr>
        <w:pStyle w:val="FootnoteText"/>
      </w:pPr>
      <w:r>
        <w:rPr>
          <w:rStyle w:val="FootnoteReference"/>
        </w:rPr>
        <w:footnoteRef/>
      </w:r>
      <w:r>
        <w:t xml:space="preserve"> SDG&amp;E Appendix X, Section 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5EE6" w14:textId="77777777" w:rsidR="005B186F" w:rsidRDefault="005B186F" w:rsidP="001863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DD24BA2" w14:textId="77777777" w:rsidR="005B186F" w:rsidRDefault="005B186F" w:rsidP="0018636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34C07" w14:textId="77777777" w:rsidR="005B186F" w:rsidRDefault="005B186F" w:rsidP="00852FA3">
    <w:pPr>
      <w:pStyle w:val="Header"/>
      <w:tabs>
        <w:tab w:val="clear" w:pos="4680"/>
      </w:tabs>
      <w:spacing w:after="240"/>
    </w:pPr>
    <w:r>
      <w:t>Docket Nos. ER18-1687-000 and ER18-1690-000</w:t>
    </w:r>
    <w:r>
      <w:tab/>
    </w:r>
    <w:r>
      <w:fldChar w:fldCharType="begin"/>
    </w:r>
    <w:r>
      <w:instrText xml:space="preserve"> PAGE  \* MERGEFORMAT </w:instrText>
    </w:r>
    <w:r>
      <w:fldChar w:fldCharType="separate"/>
    </w:r>
    <w:r w:rsidR="00E31DAF">
      <w:rPr>
        <w:noProof/>
      </w:rPr>
      <w:t>- 2 -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61BA9" w14:textId="77777777" w:rsidR="005B186F" w:rsidRDefault="005B186F" w:rsidP="00EC3F55">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5B6502FF"/>
    <w:multiLevelType w:val="multilevel"/>
    <w:tmpl w:val="42787AB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6"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3"/>
  </w:num>
  <w:num w:numId="14">
    <w:abstractNumId w:val="17"/>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A3"/>
    <w:rsid w:val="00003340"/>
    <w:rsid w:val="0000731D"/>
    <w:rsid w:val="00010FA6"/>
    <w:rsid w:val="000118C8"/>
    <w:rsid w:val="000143AA"/>
    <w:rsid w:val="0002042F"/>
    <w:rsid w:val="000428C4"/>
    <w:rsid w:val="0005166A"/>
    <w:rsid w:val="000550DC"/>
    <w:rsid w:val="00055F5F"/>
    <w:rsid w:val="00061E91"/>
    <w:rsid w:val="00064479"/>
    <w:rsid w:val="00070857"/>
    <w:rsid w:val="0008478C"/>
    <w:rsid w:val="00084A31"/>
    <w:rsid w:val="00086D98"/>
    <w:rsid w:val="0008778D"/>
    <w:rsid w:val="00092634"/>
    <w:rsid w:val="00097C05"/>
    <w:rsid w:val="000A3D2F"/>
    <w:rsid w:val="000A554B"/>
    <w:rsid w:val="000A6835"/>
    <w:rsid w:val="000B2C99"/>
    <w:rsid w:val="000B4124"/>
    <w:rsid w:val="000B5B22"/>
    <w:rsid w:val="000B7E62"/>
    <w:rsid w:val="000C0253"/>
    <w:rsid w:val="000C7FDA"/>
    <w:rsid w:val="000D0EE6"/>
    <w:rsid w:val="000D1D4B"/>
    <w:rsid w:val="000D1FB6"/>
    <w:rsid w:val="000D739B"/>
    <w:rsid w:val="000D7DD4"/>
    <w:rsid w:val="000D7E96"/>
    <w:rsid w:val="000E0857"/>
    <w:rsid w:val="000E2BFA"/>
    <w:rsid w:val="000F2DC1"/>
    <w:rsid w:val="000F372C"/>
    <w:rsid w:val="000F603B"/>
    <w:rsid w:val="000F6C7F"/>
    <w:rsid w:val="00100882"/>
    <w:rsid w:val="00100E1B"/>
    <w:rsid w:val="00101107"/>
    <w:rsid w:val="0010290F"/>
    <w:rsid w:val="00103847"/>
    <w:rsid w:val="00120603"/>
    <w:rsid w:val="001209EF"/>
    <w:rsid w:val="00120CE8"/>
    <w:rsid w:val="0012713F"/>
    <w:rsid w:val="00130CCE"/>
    <w:rsid w:val="00132D57"/>
    <w:rsid w:val="00137125"/>
    <w:rsid w:val="001421AA"/>
    <w:rsid w:val="00146A50"/>
    <w:rsid w:val="001520D4"/>
    <w:rsid w:val="00154C7A"/>
    <w:rsid w:val="0016302C"/>
    <w:rsid w:val="0017696A"/>
    <w:rsid w:val="00186367"/>
    <w:rsid w:val="00187115"/>
    <w:rsid w:val="00191617"/>
    <w:rsid w:val="0019292E"/>
    <w:rsid w:val="001A2AF1"/>
    <w:rsid w:val="001A33D6"/>
    <w:rsid w:val="001B042B"/>
    <w:rsid w:val="001B1FE9"/>
    <w:rsid w:val="001B2C6D"/>
    <w:rsid w:val="001B362D"/>
    <w:rsid w:val="001B4FB2"/>
    <w:rsid w:val="001C2FBB"/>
    <w:rsid w:val="001D264B"/>
    <w:rsid w:val="001D3B0D"/>
    <w:rsid w:val="001E24D2"/>
    <w:rsid w:val="001E4488"/>
    <w:rsid w:val="001E59F9"/>
    <w:rsid w:val="001F0DBB"/>
    <w:rsid w:val="001F51A0"/>
    <w:rsid w:val="001F5CC6"/>
    <w:rsid w:val="00201200"/>
    <w:rsid w:val="002072CF"/>
    <w:rsid w:val="002136E7"/>
    <w:rsid w:val="00224859"/>
    <w:rsid w:val="00225A12"/>
    <w:rsid w:val="002352B0"/>
    <w:rsid w:val="002354E4"/>
    <w:rsid w:val="00240493"/>
    <w:rsid w:val="00255417"/>
    <w:rsid w:val="00257989"/>
    <w:rsid w:val="00262FED"/>
    <w:rsid w:val="00267328"/>
    <w:rsid w:val="00277316"/>
    <w:rsid w:val="002817CE"/>
    <w:rsid w:val="002834D6"/>
    <w:rsid w:val="00290ABD"/>
    <w:rsid w:val="00290D3C"/>
    <w:rsid w:val="002A0B4A"/>
    <w:rsid w:val="002A5C43"/>
    <w:rsid w:val="002A729E"/>
    <w:rsid w:val="002A7FB5"/>
    <w:rsid w:val="002B35F2"/>
    <w:rsid w:val="002C57E5"/>
    <w:rsid w:val="002C7704"/>
    <w:rsid w:val="002D206A"/>
    <w:rsid w:val="002D358E"/>
    <w:rsid w:val="002D5B6F"/>
    <w:rsid w:val="002E10D7"/>
    <w:rsid w:val="002F52A9"/>
    <w:rsid w:val="00301D68"/>
    <w:rsid w:val="003031DA"/>
    <w:rsid w:val="0030368F"/>
    <w:rsid w:val="00313634"/>
    <w:rsid w:val="0032576C"/>
    <w:rsid w:val="00332A59"/>
    <w:rsid w:val="00335933"/>
    <w:rsid w:val="003437BD"/>
    <w:rsid w:val="00343D67"/>
    <w:rsid w:val="003478CF"/>
    <w:rsid w:val="00350E98"/>
    <w:rsid w:val="00350FC8"/>
    <w:rsid w:val="003520AD"/>
    <w:rsid w:val="00360AA1"/>
    <w:rsid w:val="00363591"/>
    <w:rsid w:val="00364E6F"/>
    <w:rsid w:val="00374532"/>
    <w:rsid w:val="00374868"/>
    <w:rsid w:val="00375DF4"/>
    <w:rsid w:val="003830CE"/>
    <w:rsid w:val="00385E2D"/>
    <w:rsid w:val="00391196"/>
    <w:rsid w:val="0039262E"/>
    <w:rsid w:val="003937F3"/>
    <w:rsid w:val="003A15D6"/>
    <w:rsid w:val="003A5145"/>
    <w:rsid w:val="003B2445"/>
    <w:rsid w:val="003B7F05"/>
    <w:rsid w:val="003C3A1E"/>
    <w:rsid w:val="003C505B"/>
    <w:rsid w:val="003C71CF"/>
    <w:rsid w:val="003C789D"/>
    <w:rsid w:val="003E1917"/>
    <w:rsid w:val="003E259A"/>
    <w:rsid w:val="003E5211"/>
    <w:rsid w:val="003F0098"/>
    <w:rsid w:val="003F31D2"/>
    <w:rsid w:val="003F3716"/>
    <w:rsid w:val="003F4845"/>
    <w:rsid w:val="003F4DBE"/>
    <w:rsid w:val="003F64F0"/>
    <w:rsid w:val="004067AD"/>
    <w:rsid w:val="00414806"/>
    <w:rsid w:val="00420D2A"/>
    <w:rsid w:val="004315FD"/>
    <w:rsid w:val="00436A3E"/>
    <w:rsid w:val="00440D78"/>
    <w:rsid w:val="00441A2A"/>
    <w:rsid w:val="004420F6"/>
    <w:rsid w:val="0044359A"/>
    <w:rsid w:val="00444F65"/>
    <w:rsid w:val="004476C6"/>
    <w:rsid w:val="0045130C"/>
    <w:rsid w:val="00453578"/>
    <w:rsid w:val="00454E0B"/>
    <w:rsid w:val="00455214"/>
    <w:rsid w:val="0046133D"/>
    <w:rsid w:val="00463908"/>
    <w:rsid w:val="00472C9B"/>
    <w:rsid w:val="004758A9"/>
    <w:rsid w:val="00477399"/>
    <w:rsid w:val="0048020B"/>
    <w:rsid w:val="004864DA"/>
    <w:rsid w:val="004872BC"/>
    <w:rsid w:val="004874A4"/>
    <w:rsid w:val="00494355"/>
    <w:rsid w:val="00494945"/>
    <w:rsid w:val="00495E07"/>
    <w:rsid w:val="004A03E5"/>
    <w:rsid w:val="004A503D"/>
    <w:rsid w:val="004B4A8D"/>
    <w:rsid w:val="004C190E"/>
    <w:rsid w:val="004C456B"/>
    <w:rsid w:val="004C4D5F"/>
    <w:rsid w:val="004C71C3"/>
    <w:rsid w:val="004D270A"/>
    <w:rsid w:val="004D35E8"/>
    <w:rsid w:val="004D41E7"/>
    <w:rsid w:val="004D614C"/>
    <w:rsid w:val="005055D7"/>
    <w:rsid w:val="00510404"/>
    <w:rsid w:val="00513E14"/>
    <w:rsid w:val="005154C1"/>
    <w:rsid w:val="00521122"/>
    <w:rsid w:val="0052351B"/>
    <w:rsid w:val="00536B03"/>
    <w:rsid w:val="00541146"/>
    <w:rsid w:val="00545CC2"/>
    <w:rsid w:val="00547B88"/>
    <w:rsid w:val="00552A11"/>
    <w:rsid w:val="005568C5"/>
    <w:rsid w:val="00563EF7"/>
    <w:rsid w:val="00565A03"/>
    <w:rsid w:val="00571D6D"/>
    <w:rsid w:val="00572F46"/>
    <w:rsid w:val="005737A0"/>
    <w:rsid w:val="00574A02"/>
    <w:rsid w:val="00576A54"/>
    <w:rsid w:val="00577DC6"/>
    <w:rsid w:val="005816F4"/>
    <w:rsid w:val="00585174"/>
    <w:rsid w:val="00586090"/>
    <w:rsid w:val="0059038C"/>
    <w:rsid w:val="00594E87"/>
    <w:rsid w:val="005950E5"/>
    <w:rsid w:val="005964AA"/>
    <w:rsid w:val="00597309"/>
    <w:rsid w:val="005A4CD3"/>
    <w:rsid w:val="005A6F7C"/>
    <w:rsid w:val="005B186F"/>
    <w:rsid w:val="005B18B2"/>
    <w:rsid w:val="005B40A6"/>
    <w:rsid w:val="005C006E"/>
    <w:rsid w:val="005C0180"/>
    <w:rsid w:val="005C018D"/>
    <w:rsid w:val="005C01B7"/>
    <w:rsid w:val="005C70AD"/>
    <w:rsid w:val="005C7613"/>
    <w:rsid w:val="005D2A79"/>
    <w:rsid w:val="005D3004"/>
    <w:rsid w:val="005D3D39"/>
    <w:rsid w:val="005D787E"/>
    <w:rsid w:val="005D7C39"/>
    <w:rsid w:val="005E13DF"/>
    <w:rsid w:val="005E4C65"/>
    <w:rsid w:val="005F2946"/>
    <w:rsid w:val="005F34C6"/>
    <w:rsid w:val="005F4253"/>
    <w:rsid w:val="005F4318"/>
    <w:rsid w:val="005F4F8E"/>
    <w:rsid w:val="005F54A4"/>
    <w:rsid w:val="006074E4"/>
    <w:rsid w:val="006112D1"/>
    <w:rsid w:val="0061423E"/>
    <w:rsid w:val="00620205"/>
    <w:rsid w:val="0062199E"/>
    <w:rsid w:val="00622D42"/>
    <w:rsid w:val="00622F63"/>
    <w:rsid w:val="00623402"/>
    <w:rsid w:val="00624B34"/>
    <w:rsid w:val="00625B93"/>
    <w:rsid w:val="00633563"/>
    <w:rsid w:val="00637873"/>
    <w:rsid w:val="00643273"/>
    <w:rsid w:val="00643C5A"/>
    <w:rsid w:val="00651D25"/>
    <w:rsid w:val="006531EE"/>
    <w:rsid w:val="00655A79"/>
    <w:rsid w:val="00666E5F"/>
    <w:rsid w:val="00667B22"/>
    <w:rsid w:val="006710C1"/>
    <w:rsid w:val="0067304E"/>
    <w:rsid w:val="006742C5"/>
    <w:rsid w:val="006745E5"/>
    <w:rsid w:val="00677A0E"/>
    <w:rsid w:val="0068097A"/>
    <w:rsid w:val="00681181"/>
    <w:rsid w:val="00693BFF"/>
    <w:rsid w:val="00694F3D"/>
    <w:rsid w:val="00696A92"/>
    <w:rsid w:val="006A11F6"/>
    <w:rsid w:val="006A18B6"/>
    <w:rsid w:val="006A1EDC"/>
    <w:rsid w:val="006A3CA3"/>
    <w:rsid w:val="006A5B0F"/>
    <w:rsid w:val="006A5ED6"/>
    <w:rsid w:val="006A5FF3"/>
    <w:rsid w:val="006B20EE"/>
    <w:rsid w:val="006B4826"/>
    <w:rsid w:val="006B5B8D"/>
    <w:rsid w:val="006C0889"/>
    <w:rsid w:val="006C1D8C"/>
    <w:rsid w:val="006C4F63"/>
    <w:rsid w:val="006C51D5"/>
    <w:rsid w:val="006D432E"/>
    <w:rsid w:val="006D5B0E"/>
    <w:rsid w:val="006E3EF4"/>
    <w:rsid w:val="006E4894"/>
    <w:rsid w:val="006E6044"/>
    <w:rsid w:val="006F0AFA"/>
    <w:rsid w:val="006F1B52"/>
    <w:rsid w:val="006F27A6"/>
    <w:rsid w:val="006F42DE"/>
    <w:rsid w:val="00705B33"/>
    <w:rsid w:val="0070615E"/>
    <w:rsid w:val="00706A3B"/>
    <w:rsid w:val="00710A58"/>
    <w:rsid w:val="007116AC"/>
    <w:rsid w:val="007124A2"/>
    <w:rsid w:val="007133ED"/>
    <w:rsid w:val="00714058"/>
    <w:rsid w:val="00714162"/>
    <w:rsid w:val="00715F38"/>
    <w:rsid w:val="00716912"/>
    <w:rsid w:val="007230D6"/>
    <w:rsid w:val="00723E4B"/>
    <w:rsid w:val="00724553"/>
    <w:rsid w:val="0072563F"/>
    <w:rsid w:val="007308B3"/>
    <w:rsid w:val="00732CFA"/>
    <w:rsid w:val="00732E2C"/>
    <w:rsid w:val="00734468"/>
    <w:rsid w:val="00735527"/>
    <w:rsid w:val="00735ECF"/>
    <w:rsid w:val="007368A2"/>
    <w:rsid w:val="00736DE9"/>
    <w:rsid w:val="00742439"/>
    <w:rsid w:val="00743A10"/>
    <w:rsid w:val="007465A9"/>
    <w:rsid w:val="00753827"/>
    <w:rsid w:val="00754A0D"/>
    <w:rsid w:val="007552C1"/>
    <w:rsid w:val="007562E2"/>
    <w:rsid w:val="0076328E"/>
    <w:rsid w:val="0076561E"/>
    <w:rsid w:val="007661B0"/>
    <w:rsid w:val="00773353"/>
    <w:rsid w:val="00773442"/>
    <w:rsid w:val="00780A45"/>
    <w:rsid w:val="007876E3"/>
    <w:rsid w:val="007928AD"/>
    <w:rsid w:val="00794724"/>
    <w:rsid w:val="007948A3"/>
    <w:rsid w:val="007A0174"/>
    <w:rsid w:val="007A0BB2"/>
    <w:rsid w:val="007A5131"/>
    <w:rsid w:val="007B4019"/>
    <w:rsid w:val="007B71E9"/>
    <w:rsid w:val="007C1702"/>
    <w:rsid w:val="007C41D1"/>
    <w:rsid w:val="007C48C7"/>
    <w:rsid w:val="007C69D6"/>
    <w:rsid w:val="007D1826"/>
    <w:rsid w:val="007D2CEB"/>
    <w:rsid w:val="007D3591"/>
    <w:rsid w:val="007D6683"/>
    <w:rsid w:val="007E528D"/>
    <w:rsid w:val="007E6167"/>
    <w:rsid w:val="007E74C5"/>
    <w:rsid w:val="007F0E34"/>
    <w:rsid w:val="007F2EAC"/>
    <w:rsid w:val="007F32C6"/>
    <w:rsid w:val="007F6368"/>
    <w:rsid w:val="007F6A8F"/>
    <w:rsid w:val="007F7B7F"/>
    <w:rsid w:val="008017CD"/>
    <w:rsid w:val="008043DE"/>
    <w:rsid w:val="0080606A"/>
    <w:rsid w:val="008065F0"/>
    <w:rsid w:val="00807C2F"/>
    <w:rsid w:val="00812E0A"/>
    <w:rsid w:val="0081352B"/>
    <w:rsid w:val="00814514"/>
    <w:rsid w:val="00820BA8"/>
    <w:rsid w:val="008237E2"/>
    <w:rsid w:val="008255E4"/>
    <w:rsid w:val="00827BAD"/>
    <w:rsid w:val="008309C9"/>
    <w:rsid w:val="00830BC7"/>
    <w:rsid w:val="008335E3"/>
    <w:rsid w:val="00834C54"/>
    <w:rsid w:val="00834DCB"/>
    <w:rsid w:val="00836673"/>
    <w:rsid w:val="00840216"/>
    <w:rsid w:val="00840C01"/>
    <w:rsid w:val="00840C42"/>
    <w:rsid w:val="0084167C"/>
    <w:rsid w:val="00844F10"/>
    <w:rsid w:val="00845186"/>
    <w:rsid w:val="008513D8"/>
    <w:rsid w:val="00852FA3"/>
    <w:rsid w:val="00855D43"/>
    <w:rsid w:val="008561D7"/>
    <w:rsid w:val="00860B22"/>
    <w:rsid w:val="008636FC"/>
    <w:rsid w:val="00863DB6"/>
    <w:rsid w:val="0087052F"/>
    <w:rsid w:val="00873BC6"/>
    <w:rsid w:val="00874FB1"/>
    <w:rsid w:val="008771F4"/>
    <w:rsid w:val="00881E3C"/>
    <w:rsid w:val="0088740E"/>
    <w:rsid w:val="00892598"/>
    <w:rsid w:val="00892A4E"/>
    <w:rsid w:val="00896A4C"/>
    <w:rsid w:val="0089797F"/>
    <w:rsid w:val="008A23C9"/>
    <w:rsid w:val="008A26AC"/>
    <w:rsid w:val="008A39F8"/>
    <w:rsid w:val="008B0B3A"/>
    <w:rsid w:val="008B230E"/>
    <w:rsid w:val="008B32A9"/>
    <w:rsid w:val="008C0083"/>
    <w:rsid w:val="008C2EDB"/>
    <w:rsid w:val="008C4E83"/>
    <w:rsid w:val="008C6C9A"/>
    <w:rsid w:val="008C701E"/>
    <w:rsid w:val="008D1B64"/>
    <w:rsid w:val="008D22C8"/>
    <w:rsid w:val="008D4162"/>
    <w:rsid w:val="008D4E54"/>
    <w:rsid w:val="008E51AF"/>
    <w:rsid w:val="008E548A"/>
    <w:rsid w:val="008E73C8"/>
    <w:rsid w:val="008E74A2"/>
    <w:rsid w:val="008F4B82"/>
    <w:rsid w:val="00904536"/>
    <w:rsid w:val="0090478A"/>
    <w:rsid w:val="00905571"/>
    <w:rsid w:val="009102A7"/>
    <w:rsid w:val="00911D86"/>
    <w:rsid w:val="009144B5"/>
    <w:rsid w:val="00915863"/>
    <w:rsid w:val="00916ED7"/>
    <w:rsid w:val="009260FF"/>
    <w:rsid w:val="00926E69"/>
    <w:rsid w:val="00930EF7"/>
    <w:rsid w:val="009317B8"/>
    <w:rsid w:val="009360D6"/>
    <w:rsid w:val="00941336"/>
    <w:rsid w:val="009466EE"/>
    <w:rsid w:val="00953043"/>
    <w:rsid w:val="009575E1"/>
    <w:rsid w:val="00960BC7"/>
    <w:rsid w:val="0096113D"/>
    <w:rsid w:val="00962129"/>
    <w:rsid w:val="009632C9"/>
    <w:rsid w:val="00964625"/>
    <w:rsid w:val="009667EE"/>
    <w:rsid w:val="00970740"/>
    <w:rsid w:val="0097316B"/>
    <w:rsid w:val="0097354A"/>
    <w:rsid w:val="00974FAA"/>
    <w:rsid w:val="00977184"/>
    <w:rsid w:val="0097718F"/>
    <w:rsid w:val="009802C9"/>
    <w:rsid w:val="00985ABF"/>
    <w:rsid w:val="009967F2"/>
    <w:rsid w:val="00997790"/>
    <w:rsid w:val="009A2AE0"/>
    <w:rsid w:val="009A66D0"/>
    <w:rsid w:val="009B01FC"/>
    <w:rsid w:val="009B1BFE"/>
    <w:rsid w:val="009B7367"/>
    <w:rsid w:val="009E214D"/>
    <w:rsid w:val="009E4841"/>
    <w:rsid w:val="009E7983"/>
    <w:rsid w:val="009F2E31"/>
    <w:rsid w:val="009F3F1F"/>
    <w:rsid w:val="009F4FB3"/>
    <w:rsid w:val="009F71D1"/>
    <w:rsid w:val="00A00DD6"/>
    <w:rsid w:val="00A01B1C"/>
    <w:rsid w:val="00A01EFD"/>
    <w:rsid w:val="00A026DF"/>
    <w:rsid w:val="00A03A5F"/>
    <w:rsid w:val="00A04100"/>
    <w:rsid w:val="00A066DE"/>
    <w:rsid w:val="00A10B65"/>
    <w:rsid w:val="00A13067"/>
    <w:rsid w:val="00A14822"/>
    <w:rsid w:val="00A1593F"/>
    <w:rsid w:val="00A15B57"/>
    <w:rsid w:val="00A2536F"/>
    <w:rsid w:val="00A263F4"/>
    <w:rsid w:val="00A26AF6"/>
    <w:rsid w:val="00A30DB3"/>
    <w:rsid w:val="00A406DC"/>
    <w:rsid w:val="00A4381E"/>
    <w:rsid w:val="00A4630E"/>
    <w:rsid w:val="00A47DE3"/>
    <w:rsid w:val="00A5408E"/>
    <w:rsid w:val="00A55DE0"/>
    <w:rsid w:val="00A57D42"/>
    <w:rsid w:val="00A60BBB"/>
    <w:rsid w:val="00A60C83"/>
    <w:rsid w:val="00A65F1E"/>
    <w:rsid w:val="00A739AD"/>
    <w:rsid w:val="00A75748"/>
    <w:rsid w:val="00A75D9B"/>
    <w:rsid w:val="00A83111"/>
    <w:rsid w:val="00A85982"/>
    <w:rsid w:val="00A934C1"/>
    <w:rsid w:val="00A972FF"/>
    <w:rsid w:val="00AA22FC"/>
    <w:rsid w:val="00AB0683"/>
    <w:rsid w:val="00AB197C"/>
    <w:rsid w:val="00AB2DA9"/>
    <w:rsid w:val="00AB5052"/>
    <w:rsid w:val="00AB5560"/>
    <w:rsid w:val="00AC58FC"/>
    <w:rsid w:val="00AD47D5"/>
    <w:rsid w:val="00AD5E69"/>
    <w:rsid w:val="00AD7AA1"/>
    <w:rsid w:val="00AD7BF6"/>
    <w:rsid w:val="00AE7B86"/>
    <w:rsid w:val="00AF2305"/>
    <w:rsid w:val="00AF275A"/>
    <w:rsid w:val="00AF2A93"/>
    <w:rsid w:val="00AF46AA"/>
    <w:rsid w:val="00AF5D98"/>
    <w:rsid w:val="00B03A57"/>
    <w:rsid w:val="00B044C6"/>
    <w:rsid w:val="00B11B84"/>
    <w:rsid w:val="00B11FF2"/>
    <w:rsid w:val="00B21D12"/>
    <w:rsid w:val="00B2222C"/>
    <w:rsid w:val="00B23FF7"/>
    <w:rsid w:val="00B26221"/>
    <w:rsid w:val="00B27A34"/>
    <w:rsid w:val="00B34F63"/>
    <w:rsid w:val="00B362B2"/>
    <w:rsid w:val="00B40EDB"/>
    <w:rsid w:val="00B43126"/>
    <w:rsid w:val="00B447CB"/>
    <w:rsid w:val="00B5275C"/>
    <w:rsid w:val="00B53B49"/>
    <w:rsid w:val="00B548FA"/>
    <w:rsid w:val="00B56FF3"/>
    <w:rsid w:val="00B57AFD"/>
    <w:rsid w:val="00B57EA9"/>
    <w:rsid w:val="00B62DE0"/>
    <w:rsid w:val="00B62F3C"/>
    <w:rsid w:val="00B641F8"/>
    <w:rsid w:val="00B7228A"/>
    <w:rsid w:val="00B7662E"/>
    <w:rsid w:val="00B82086"/>
    <w:rsid w:val="00B82172"/>
    <w:rsid w:val="00BA1E11"/>
    <w:rsid w:val="00BC21EE"/>
    <w:rsid w:val="00BC7E72"/>
    <w:rsid w:val="00BD1246"/>
    <w:rsid w:val="00BD1415"/>
    <w:rsid w:val="00BD4653"/>
    <w:rsid w:val="00BD6475"/>
    <w:rsid w:val="00BE2499"/>
    <w:rsid w:val="00BE6721"/>
    <w:rsid w:val="00BF0271"/>
    <w:rsid w:val="00BF06DD"/>
    <w:rsid w:val="00BF12C4"/>
    <w:rsid w:val="00BF5E81"/>
    <w:rsid w:val="00BF65CA"/>
    <w:rsid w:val="00C01123"/>
    <w:rsid w:val="00C06BA0"/>
    <w:rsid w:val="00C127B1"/>
    <w:rsid w:val="00C15E87"/>
    <w:rsid w:val="00C175D0"/>
    <w:rsid w:val="00C2096B"/>
    <w:rsid w:val="00C21A8D"/>
    <w:rsid w:val="00C21E2C"/>
    <w:rsid w:val="00C228A4"/>
    <w:rsid w:val="00C22D8B"/>
    <w:rsid w:val="00C24DB0"/>
    <w:rsid w:val="00C26B1C"/>
    <w:rsid w:val="00C30A81"/>
    <w:rsid w:val="00C3426D"/>
    <w:rsid w:val="00C44ADA"/>
    <w:rsid w:val="00C46060"/>
    <w:rsid w:val="00C50330"/>
    <w:rsid w:val="00C50711"/>
    <w:rsid w:val="00C523C6"/>
    <w:rsid w:val="00C53065"/>
    <w:rsid w:val="00C60863"/>
    <w:rsid w:val="00C6099A"/>
    <w:rsid w:val="00C6285D"/>
    <w:rsid w:val="00C639E3"/>
    <w:rsid w:val="00C70563"/>
    <w:rsid w:val="00C71292"/>
    <w:rsid w:val="00C71484"/>
    <w:rsid w:val="00C716CA"/>
    <w:rsid w:val="00C735A7"/>
    <w:rsid w:val="00C82287"/>
    <w:rsid w:val="00C8566F"/>
    <w:rsid w:val="00C87C43"/>
    <w:rsid w:val="00C9168C"/>
    <w:rsid w:val="00CA410E"/>
    <w:rsid w:val="00CA447E"/>
    <w:rsid w:val="00CB0CDF"/>
    <w:rsid w:val="00CB0FE7"/>
    <w:rsid w:val="00CC0415"/>
    <w:rsid w:val="00CC66D6"/>
    <w:rsid w:val="00CC6F87"/>
    <w:rsid w:val="00CD3209"/>
    <w:rsid w:val="00CD7AA3"/>
    <w:rsid w:val="00CE10BD"/>
    <w:rsid w:val="00CE7F13"/>
    <w:rsid w:val="00CF3DE0"/>
    <w:rsid w:val="00CF3FB2"/>
    <w:rsid w:val="00D004BE"/>
    <w:rsid w:val="00D00DBC"/>
    <w:rsid w:val="00D03586"/>
    <w:rsid w:val="00D05726"/>
    <w:rsid w:val="00D075C6"/>
    <w:rsid w:val="00D14FB9"/>
    <w:rsid w:val="00D213E9"/>
    <w:rsid w:val="00D262EA"/>
    <w:rsid w:val="00D30E72"/>
    <w:rsid w:val="00D3252E"/>
    <w:rsid w:val="00D37F45"/>
    <w:rsid w:val="00D46107"/>
    <w:rsid w:val="00D50854"/>
    <w:rsid w:val="00D52773"/>
    <w:rsid w:val="00D54158"/>
    <w:rsid w:val="00D56BFD"/>
    <w:rsid w:val="00D60DAA"/>
    <w:rsid w:val="00D63D53"/>
    <w:rsid w:val="00D72181"/>
    <w:rsid w:val="00D7396F"/>
    <w:rsid w:val="00D7649B"/>
    <w:rsid w:val="00D81AF1"/>
    <w:rsid w:val="00D843D7"/>
    <w:rsid w:val="00D90345"/>
    <w:rsid w:val="00D92A4E"/>
    <w:rsid w:val="00D93630"/>
    <w:rsid w:val="00D971C4"/>
    <w:rsid w:val="00D97D5E"/>
    <w:rsid w:val="00DA4017"/>
    <w:rsid w:val="00DA72DC"/>
    <w:rsid w:val="00DB2EF7"/>
    <w:rsid w:val="00DB54E4"/>
    <w:rsid w:val="00DB5C76"/>
    <w:rsid w:val="00DC0500"/>
    <w:rsid w:val="00DD1854"/>
    <w:rsid w:val="00DE3C4E"/>
    <w:rsid w:val="00DE7144"/>
    <w:rsid w:val="00DF3569"/>
    <w:rsid w:val="00E216A6"/>
    <w:rsid w:val="00E2749E"/>
    <w:rsid w:val="00E31DAF"/>
    <w:rsid w:val="00E332F7"/>
    <w:rsid w:val="00E35B18"/>
    <w:rsid w:val="00E47430"/>
    <w:rsid w:val="00E4775F"/>
    <w:rsid w:val="00E523F8"/>
    <w:rsid w:val="00E62234"/>
    <w:rsid w:val="00E814AC"/>
    <w:rsid w:val="00E81C52"/>
    <w:rsid w:val="00E830DC"/>
    <w:rsid w:val="00E85A7A"/>
    <w:rsid w:val="00E87F29"/>
    <w:rsid w:val="00E917E1"/>
    <w:rsid w:val="00E9253B"/>
    <w:rsid w:val="00E92C22"/>
    <w:rsid w:val="00E92F00"/>
    <w:rsid w:val="00E9758C"/>
    <w:rsid w:val="00E97592"/>
    <w:rsid w:val="00EA35D6"/>
    <w:rsid w:val="00EA3FD1"/>
    <w:rsid w:val="00EB14A0"/>
    <w:rsid w:val="00EB64BF"/>
    <w:rsid w:val="00EC1003"/>
    <w:rsid w:val="00EC3F55"/>
    <w:rsid w:val="00ED0125"/>
    <w:rsid w:val="00EE2B63"/>
    <w:rsid w:val="00EE79C9"/>
    <w:rsid w:val="00F0000F"/>
    <w:rsid w:val="00F00AF7"/>
    <w:rsid w:val="00F01066"/>
    <w:rsid w:val="00F029FC"/>
    <w:rsid w:val="00F033E6"/>
    <w:rsid w:val="00F050C5"/>
    <w:rsid w:val="00F07694"/>
    <w:rsid w:val="00F07BDD"/>
    <w:rsid w:val="00F10648"/>
    <w:rsid w:val="00F12D19"/>
    <w:rsid w:val="00F1412A"/>
    <w:rsid w:val="00F1588F"/>
    <w:rsid w:val="00F171EE"/>
    <w:rsid w:val="00F24854"/>
    <w:rsid w:val="00F3385A"/>
    <w:rsid w:val="00F36E4A"/>
    <w:rsid w:val="00F42328"/>
    <w:rsid w:val="00F42671"/>
    <w:rsid w:val="00F535BE"/>
    <w:rsid w:val="00F54657"/>
    <w:rsid w:val="00F55CD8"/>
    <w:rsid w:val="00F56DC0"/>
    <w:rsid w:val="00F60452"/>
    <w:rsid w:val="00F612C8"/>
    <w:rsid w:val="00F66FE7"/>
    <w:rsid w:val="00F71008"/>
    <w:rsid w:val="00F72D1D"/>
    <w:rsid w:val="00F75823"/>
    <w:rsid w:val="00F81978"/>
    <w:rsid w:val="00F84A29"/>
    <w:rsid w:val="00F913C1"/>
    <w:rsid w:val="00FA72A2"/>
    <w:rsid w:val="00FB48D4"/>
    <w:rsid w:val="00FB65C9"/>
    <w:rsid w:val="00FB6CA0"/>
    <w:rsid w:val="00FB6DF7"/>
    <w:rsid w:val="00FB7A9A"/>
    <w:rsid w:val="00FC0871"/>
    <w:rsid w:val="00FC0EAE"/>
    <w:rsid w:val="00FC13CF"/>
    <w:rsid w:val="00FC2012"/>
    <w:rsid w:val="00FD4046"/>
    <w:rsid w:val="00FD5A34"/>
    <w:rsid w:val="00FE57C2"/>
    <w:rsid w:val="00FE6C47"/>
    <w:rsid w:val="00FF41BA"/>
    <w:rsid w:val="00FF4E89"/>
    <w:rsid w:val="00FF60E9"/>
    <w:rsid w:val="00F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983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29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8A23C9"/>
    <w:pPr>
      <w:keepNext/>
      <w:keepLines/>
      <w:numPr>
        <w:numId w:val="15"/>
      </w:numPr>
      <w:outlineLvl w:val="0"/>
    </w:pPr>
    <w:rPr>
      <w:rFonts w:eastAsiaTheme="majorEastAsia"/>
      <w:b/>
      <w:kern w:val="32"/>
      <w:szCs w:val="32"/>
      <w:u w:val="single"/>
    </w:rPr>
  </w:style>
  <w:style w:type="paragraph" w:styleId="Heading2">
    <w:name w:val="heading 2"/>
    <w:basedOn w:val="Normal"/>
    <w:next w:val="FERCparanumber"/>
    <w:link w:val="Heading2Char"/>
    <w:uiPriority w:val="9"/>
    <w:semiHidden/>
    <w:unhideWhenUsed/>
    <w:qFormat/>
    <w:rsid w:val="008A23C9"/>
    <w:pPr>
      <w:keepNext/>
      <w:keepLines/>
      <w:numPr>
        <w:ilvl w:val="1"/>
        <w:numId w:val="15"/>
      </w:numPr>
      <w:outlineLvl w:val="1"/>
    </w:pPr>
    <w:rPr>
      <w:rFonts w:eastAsiaTheme="majorEastAsia"/>
      <w:b/>
      <w:kern w:val="32"/>
      <w:szCs w:val="26"/>
      <w:u w:val="single"/>
    </w:rPr>
  </w:style>
  <w:style w:type="paragraph" w:styleId="Heading3">
    <w:name w:val="heading 3"/>
    <w:basedOn w:val="Normal"/>
    <w:next w:val="FERCparanumber"/>
    <w:uiPriority w:val="9"/>
    <w:semiHidden/>
    <w:unhideWhenUsed/>
    <w:qFormat/>
    <w:rsid w:val="008A23C9"/>
    <w:pPr>
      <w:keepNext/>
      <w:keepLines/>
      <w:numPr>
        <w:ilvl w:val="2"/>
        <w:numId w:val="15"/>
      </w:numPr>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8A23C9"/>
    <w:pPr>
      <w:keepNext/>
      <w:keepLines/>
      <w:numPr>
        <w:ilvl w:val="3"/>
        <w:numId w:val="15"/>
      </w:numPr>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8A23C9"/>
    <w:pPr>
      <w:keepNext/>
      <w:keepLines/>
      <w:numPr>
        <w:ilvl w:val="4"/>
        <w:numId w:val="15"/>
      </w:numPr>
      <w:outlineLvl w:val="4"/>
    </w:pPr>
    <w:rPr>
      <w:rFonts w:eastAsiaTheme="majorEastAsia"/>
      <w:b/>
      <w:kern w:val="32"/>
      <w:u w:val="single"/>
    </w:rPr>
  </w:style>
  <w:style w:type="paragraph" w:styleId="Heading6">
    <w:name w:val="heading 6"/>
    <w:basedOn w:val="Normal"/>
    <w:next w:val="FERCparanumber"/>
    <w:uiPriority w:val="9"/>
    <w:semiHidden/>
    <w:unhideWhenUsed/>
    <w:qFormat/>
    <w:rsid w:val="008A23C9"/>
    <w:pPr>
      <w:keepNext/>
      <w:keepLines/>
      <w:numPr>
        <w:ilvl w:val="5"/>
        <w:numId w:val="15"/>
      </w:numPr>
      <w:outlineLvl w:val="5"/>
    </w:pPr>
    <w:rPr>
      <w:rFonts w:eastAsiaTheme="majorEastAsia"/>
      <w:b/>
      <w:kern w:val="32"/>
      <w:u w:val="single"/>
    </w:rPr>
  </w:style>
  <w:style w:type="paragraph" w:styleId="Heading7">
    <w:name w:val="heading 7"/>
    <w:basedOn w:val="Normal"/>
    <w:next w:val="FERCparanumber"/>
    <w:uiPriority w:val="9"/>
    <w:semiHidden/>
    <w:unhideWhenUsed/>
    <w:qFormat/>
    <w:rsid w:val="008A23C9"/>
    <w:pPr>
      <w:keepNext/>
      <w:keepLines/>
      <w:numPr>
        <w:ilvl w:val="6"/>
        <w:numId w:val="15"/>
      </w:numPr>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8A23C9"/>
    <w:pPr>
      <w:keepNext/>
      <w:keepLines/>
      <w:numPr>
        <w:ilvl w:val="7"/>
        <w:numId w:val="15"/>
      </w:numPr>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8A23C9"/>
    <w:pPr>
      <w:keepNext/>
      <w:keepLines/>
      <w:numPr>
        <w:ilvl w:val="8"/>
        <w:numId w:val="15"/>
      </w:numPr>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CE7F13"/>
    <w:pPr>
      <w:spacing w:after="200"/>
    </w:pPr>
    <w:rPr>
      <w:iCs/>
      <w:color w:val="44546A" w:themeColor="text2"/>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64625"/>
    <w:pPr>
      <w:widowControl/>
      <w:numPr>
        <w:numId w:val="11"/>
      </w:numPr>
      <w:spacing w:after="260"/>
    </w:pPr>
  </w:style>
  <w:style w:type="character" w:customStyle="1" w:styleId="FERCparanumberChar">
    <w:name w:val="FERC paranumber Char"/>
    <w:basedOn w:val="DefaultParagraphFont"/>
    <w:link w:val="FERCparanumber"/>
    <w:rsid w:val="00964625"/>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C716C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semiHidden/>
    <w:rsid w:val="00FF41BA"/>
    <w:rPr>
      <w:rFonts w:ascii="Times New Roman" w:eastAsiaTheme="majorEastAsia"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rsid w:val="00852FA3"/>
    <w:pPr>
      <w:spacing w:after="260"/>
      <w:ind w:firstLine="720"/>
    </w:pPr>
    <w:rPr>
      <w:szCs w:val="20"/>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852FA3"/>
    <w:rPr>
      <w:rFonts w:ascii="Times New Roman" w:hAnsi="Times New Roman" w:cs="Times New Roman"/>
      <w:sz w:val="26"/>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852FA3"/>
    <w:rPr>
      <w:rFonts w:ascii="Times New Roman" w:hAnsi="Times New Roman" w:cs="Times New Roman"/>
      <w:b/>
      <w:sz w:val="26"/>
      <w:vertAlign w:val="superscript"/>
    </w:rPr>
  </w:style>
  <w:style w:type="character" w:styleId="CommentReference">
    <w:name w:val="annotation reference"/>
    <w:basedOn w:val="DefaultParagraphFont"/>
    <w:uiPriority w:val="99"/>
    <w:semiHidden/>
    <w:unhideWhenUsed/>
    <w:rsid w:val="00391196"/>
    <w:rPr>
      <w:sz w:val="16"/>
      <w:szCs w:val="16"/>
    </w:rPr>
  </w:style>
  <w:style w:type="paragraph" w:styleId="Revision">
    <w:name w:val="Revision"/>
    <w:hidden/>
    <w:uiPriority w:val="99"/>
    <w:semiHidden/>
    <w:rsid w:val="008E73C8"/>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load">
  <ribbon>
    <tabs>
      <tab id="TabFerc" label="2013 Templates">
        <group id="customGroup1" label="Document Format Fixes">
          <button id="btnFormat" label="Format" imageMso="HappyFace" onAction="Order_Ribbon.Order_Execute"/>
          <button id="btnPNumber" label="Numbered Paragraph" imageMso="NumberingGalleryWord" screentip="Inserts a Paragraph Number at Current Location" onAction="Order_Ribbon.Order_Execute"/>
          <button id="btnPRange" label="Paragraph Numbers for Text Range" imageMso="SelectContents" screentip="Converts a Block of Text to FERC Paragraph Numbers" onAction="Order_Ribbon.Order_Execute"/>
        </group>
        <group id="customGroup2" label="Headings">
          <button id="btnHeading" label="Heading Levels" imageMso="ListSetNumberingValue" onAction="Order_Ribbon.Order_Execute"/>
          <button id="btnHeading_Format" label="Heading Formats" imageMso="A" onAction="Order_Ribbon.Order_Execute"/>
          <button id="btnTOC" label="Table of Contents" imageMso="TableOfContentsDialog" size="large" onAction="Order_Ribbon.Order_Execute"/>
        </group>
        <group id="customGroup3" label="Text Format">
          <button id="btnPaste" label="Paste Text" imageMso="Paste" onAction="Order_Ribbon.Order_Execute"/>
          <button id="btnBlock" label="Block Indent" imageMso="ParagraphIndentRight" onAction="Order_Ribbon.Order_Execute"/>
          <button id="btnDate" label="Date Picker" imageMso="ContentControlDate" onAction="Order_Ribbon.Order_Execute"/>
        </group>
        <group id="customGroup4" label="Symbols">
          <button id="btnParagraph" label="Paragraph" imageMso="ParagraphMarks" onAction="Order_Ribbon.Order_Execute"/>
          <button id="btnSection" label="Section" imageMso="Shadow" onAction="Order_Ribbon.Order_Execute"/>
          <button id="btnDegree" label="Degree" imageMso="BrowseSelector" onAction="Order_Ribbon.Order_Execute"/>
        </group>
        <group id="customGroup5" label="Apps" imageMso="ColorAqua">
          <box id="box" boxStyle="vertical">
            <!--
	<splitButton id="splitButton" size="large" >
	<button id="button" imageMso="EditIcon" label="Apps" />
	<menu id="menu">
-->
            <button id="btnFindPNum" label="Find Paragraph" imageMso="FindDialog" onAction="Order_Ribbon.Order_Execute"/>
            <button id="btnupdate_fields" label="Updates Cross References" imageMso="FieldCodes" onAction="Order_Ribbon.Order_Execute"/>
            <button id="btnhighlight" label="Removes Highlights" imageMso="TextHighlightColorPicker" screentip="Removes all highlighting from document, leaving text" onAction="Order_Ribbon.Order_Execute"/>
            <button id="btnRemNames" label="Removes Names from Track Changes Markings" imageMso="Tracking" screentip="Removes individual names from track changes when the document is saved" onAction="Order_Ribbon.Order_Execute"/>
            <button id="btnremove_comments" label="Removes Comments" imageMso="DeleteThisFolder" screentip="Removes all commenting in the document" onAction="Order_Ribbon.Order_Execute"/>
            <button id="btnremove_fonts" label="Removes Redline and Strikeout Fonts" imageMso="FontColorCycle" screentip="Removes all text using strikeout font and changes redline to black font" onAction="Order_Ribbon.Order_Execute"/>
            <button id="btnBlack" label="Fixes Blacked Out Numbers" imageMso="BlackAndWhiteBlack" screentip="Resets paragraph or style numbering if the numbering list is corrupted and the number is blacked out" onAction="Order_Ribbon.Order_Execute"/>
            <!--
</menu>
</splitButton>
-->
          </box>
        </group>
        <group id="CUI" label="CUI" imageMso="ColorAqua">
          <button id="btnCUI_Add" label="Adds CUI Header" imageMso="HeaderFooterInsert" screentip="Adds header reading CUI//PRIVILEGED" onAction="Order_Ribbon.Order_Execute"/>
          <button id="btnCUI_Remove" label="Removes CUI Header" imageMso="HeaderFooterRemoveHeaderWord" screentip="Removes CUI headers" onAction="Order_Ribbon.Order_Execute"/>
        </group>
        <group id="customGroup6" label="New Order">
          <button id="btnOpen" label="Order Menu" imageMso="NewPage" onAction="Order_Ribbon.Order_Execute"/>
        </group>
      </tab>
      <!--
<tab id="CUI" label="CUI">
        <group id="CUI-1" label="CUI Removal">
<button id="btnCUI" label="Remove CUI//PRIV" imageMso="RemoveAttach" screentip="Removes CUI Privielge from Documents to be made Public" onAction="Order_Ribbon.Order_Execute"/>
</group>
      </tab>
-->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AFD33-8517-490F-9284-181352E0C24B}">
  <ds:schemaRefs>
    <ds:schemaRef ds:uri="http://schemas.microsoft.com/sharepoint/v3/contenttype/forms"/>
  </ds:schemaRefs>
</ds:datastoreItem>
</file>

<file path=customXml/itemProps2.xml><?xml version="1.0" encoding="utf-8"?>
<ds:datastoreItem xmlns:ds="http://schemas.openxmlformats.org/officeDocument/2006/customXml" ds:itemID="{5497BE81-6F09-4FFF-8335-80436A622D8D}">
  <ds:schemaRefs>
    <ds:schemaRef ds:uri="Microsoft.SharePoint.Taxonomy.ContentTypeSync"/>
  </ds:schemaRefs>
</ds:datastoreItem>
</file>

<file path=customXml/itemProps3.xml><?xml version="1.0" encoding="utf-8"?>
<ds:datastoreItem xmlns:ds="http://schemas.openxmlformats.org/officeDocument/2006/customXml" ds:itemID="{1BD1C9A5-4BD1-4B94-B795-6D2188483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C4890-11F8-44ED-B868-C6D00A4DE10E}">
  <ds:schemaRef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5e8733a2-e908-454b-85cf-c9d17e1d0943"/>
    <ds:schemaRef ds:uri="http://purl.org/dc/elements/1.1/"/>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D52F4B8E-7566-4055-8C9C-F8892B1E3B2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5</ap:Pages>
  <ap:Words>1176</ap:Words>
  <ap:Characters>6708</ap:Characters>
  <ap:Application>Microsoft Office Word</ap:Application>
  <ap:DocSecurity>0</ap:DocSecurity>
  <ap:Lines>55</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7869</ap:CharactersWithSpaces>
  <ap:SharedDoc>false</ap:SharedDoc>
  <ap:HyperlinksChanged>false</ap:HyperlinksChanged>
  <ap:AppVersion>15.0000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2018-07-24T13:29:00.0000000Z</dcterms:created>
  <dcterms:modified xsi:type="dcterms:W3CDTF">2018-07-24T19:01:00.0000000Z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