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705A0" w14:textId="02CCCD3C" w:rsidR="00D73F89" w:rsidRPr="00E76833" w:rsidRDefault="00251993" w:rsidP="001A76DF">
      <w:pPr>
        <w:jc w:val="center"/>
        <w:rPr>
          <w:rFonts w:ascii="Times New Roman" w:eastAsiaTheme="minorEastAsia" w:hAnsi="Times New Roman" w:cs="Times New Roman"/>
          <w:i/>
          <w:iCs/>
          <w:sz w:val="20"/>
          <w:szCs w:val="20"/>
          <w:lang w:val="es-ES_tradnl"/>
        </w:rPr>
      </w:pPr>
      <w:r w:rsidRPr="00E76833">
        <w:rPr>
          <w:rFonts w:ascii="Times New Roman" w:eastAsiaTheme="minorEastAsia" w:hAnsi="Times New Roman" w:cs="Times New Roman"/>
          <w:i/>
          <w:iCs/>
          <w:sz w:val="20"/>
          <w:szCs w:val="20"/>
          <w:lang w:val="es-ES_tradnl"/>
        </w:rPr>
        <w:t>É</w:t>
      </w:r>
      <w:r w:rsidR="00D73F89" w:rsidRPr="00E76833">
        <w:rPr>
          <w:rFonts w:ascii="Times New Roman" w:eastAsiaTheme="minorEastAsia" w:hAnsi="Times New Roman" w:cs="Times New Roman"/>
          <w:i/>
          <w:iCs/>
          <w:sz w:val="20"/>
          <w:szCs w:val="20"/>
          <w:lang w:val="es-ES_tradnl"/>
        </w:rPr>
        <w:t>st</w:t>
      </w:r>
      <w:r w:rsidR="00670801" w:rsidRPr="00E76833">
        <w:rPr>
          <w:rFonts w:ascii="Times New Roman" w:eastAsiaTheme="minorEastAsia" w:hAnsi="Times New Roman" w:cs="Times New Roman"/>
          <w:i/>
          <w:iCs/>
          <w:sz w:val="20"/>
          <w:szCs w:val="20"/>
          <w:lang w:val="es-ES_tradnl"/>
        </w:rPr>
        <w:t>e</w:t>
      </w:r>
      <w:r w:rsidR="00D73F89" w:rsidRPr="00E76833">
        <w:rPr>
          <w:rFonts w:ascii="Times New Roman" w:eastAsiaTheme="minorEastAsia" w:hAnsi="Times New Roman" w:cs="Times New Roman"/>
          <w:i/>
          <w:iCs/>
          <w:sz w:val="20"/>
          <w:szCs w:val="20"/>
          <w:lang w:val="es-ES_tradnl"/>
        </w:rPr>
        <w:t xml:space="preserve"> es un anuncio de que sus tarifas pueden cambiar. Para más detalles en español</w:t>
      </w:r>
      <w:r w:rsidR="00433AC8" w:rsidRPr="00E76833">
        <w:rPr>
          <w:rFonts w:ascii="Times New Roman" w:eastAsiaTheme="minorEastAsia" w:hAnsi="Times New Roman" w:cs="Times New Roman"/>
          <w:i/>
          <w:iCs/>
          <w:sz w:val="20"/>
          <w:szCs w:val="20"/>
          <w:lang w:val="es-ES_tradnl"/>
        </w:rPr>
        <w:t>,</w:t>
      </w:r>
      <w:r w:rsidR="00D73F89" w:rsidRPr="00E76833">
        <w:rPr>
          <w:rFonts w:ascii="Times New Roman" w:eastAsiaTheme="minorEastAsia" w:hAnsi="Times New Roman" w:cs="Times New Roman"/>
          <w:i/>
          <w:iCs/>
          <w:sz w:val="20"/>
          <w:szCs w:val="20"/>
          <w:lang w:val="es-ES_tradnl"/>
        </w:rPr>
        <w:t xml:space="preserve"> llame</w:t>
      </w:r>
    </w:p>
    <w:p w14:paraId="7D6FBC1D" w14:textId="77777777" w:rsidR="00D73F89" w:rsidRPr="00E76833" w:rsidRDefault="00D73F89" w:rsidP="001A76DF">
      <w:pPr>
        <w:jc w:val="center"/>
        <w:rPr>
          <w:rFonts w:ascii="Times New Roman" w:eastAsiaTheme="minorEastAsia" w:hAnsi="Times New Roman" w:cs="Times New Roman"/>
          <w:i/>
          <w:iCs/>
          <w:sz w:val="20"/>
          <w:szCs w:val="20"/>
          <w:lang w:val="es-ES_tradnl"/>
        </w:rPr>
      </w:pPr>
      <w:r w:rsidRPr="00E76833">
        <w:rPr>
          <w:rFonts w:ascii="Times New Roman" w:eastAsiaTheme="minorEastAsia" w:hAnsi="Times New Roman" w:cs="Times New Roman"/>
          <w:i/>
          <w:iCs/>
          <w:sz w:val="20"/>
          <w:szCs w:val="20"/>
          <w:lang w:val="es-ES_tradnl"/>
        </w:rPr>
        <w:t>al 1-800-311-7343.</w:t>
      </w:r>
    </w:p>
    <w:p w14:paraId="19A8818D" w14:textId="77777777" w:rsidR="00D73F89" w:rsidRPr="00E76833" w:rsidRDefault="00D73F89" w:rsidP="002534D7">
      <w:pPr>
        <w:rPr>
          <w:rFonts w:ascii="Times New Roman" w:eastAsiaTheme="minorEastAsia" w:hAnsi="Times New Roman" w:cs="Times New Roman"/>
          <w:b/>
          <w:bCs/>
          <w:sz w:val="36"/>
          <w:szCs w:val="36"/>
          <w:lang w:val="es-ES_tradnl"/>
        </w:rPr>
      </w:pPr>
    </w:p>
    <w:p w14:paraId="3D605BB7" w14:textId="23EDA3ED" w:rsidR="0061592C" w:rsidRPr="00E76833" w:rsidRDefault="00B548AA" w:rsidP="002534D7">
      <w:pPr>
        <w:rPr>
          <w:rFonts w:ascii="Times New Roman" w:hAnsi="Times New Roman" w:cs="Times New Roman"/>
          <w:b/>
          <w:bCs/>
          <w:sz w:val="36"/>
          <w:szCs w:val="36"/>
          <w:lang w:val="es-ES_tradnl"/>
        </w:rPr>
      </w:pPr>
      <w:r w:rsidRPr="00E76833">
        <w:rPr>
          <w:rFonts w:ascii="Times New Roman" w:eastAsiaTheme="minorEastAsia" w:hAnsi="Times New Roman" w:cs="Times New Roman"/>
          <w:b/>
          <w:bCs/>
          <w:sz w:val="36"/>
          <w:szCs w:val="36"/>
          <w:lang w:val="es-ES_tradnl"/>
        </w:rPr>
        <w:t xml:space="preserve">Aviso de solicitud de aumento tarifario de </w:t>
      </w:r>
      <w:r w:rsidR="00BE433C" w:rsidRPr="00E76833">
        <w:rPr>
          <w:rFonts w:ascii="Times New Roman" w:hAnsi="Times New Roman" w:cs="Times New Roman"/>
          <w:b/>
          <w:bCs/>
          <w:sz w:val="36"/>
          <w:szCs w:val="36"/>
          <w:lang w:val="es-ES_tradnl"/>
        </w:rPr>
        <w:t>S</w:t>
      </w:r>
      <w:r w:rsidR="00D334C7" w:rsidRPr="00E76833">
        <w:rPr>
          <w:rFonts w:ascii="Times New Roman" w:hAnsi="Times New Roman" w:cs="Times New Roman"/>
          <w:b/>
          <w:bCs/>
          <w:sz w:val="36"/>
          <w:szCs w:val="36"/>
          <w:lang w:val="es-ES_tradnl"/>
        </w:rPr>
        <w:t xml:space="preserve">an Diego Gas </w:t>
      </w:r>
      <w:r w:rsidR="005D4CB0" w:rsidRPr="00E76833">
        <w:rPr>
          <w:rFonts w:ascii="Times New Roman" w:hAnsi="Times New Roman" w:cs="Times New Roman"/>
          <w:b/>
          <w:bCs/>
          <w:sz w:val="36"/>
          <w:szCs w:val="36"/>
          <w:lang w:val="es-ES_tradnl"/>
        </w:rPr>
        <w:t>&amp;</w:t>
      </w:r>
      <w:r w:rsidR="00D334C7" w:rsidRPr="00E76833">
        <w:rPr>
          <w:rFonts w:ascii="Times New Roman" w:hAnsi="Times New Roman" w:cs="Times New Roman"/>
          <w:b/>
          <w:bCs/>
          <w:sz w:val="36"/>
          <w:szCs w:val="36"/>
          <w:lang w:val="es-ES_tradnl"/>
        </w:rPr>
        <w:t xml:space="preserve"> Electric</w:t>
      </w:r>
      <w:r w:rsidR="005B5E3F" w:rsidRPr="00E76833">
        <w:rPr>
          <w:rFonts w:ascii="Times New Roman" w:hAnsi="Times New Roman" w:cs="Times New Roman"/>
          <w:b/>
          <w:bCs/>
          <w:sz w:val="36"/>
          <w:szCs w:val="36"/>
          <w:lang w:val="es-ES_tradnl"/>
        </w:rPr>
        <w:t xml:space="preserve"> Company</w:t>
      </w:r>
      <w:r w:rsidR="002534D7" w:rsidRPr="00E76833">
        <w:rPr>
          <w:rFonts w:ascii="Times New Roman" w:eastAsiaTheme="minorEastAsia" w:hAnsi="Times New Roman" w:cs="Times New Roman"/>
          <w:b/>
          <w:bCs/>
          <w:sz w:val="36"/>
          <w:szCs w:val="36"/>
          <w:lang w:val="es-ES_tradnl"/>
        </w:rPr>
        <w:t xml:space="preserve"> </w:t>
      </w:r>
    </w:p>
    <w:p w14:paraId="254EB72C" w14:textId="411D34F3" w:rsidR="00875FAB" w:rsidRPr="00E76833" w:rsidRDefault="00A417B6">
      <w:pPr>
        <w:rPr>
          <w:rFonts w:ascii="Times New Roman" w:hAnsi="Times New Roman" w:cs="Times New Roman"/>
          <w:b/>
          <w:bCs/>
          <w:lang w:val="es-ES_tradnl"/>
        </w:rPr>
      </w:pPr>
      <w:r w:rsidRPr="00E76833">
        <w:rPr>
          <w:rFonts w:ascii="Times New Roman" w:hAnsi="Times New Roman" w:cs="Times New Roman"/>
          <w:b/>
          <w:bCs/>
          <w:lang w:val="es-ES_tradnl"/>
        </w:rPr>
        <w:t xml:space="preserve">Solicitud para el Programa de Migración SAP de </w:t>
      </w:r>
      <w:r w:rsidR="00B078F1" w:rsidRPr="00E76833">
        <w:rPr>
          <w:rFonts w:ascii="Times New Roman" w:hAnsi="Times New Roman" w:cs="Times New Roman"/>
          <w:b/>
          <w:bCs/>
          <w:lang w:val="es-ES_tradnl"/>
        </w:rPr>
        <w:t xml:space="preserve">San Diego Gas &amp; Electric Company (SDG&amp;E) </w:t>
      </w:r>
      <w:r w:rsidR="00821EFD" w:rsidRPr="00E76833">
        <w:rPr>
          <w:rFonts w:ascii="Times New Roman" w:hAnsi="Times New Roman" w:cs="Times New Roman"/>
          <w:b/>
          <w:bCs/>
          <w:lang w:val="es-ES_tradnl"/>
        </w:rPr>
        <w:t>y</w:t>
      </w:r>
      <w:r w:rsidR="00B078F1" w:rsidRPr="00E76833">
        <w:rPr>
          <w:rFonts w:ascii="Times New Roman" w:hAnsi="Times New Roman" w:cs="Times New Roman"/>
          <w:b/>
          <w:bCs/>
          <w:lang w:val="es-ES_tradnl"/>
        </w:rPr>
        <w:t xml:space="preserve"> </w:t>
      </w:r>
      <w:r w:rsidR="001C3D5A" w:rsidRPr="00E76833">
        <w:rPr>
          <w:rFonts w:ascii="Times New Roman" w:hAnsi="Times New Roman" w:cs="Times New Roman"/>
          <w:b/>
          <w:bCs/>
          <w:lang w:val="es-ES_tradnl"/>
        </w:rPr>
        <w:t xml:space="preserve">Southern California Gas Company (SoCalGas) </w:t>
      </w:r>
      <w:r w:rsidR="00EC3178" w:rsidRPr="00E76833">
        <w:rPr>
          <w:rFonts w:ascii="Times New Roman" w:hAnsi="Times New Roman" w:cs="Times New Roman"/>
          <w:b/>
          <w:bCs/>
          <w:lang w:val="es-ES_tradnl"/>
        </w:rPr>
        <w:t>a la Comisión de Servicios Públicos de California</w:t>
      </w:r>
      <w:r w:rsidR="1CA50813" w:rsidRPr="00E76833">
        <w:rPr>
          <w:rFonts w:ascii="Times New Roman" w:hAnsi="Times New Roman" w:cs="Times New Roman"/>
          <w:b/>
          <w:bCs/>
          <w:lang w:val="es-ES_tradnl"/>
        </w:rPr>
        <w:t xml:space="preserve"> (CPUC)</w:t>
      </w:r>
      <w:r w:rsidR="05E14D76" w:rsidRPr="00E76833">
        <w:rPr>
          <w:rFonts w:ascii="Times New Roman" w:hAnsi="Times New Roman" w:cs="Times New Roman"/>
          <w:b/>
          <w:bCs/>
          <w:lang w:val="es-ES_tradnl"/>
        </w:rPr>
        <w:t xml:space="preserve"> </w:t>
      </w:r>
      <w:r w:rsidR="270F55B9" w:rsidRPr="00E76833">
        <w:rPr>
          <w:rFonts w:ascii="Times New Roman" w:hAnsi="Times New Roman" w:cs="Times New Roman"/>
          <w:b/>
          <w:bCs/>
          <w:lang w:val="es-ES_tradnl"/>
        </w:rPr>
        <w:t>A.</w:t>
      </w:r>
      <w:r w:rsidR="008816E3" w:rsidRPr="00E76833">
        <w:rPr>
          <w:rFonts w:ascii="Times New Roman" w:hAnsi="Times New Roman" w:cs="Times New Roman"/>
          <w:b/>
          <w:bCs/>
          <w:lang w:val="es-ES_tradnl"/>
        </w:rPr>
        <w:t>26-05-</w:t>
      </w:r>
      <w:r w:rsidR="00B86045" w:rsidRPr="00E76833">
        <w:rPr>
          <w:rFonts w:ascii="Times New Roman" w:hAnsi="Times New Roman" w:cs="Times New Roman"/>
          <w:b/>
          <w:bCs/>
          <w:lang w:val="es-ES_tradnl"/>
        </w:rPr>
        <w:t>002</w:t>
      </w:r>
    </w:p>
    <w:p w14:paraId="3BCBD343" w14:textId="16E718D5" w:rsidR="00875FAB" w:rsidRPr="00E76833" w:rsidRDefault="003A2271" w:rsidP="5ED2E5E8">
      <w:pPr>
        <w:contextualSpacing/>
        <w:rPr>
          <w:rFonts w:ascii="Times New Roman" w:hAnsi="Times New Roman" w:cs="Times New Roman"/>
          <w:b/>
          <w:bCs/>
          <w:lang w:val="es-ES_tradnl"/>
        </w:rPr>
      </w:pPr>
      <w:r w:rsidRPr="00E76833">
        <w:rPr>
          <w:rFonts w:ascii="Times New Roman" w:hAnsi="Times New Roman" w:cs="Times New Roman"/>
          <w:b/>
          <w:bCs/>
          <w:lang w:val="es-ES_tradnl"/>
        </w:rPr>
        <w:t>¿Qué se está solicitando?</w:t>
      </w:r>
    </w:p>
    <w:p w14:paraId="1175CCD1" w14:textId="60385B2D" w:rsidR="004F785A" w:rsidRPr="00E76833" w:rsidRDefault="00FB60F1" w:rsidP="00FB60F1">
      <w:pPr>
        <w:contextualSpacing/>
        <w:rPr>
          <w:rFonts w:ascii="Times New Roman" w:hAnsi="Times New Roman" w:cs="Times New Roman"/>
          <w:lang w:val="es-ES_tradnl"/>
        </w:rPr>
      </w:pPr>
      <w:r w:rsidRPr="00E76833">
        <w:rPr>
          <w:rFonts w:ascii="Times New Roman" w:hAnsi="Times New Roman" w:cs="Times New Roman"/>
          <w:lang w:val="es-ES_tradnl"/>
        </w:rPr>
        <w:t xml:space="preserve">SDG&amp;E </w:t>
      </w:r>
      <w:r w:rsidR="00184EB3" w:rsidRPr="00E76833">
        <w:rPr>
          <w:rFonts w:ascii="Times New Roman" w:hAnsi="Times New Roman" w:cs="Times New Roman"/>
          <w:lang w:val="es-ES_tradnl"/>
        </w:rPr>
        <w:t xml:space="preserve">está solicitando un aumento en los ingresos de aproximadamente </w:t>
      </w:r>
      <w:r w:rsidRPr="00E76833">
        <w:rPr>
          <w:rFonts w:ascii="Times New Roman" w:hAnsi="Times New Roman" w:cs="Times New Roman"/>
          <w:lang w:val="es-ES_tradnl"/>
        </w:rPr>
        <w:t>$</w:t>
      </w:r>
      <w:r w:rsidR="00B66593" w:rsidRPr="00E76833">
        <w:rPr>
          <w:rFonts w:ascii="Times New Roman" w:hAnsi="Times New Roman" w:cs="Times New Roman"/>
          <w:lang w:val="es-ES_tradnl"/>
        </w:rPr>
        <w:t>138</w:t>
      </w:r>
      <w:r w:rsidRPr="00E76833">
        <w:rPr>
          <w:rFonts w:ascii="Times New Roman" w:hAnsi="Times New Roman" w:cs="Times New Roman"/>
          <w:lang w:val="es-ES_tradnl"/>
        </w:rPr>
        <w:t xml:space="preserve"> </w:t>
      </w:r>
      <w:r w:rsidR="0094776D" w:rsidRPr="00E76833">
        <w:rPr>
          <w:rFonts w:ascii="Times New Roman" w:hAnsi="Times New Roman" w:cs="Times New Roman"/>
          <w:lang w:val="es-ES_tradnl"/>
        </w:rPr>
        <w:t xml:space="preserve">millones a lo largo de la vigencia del programa de migración para sustituir diversos sistemas de tecnología por otros de </w:t>
      </w:r>
      <w:r w:rsidR="008A5023" w:rsidRPr="00E76833">
        <w:rPr>
          <w:rFonts w:ascii="Times New Roman" w:hAnsi="Times New Roman" w:cs="Times New Roman"/>
          <w:lang w:val="es-ES_tradnl"/>
        </w:rPr>
        <w:t>SAP (Sistemas, Aplicaciones y Productos para el Procesamiento de Datos)</w:t>
      </w:r>
      <w:r w:rsidR="0094776D" w:rsidRPr="00E76833">
        <w:rPr>
          <w:rFonts w:ascii="Times New Roman" w:hAnsi="Times New Roman" w:cs="Times New Roman"/>
          <w:lang w:val="es-ES_tradnl"/>
        </w:rPr>
        <w:t>,</w:t>
      </w:r>
      <w:r w:rsidR="008A5023" w:rsidRPr="00E76833">
        <w:rPr>
          <w:rFonts w:ascii="Times New Roman" w:hAnsi="Times New Roman" w:cs="Times New Roman"/>
          <w:lang w:val="es-ES_tradnl"/>
        </w:rPr>
        <w:t xml:space="preserve"> </w:t>
      </w:r>
      <w:r w:rsidR="00635AD0" w:rsidRPr="00E76833">
        <w:rPr>
          <w:rFonts w:ascii="Times New Roman" w:hAnsi="Times New Roman" w:cs="Times New Roman"/>
          <w:lang w:val="es-ES_tradnl"/>
        </w:rPr>
        <w:t>que dejarán de ser compatibles a partir del 31 de diciembre de 2027, y para modernizar ciertas funcionalidades tecnológicas con el fin de mejorar los procesos empresariales y operativos</w:t>
      </w:r>
      <w:r w:rsidR="00C41E84" w:rsidRPr="00E76833">
        <w:rPr>
          <w:rFonts w:ascii="Times New Roman" w:hAnsi="Times New Roman" w:cs="Times New Roman"/>
          <w:lang w:val="es-ES_tradnl"/>
        </w:rPr>
        <w:t>.</w:t>
      </w:r>
    </w:p>
    <w:p w14:paraId="5E2BE49C" w14:textId="77777777" w:rsidR="00FB60F1" w:rsidRPr="00E76833" w:rsidRDefault="00FB60F1" w:rsidP="00FB60F1">
      <w:pPr>
        <w:contextualSpacing/>
        <w:rPr>
          <w:rFonts w:ascii="Times New Roman" w:hAnsi="Times New Roman" w:cs="Times New Roman"/>
          <w:lang w:val="es-ES_tradnl"/>
        </w:rPr>
      </w:pPr>
    </w:p>
    <w:p w14:paraId="7E86BDD1" w14:textId="42267085" w:rsidR="003910ED" w:rsidRPr="00E76833" w:rsidRDefault="00570DD8" w:rsidP="001A76DF">
      <w:pPr>
        <w:contextualSpacing/>
        <w:jc w:val="center"/>
        <w:rPr>
          <w:rFonts w:ascii="Times New Roman" w:hAnsi="Times New Roman" w:cs="Times New Roman"/>
          <w:lang w:val="es-ES_tradnl"/>
        </w:rPr>
      </w:pPr>
      <w:r w:rsidRPr="00E76833">
        <w:rPr>
          <w:rFonts w:ascii="Times New Roman" w:hAnsi="Times New Roman" w:cs="Times New Roman"/>
          <w:lang w:val="es-ES_tradnl"/>
        </w:rPr>
        <w:t>Aumento propuesto de las tarifas eléctricas por clase de cliente</w:t>
      </w:r>
    </w:p>
    <w:tbl>
      <w:tblPr>
        <w:tblStyle w:val="TableGrid"/>
        <w:tblW w:w="0" w:type="auto"/>
        <w:tblLook w:val="04A0" w:firstRow="1" w:lastRow="0" w:firstColumn="1" w:lastColumn="0" w:noHBand="0" w:noVBand="1"/>
      </w:tblPr>
      <w:tblGrid>
        <w:gridCol w:w="2695"/>
        <w:gridCol w:w="3420"/>
        <w:gridCol w:w="3235"/>
      </w:tblGrid>
      <w:tr w:rsidR="003E3BA4" w:rsidRPr="00E76833" w14:paraId="2126336D" w14:textId="77777777" w:rsidTr="009F29A6">
        <w:tc>
          <w:tcPr>
            <w:tcW w:w="2695" w:type="dxa"/>
          </w:tcPr>
          <w:p w14:paraId="0D14C575" w14:textId="6CCD0356" w:rsidR="003E3BA4" w:rsidRPr="00E76833" w:rsidRDefault="00C37940" w:rsidP="009F29A6">
            <w:pPr>
              <w:rPr>
                <w:rFonts w:ascii="Times New Roman" w:hAnsi="Times New Roman" w:cs="Times New Roman"/>
                <w:lang w:val="es-ES_tradnl"/>
              </w:rPr>
            </w:pPr>
            <w:r w:rsidRPr="00E76833">
              <w:rPr>
                <w:rFonts w:ascii="Times New Roman" w:hAnsi="Times New Roman" w:cs="Times New Roman"/>
                <w:lang w:val="es-ES_tradnl"/>
              </w:rPr>
              <w:t>Clase de cliente</w:t>
            </w:r>
          </w:p>
        </w:tc>
        <w:tc>
          <w:tcPr>
            <w:tcW w:w="3420" w:type="dxa"/>
          </w:tcPr>
          <w:p w14:paraId="70E7E40E" w14:textId="14F403E8" w:rsidR="003E3BA4" w:rsidRPr="00E76833" w:rsidRDefault="006E1091" w:rsidP="006E1091">
            <w:pPr>
              <w:jc w:val="center"/>
              <w:rPr>
                <w:rFonts w:ascii="Times New Roman" w:hAnsi="Times New Roman" w:cs="Times New Roman"/>
                <w:lang w:val="es-ES_tradnl"/>
              </w:rPr>
            </w:pPr>
            <w:r w:rsidRPr="00E76833">
              <w:rPr>
                <w:rFonts w:ascii="Times New Roman" w:hAnsi="Times New Roman" w:cs="Times New Roman"/>
                <w:lang w:val="es-ES_tradnl"/>
              </w:rPr>
              <w:t xml:space="preserve">Aumento tarifario propuesto </w:t>
            </w:r>
            <w:r w:rsidR="003E3BA4" w:rsidRPr="00E76833">
              <w:rPr>
                <w:rFonts w:ascii="Times New Roman" w:hAnsi="Times New Roman" w:cs="Times New Roman"/>
                <w:lang w:val="es-ES_tradnl"/>
              </w:rPr>
              <w:t>(ȼ/kWh)</w:t>
            </w:r>
          </w:p>
        </w:tc>
        <w:tc>
          <w:tcPr>
            <w:tcW w:w="3235" w:type="dxa"/>
          </w:tcPr>
          <w:p w14:paraId="0B24E307" w14:textId="59148E30" w:rsidR="003E3BA4" w:rsidRPr="00E76833" w:rsidRDefault="0080183A" w:rsidP="0080183A">
            <w:pPr>
              <w:jc w:val="center"/>
              <w:rPr>
                <w:rFonts w:ascii="Times New Roman" w:hAnsi="Times New Roman" w:cs="Times New Roman"/>
                <w:lang w:val="es-ES_tradnl"/>
              </w:rPr>
            </w:pPr>
            <w:r w:rsidRPr="00E76833">
              <w:rPr>
                <w:rFonts w:ascii="Times New Roman" w:hAnsi="Times New Roman" w:cs="Times New Roman"/>
                <w:lang w:val="es-ES_tradnl"/>
              </w:rPr>
              <w:t xml:space="preserve">Aumento tarifario porcentual </w:t>
            </w:r>
            <w:r w:rsidR="003E3BA4" w:rsidRPr="00E76833">
              <w:rPr>
                <w:rFonts w:ascii="Times New Roman" w:hAnsi="Times New Roman" w:cs="Times New Roman"/>
                <w:lang w:val="es-ES_tradnl"/>
              </w:rPr>
              <w:t>(%)</w:t>
            </w:r>
          </w:p>
        </w:tc>
      </w:tr>
      <w:tr w:rsidR="00F72496" w:rsidRPr="00E76833" w14:paraId="2DA1DB12" w14:textId="77777777" w:rsidTr="009F29A6">
        <w:tc>
          <w:tcPr>
            <w:tcW w:w="2695" w:type="dxa"/>
          </w:tcPr>
          <w:p w14:paraId="518F92B2" w14:textId="4D40DD5F"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Residen</w:t>
            </w:r>
            <w:r w:rsidR="00C37940" w:rsidRPr="00E76833">
              <w:rPr>
                <w:rFonts w:ascii="Times New Roman" w:hAnsi="Times New Roman" w:cs="Times New Roman"/>
                <w:lang w:val="es-ES_tradnl"/>
              </w:rPr>
              <w:t>c</w:t>
            </w:r>
            <w:r w:rsidRPr="00E76833">
              <w:rPr>
                <w:rFonts w:ascii="Times New Roman" w:hAnsi="Times New Roman" w:cs="Times New Roman"/>
                <w:lang w:val="es-ES_tradnl"/>
              </w:rPr>
              <w:t>ial</w:t>
            </w:r>
          </w:p>
        </w:tc>
        <w:tc>
          <w:tcPr>
            <w:tcW w:w="3420" w:type="dxa"/>
          </w:tcPr>
          <w:p w14:paraId="0BFB960D" w14:textId="231D8FCD"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0.117 ¢</w:t>
            </w:r>
          </w:p>
        </w:tc>
        <w:tc>
          <w:tcPr>
            <w:tcW w:w="3235" w:type="dxa"/>
          </w:tcPr>
          <w:p w14:paraId="4DB82CF7" w14:textId="40226D8F"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0.3%</w:t>
            </w:r>
          </w:p>
        </w:tc>
      </w:tr>
      <w:tr w:rsidR="00F72496" w:rsidRPr="00E76833" w14:paraId="2FD18046" w14:textId="77777777" w:rsidTr="009F29A6">
        <w:tc>
          <w:tcPr>
            <w:tcW w:w="2695" w:type="dxa"/>
          </w:tcPr>
          <w:p w14:paraId="355E0520" w14:textId="07C5795C" w:rsidR="00F72496" w:rsidRPr="00E76833" w:rsidRDefault="00C37940" w:rsidP="00F72496">
            <w:pPr>
              <w:rPr>
                <w:rFonts w:ascii="Times New Roman" w:hAnsi="Times New Roman" w:cs="Times New Roman"/>
                <w:lang w:val="es-ES_tradnl"/>
              </w:rPr>
            </w:pPr>
            <w:r w:rsidRPr="00E76833">
              <w:rPr>
                <w:rFonts w:ascii="Times New Roman" w:hAnsi="Times New Roman" w:cs="Times New Roman"/>
                <w:lang w:val="es-ES_tradnl"/>
              </w:rPr>
              <w:t>Comercial pequeño</w:t>
            </w:r>
          </w:p>
        </w:tc>
        <w:tc>
          <w:tcPr>
            <w:tcW w:w="3420" w:type="dxa"/>
          </w:tcPr>
          <w:p w14:paraId="72F77051" w14:textId="03D1E8BC"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0.101 ¢</w:t>
            </w:r>
          </w:p>
        </w:tc>
        <w:tc>
          <w:tcPr>
            <w:tcW w:w="3235" w:type="dxa"/>
          </w:tcPr>
          <w:p w14:paraId="199CCF82" w14:textId="26DA2959"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0.3%</w:t>
            </w:r>
          </w:p>
        </w:tc>
      </w:tr>
      <w:tr w:rsidR="00F72496" w:rsidRPr="00E76833" w14:paraId="696BBD33" w14:textId="77777777" w:rsidTr="009F29A6">
        <w:tc>
          <w:tcPr>
            <w:tcW w:w="2695" w:type="dxa"/>
          </w:tcPr>
          <w:p w14:paraId="1332D34D" w14:textId="0FE141BD" w:rsidR="00F72496" w:rsidRPr="00E76833" w:rsidRDefault="008516B0" w:rsidP="00F72496">
            <w:pPr>
              <w:rPr>
                <w:rFonts w:ascii="Times New Roman" w:hAnsi="Times New Roman" w:cs="Times New Roman"/>
                <w:lang w:val="es-ES_tradnl"/>
              </w:rPr>
            </w:pPr>
            <w:r w:rsidRPr="00E76833">
              <w:rPr>
                <w:rFonts w:ascii="Times New Roman" w:hAnsi="Times New Roman" w:cs="Times New Roman"/>
                <w:lang w:val="es-ES_tradnl"/>
              </w:rPr>
              <w:t>Comercial mediano</w:t>
            </w:r>
            <w:r w:rsidR="00F72496" w:rsidRPr="00E76833">
              <w:rPr>
                <w:rFonts w:ascii="Times New Roman" w:hAnsi="Times New Roman" w:cs="Times New Roman"/>
                <w:lang w:val="es-ES_tradnl"/>
              </w:rPr>
              <w:t xml:space="preserve"> </w:t>
            </w:r>
          </w:p>
        </w:tc>
        <w:tc>
          <w:tcPr>
            <w:tcW w:w="3420" w:type="dxa"/>
          </w:tcPr>
          <w:p w14:paraId="1FE0EA98" w14:textId="1A7105E3"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0.058 ¢</w:t>
            </w:r>
          </w:p>
        </w:tc>
        <w:tc>
          <w:tcPr>
            <w:tcW w:w="3235" w:type="dxa"/>
          </w:tcPr>
          <w:p w14:paraId="129496D9" w14:textId="7CFBA509"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0.2%</w:t>
            </w:r>
          </w:p>
        </w:tc>
      </w:tr>
      <w:tr w:rsidR="00F72496" w:rsidRPr="00E76833" w14:paraId="42CB5424" w14:textId="77777777" w:rsidTr="009F29A6">
        <w:tc>
          <w:tcPr>
            <w:tcW w:w="2695" w:type="dxa"/>
          </w:tcPr>
          <w:p w14:paraId="65463A79" w14:textId="70AD4698" w:rsidR="00F72496" w:rsidRPr="00E76833" w:rsidRDefault="008516B0" w:rsidP="00F72496">
            <w:pPr>
              <w:rPr>
                <w:rFonts w:ascii="Times New Roman" w:hAnsi="Times New Roman" w:cs="Times New Roman"/>
                <w:lang w:val="es-ES_tradnl"/>
              </w:rPr>
            </w:pPr>
            <w:r w:rsidRPr="00E76833">
              <w:rPr>
                <w:rFonts w:ascii="Times New Roman" w:hAnsi="Times New Roman" w:cs="Times New Roman"/>
                <w:lang w:val="es-ES_tradnl"/>
              </w:rPr>
              <w:t>Comercial e industrial grandes</w:t>
            </w:r>
          </w:p>
        </w:tc>
        <w:tc>
          <w:tcPr>
            <w:tcW w:w="3420" w:type="dxa"/>
          </w:tcPr>
          <w:p w14:paraId="523E11D7" w14:textId="5CF746B9"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0.055 ¢</w:t>
            </w:r>
          </w:p>
        </w:tc>
        <w:tc>
          <w:tcPr>
            <w:tcW w:w="3235" w:type="dxa"/>
          </w:tcPr>
          <w:p w14:paraId="323F55CC" w14:textId="15611C2C"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0.1%</w:t>
            </w:r>
          </w:p>
        </w:tc>
      </w:tr>
      <w:tr w:rsidR="00F72496" w:rsidRPr="00E76833" w14:paraId="5074A982" w14:textId="77777777" w:rsidTr="009F29A6">
        <w:tc>
          <w:tcPr>
            <w:tcW w:w="2695" w:type="dxa"/>
          </w:tcPr>
          <w:p w14:paraId="0D67CB8A" w14:textId="621CFEC1" w:rsidR="00F72496" w:rsidRPr="00E76833" w:rsidRDefault="008516B0" w:rsidP="00F72496">
            <w:pPr>
              <w:rPr>
                <w:rFonts w:ascii="Times New Roman" w:hAnsi="Times New Roman" w:cs="Times New Roman"/>
                <w:lang w:val="es-ES_tradnl"/>
              </w:rPr>
            </w:pPr>
            <w:r w:rsidRPr="00E76833">
              <w:rPr>
                <w:rFonts w:ascii="Times New Roman" w:hAnsi="Times New Roman" w:cs="Times New Roman"/>
                <w:lang w:val="es-ES_tradnl"/>
              </w:rPr>
              <w:t>Agrícola</w:t>
            </w:r>
          </w:p>
        </w:tc>
        <w:tc>
          <w:tcPr>
            <w:tcW w:w="3420" w:type="dxa"/>
          </w:tcPr>
          <w:p w14:paraId="61F8142B" w14:textId="49828C37"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0.053 ¢</w:t>
            </w:r>
          </w:p>
        </w:tc>
        <w:tc>
          <w:tcPr>
            <w:tcW w:w="3235" w:type="dxa"/>
          </w:tcPr>
          <w:p w14:paraId="052AA7D1" w14:textId="3049F7B8"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0.2%</w:t>
            </w:r>
          </w:p>
        </w:tc>
      </w:tr>
      <w:tr w:rsidR="00F72496" w:rsidRPr="00E76833" w14:paraId="49245DD7" w14:textId="77777777" w:rsidTr="009F29A6">
        <w:tc>
          <w:tcPr>
            <w:tcW w:w="2695" w:type="dxa"/>
          </w:tcPr>
          <w:p w14:paraId="2697BCFD" w14:textId="22509EB3" w:rsidR="00F72496" w:rsidRPr="00E76833" w:rsidRDefault="0076058F" w:rsidP="00F72496">
            <w:pPr>
              <w:rPr>
                <w:rFonts w:ascii="Times New Roman" w:hAnsi="Times New Roman" w:cs="Times New Roman"/>
                <w:lang w:val="es-ES_tradnl"/>
              </w:rPr>
            </w:pPr>
            <w:r w:rsidRPr="00E76833">
              <w:rPr>
                <w:rFonts w:ascii="Times New Roman" w:hAnsi="Times New Roman" w:cs="Times New Roman"/>
                <w:lang w:val="es-ES_tradnl"/>
              </w:rPr>
              <w:t>Alumbrado</w:t>
            </w:r>
          </w:p>
        </w:tc>
        <w:tc>
          <w:tcPr>
            <w:tcW w:w="3420" w:type="dxa"/>
          </w:tcPr>
          <w:p w14:paraId="263A0ACE" w14:textId="20B10A3D"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0.046 ¢</w:t>
            </w:r>
          </w:p>
        </w:tc>
        <w:tc>
          <w:tcPr>
            <w:tcW w:w="3235" w:type="dxa"/>
          </w:tcPr>
          <w:p w14:paraId="1BBD52F6" w14:textId="42E28912"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0.2%</w:t>
            </w:r>
          </w:p>
        </w:tc>
      </w:tr>
      <w:tr w:rsidR="00F72496" w:rsidRPr="00E76833" w14:paraId="07B107CE" w14:textId="77777777" w:rsidTr="009F29A6">
        <w:tc>
          <w:tcPr>
            <w:tcW w:w="2695" w:type="dxa"/>
          </w:tcPr>
          <w:p w14:paraId="1330DCF8" w14:textId="77496CB7" w:rsidR="00F72496" w:rsidRPr="00E76833" w:rsidRDefault="0076058F" w:rsidP="00F72496">
            <w:pPr>
              <w:rPr>
                <w:rFonts w:ascii="Times New Roman" w:hAnsi="Times New Roman" w:cs="Times New Roman"/>
                <w:lang w:val="es-ES_tradnl"/>
              </w:rPr>
            </w:pPr>
            <w:r w:rsidRPr="00E76833">
              <w:rPr>
                <w:rFonts w:ascii="Times New Roman" w:hAnsi="Times New Roman" w:cs="Times New Roman"/>
                <w:lang w:val="es-ES_tradnl"/>
              </w:rPr>
              <w:t>Total del sistema</w:t>
            </w:r>
          </w:p>
        </w:tc>
        <w:tc>
          <w:tcPr>
            <w:tcW w:w="3420" w:type="dxa"/>
          </w:tcPr>
          <w:p w14:paraId="5499E418" w14:textId="07B15940"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0.079 ¢</w:t>
            </w:r>
          </w:p>
        </w:tc>
        <w:tc>
          <w:tcPr>
            <w:tcW w:w="3235" w:type="dxa"/>
          </w:tcPr>
          <w:p w14:paraId="2ED049EE" w14:textId="39B99A55" w:rsidR="00F72496" w:rsidRPr="00E76833" w:rsidRDefault="00F72496" w:rsidP="00F72496">
            <w:pPr>
              <w:rPr>
                <w:rFonts w:ascii="Times New Roman" w:hAnsi="Times New Roman" w:cs="Times New Roman"/>
                <w:lang w:val="es-ES_tradnl"/>
              </w:rPr>
            </w:pPr>
            <w:r w:rsidRPr="00E76833">
              <w:rPr>
                <w:rFonts w:ascii="Times New Roman" w:hAnsi="Times New Roman" w:cs="Times New Roman"/>
                <w:lang w:val="es-ES_tradnl"/>
              </w:rPr>
              <w:t>0.2%</w:t>
            </w:r>
          </w:p>
        </w:tc>
      </w:tr>
    </w:tbl>
    <w:p w14:paraId="18315109" w14:textId="77777777" w:rsidR="003E3BA4" w:rsidRPr="00E76833" w:rsidRDefault="003E3BA4" w:rsidP="00FB60F1">
      <w:pPr>
        <w:contextualSpacing/>
        <w:rPr>
          <w:rFonts w:ascii="Times New Roman" w:hAnsi="Times New Roman" w:cs="Times New Roman"/>
          <w:b/>
          <w:bCs/>
          <w:lang w:val="es-ES_tradnl"/>
        </w:rPr>
      </w:pPr>
    </w:p>
    <w:p w14:paraId="747C251A" w14:textId="47C161E0" w:rsidR="003910ED" w:rsidRPr="00E76833" w:rsidRDefault="000E58E0" w:rsidP="001A76DF">
      <w:pPr>
        <w:contextualSpacing/>
        <w:jc w:val="center"/>
        <w:rPr>
          <w:rFonts w:ascii="Times New Roman" w:hAnsi="Times New Roman" w:cs="Times New Roman"/>
          <w:lang w:val="es-ES_tradnl"/>
        </w:rPr>
      </w:pPr>
      <w:r w:rsidRPr="00E76833">
        <w:rPr>
          <w:rFonts w:ascii="Times New Roman" w:hAnsi="Times New Roman" w:cs="Times New Roman"/>
          <w:lang w:val="es-ES_tradnl"/>
        </w:rPr>
        <w:t>Aumento propuesto de las tarifas de gas por clase de cliente</w:t>
      </w:r>
    </w:p>
    <w:tbl>
      <w:tblPr>
        <w:tblStyle w:val="TableGrid"/>
        <w:tblW w:w="0" w:type="auto"/>
        <w:tblLook w:val="04A0" w:firstRow="1" w:lastRow="0" w:firstColumn="1" w:lastColumn="0" w:noHBand="0" w:noVBand="1"/>
      </w:tblPr>
      <w:tblGrid>
        <w:gridCol w:w="3116"/>
        <w:gridCol w:w="3117"/>
        <w:gridCol w:w="3117"/>
      </w:tblGrid>
      <w:tr w:rsidR="003910ED" w:rsidRPr="00E76833" w14:paraId="1ACB9E7C" w14:textId="77777777" w:rsidTr="009F29A6">
        <w:tc>
          <w:tcPr>
            <w:tcW w:w="3116" w:type="dxa"/>
          </w:tcPr>
          <w:p w14:paraId="7ED120F4" w14:textId="67E7EB1E" w:rsidR="003910ED" w:rsidRPr="00E76833" w:rsidRDefault="000E58E0" w:rsidP="009F29A6">
            <w:pPr>
              <w:rPr>
                <w:rFonts w:ascii="Times New Roman" w:hAnsi="Times New Roman" w:cs="Times New Roman"/>
                <w:lang w:val="es-ES_tradnl"/>
              </w:rPr>
            </w:pPr>
            <w:r w:rsidRPr="00E76833">
              <w:rPr>
                <w:rFonts w:ascii="Times New Roman" w:hAnsi="Times New Roman" w:cs="Times New Roman"/>
                <w:lang w:val="es-ES_tradnl"/>
              </w:rPr>
              <w:t>Clase de cliente</w:t>
            </w:r>
          </w:p>
        </w:tc>
        <w:tc>
          <w:tcPr>
            <w:tcW w:w="3117" w:type="dxa"/>
          </w:tcPr>
          <w:p w14:paraId="37EA2CB9" w14:textId="16D4AFD9" w:rsidR="003910ED" w:rsidRPr="00E76833" w:rsidRDefault="000E58E0" w:rsidP="000E58E0">
            <w:pPr>
              <w:jc w:val="center"/>
              <w:rPr>
                <w:rFonts w:ascii="Times New Roman" w:hAnsi="Times New Roman" w:cs="Times New Roman"/>
                <w:lang w:val="es-ES_tradnl"/>
              </w:rPr>
            </w:pPr>
            <w:r w:rsidRPr="00E76833">
              <w:rPr>
                <w:rFonts w:ascii="Times New Roman" w:hAnsi="Times New Roman" w:cs="Times New Roman"/>
                <w:lang w:val="es-ES_tradnl"/>
              </w:rPr>
              <w:t xml:space="preserve">Aumento tarifario propuesto </w:t>
            </w:r>
            <w:r w:rsidR="003910ED" w:rsidRPr="00E76833">
              <w:rPr>
                <w:rFonts w:ascii="Times New Roman" w:hAnsi="Times New Roman" w:cs="Times New Roman"/>
                <w:lang w:val="es-ES_tradnl"/>
              </w:rPr>
              <w:t>(ȼ/t</w:t>
            </w:r>
            <w:r w:rsidR="00E76833">
              <w:rPr>
                <w:rFonts w:ascii="Times New Roman" w:hAnsi="Times New Roman" w:cs="Times New Roman"/>
                <w:lang w:val="es-ES_tradnl"/>
              </w:rPr>
              <w:t>ermia</w:t>
            </w:r>
            <w:r w:rsidR="003910ED" w:rsidRPr="00E76833">
              <w:rPr>
                <w:rFonts w:ascii="Times New Roman" w:hAnsi="Times New Roman" w:cs="Times New Roman"/>
                <w:lang w:val="es-ES_tradnl"/>
              </w:rPr>
              <w:t>)</w:t>
            </w:r>
          </w:p>
        </w:tc>
        <w:tc>
          <w:tcPr>
            <w:tcW w:w="3117" w:type="dxa"/>
          </w:tcPr>
          <w:p w14:paraId="2DC28741" w14:textId="3FAE702D" w:rsidR="003910ED" w:rsidRPr="00E76833" w:rsidRDefault="000E58E0" w:rsidP="000E58E0">
            <w:pPr>
              <w:jc w:val="center"/>
              <w:rPr>
                <w:rFonts w:ascii="Times New Roman" w:hAnsi="Times New Roman" w:cs="Times New Roman"/>
                <w:lang w:val="es-ES_tradnl"/>
              </w:rPr>
            </w:pPr>
            <w:r w:rsidRPr="00E76833">
              <w:rPr>
                <w:rFonts w:ascii="Times New Roman" w:hAnsi="Times New Roman" w:cs="Times New Roman"/>
                <w:lang w:val="es-ES_tradnl"/>
              </w:rPr>
              <w:t xml:space="preserve">Aumento tarifario porcentual </w:t>
            </w:r>
            <w:r w:rsidR="003910ED" w:rsidRPr="00E76833">
              <w:rPr>
                <w:rFonts w:ascii="Times New Roman" w:hAnsi="Times New Roman" w:cs="Times New Roman"/>
                <w:lang w:val="es-ES_tradnl"/>
              </w:rPr>
              <w:t>(%)</w:t>
            </w:r>
          </w:p>
        </w:tc>
      </w:tr>
      <w:tr w:rsidR="003910ED" w:rsidRPr="00E76833" w14:paraId="782404D7" w14:textId="77777777" w:rsidTr="009F29A6">
        <w:tc>
          <w:tcPr>
            <w:tcW w:w="3116" w:type="dxa"/>
          </w:tcPr>
          <w:p w14:paraId="108BB4AC" w14:textId="2B91A07B"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Residen</w:t>
            </w:r>
            <w:r w:rsidR="000E58E0" w:rsidRPr="00E76833">
              <w:rPr>
                <w:rFonts w:ascii="Times New Roman" w:hAnsi="Times New Roman" w:cs="Times New Roman"/>
                <w:lang w:val="es-ES_tradnl"/>
              </w:rPr>
              <w:t>c</w:t>
            </w:r>
            <w:r w:rsidRPr="00E76833">
              <w:rPr>
                <w:rFonts w:ascii="Times New Roman" w:hAnsi="Times New Roman" w:cs="Times New Roman"/>
                <w:lang w:val="es-ES_tradnl"/>
              </w:rPr>
              <w:t>ial</w:t>
            </w:r>
          </w:p>
        </w:tc>
        <w:tc>
          <w:tcPr>
            <w:tcW w:w="3117" w:type="dxa"/>
            <w:tcBorders>
              <w:top w:val="nil"/>
              <w:left w:val="nil"/>
              <w:bottom w:val="single" w:sz="8" w:space="0" w:color="auto"/>
              <w:right w:val="single" w:sz="8" w:space="0" w:color="auto"/>
            </w:tcBorders>
            <w:vAlign w:val="center"/>
          </w:tcPr>
          <w:p w14:paraId="5A9ED1BF" w14:textId="7D777FC8"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2.31</w:t>
            </w:r>
            <w:r w:rsidR="00AC70A6" w:rsidRPr="00E76833">
              <w:rPr>
                <w:rFonts w:ascii="Times New Roman" w:hAnsi="Times New Roman" w:cs="Times New Roman"/>
                <w:lang w:val="es-ES_tradnl"/>
              </w:rPr>
              <w:t>4</w:t>
            </w:r>
            <w:r w:rsidRPr="00E76833">
              <w:rPr>
                <w:rFonts w:ascii="Times New Roman" w:hAnsi="Times New Roman" w:cs="Times New Roman"/>
                <w:lang w:val="es-ES_tradnl"/>
              </w:rPr>
              <w:t xml:space="preserve"> ¢</w:t>
            </w:r>
          </w:p>
        </w:tc>
        <w:tc>
          <w:tcPr>
            <w:tcW w:w="3117" w:type="dxa"/>
            <w:tcBorders>
              <w:top w:val="nil"/>
              <w:left w:val="nil"/>
              <w:bottom w:val="single" w:sz="8" w:space="0" w:color="auto"/>
              <w:right w:val="single" w:sz="8" w:space="0" w:color="auto"/>
            </w:tcBorders>
            <w:vAlign w:val="center"/>
          </w:tcPr>
          <w:p w14:paraId="19E16D1F" w14:textId="5726F8FB"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1.1%</w:t>
            </w:r>
          </w:p>
        </w:tc>
      </w:tr>
      <w:tr w:rsidR="003910ED" w:rsidRPr="00E76833" w14:paraId="028CA5FD" w14:textId="77777777" w:rsidTr="009F29A6">
        <w:tc>
          <w:tcPr>
            <w:tcW w:w="3116" w:type="dxa"/>
          </w:tcPr>
          <w:p w14:paraId="18DAB05B" w14:textId="0CC66022"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Comercial</w:t>
            </w:r>
          </w:p>
        </w:tc>
        <w:tc>
          <w:tcPr>
            <w:tcW w:w="3117" w:type="dxa"/>
            <w:tcBorders>
              <w:top w:val="nil"/>
              <w:left w:val="nil"/>
              <w:bottom w:val="single" w:sz="8" w:space="0" w:color="auto"/>
              <w:right w:val="single" w:sz="8" w:space="0" w:color="auto"/>
            </w:tcBorders>
            <w:vAlign w:val="center"/>
          </w:tcPr>
          <w:p w14:paraId="18AC5D77" w14:textId="36899629"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0.67</w:t>
            </w:r>
            <w:r w:rsidR="00236C2C" w:rsidRPr="00E76833">
              <w:rPr>
                <w:rFonts w:ascii="Times New Roman" w:hAnsi="Times New Roman" w:cs="Times New Roman"/>
                <w:lang w:val="es-ES_tradnl"/>
              </w:rPr>
              <w:t>4</w:t>
            </w:r>
            <w:r w:rsidRPr="00E76833">
              <w:rPr>
                <w:rFonts w:ascii="Times New Roman" w:hAnsi="Times New Roman" w:cs="Times New Roman"/>
                <w:lang w:val="es-ES_tradnl"/>
              </w:rPr>
              <w:t xml:space="preserve"> ¢</w:t>
            </w:r>
          </w:p>
        </w:tc>
        <w:tc>
          <w:tcPr>
            <w:tcW w:w="3117" w:type="dxa"/>
            <w:tcBorders>
              <w:top w:val="nil"/>
              <w:left w:val="nil"/>
              <w:bottom w:val="single" w:sz="8" w:space="0" w:color="auto"/>
              <w:right w:val="single" w:sz="8" w:space="0" w:color="auto"/>
            </w:tcBorders>
            <w:vAlign w:val="center"/>
          </w:tcPr>
          <w:p w14:paraId="278A5FDF" w14:textId="1162D72A"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0.8%</w:t>
            </w:r>
          </w:p>
        </w:tc>
      </w:tr>
      <w:tr w:rsidR="003910ED" w:rsidRPr="00E76833" w14:paraId="01626344" w14:textId="77777777" w:rsidTr="009F29A6">
        <w:tc>
          <w:tcPr>
            <w:tcW w:w="3116" w:type="dxa"/>
          </w:tcPr>
          <w:p w14:paraId="68C88252" w14:textId="1E8A8584" w:rsidR="003910ED" w:rsidRPr="00E76833" w:rsidRDefault="005F03F0" w:rsidP="009F29A6">
            <w:pPr>
              <w:rPr>
                <w:rFonts w:ascii="Times New Roman" w:hAnsi="Times New Roman" w:cs="Times New Roman"/>
                <w:lang w:val="es-ES_tradnl"/>
              </w:rPr>
            </w:pPr>
            <w:r w:rsidRPr="00E76833">
              <w:rPr>
                <w:rFonts w:ascii="Times New Roman" w:hAnsi="Times New Roman" w:cs="Times New Roman"/>
                <w:lang w:val="es-ES_tradnl"/>
              </w:rPr>
              <w:t>Vehículos de gas natural</w:t>
            </w:r>
          </w:p>
        </w:tc>
        <w:tc>
          <w:tcPr>
            <w:tcW w:w="3117" w:type="dxa"/>
            <w:tcBorders>
              <w:top w:val="nil"/>
              <w:left w:val="nil"/>
              <w:bottom w:val="single" w:sz="8" w:space="0" w:color="auto"/>
              <w:right w:val="single" w:sz="8" w:space="0" w:color="auto"/>
            </w:tcBorders>
            <w:vAlign w:val="center"/>
          </w:tcPr>
          <w:p w14:paraId="6F3C7275" w14:textId="4AC89697"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0.225 ¢</w:t>
            </w:r>
          </w:p>
        </w:tc>
        <w:tc>
          <w:tcPr>
            <w:tcW w:w="3117" w:type="dxa"/>
            <w:tcBorders>
              <w:top w:val="nil"/>
              <w:left w:val="nil"/>
              <w:bottom w:val="single" w:sz="8" w:space="0" w:color="auto"/>
              <w:right w:val="single" w:sz="8" w:space="0" w:color="auto"/>
            </w:tcBorders>
            <w:vAlign w:val="center"/>
          </w:tcPr>
          <w:p w14:paraId="7CFFEE35" w14:textId="735CD697"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0.7%</w:t>
            </w:r>
          </w:p>
        </w:tc>
      </w:tr>
      <w:tr w:rsidR="003910ED" w:rsidRPr="00E76833" w14:paraId="0852E5F2" w14:textId="77777777" w:rsidTr="009F29A6">
        <w:tc>
          <w:tcPr>
            <w:tcW w:w="3116" w:type="dxa"/>
          </w:tcPr>
          <w:p w14:paraId="6C5FDEBB" w14:textId="4D3850BA" w:rsidR="003910ED" w:rsidRPr="00E76833" w:rsidRDefault="00D16522" w:rsidP="009F29A6">
            <w:pPr>
              <w:rPr>
                <w:rFonts w:ascii="Times New Roman" w:hAnsi="Times New Roman" w:cs="Times New Roman"/>
                <w:lang w:val="es-ES_tradnl"/>
              </w:rPr>
            </w:pPr>
            <w:r w:rsidRPr="00E76833">
              <w:rPr>
                <w:rFonts w:ascii="Times New Roman" w:hAnsi="Times New Roman" w:cs="Times New Roman"/>
                <w:lang w:val="es-ES_tradnl"/>
              </w:rPr>
              <w:t>Industrial grande (servicio a nivel de distribución)</w:t>
            </w:r>
          </w:p>
        </w:tc>
        <w:tc>
          <w:tcPr>
            <w:tcW w:w="3117" w:type="dxa"/>
            <w:tcBorders>
              <w:top w:val="nil"/>
              <w:left w:val="nil"/>
              <w:bottom w:val="single" w:sz="8" w:space="0" w:color="auto"/>
              <w:right w:val="single" w:sz="8" w:space="0" w:color="auto"/>
            </w:tcBorders>
            <w:vAlign w:val="center"/>
          </w:tcPr>
          <w:p w14:paraId="34F092E3" w14:textId="09F386C0"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0.246 ¢</w:t>
            </w:r>
          </w:p>
        </w:tc>
        <w:tc>
          <w:tcPr>
            <w:tcW w:w="3117" w:type="dxa"/>
            <w:tcBorders>
              <w:top w:val="nil"/>
              <w:left w:val="nil"/>
              <w:bottom w:val="single" w:sz="8" w:space="0" w:color="auto"/>
              <w:right w:val="single" w:sz="8" w:space="0" w:color="auto"/>
            </w:tcBorders>
            <w:vAlign w:val="center"/>
          </w:tcPr>
          <w:p w14:paraId="0C3FD81F" w14:textId="353BCDDF"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0.6%</w:t>
            </w:r>
          </w:p>
        </w:tc>
      </w:tr>
      <w:tr w:rsidR="003910ED" w:rsidRPr="00E76833" w14:paraId="49D3F680" w14:textId="77777777" w:rsidTr="009F29A6">
        <w:tc>
          <w:tcPr>
            <w:tcW w:w="3116" w:type="dxa"/>
          </w:tcPr>
          <w:p w14:paraId="58D00953" w14:textId="506E5DA5" w:rsidR="003910ED" w:rsidRPr="00E76833" w:rsidRDefault="00E11ED2" w:rsidP="009F29A6">
            <w:pPr>
              <w:rPr>
                <w:rFonts w:ascii="Times New Roman" w:hAnsi="Times New Roman" w:cs="Times New Roman"/>
                <w:lang w:val="es-ES_tradnl"/>
              </w:rPr>
            </w:pPr>
            <w:r w:rsidRPr="00E76833">
              <w:rPr>
                <w:rFonts w:ascii="Times New Roman" w:hAnsi="Times New Roman" w:cs="Times New Roman"/>
                <w:lang w:val="es-ES_tradnl"/>
              </w:rPr>
              <w:t>Industrial grande (servicio a nivel de transmisión)</w:t>
            </w:r>
          </w:p>
        </w:tc>
        <w:tc>
          <w:tcPr>
            <w:tcW w:w="3117" w:type="dxa"/>
            <w:tcBorders>
              <w:top w:val="nil"/>
              <w:left w:val="nil"/>
              <w:bottom w:val="single" w:sz="8" w:space="0" w:color="auto"/>
              <w:right w:val="single" w:sz="8" w:space="0" w:color="auto"/>
            </w:tcBorders>
            <w:vAlign w:val="center"/>
          </w:tcPr>
          <w:p w14:paraId="4002A0AD" w14:textId="3EEDFF88"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0.042 ¢</w:t>
            </w:r>
          </w:p>
        </w:tc>
        <w:tc>
          <w:tcPr>
            <w:tcW w:w="3117" w:type="dxa"/>
            <w:tcBorders>
              <w:top w:val="nil"/>
              <w:left w:val="nil"/>
              <w:bottom w:val="single" w:sz="8" w:space="0" w:color="auto"/>
              <w:right w:val="single" w:sz="8" w:space="0" w:color="auto"/>
            </w:tcBorders>
            <w:vAlign w:val="center"/>
          </w:tcPr>
          <w:p w14:paraId="3FDAD96D" w14:textId="42759ACB"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0.5%</w:t>
            </w:r>
          </w:p>
        </w:tc>
      </w:tr>
      <w:tr w:rsidR="003910ED" w:rsidRPr="00E76833" w14:paraId="29588381" w14:textId="77777777" w:rsidTr="009F29A6">
        <w:tc>
          <w:tcPr>
            <w:tcW w:w="3116" w:type="dxa"/>
          </w:tcPr>
          <w:p w14:paraId="63A46669" w14:textId="65654198" w:rsidR="003910ED" w:rsidRPr="00E76833" w:rsidRDefault="00E11ED2" w:rsidP="009F29A6">
            <w:pPr>
              <w:rPr>
                <w:rFonts w:ascii="Times New Roman" w:hAnsi="Times New Roman" w:cs="Times New Roman"/>
                <w:lang w:val="es-ES_tradnl"/>
              </w:rPr>
            </w:pPr>
            <w:r w:rsidRPr="00E76833">
              <w:rPr>
                <w:rFonts w:ascii="Times New Roman" w:hAnsi="Times New Roman" w:cs="Times New Roman"/>
                <w:lang w:val="es-ES_tradnl"/>
              </w:rPr>
              <w:t>Tarifa promedio del sistema</w:t>
            </w:r>
          </w:p>
        </w:tc>
        <w:tc>
          <w:tcPr>
            <w:tcW w:w="3117" w:type="dxa"/>
            <w:tcBorders>
              <w:top w:val="nil"/>
              <w:left w:val="nil"/>
              <w:bottom w:val="single" w:sz="8" w:space="0" w:color="auto"/>
              <w:right w:val="single" w:sz="8" w:space="0" w:color="auto"/>
            </w:tcBorders>
            <w:vAlign w:val="center"/>
          </w:tcPr>
          <w:p w14:paraId="34F9C926" w14:textId="4DE79E3D"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0.95</w:t>
            </w:r>
            <w:r w:rsidR="002F407A" w:rsidRPr="00E76833">
              <w:rPr>
                <w:rFonts w:ascii="Times New Roman" w:hAnsi="Times New Roman" w:cs="Times New Roman"/>
                <w:lang w:val="es-ES_tradnl"/>
              </w:rPr>
              <w:t>4</w:t>
            </w:r>
            <w:r w:rsidRPr="00E76833">
              <w:rPr>
                <w:rFonts w:ascii="Times New Roman" w:hAnsi="Times New Roman" w:cs="Times New Roman"/>
                <w:lang w:val="es-ES_tradnl"/>
              </w:rPr>
              <w:t xml:space="preserve"> ¢</w:t>
            </w:r>
          </w:p>
        </w:tc>
        <w:tc>
          <w:tcPr>
            <w:tcW w:w="3117" w:type="dxa"/>
            <w:tcBorders>
              <w:top w:val="nil"/>
              <w:left w:val="nil"/>
              <w:bottom w:val="single" w:sz="8" w:space="0" w:color="auto"/>
              <w:right w:val="single" w:sz="8" w:space="0" w:color="auto"/>
            </w:tcBorders>
            <w:vAlign w:val="center"/>
          </w:tcPr>
          <w:p w14:paraId="6DA68C12" w14:textId="458F1F85" w:rsidR="003910ED" w:rsidRPr="00E76833" w:rsidRDefault="003910ED" w:rsidP="009F29A6">
            <w:pPr>
              <w:rPr>
                <w:rFonts w:ascii="Times New Roman" w:hAnsi="Times New Roman" w:cs="Times New Roman"/>
                <w:lang w:val="es-ES_tradnl"/>
              </w:rPr>
            </w:pPr>
            <w:r w:rsidRPr="00E76833">
              <w:rPr>
                <w:rFonts w:ascii="Times New Roman" w:hAnsi="Times New Roman" w:cs="Times New Roman"/>
                <w:lang w:val="es-ES_tradnl"/>
              </w:rPr>
              <w:t>1.0%</w:t>
            </w:r>
          </w:p>
        </w:tc>
      </w:tr>
    </w:tbl>
    <w:p w14:paraId="06FE63A4" w14:textId="77777777" w:rsidR="00CE4689" w:rsidRPr="00E76833" w:rsidRDefault="00CE4689" w:rsidP="00FB60F1">
      <w:pPr>
        <w:contextualSpacing/>
        <w:rPr>
          <w:rFonts w:ascii="Times New Roman" w:hAnsi="Times New Roman" w:cs="Times New Roman"/>
          <w:b/>
          <w:bCs/>
          <w:lang w:val="es-ES_tradnl"/>
        </w:rPr>
      </w:pPr>
    </w:p>
    <w:p w14:paraId="27F36E84" w14:textId="0A1929E8" w:rsidR="00FB60F1" w:rsidRPr="00E76833" w:rsidRDefault="00423E0C" w:rsidP="00FB60F1">
      <w:pPr>
        <w:contextualSpacing/>
        <w:rPr>
          <w:rFonts w:ascii="Times New Roman" w:hAnsi="Times New Roman" w:cs="Times New Roman"/>
          <w:b/>
          <w:bCs/>
          <w:lang w:val="es-ES_tradnl"/>
        </w:rPr>
      </w:pPr>
      <w:r w:rsidRPr="00E76833">
        <w:rPr>
          <w:rFonts w:ascii="Times New Roman" w:hAnsi="Times New Roman" w:cs="Times New Roman"/>
          <w:b/>
          <w:bCs/>
          <w:lang w:val="es-ES_tradnl"/>
        </w:rPr>
        <w:lastRenderedPageBreak/>
        <w:t>¿Cómo afectaría esto al cliente residencial promedio?</w:t>
      </w:r>
    </w:p>
    <w:p w14:paraId="4D253873" w14:textId="39F713F8" w:rsidR="00FB60F1" w:rsidRPr="00E76833" w:rsidRDefault="00EC0F1C" w:rsidP="00A82EC0">
      <w:pPr>
        <w:contextualSpacing/>
        <w:rPr>
          <w:rFonts w:ascii="Times New Roman" w:hAnsi="Times New Roman" w:cs="Times New Roman"/>
          <w:lang w:val="es-ES_tradnl"/>
        </w:rPr>
      </w:pPr>
      <w:r w:rsidRPr="00E76833">
        <w:rPr>
          <w:rFonts w:ascii="Times New Roman" w:hAnsi="Times New Roman" w:cs="Times New Roman"/>
          <w:lang w:val="es-ES_tradnl"/>
        </w:rPr>
        <w:t xml:space="preserve">Si se aprueba la solicitud, el cliente residencial típico de </w:t>
      </w:r>
      <w:r w:rsidR="00A82EC0" w:rsidRPr="00E76833">
        <w:rPr>
          <w:rFonts w:ascii="Times New Roman" w:hAnsi="Times New Roman" w:cs="Times New Roman"/>
          <w:lang w:val="es-ES_tradnl"/>
        </w:rPr>
        <w:t>electric</w:t>
      </w:r>
      <w:r w:rsidRPr="00E76833">
        <w:rPr>
          <w:rFonts w:ascii="Times New Roman" w:hAnsi="Times New Roman" w:cs="Times New Roman"/>
          <w:lang w:val="es-ES_tradnl"/>
        </w:rPr>
        <w:t xml:space="preserve">idad que consume </w:t>
      </w:r>
      <w:r w:rsidR="00A82EC0" w:rsidRPr="00E76833">
        <w:rPr>
          <w:rFonts w:ascii="Times New Roman" w:hAnsi="Times New Roman" w:cs="Times New Roman"/>
          <w:lang w:val="es-ES_tradnl"/>
        </w:rPr>
        <w:t xml:space="preserve">400 kWh </w:t>
      </w:r>
      <w:r w:rsidRPr="00E76833">
        <w:rPr>
          <w:rFonts w:ascii="Times New Roman" w:hAnsi="Times New Roman" w:cs="Times New Roman"/>
          <w:lang w:val="es-ES_tradnl"/>
        </w:rPr>
        <w:t xml:space="preserve">al mes </w:t>
      </w:r>
      <w:r w:rsidR="008F4D88" w:rsidRPr="00E76833">
        <w:rPr>
          <w:rFonts w:ascii="Times New Roman" w:hAnsi="Times New Roman" w:cs="Times New Roman"/>
          <w:lang w:val="es-ES_tradnl"/>
        </w:rPr>
        <w:t xml:space="preserve">vería un aumento en la factura mensual de aproximadamente </w:t>
      </w:r>
      <w:r w:rsidR="00A82EC0" w:rsidRPr="00E76833">
        <w:rPr>
          <w:rFonts w:ascii="Times New Roman" w:hAnsi="Times New Roman" w:cs="Times New Roman"/>
          <w:lang w:val="es-ES_tradnl"/>
        </w:rPr>
        <w:t>$</w:t>
      </w:r>
      <w:r w:rsidR="00F72496" w:rsidRPr="00E76833">
        <w:rPr>
          <w:rFonts w:ascii="Times New Roman" w:hAnsi="Times New Roman" w:cs="Times New Roman"/>
          <w:lang w:val="es-ES_tradnl"/>
        </w:rPr>
        <w:t>0.46</w:t>
      </w:r>
      <w:r w:rsidR="00A82EC0" w:rsidRPr="00E76833">
        <w:rPr>
          <w:rFonts w:ascii="Times New Roman" w:hAnsi="Times New Roman" w:cs="Times New Roman"/>
          <w:lang w:val="es-ES_tradnl"/>
        </w:rPr>
        <w:t xml:space="preserve">. </w:t>
      </w:r>
      <w:r w:rsidR="00C27CEA" w:rsidRPr="00E76833">
        <w:rPr>
          <w:rFonts w:ascii="Times New Roman" w:hAnsi="Times New Roman" w:cs="Times New Roman"/>
          <w:lang w:val="es-ES_tradnl"/>
        </w:rPr>
        <w:t xml:space="preserve">El cliente residencial típico de gas que consume </w:t>
      </w:r>
      <w:r w:rsidR="003E3BA4" w:rsidRPr="00E76833">
        <w:rPr>
          <w:rFonts w:ascii="Times New Roman" w:hAnsi="Times New Roman" w:cs="Times New Roman"/>
          <w:lang w:val="es-ES_tradnl"/>
        </w:rPr>
        <w:t xml:space="preserve">24 </w:t>
      </w:r>
      <w:r w:rsidR="00373876" w:rsidRPr="00E76833">
        <w:rPr>
          <w:rFonts w:ascii="Times New Roman" w:hAnsi="Times New Roman" w:cs="Times New Roman"/>
          <w:lang w:val="es-ES_tradnl"/>
        </w:rPr>
        <w:t xml:space="preserve">termias al mes vería un aumento en la factura mensual de aproximadamente </w:t>
      </w:r>
      <w:r w:rsidR="003E3BA4" w:rsidRPr="00E76833">
        <w:rPr>
          <w:rFonts w:ascii="Times New Roman" w:hAnsi="Times New Roman" w:cs="Times New Roman"/>
          <w:lang w:val="es-ES_tradnl"/>
        </w:rPr>
        <w:t xml:space="preserve">$0.54. </w:t>
      </w:r>
      <w:r w:rsidR="00AB7586" w:rsidRPr="00E76833">
        <w:rPr>
          <w:rFonts w:ascii="Times New Roman" w:hAnsi="Times New Roman" w:cs="Times New Roman"/>
          <w:lang w:val="es-ES_tradnl"/>
        </w:rPr>
        <w:t xml:space="preserve">Estos aumentos se aplicarán de forma gradual a partir de 2028 y hasta </w:t>
      </w:r>
      <w:r w:rsidR="00C55476" w:rsidRPr="00E76833">
        <w:rPr>
          <w:rFonts w:ascii="Times New Roman" w:hAnsi="Times New Roman" w:cs="Times New Roman"/>
          <w:lang w:val="es-ES_tradnl"/>
        </w:rPr>
        <w:t>2035</w:t>
      </w:r>
      <w:r w:rsidR="00A82EC0" w:rsidRPr="00E76833">
        <w:rPr>
          <w:rFonts w:ascii="Times New Roman" w:hAnsi="Times New Roman" w:cs="Times New Roman"/>
          <w:lang w:val="es-ES_tradnl"/>
        </w:rPr>
        <w:t>.</w:t>
      </w:r>
      <w:r w:rsidR="00253759" w:rsidRPr="00E76833">
        <w:rPr>
          <w:rStyle w:val="FootnoteReference"/>
          <w:rFonts w:ascii="Times New Roman" w:hAnsi="Times New Roman" w:cs="Times New Roman"/>
          <w:lang w:val="es-ES_tradnl"/>
        </w:rPr>
        <w:footnoteReference w:id="1"/>
      </w:r>
      <w:r w:rsidR="00A82EC0" w:rsidRPr="00E76833">
        <w:rPr>
          <w:rFonts w:ascii="Times New Roman" w:hAnsi="Times New Roman" w:cs="Times New Roman"/>
          <w:lang w:val="es-ES_tradnl"/>
        </w:rPr>
        <w:t xml:space="preserve"> </w:t>
      </w:r>
      <w:r w:rsidR="00C05119" w:rsidRPr="00E76833">
        <w:rPr>
          <w:rFonts w:ascii="Times New Roman" w:hAnsi="Times New Roman" w:cs="Times New Roman"/>
          <w:lang w:val="es-ES_tradnl"/>
        </w:rPr>
        <w:t>El impacto real variará en función del consumo, el territorio de referencia y otros factores</w:t>
      </w:r>
      <w:r w:rsidR="00A82EC0" w:rsidRPr="00E76833">
        <w:rPr>
          <w:rFonts w:ascii="Times New Roman" w:hAnsi="Times New Roman" w:cs="Times New Roman"/>
          <w:lang w:val="es-ES_tradnl"/>
        </w:rPr>
        <w:t>.</w:t>
      </w:r>
    </w:p>
    <w:p w14:paraId="343017C0" w14:textId="0DA94501" w:rsidR="00543C94" w:rsidRPr="00E76833" w:rsidRDefault="00543C94" w:rsidP="5ED2E5E8">
      <w:pPr>
        <w:contextualSpacing/>
        <w:rPr>
          <w:rFonts w:ascii="Times New Roman" w:hAnsi="Times New Roman" w:cs="Times New Roman"/>
          <w:b/>
          <w:bCs/>
          <w:lang w:val="es-ES_tradnl"/>
        </w:rPr>
      </w:pPr>
    </w:p>
    <w:p w14:paraId="61AFD8B0" w14:textId="6DE9A800" w:rsidR="00875FAB" w:rsidRPr="00E76833" w:rsidRDefault="00C05119" w:rsidP="5ED2E5E8">
      <w:pPr>
        <w:contextualSpacing/>
        <w:rPr>
          <w:rFonts w:ascii="Times New Roman" w:hAnsi="Times New Roman" w:cs="Times New Roman"/>
          <w:b/>
          <w:bCs/>
          <w:lang w:val="es-ES_tradnl"/>
        </w:rPr>
      </w:pPr>
      <w:r w:rsidRPr="00E76833">
        <w:rPr>
          <w:rFonts w:ascii="Times New Roman" w:hAnsi="Times New Roman" w:cs="Times New Roman"/>
          <w:b/>
          <w:bCs/>
          <w:lang w:val="es-ES_tradnl"/>
        </w:rPr>
        <w:t>Información adicional</w:t>
      </w:r>
    </w:p>
    <w:p w14:paraId="592753F1" w14:textId="475B058A" w:rsidR="00875FAB" w:rsidRPr="00E76833" w:rsidRDefault="008C6544" w:rsidP="5ED2E5E8">
      <w:pPr>
        <w:contextualSpacing/>
        <w:rPr>
          <w:rFonts w:ascii="Times New Roman" w:hAnsi="Times New Roman" w:cs="Times New Roman"/>
          <w:lang w:val="es-ES_tradnl"/>
        </w:rPr>
      </w:pPr>
      <w:r w:rsidRPr="00E76833">
        <w:rPr>
          <w:rFonts w:ascii="Times New Roman" w:hAnsi="Times New Roman" w:cs="Times New Roman"/>
          <w:lang w:val="es-ES_tradnl"/>
        </w:rPr>
        <w:t xml:space="preserve">Un juez de derecho administrativo celebrará audiencias, </w:t>
      </w:r>
      <w:r w:rsidR="00417D69" w:rsidRPr="00E76833">
        <w:rPr>
          <w:rFonts w:ascii="Times New Roman" w:hAnsi="Times New Roman" w:cs="Times New Roman"/>
          <w:lang w:val="es-ES_tradnl"/>
        </w:rPr>
        <w:t xml:space="preserve">y </w:t>
      </w:r>
      <w:r w:rsidRPr="00E76833">
        <w:rPr>
          <w:rFonts w:ascii="Times New Roman" w:hAnsi="Times New Roman" w:cs="Times New Roman"/>
          <w:lang w:val="es-ES_tradnl"/>
        </w:rPr>
        <w:t>examinará las pruebas, testimonios y comentarios públicos antes de elaborar una propuesta de resolución sobre esta solicitud. A continuación, los Comisionados de la CPUC votarán la resolución definitiva en una reunión pública</w:t>
      </w:r>
      <w:r w:rsidR="00875FAB" w:rsidRPr="00E76833">
        <w:rPr>
          <w:rFonts w:ascii="Times New Roman" w:hAnsi="Times New Roman" w:cs="Times New Roman"/>
          <w:lang w:val="es-ES_tradnl"/>
        </w:rPr>
        <w:t>.</w:t>
      </w:r>
    </w:p>
    <w:p w14:paraId="11D9CBCA" w14:textId="1E875FCB" w:rsidR="5ED2E5E8" w:rsidRPr="00E76833" w:rsidRDefault="5ED2E5E8" w:rsidP="5ED2E5E8">
      <w:pPr>
        <w:contextualSpacing/>
        <w:rPr>
          <w:rFonts w:ascii="Times New Roman" w:hAnsi="Times New Roman" w:cs="Times New Roman"/>
          <w:lang w:val="es-ES_tradnl"/>
        </w:rPr>
      </w:pPr>
    </w:p>
    <w:p w14:paraId="67F0E739" w14:textId="77A61957" w:rsidR="00875FAB" w:rsidRPr="00E76833" w:rsidRDefault="00DC2CE7" w:rsidP="5ED2E5E8">
      <w:pPr>
        <w:contextualSpacing/>
        <w:rPr>
          <w:rFonts w:ascii="Times New Roman" w:hAnsi="Times New Roman" w:cs="Times New Roman"/>
          <w:lang w:val="es-ES_tradnl"/>
        </w:rPr>
      </w:pPr>
      <w:r w:rsidRPr="00E76833">
        <w:rPr>
          <w:rFonts w:ascii="Times New Roman" w:hAnsi="Times New Roman" w:cs="Times New Roman"/>
          <w:lang w:val="es-ES_tradnl"/>
        </w:rPr>
        <w:t xml:space="preserve">Para obtener más información sobre la solicitud de la empresa de servicios públicos y enviar comentarios públicos, visite </w:t>
      </w:r>
      <w:r w:rsidR="331FF5B4" w:rsidRPr="00E76833">
        <w:rPr>
          <w:rFonts w:ascii="Times New Roman" w:hAnsi="Times New Roman" w:cs="Times New Roman"/>
          <w:lang w:val="es-ES_tradnl"/>
        </w:rPr>
        <w:t>[</w:t>
      </w:r>
      <w:hyperlink r:id="rId10">
        <w:r w:rsidR="5A5E1251" w:rsidRPr="00E76833">
          <w:rPr>
            <w:rStyle w:val="Hyperlink"/>
            <w:rFonts w:ascii="Times New Roman" w:hAnsi="Times New Roman" w:cs="Times New Roman"/>
            <w:lang w:val="es-ES_tradnl"/>
          </w:rPr>
          <w:t>apps.cpuc.ca.gov/</w:t>
        </w:r>
        <w:r w:rsidR="7E4D709D" w:rsidRPr="00E76833">
          <w:rPr>
            <w:rStyle w:val="Hyperlink"/>
            <w:rFonts w:ascii="Times New Roman" w:hAnsi="Times New Roman" w:cs="Times New Roman"/>
            <w:lang w:val="es-ES_tradnl"/>
          </w:rPr>
          <w:t>c</w:t>
        </w:r>
        <w:r w:rsidR="5A5E1251" w:rsidRPr="00E76833">
          <w:rPr>
            <w:rStyle w:val="Hyperlink"/>
            <w:rFonts w:ascii="Times New Roman" w:hAnsi="Times New Roman" w:cs="Times New Roman"/>
            <w:lang w:val="es-ES_tradnl"/>
          </w:rPr>
          <w:t>/A</w:t>
        </w:r>
        <w:r w:rsidR="00B42E01" w:rsidRPr="00E76833">
          <w:rPr>
            <w:rStyle w:val="Hyperlink"/>
            <w:rFonts w:ascii="Times New Roman" w:hAnsi="Times New Roman" w:cs="Times New Roman"/>
            <w:b/>
            <w:bCs/>
            <w:lang w:val="es-ES_tradnl"/>
          </w:rPr>
          <w:t xml:space="preserve">2605002 </w:t>
        </w:r>
      </w:hyperlink>
      <w:r w:rsidR="331FF5B4" w:rsidRPr="00E76833">
        <w:rPr>
          <w:rFonts w:ascii="Times New Roman" w:hAnsi="Times New Roman" w:cs="Times New Roman"/>
          <w:lang w:val="es-ES_tradnl"/>
        </w:rPr>
        <w:t>]</w:t>
      </w:r>
      <w:r w:rsidR="5A5E1251" w:rsidRPr="00E76833">
        <w:rPr>
          <w:rFonts w:ascii="Times New Roman" w:hAnsi="Times New Roman" w:cs="Times New Roman"/>
          <w:lang w:val="es-ES_tradnl"/>
        </w:rPr>
        <w:t>.</w:t>
      </w:r>
      <w:r w:rsidR="411E3E74" w:rsidRPr="00E76833">
        <w:rPr>
          <w:rFonts w:ascii="Times New Roman" w:hAnsi="Times New Roman" w:cs="Times New Roman"/>
          <w:lang w:val="es-ES_tradnl"/>
        </w:rPr>
        <w:t xml:space="preserve"> </w:t>
      </w:r>
      <w:r w:rsidR="003C24B0" w:rsidRPr="00E76833">
        <w:rPr>
          <w:rFonts w:ascii="Times New Roman" w:hAnsi="Times New Roman" w:cs="Times New Roman"/>
          <w:lang w:val="es-ES_tradnl"/>
        </w:rPr>
        <w:t xml:space="preserve">Si tiene alguna pregunta sobre cómo participar en asuntos relacionados con la CPUC, puede ponerse en contacto con la Oficina del Asesor Público enviando un mensaje de correo electrónico a: </w:t>
      </w:r>
      <w:hyperlink r:id="rId11">
        <w:r w:rsidR="51FEB5C4" w:rsidRPr="00E76833">
          <w:rPr>
            <w:rStyle w:val="Hyperlink"/>
            <w:rFonts w:ascii="Times New Roman" w:hAnsi="Times New Roman" w:cs="Times New Roman"/>
            <w:lang w:val="es-ES_tradnl"/>
          </w:rPr>
          <w:t>Public.Advisor@cpuc.ca.gov</w:t>
        </w:r>
      </w:hyperlink>
      <w:r w:rsidR="51FEB5C4" w:rsidRPr="00E76833">
        <w:rPr>
          <w:rFonts w:ascii="Times New Roman" w:hAnsi="Times New Roman" w:cs="Times New Roman"/>
          <w:lang w:val="es-ES_tradnl"/>
        </w:rPr>
        <w:t xml:space="preserve">, </w:t>
      </w:r>
      <w:r w:rsidR="007B23EB" w:rsidRPr="00E76833">
        <w:rPr>
          <w:rFonts w:ascii="Times New Roman" w:hAnsi="Times New Roman" w:cs="Times New Roman"/>
          <w:lang w:val="es-ES_tradnl"/>
        </w:rPr>
        <w:t xml:space="preserve">llamando al </w:t>
      </w:r>
      <w:r w:rsidR="411E3E74" w:rsidRPr="00E76833">
        <w:rPr>
          <w:rFonts w:ascii="Times New Roman" w:hAnsi="Times New Roman" w:cs="Times New Roman"/>
          <w:lang w:val="es-ES_tradnl"/>
        </w:rPr>
        <w:t>1-866-8</w:t>
      </w:r>
      <w:r w:rsidR="4DB574C3" w:rsidRPr="00E76833">
        <w:rPr>
          <w:rFonts w:ascii="Times New Roman" w:hAnsi="Times New Roman" w:cs="Times New Roman"/>
          <w:lang w:val="es-ES_tradnl"/>
        </w:rPr>
        <w:t>49</w:t>
      </w:r>
      <w:r w:rsidR="411E3E74" w:rsidRPr="00E76833">
        <w:rPr>
          <w:rFonts w:ascii="Times New Roman" w:hAnsi="Times New Roman" w:cs="Times New Roman"/>
          <w:lang w:val="es-ES_tradnl"/>
        </w:rPr>
        <w:t>-8390</w:t>
      </w:r>
      <w:r w:rsidR="00F04F60" w:rsidRPr="00E76833">
        <w:rPr>
          <w:rFonts w:ascii="Times New Roman" w:hAnsi="Times New Roman" w:cs="Times New Roman"/>
          <w:lang w:val="es-ES_tradnl"/>
        </w:rPr>
        <w:t xml:space="preserve"> o escribiendo a </w:t>
      </w:r>
      <w:r w:rsidR="2EA1335E" w:rsidRPr="00E76833">
        <w:rPr>
          <w:rFonts w:ascii="Times New Roman" w:hAnsi="Times New Roman" w:cs="Times New Roman"/>
          <w:lang w:val="es-ES_tradnl"/>
        </w:rPr>
        <w:t>505 Van Ness Ave.,</w:t>
      </w:r>
      <w:r w:rsidR="62A0842D" w:rsidRPr="00E76833">
        <w:rPr>
          <w:rFonts w:ascii="Times New Roman" w:hAnsi="Times New Roman" w:cs="Times New Roman"/>
          <w:lang w:val="es-ES_tradnl"/>
        </w:rPr>
        <w:t xml:space="preserve"> San Francisco, CA 94102</w:t>
      </w:r>
      <w:r w:rsidR="411E3E74" w:rsidRPr="00E76833">
        <w:rPr>
          <w:rFonts w:ascii="Times New Roman" w:hAnsi="Times New Roman" w:cs="Times New Roman"/>
          <w:lang w:val="es-ES_tradnl"/>
        </w:rPr>
        <w:t>.</w:t>
      </w:r>
      <w:r w:rsidR="0906A694" w:rsidRPr="00E76833">
        <w:rPr>
          <w:rFonts w:ascii="Times New Roman" w:hAnsi="Times New Roman" w:cs="Times New Roman"/>
          <w:lang w:val="es-ES_tradnl"/>
        </w:rPr>
        <w:t xml:space="preserve"> </w:t>
      </w:r>
      <w:r w:rsidR="009A76B6" w:rsidRPr="00E76833">
        <w:rPr>
          <w:rFonts w:ascii="Times New Roman" w:hAnsi="Times New Roman" w:cs="Times New Roman"/>
          <w:lang w:val="es-ES_tradnl"/>
        </w:rPr>
        <w:t xml:space="preserve">Sírvase hacer referencia a la solicitud </w:t>
      </w:r>
      <w:r w:rsidR="6BABC292" w:rsidRPr="00E76833">
        <w:rPr>
          <w:rFonts w:ascii="Times New Roman" w:hAnsi="Times New Roman" w:cs="Times New Roman"/>
          <w:lang w:val="es-ES_tradnl"/>
        </w:rPr>
        <w:t>[</w:t>
      </w:r>
      <w:r w:rsidR="0906A694" w:rsidRPr="00E76833">
        <w:rPr>
          <w:rFonts w:ascii="Times New Roman" w:hAnsi="Times New Roman" w:cs="Times New Roman"/>
          <w:lang w:val="es-ES_tradnl"/>
        </w:rPr>
        <w:t>A.</w:t>
      </w:r>
      <w:r w:rsidR="00524479" w:rsidRPr="00E76833">
        <w:rPr>
          <w:rFonts w:ascii="Times New Roman" w:hAnsi="Times New Roman" w:cs="Times New Roman"/>
          <w:lang w:val="es-ES_tradnl"/>
        </w:rPr>
        <w:t>26</w:t>
      </w:r>
      <w:r w:rsidR="0906A694" w:rsidRPr="00E76833">
        <w:rPr>
          <w:rFonts w:ascii="Times New Roman" w:hAnsi="Times New Roman" w:cs="Times New Roman"/>
          <w:lang w:val="es-ES_tradnl"/>
        </w:rPr>
        <w:t>-</w:t>
      </w:r>
      <w:r w:rsidR="00524479" w:rsidRPr="00E76833">
        <w:rPr>
          <w:rFonts w:ascii="Times New Roman" w:hAnsi="Times New Roman" w:cs="Times New Roman"/>
          <w:lang w:val="es-ES_tradnl"/>
        </w:rPr>
        <w:t>05</w:t>
      </w:r>
      <w:r w:rsidR="0906A694" w:rsidRPr="00E76833">
        <w:rPr>
          <w:rFonts w:ascii="Times New Roman" w:hAnsi="Times New Roman" w:cs="Times New Roman"/>
          <w:lang w:val="es-ES_tradnl"/>
        </w:rPr>
        <w:t>-</w:t>
      </w:r>
      <w:r w:rsidR="00315F16" w:rsidRPr="00E76833">
        <w:rPr>
          <w:rFonts w:ascii="Times New Roman" w:hAnsi="Times New Roman" w:cs="Times New Roman"/>
          <w:b/>
          <w:bCs/>
          <w:lang w:val="es-ES_tradnl"/>
        </w:rPr>
        <w:t>002</w:t>
      </w:r>
      <w:r w:rsidR="6BABC292" w:rsidRPr="00E76833">
        <w:rPr>
          <w:rFonts w:ascii="Times New Roman" w:hAnsi="Times New Roman" w:cs="Times New Roman"/>
          <w:lang w:val="es-ES_tradnl"/>
        </w:rPr>
        <w:t>]</w:t>
      </w:r>
      <w:r w:rsidR="0906A694" w:rsidRPr="00E76833">
        <w:rPr>
          <w:rFonts w:ascii="Times New Roman" w:hAnsi="Times New Roman" w:cs="Times New Roman"/>
          <w:lang w:val="es-ES_tradnl"/>
        </w:rPr>
        <w:t xml:space="preserve"> </w:t>
      </w:r>
      <w:r w:rsidR="00F632CE" w:rsidRPr="00E76833">
        <w:rPr>
          <w:rFonts w:ascii="Times New Roman" w:hAnsi="Times New Roman" w:cs="Times New Roman"/>
          <w:lang w:val="es-ES_tradnl"/>
        </w:rPr>
        <w:t xml:space="preserve">en cualquier comunicación que tenga con la </w:t>
      </w:r>
      <w:r w:rsidR="707043FD" w:rsidRPr="00E76833">
        <w:rPr>
          <w:rFonts w:ascii="Times New Roman" w:hAnsi="Times New Roman" w:cs="Times New Roman"/>
          <w:lang w:val="es-ES_tradnl"/>
        </w:rPr>
        <w:t>CPUC.</w:t>
      </w:r>
      <w:r w:rsidR="0906A694" w:rsidRPr="00E76833">
        <w:rPr>
          <w:rFonts w:ascii="Times New Roman" w:hAnsi="Times New Roman" w:cs="Times New Roman"/>
          <w:lang w:val="es-ES_tradnl"/>
        </w:rPr>
        <w:t xml:space="preserve"> </w:t>
      </w:r>
    </w:p>
    <w:p w14:paraId="40EB47E2" w14:textId="7B51FB15" w:rsidR="5ED2E5E8" w:rsidRPr="00E76833" w:rsidRDefault="5ED2E5E8" w:rsidP="5ED2E5E8">
      <w:pPr>
        <w:contextualSpacing/>
        <w:rPr>
          <w:rFonts w:ascii="Times New Roman" w:hAnsi="Times New Roman" w:cs="Times New Roman"/>
          <w:lang w:val="es-ES_tradnl"/>
        </w:rPr>
      </w:pPr>
    </w:p>
    <w:p w14:paraId="48BFE3C5" w14:textId="7ABDE954" w:rsidR="00CE70BF" w:rsidRPr="00E76833" w:rsidRDefault="00F632CE" w:rsidP="5ED2E5E8">
      <w:pPr>
        <w:contextualSpacing/>
        <w:rPr>
          <w:rFonts w:ascii="Times New Roman" w:hAnsi="Times New Roman" w:cs="Times New Roman"/>
          <w:b/>
          <w:bCs/>
          <w:lang w:val="es-ES_tradnl"/>
        </w:rPr>
      </w:pPr>
      <w:r w:rsidRPr="00E76833">
        <w:rPr>
          <w:rFonts w:ascii="Times New Roman" w:hAnsi="Times New Roman" w:cs="Times New Roman"/>
          <w:b/>
          <w:bCs/>
          <w:lang w:val="es-ES_tradnl"/>
        </w:rPr>
        <w:t>Preguntas acerca de la solicitud</w:t>
      </w:r>
    </w:p>
    <w:p w14:paraId="28D976DC" w14:textId="14CC4837" w:rsidR="00704A9D" w:rsidRPr="00E76833" w:rsidRDefault="0088712D" w:rsidP="5ED2E5E8">
      <w:pPr>
        <w:contextualSpacing/>
        <w:rPr>
          <w:rFonts w:ascii="Times New Roman" w:hAnsi="Times New Roman" w:cs="Times New Roman"/>
          <w:lang w:val="es-ES_tradnl"/>
        </w:rPr>
      </w:pPr>
      <w:r w:rsidRPr="00E76833">
        <w:rPr>
          <w:rFonts w:ascii="Times New Roman" w:hAnsi="Times New Roman" w:cs="Times New Roman"/>
          <w:lang w:val="es-ES_tradnl"/>
        </w:rPr>
        <w:t xml:space="preserve">Si tiene alguna pregunta relacionada con esta solicitud, póngase en contacto con </w:t>
      </w:r>
      <w:r w:rsidR="00BA3FC3" w:rsidRPr="00E76833">
        <w:rPr>
          <w:rFonts w:ascii="Times New Roman" w:hAnsi="Times New Roman" w:cs="Times New Roman"/>
          <w:lang w:val="es-ES_tradnl"/>
        </w:rPr>
        <w:t>SDG&amp;E</w:t>
      </w:r>
      <w:r w:rsidR="005B2501" w:rsidRPr="00E76833">
        <w:rPr>
          <w:rFonts w:ascii="Times New Roman" w:hAnsi="Times New Roman" w:cs="Times New Roman"/>
          <w:lang w:val="es-ES_tradnl"/>
        </w:rPr>
        <w:t xml:space="preserve"> </w:t>
      </w:r>
      <w:r w:rsidR="00563BCA" w:rsidRPr="00E76833">
        <w:rPr>
          <w:rFonts w:ascii="Times New Roman" w:hAnsi="Times New Roman" w:cs="Times New Roman"/>
          <w:lang w:val="es-ES_tradnl"/>
        </w:rPr>
        <w:t xml:space="preserve">enviando un mensaje de correo electrónico a: </w:t>
      </w:r>
      <w:r w:rsidR="00B35B50" w:rsidRPr="00E76833">
        <w:rPr>
          <w:rFonts w:ascii="Times New Roman" w:hAnsi="Times New Roman" w:cs="Times New Roman"/>
          <w:lang w:val="es-ES_tradnl"/>
        </w:rPr>
        <w:t>pdeang@socalgas.com</w:t>
      </w:r>
      <w:r w:rsidR="00DD1B5C" w:rsidRPr="00E76833">
        <w:rPr>
          <w:rFonts w:ascii="Times New Roman" w:hAnsi="Times New Roman" w:cs="Times New Roman"/>
          <w:lang w:val="es-ES_tradnl"/>
        </w:rPr>
        <w:t xml:space="preserve"> </w:t>
      </w:r>
      <w:r w:rsidR="007B0202" w:rsidRPr="00E76833">
        <w:rPr>
          <w:rFonts w:ascii="Times New Roman" w:hAnsi="Times New Roman" w:cs="Times New Roman"/>
          <w:lang w:val="es-ES_tradnl"/>
        </w:rPr>
        <w:t xml:space="preserve">o escribiendo a </w:t>
      </w:r>
      <w:r w:rsidR="00991673" w:rsidRPr="00E76833">
        <w:rPr>
          <w:rFonts w:ascii="Times New Roman" w:hAnsi="Times New Roman" w:cs="Times New Roman"/>
          <w:lang w:val="es-ES_tradnl"/>
        </w:rPr>
        <w:t xml:space="preserve">555 West </w:t>
      </w:r>
      <w:proofErr w:type="spellStart"/>
      <w:r w:rsidR="00991673" w:rsidRPr="00E76833">
        <w:rPr>
          <w:rFonts w:ascii="Times New Roman" w:hAnsi="Times New Roman" w:cs="Times New Roman"/>
          <w:lang w:val="es-ES_tradnl"/>
        </w:rPr>
        <w:t>Fifth</w:t>
      </w:r>
      <w:proofErr w:type="spellEnd"/>
      <w:r w:rsidR="00991673" w:rsidRPr="00E76833">
        <w:rPr>
          <w:rFonts w:ascii="Times New Roman" w:hAnsi="Times New Roman" w:cs="Times New Roman"/>
          <w:lang w:val="es-ES_tradnl"/>
        </w:rPr>
        <w:t xml:space="preserve"> Street, Los </w:t>
      </w:r>
      <w:proofErr w:type="spellStart"/>
      <w:r w:rsidR="00991673" w:rsidRPr="00E76833">
        <w:rPr>
          <w:rFonts w:ascii="Times New Roman" w:hAnsi="Times New Roman" w:cs="Times New Roman"/>
          <w:lang w:val="es-ES_tradnl"/>
        </w:rPr>
        <w:t>Angeles</w:t>
      </w:r>
      <w:proofErr w:type="spellEnd"/>
      <w:r w:rsidR="00991673" w:rsidRPr="00E76833">
        <w:rPr>
          <w:rFonts w:ascii="Times New Roman" w:hAnsi="Times New Roman" w:cs="Times New Roman"/>
          <w:lang w:val="es-ES_tradnl"/>
        </w:rPr>
        <w:t>, CA 90013</w:t>
      </w:r>
      <w:r w:rsidR="00007CCF" w:rsidRPr="00E76833">
        <w:rPr>
          <w:rFonts w:ascii="Times New Roman" w:hAnsi="Times New Roman" w:cs="Times New Roman"/>
          <w:lang w:val="es-ES_tradnl"/>
        </w:rPr>
        <w:t>,</w:t>
      </w:r>
      <w:r w:rsidR="001019D5" w:rsidRPr="00E76833">
        <w:rPr>
          <w:rFonts w:ascii="Times New Roman" w:hAnsi="Times New Roman" w:cs="Times New Roman"/>
          <w:lang w:val="es-ES_tradnl"/>
        </w:rPr>
        <w:t xml:space="preserve"> </w:t>
      </w:r>
      <w:r w:rsidR="00E44D23" w:rsidRPr="00E76833">
        <w:rPr>
          <w:rFonts w:ascii="Times New Roman" w:hAnsi="Times New Roman" w:cs="Times New Roman"/>
          <w:lang w:val="es-ES_tradnl"/>
        </w:rPr>
        <w:t xml:space="preserve">y haga referencia a la solicitud </w:t>
      </w:r>
      <w:r w:rsidR="00BA1450" w:rsidRPr="00E76833">
        <w:rPr>
          <w:rFonts w:ascii="Times New Roman" w:hAnsi="Times New Roman" w:cs="Times New Roman"/>
          <w:lang w:val="es-ES_tradnl"/>
        </w:rPr>
        <w:t>[</w:t>
      </w:r>
      <w:r w:rsidR="001019D5" w:rsidRPr="00E76833">
        <w:rPr>
          <w:rFonts w:ascii="Times New Roman" w:hAnsi="Times New Roman" w:cs="Times New Roman"/>
          <w:lang w:val="es-ES_tradnl"/>
        </w:rPr>
        <w:t>A.</w:t>
      </w:r>
      <w:r w:rsidR="00524479" w:rsidRPr="00E76833">
        <w:rPr>
          <w:rFonts w:ascii="Times New Roman" w:hAnsi="Times New Roman" w:cs="Times New Roman"/>
          <w:lang w:val="es-ES_tradnl"/>
        </w:rPr>
        <w:t>26</w:t>
      </w:r>
      <w:r w:rsidR="001019D5" w:rsidRPr="00E76833">
        <w:rPr>
          <w:rFonts w:ascii="Times New Roman" w:hAnsi="Times New Roman" w:cs="Times New Roman"/>
          <w:lang w:val="es-ES_tradnl"/>
        </w:rPr>
        <w:t>-</w:t>
      </w:r>
      <w:r w:rsidR="00524479" w:rsidRPr="00E76833">
        <w:rPr>
          <w:rFonts w:ascii="Times New Roman" w:hAnsi="Times New Roman" w:cs="Times New Roman"/>
          <w:lang w:val="es-ES_tradnl"/>
        </w:rPr>
        <w:t>05</w:t>
      </w:r>
      <w:r w:rsidR="001019D5" w:rsidRPr="00E76833">
        <w:rPr>
          <w:rFonts w:ascii="Times New Roman" w:hAnsi="Times New Roman" w:cs="Times New Roman"/>
          <w:lang w:val="es-ES_tradnl"/>
        </w:rPr>
        <w:t>-</w:t>
      </w:r>
      <w:r w:rsidR="00315F16" w:rsidRPr="00E76833">
        <w:rPr>
          <w:rFonts w:ascii="Times New Roman" w:hAnsi="Times New Roman" w:cs="Times New Roman"/>
          <w:b/>
          <w:bCs/>
          <w:lang w:val="es-ES_tradnl"/>
        </w:rPr>
        <w:t>002</w:t>
      </w:r>
      <w:r w:rsidR="00BA1450" w:rsidRPr="00E76833">
        <w:rPr>
          <w:rFonts w:ascii="Times New Roman" w:hAnsi="Times New Roman" w:cs="Times New Roman"/>
          <w:lang w:val="es-ES_tradnl"/>
        </w:rPr>
        <w:t>]</w:t>
      </w:r>
      <w:r w:rsidR="001019D5" w:rsidRPr="00E76833">
        <w:rPr>
          <w:rFonts w:ascii="Times New Roman" w:hAnsi="Times New Roman" w:cs="Times New Roman"/>
          <w:lang w:val="es-ES_tradnl"/>
        </w:rPr>
        <w:t xml:space="preserve"> SAP </w:t>
      </w:r>
      <w:proofErr w:type="spellStart"/>
      <w:r w:rsidR="001019D5" w:rsidRPr="00E76833">
        <w:rPr>
          <w:rFonts w:ascii="Times New Roman" w:hAnsi="Times New Roman" w:cs="Times New Roman"/>
          <w:lang w:val="es-ES_tradnl"/>
        </w:rPr>
        <w:t>Migration</w:t>
      </w:r>
      <w:proofErr w:type="spellEnd"/>
      <w:r w:rsidR="001019D5" w:rsidRPr="00E76833">
        <w:rPr>
          <w:rFonts w:ascii="Times New Roman" w:hAnsi="Times New Roman" w:cs="Times New Roman"/>
          <w:lang w:val="es-ES_tradnl"/>
        </w:rPr>
        <w:t xml:space="preserve"> </w:t>
      </w:r>
      <w:proofErr w:type="spellStart"/>
      <w:r w:rsidR="001019D5" w:rsidRPr="00E76833">
        <w:rPr>
          <w:rFonts w:ascii="Times New Roman" w:hAnsi="Times New Roman" w:cs="Times New Roman"/>
          <w:lang w:val="es-ES_tradnl"/>
        </w:rPr>
        <w:t>Program</w:t>
      </w:r>
      <w:proofErr w:type="spellEnd"/>
      <w:r w:rsidR="001019D5" w:rsidRPr="00E76833">
        <w:rPr>
          <w:rFonts w:ascii="Times New Roman" w:hAnsi="Times New Roman" w:cs="Times New Roman"/>
          <w:lang w:val="es-ES_tradnl"/>
        </w:rPr>
        <w:t>.</w:t>
      </w:r>
    </w:p>
    <w:p w14:paraId="2F0B4A06" w14:textId="7DB05FB2" w:rsidR="00704A9D" w:rsidRPr="00E76833" w:rsidRDefault="00704A9D">
      <w:pPr>
        <w:contextualSpacing/>
        <w:rPr>
          <w:rFonts w:ascii="Times New Roman" w:hAnsi="Times New Roman" w:cs="Times New Roman"/>
          <w:lang w:val="es-ES_tradnl"/>
        </w:rPr>
      </w:pPr>
    </w:p>
    <w:sectPr w:rsidR="00704A9D" w:rsidRPr="00E768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6D30" w14:textId="77777777" w:rsidR="00762280" w:rsidRDefault="00762280" w:rsidP="00905D88">
      <w:pPr>
        <w:spacing w:after="0" w:line="240" w:lineRule="auto"/>
      </w:pPr>
      <w:r>
        <w:separator/>
      </w:r>
    </w:p>
  </w:endnote>
  <w:endnote w:type="continuationSeparator" w:id="0">
    <w:p w14:paraId="05CD1D2F" w14:textId="77777777" w:rsidR="00762280" w:rsidRDefault="00762280" w:rsidP="0090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83354" w14:textId="77777777" w:rsidR="00762280" w:rsidRDefault="00762280" w:rsidP="00905D88">
      <w:pPr>
        <w:spacing w:after="0" w:line="240" w:lineRule="auto"/>
      </w:pPr>
      <w:r>
        <w:separator/>
      </w:r>
    </w:p>
  </w:footnote>
  <w:footnote w:type="continuationSeparator" w:id="0">
    <w:p w14:paraId="690AEB46" w14:textId="77777777" w:rsidR="00762280" w:rsidRDefault="00762280" w:rsidP="00905D88">
      <w:pPr>
        <w:spacing w:after="0" w:line="240" w:lineRule="auto"/>
      </w:pPr>
      <w:r>
        <w:continuationSeparator/>
      </w:r>
    </w:p>
  </w:footnote>
  <w:footnote w:id="1">
    <w:p w14:paraId="02EF2EF8" w14:textId="2929C5B2" w:rsidR="00253759" w:rsidRPr="00A659B3" w:rsidRDefault="00253759">
      <w:pPr>
        <w:pStyle w:val="FootnoteText"/>
        <w:rPr>
          <w:rFonts w:ascii="Times New Roman" w:hAnsi="Times New Roman" w:cs="Times New Roman"/>
          <w:b/>
          <w:bCs/>
          <w:sz w:val="22"/>
          <w:szCs w:val="22"/>
          <w:lang w:val="es-MX"/>
        </w:rPr>
      </w:pPr>
      <w:r w:rsidRPr="00927FAC">
        <w:rPr>
          <w:rStyle w:val="FootnoteReference"/>
          <w:rFonts w:ascii="Times New Roman" w:hAnsi="Times New Roman" w:cs="Times New Roman"/>
          <w:sz w:val="22"/>
          <w:szCs w:val="22"/>
        </w:rPr>
        <w:footnoteRef/>
      </w:r>
      <w:r w:rsidRPr="00EB78A7">
        <w:rPr>
          <w:rFonts w:ascii="Times New Roman" w:hAnsi="Times New Roman" w:cs="Times New Roman"/>
          <w:sz w:val="22"/>
          <w:szCs w:val="22"/>
          <w:lang w:val="es-MX"/>
        </w:rPr>
        <w:t xml:space="preserve"> </w:t>
      </w:r>
      <w:r w:rsidR="00EB78A7" w:rsidRPr="00EB78A7">
        <w:rPr>
          <w:rFonts w:ascii="Times New Roman" w:hAnsi="Times New Roman" w:cs="Times New Roman"/>
          <w:sz w:val="22"/>
          <w:szCs w:val="22"/>
          <w:lang w:val="es-ES_tradnl"/>
        </w:rPr>
        <w:t xml:space="preserve">Los requisitos de ingresos a partir de 2035 podrían incluirse en una futura solicitud de Revisión General de Tarifas de </w:t>
      </w:r>
      <w:r w:rsidR="00543C94" w:rsidRPr="00EB78A7">
        <w:rPr>
          <w:rFonts w:ascii="Times New Roman" w:hAnsi="Times New Roman" w:cs="Times New Roman"/>
          <w:sz w:val="22"/>
          <w:szCs w:val="22"/>
          <w:lang w:val="es-MX"/>
        </w:rPr>
        <w:t xml:space="preserve">SDG&amp;E. </w:t>
      </w:r>
      <w:r w:rsidR="005F51AB" w:rsidRPr="005F51AB">
        <w:rPr>
          <w:rFonts w:ascii="Times New Roman" w:hAnsi="Times New Roman" w:cs="Times New Roman"/>
          <w:sz w:val="22"/>
          <w:szCs w:val="22"/>
          <w:lang w:val="es-MX"/>
        </w:rPr>
        <w:t>SDG&amp;E solicitará a la FERC la recuperación de los costos y beneficios sujetos a la jurisdicción de la propia FERC, así como de los requisitos de ingresos asociados.</w:t>
      </w:r>
      <w:r w:rsidR="00543C94" w:rsidRPr="005F51AB">
        <w:rPr>
          <w:rFonts w:ascii="Times New Roman" w:hAnsi="Times New Roman" w:cs="Times New Roman"/>
          <w:b/>
          <w:bCs/>
          <w:sz w:val="22"/>
          <w:szCs w:val="22"/>
          <w:lang w:val="es-MX"/>
        </w:rPr>
        <w:t xml:space="preserve"> </w:t>
      </w:r>
      <w:r w:rsidR="00A659B3" w:rsidRPr="00A659B3">
        <w:rPr>
          <w:rFonts w:ascii="Times New Roman" w:hAnsi="Times New Roman" w:cs="Times New Roman"/>
          <w:sz w:val="22"/>
          <w:szCs w:val="22"/>
          <w:lang w:val="es-MX"/>
        </w:rPr>
        <w:t>Los aumentos en las facturas y las tarifas, tanto de electricidad como de gas, se han calculado comparando el año 2028 —que es el año en que el impacto en las facturas alcanzará su punto máximo— con las tarifas vigentes en la actualidad (4/1/2026 para electricidad y 3/1/2026 para gas).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B0"/>
    <w:rsid w:val="00000E96"/>
    <w:rsid w:val="000077B0"/>
    <w:rsid w:val="00007CCF"/>
    <w:rsid w:val="0001377B"/>
    <w:rsid w:val="00025477"/>
    <w:rsid w:val="0004129B"/>
    <w:rsid w:val="000602D1"/>
    <w:rsid w:val="00060E4A"/>
    <w:rsid w:val="0006642C"/>
    <w:rsid w:val="00074A1B"/>
    <w:rsid w:val="00077A5E"/>
    <w:rsid w:val="000861D5"/>
    <w:rsid w:val="00092B09"/>
    <w:rsid w:val="00094884"/>
    <w:rsid w:val="000958ED"/>
    <w:rsid w:val="0009674A"/>
    <w:rsid w:val="0009721C"/>
    <w:rsid w:val="000A4CE7"/>
    <w:rsid w:val="000C0785"/>
    <w:rsid w:val="000C124C"/>
    <w:rsid w:val="000D145C"/>
    <w:rsid w:val="000D3D3C"/>
    <w:rsid w:val="000D5595"/>
    <w:rsid w:val="000E4524"/>
    <w:rsid w:val="000E58E0"/>
    <w:rsid w:val="000F2DF0"/>
    <w:rsid w:val="000F6FDD"/>
    <w:rsid w:val="001019D5"/>
    <w:rsid w:val="0011313E"/>
    <w:rsid w:val="00114BDD"/>
    <w:rsid w:val="001379CD"/>
    <w:rsid w:val="0015212D"/>
    <w:rsid w:val="0016136B"/>
    <w:rsid w:val="00164AC0"/>
    <w:rsid w:val="0017331A"/>
    <w:rsid w:val="00175956"/>
    <w:rsid w:val="00177A1B"/>
    <w:rsid w:val="00184EB3"/>
    <w:rsid w:val="0019376A"/>
    <w:rsid w:val="00194DC9"/>
    <w:rsid w:val="00197494"/>
    <w:rsid w:val="001A51A8"/>
    <w:rsid w:val="001A76DF"/>
    <w:rsid w:val="001B46A5"/>
    <w:rsid w:val="001B7631"/>
    <w:rsid w:val="001C3D5A"/>
    <w:rsid w:val="001C77CC"/>
    <w:rsid w:val="001E06DA"/>
    <w:rsid w:val="001E54C5"/>
    <w:rsid w:val="001E752A"/>
    <w:rsid w:val="001E7DFB"/>
    <w:rsid w:val="001F1428"/>
    <w:rsid w:val="001F2BF3"/>
    <w:rsid w:val="001F35A2"/>
    <w:rsid w:val="001F401C"/>
    <w:rsid w:val="001F6DBA"/>
    <w:rsid w:val="00203B0A"/>
    <w:rsid w:val="00214EF7"/>
    <w:rsid w:val="00217AAA"/>
    <w:rsid w:val="00223F66"/>
    <w:rsid w:val="00233D8B"/>
    <w:rsid w:val="00236C2C"/>
    <w:rsid w:val="0025189E"/>
    <w:rsid w:val="00251993"/>
    <w:rsid w:val="002534D7"/>
    <w:rsid w:val="00253759"/>
    <w:rsid w:val="00260280"/>
    <w:rsid w:val="002637EE"/>
    <w:rsid w:val="0027224B"/>
    <w:rsid w:val="002816D2"/>
    <w:rsid w:val="00292187"/>
    <w:rsid w:val="002935A5"/>
    <w:rsid w:val="002A0512"/>
    <w:rsid w:val="002A2B76"/>
    <w:rsid w:val="002A7BC1"/>
    <w:rsid w:val="002B2D6C"/>
    <w:rsid w:val="002B62E3"/>
    <w:rsid w:val="002B79DA"/>
    <w:rsid w:val="002C1E5F"/>
    <w:rsid w:val="002E4BAE"/>
    <w:rsid w:val="002E7EA3"/>
    <w:rsid w:val="002F407A"/>
    <w:rsid w:val="002F7633"/>
    <w:rsid w:val="002F76ED"/>
    <w:rsid w:val="003046B7"/>
    <w:rsid w:val="0030478A"/>
    <w:rsid w:val="0030682F"/>
    <w:rsid w:val="00311795"/>
    <w:rsid w:val="00313845"/>
    <w:rsid w:val="00314589"/>
    <w:rsid w:val="00315F16"/>
    <w:rsid w:val="003219AD"/>
    <w:rsid w:val="00325388"/>
    <w:rsid w:val="00331424"/>
    <w:rsid w:val="00334C03"/>
    <w:rsid w:val="00341D1F"/>
    <w:rsid w:val="00350270"/>
    <w:rsid w:val="003512E9"/>
    <w:rsid w:val="00351A87"/>
    <w:rsid w:val="00361DAF"/>
    <w:rsid w:val="003643C9"/>
    <w:rsid w:val="00364495"/>
    <w:rsid w:val="00370E99"/>
    <w:rsid w:val="0037101E"/>
    <w:rsid w:val="00373876"/>
    <w:rsid w:val="003752C4"/>
    <w:rsid w:val="0038228D"/>
    <w:rsid w:val="00383367"/>
    <w:rsid w:val="00384564"/>
    <w:rsid w:val="00384F29"/>
    <w:rsid w:val="003910ED"/>
    <w:rsid w:val="003915A0"/>
    <w:rsid w:val="00391CB7"/>
    <w:rsid w:val="003925AC"/>
    <w:rsid w:val="003A1D30"/>
    <w:rsid w:val="003A2271"/>
    <w:rsid w:val="003A3E3E"/>
    <w:rsid w:val="003B1B2F"/>
    <w:rsid w:val="003B2663"/>
    <w:rsid w:val="003C24B0"/>
    <w:rsid w:val="003C57B0"/>
    <w:rsid w:val="003C5EE8"/>
    <w:rsid w:val="003D5D6F"/>
    <w:rsid w:val="003E3BA4"/>
    <w:rsid w:val="003E7A7A"/>
    <w:rsid w:val="003F7D88"/>
    <w:rsid w:val="00400257"/>
    <w:rsid w:val="0040387F"/>
    <w:rsid w:val="00403BBF"/>
    <w:rsid w:val="00404393"/>
    <w:rsid w:val="00412D73"/>
    <w:rsid w:val="0041575D"/>
    <w:rsid w:val="004178C7"/>
    <w:rsid w:val="00417D69"/>
    <w:rsid w:val="00423E0C"/>
    <w:rsid w:val="00425B3D"/>
    <w:rsid w:val="00430FD7"/>
    <w:rsid w:val="00433AC8"/>
    <w:rsid w:val="004340F0"/>
    <w:rsid w:val="0043793E"/>
    <w:rsid w:val="00440A78"/>
    <w:rsid w:val="00447BFE"/>
    <w:rsid w:val="00462237"/>
    <w:rsid w:val="0048388F"/>
    <w:rsid w:val="00485B6B"/>
    <w:rsid w:val="00490D08"/>
    <w:rsid w:val="004922F3"/>
    <w:rsid w:val="004938B7"/>
    <w:rsid w:val="004A589A"/>
    <w:rsid w:val="004B27DC"/>
    <w:rsid w:val="004C1297"/>
    <w:rsid w:val="004C55C3"/>
    <w:rsid w:val="004C641E"/>
    <w:rsid w:val="004C73FF"/>
    <w:rsid w:val="004D2952"/>
    <w:rsid w:val="004D3A18"/>
    <w:rsid w:val="004D79F1"/>
    <w:rsid w:val="004F03BB"/>
    <w:rsid w:val="004F0606"/>
    <w:rsid w:val="004F6750"/>
    <w:rsid w:val="004F785A"/>
    <w:rsid w:val="005038CC"/>
    <w:rsid w:val="00504165"/>
    <w:rsid w:val="0050442E"/>
    <w:rsid w:val="005106FC"/>
    <w:rsid w:val="00514022"/>
    <w:rsid w:val="00517065"/>
    <w:rsid w:val="00522E95"/>
    <w:rsid w:val="00524479"/>
    <w:rsid w:val="00531BF2"/>
    <w:rsid w:val="00532054"/>
    <w:rsid w:val="005351EA"/>
    <w:rsid w:val="00543C94"/>
    <w:rsid w:val="00555F25"/>
    <w:rsid w:val="00561CFF"/>
    <w:rsid w:val="00563916"/>
    <w:rsid w:val="00563BCA"/>
    <w:rsid w:val="00563EB9"/>
    <w:rsid w:val="00570DD8"/>
    <w:rsid w:val="00572E25"/>
    <w:rsid w:val="00574085"/>
    <w:rsid w:val="00580791"/>
    <w:rsid w:val="00591319"/>
    <w:rsid w:val="0059251F"/>
    <w:rsid w:val="005A20AC"/>
    <w:rsid w:val="005A2CDD"/>
    <w:rsid w:val="005B2501"/>
    <w:rsid w:val="005B2FDA"/>
    <w:rsid w:val="005B39FA"/>
    <w:rsid w:val="005B5E3F"/>
    <w:rsid w:val="005C2C39"/>
    <w:rsid w:val="005C5963"/>
    <w:rsid w:val="005C5C39"/>
    <w:rsid w:val="005D288D"/>
    <w:rsid w:val="005D4CB0"/>
    <w:rsid w:val="005E5E06"/>
    <w:rsid w:val="005E715D"/>
    <w:rsid w:val="005E747E"/>
    <w:rsid w:val="005F03F0"/>
    <w:rsid w:val="005F1D51"/>
    <w:rsid w:val="005F51AB"/>
    <w:rsid w:val="00601121"/>
    <w:rsid w:val="00602AFA"/>
    <w:rsid w:val="00605E57"/>
    <w:rsid w:val="0061592C"/>
    <w:rsid w:val="0061672D"/>
    <w:rsid w:val="00617A43"/>
    <w:rsid w:val="00621583"/>
    <w:rsid w:val="00622664"/>
    <w:rsid w:val="006307FE"/>
    <w:rsid w:val="00633ED5"/>
    <w:rsid w:val="00635AD0"/>
    <w:rsid w:val="00643181"/>
    <w:rsid w:val="00643A74"/>
    <w:rsid w:val="00653C13"/>
    <w:rsid w:val="00654F89"/>
    <w:rsid w:val="00655D1D"/>
    <w:rsid w:val="00655E74"/>
    <w:rsid w:val="00656C81"/>
    <w:rsid w:val="006671AC"/>
    <w:rsid w:val="00670801"/>
    <w:rsid w:val="00676886"/>
    <w:rsid w:val="00677194"/>
    <w:rsid w:val="00694C37"/>
    <w:rsid w:val="006A058D"/>
    <w:rsid w:val="006B0614"/>
    <w:rsid w:val="006B6F4E"/>
    <w:rsid w:val="006B702E"/>
    <w:rsid w:val="006D020E"/>
    <w:rsid w:val="006D060A"/>
    <w:rsid w:val="006D404E"/>
    <w:rsid w:val="006D699A"/>
    <w:rsid w:val="006E1091"/>
    <w:rsid w:val="006E365B"/>
    <w:rsid w:val="006F111E"/>
    <w:rsid w:val="006F3CE9"/>
    <w:rsid w:val="00701B69"/>
    <w:rsid w:val="00704A9D"/>
    <w:rsid w:val="007164A9"/>
    <w:rsid w:val="0072666A"/>
    <w:rsid w:val="00732E6C"/>
    <w:rsid w:val="00744850"/>
    <w:rsid w:val="00754C57"/>
    <w:rsid w:val="007559B2"/>
    <w:rsid w:val="0075640C"/>
    <w:rsid w:val="0076058F"/>
    <w:rsid w:val="00762280"/>
    <w:rsid w:val="00767063"/>
    <w:rsid w:val="00767521"/>
    <w:rsid w:val="00770D76"/>
    <w:rsid w:val="0077649A"/>
    <w:rsid w:val="007916D0"/>
    <w:rsid w:val="00791C05"/>
    <w:rsid w:val="007B0202"/>
    <w:rsid w:val="007B23EB"/>
    <w:rsid w:val="007C3135"/>
    <w:rsid w:val="007C332C"/>
    <w:rsid w:val="007D0EC3"/>
    <w:rsid w:val="007D4F05"/>
    <w:rsid w:val="007E42FC"/>
    <w:rsid w:val="0080183A"/>
    <w:rsid w:val="00806361"/>
    <w:rsid w:val="00807925"/>
    <w:rsid w:val="0081651B"/>
    <w:rsid w:val="00816AEC"/>
    <w:rsid w:val="00820B33"/>
    <w:rsid w:val="00821EFD"/>
    <w:rsid w:val="00822F06"/>
    <w:rsid w:val="00824B0C"/>
    <w:rsid w:val="00842092"/>
    <w:rsid w:val="00844570"/>
    <w:rsid w:val="00845AAA"/>
    <w:rsid w:val="008516B0"/>
    <w:rsid w:val="00855E55"/>
    <w:rsid w:val="00857C71"/>
    <w:rsid w:val="008613F6"/>
    <w:rsid w:val="00865B86"/>
    <w:rsid w:val="00873205"/>
    <w:rsid w:val="00875FAB"/>
    <w:rsid w:val="008816E3"/>
    <w:rsid w:val="0088712D"/>
    <w:rsid w:val="008A5023"/>
    <w:rsid w:val="008A5778"/>
    <w:rsid w:val="008A6AD2"/>
    <w:rsid w:val="008A7D68"/>
    <w:rsid w:val="008B5C14"/>
    <w:rsid w:val="008B76CE"/>
    <w:rsid w:val="008C5995"/>
    <w:rsid w:val="008C63E3"/>
    <w:rsid w:val="008C6544"/>
    <w:rsid w:val="008E0D15"/>
    <w:rsid w:val="008E2055"/>
    <w:rsid w:val="008E33A1"/>
    <w:rsid w:val="008E6EE0"/>
    <w:rsid w:val="008F0413"/>
    <w:rsid w:val="008F3C39"/>
    <w:rsid w:val="008F4D88"/>
    <w:rsid w:val="009024FB"/>
    <w:rsid w:val="00904AF2"/>
    <w:rsid w:val="00905D88"/>
    <w:rsid w:val="00907E1E"/>
    <w:rsid w:val="00914445"/>
    <w:rsid w:val="00921DB9"/>
    <w:rsid w:val="00925844"/>
    <w:rsid w:val="00927FAC"/>
    <w:rsid w:val="009305AC"/>
    <w:rsid w:val="00932955"/>
    <w:rsid w:val="00934E47"/>
    <w:rsid w:val="0094776D"/>
    <w:rsid w:val="00956E2F"/>
    <w:rsid w:val="00957B94"/>
    <w:rsid w:val="009657E4"/>
    <w:rsid w:val="00965EED"/>
    <w:rsid w:val="0097101F"/>
    <w:rsid w:val="009725A7"/>
    <w:rsid w:val="00973BEB"/>
    <w:rsid w:val="00980A60"/>
    <w:rsid w:val="0098147A"/>
    <w:rsid w:val="009863B0"/>
    <w:rsid w:val="0098676A"/>
    <w:rsid w:val="00991673"/>
    <w:rsid w:val="00992C4F"/>
    <w:rsid w:val="009937B3"/>
    <w:rsid w:val="009943B2"/>
    <w:rsid w:val="00996BE8"/>
    <w:rsid w:val="009A0307"/>
    <w:rsid w:val="009A405C"/>
    <w:rsid w:val="009A586F"/>
    <w:rsid w:val="009A65C2"/>
    <w:rsid w:val="009A76B6"/>
    <w:rsid w:val="009B33E7"/>
    <w:rsid w:val="009C5C51"/>
    <w:rsid w:val="009D11DE"/>
    <w:rsid w:val="009D777D"/>
    <w:rsid w:val="009E2F91"/>
    <w:rsid w:val="009F29A6"/>
    <w:rsid w:val="009F30C8"/>
    <w:rsid w:val="009F44A9"/>
    <w:rsid w:val="00A07438"/>
    <w:rsid w:val="00A076BB"/>
    <w:rsid w:val="00A155A8"/>
    <w:rsid w:val="00A24509"/>
    <w:rsid w:val="00A252EC"/>
    <w:rsid w:val="00A261FB"/>
    <w:rsid w:val="00A31487"/>
    <w:rsid w:val="00A34783"/>
    <w:rsid w:val="00A417B6"/>
    <w:rsid w:val="00A51A39"/>
    <w:rsid w:val="00A541E5"/>
    <w:rsid w:val="00A659B3"/>
    <w:rsid w:val="00A66AA3"/>
    <w:rsid w:val="00A728EE"/>
    <w:rsid w:val="00A72E83"/>
    <w:rsid w:val="00A73EF2"/>
    <w:rsid w:val="00A74C2F"/>
    <w:rsid w:val="00A7698A"/>
    <w:rsid w:val="00A81C0C"/>
    <w:rsid w:val="00A82EC0"/>
    <w:rsid w:val="00A83F02"/>
    <w:rsid w:val="00A86CE5"/>
    <w:rsid w:val="00A93796"/>
    <w:rsid w:val="00AA04BA"/>
    <w:rsid w:val="00AA1D88"/>
    <w:rsid w:val="00AA4449"/>
    <w:rsid w:val="00AA4753"/>
    <w:rsid w:val="00AA53C3"/>
    <w:rsid w:val="00AB14B9"/>
    <w:rsid w:val="00AB1E34"/>
    <w:rsid w:val="00AB2329"/>
    <w:rsid w:val="00AB2AAA"/>
    <w:rsid w:val="00AB7586"/>
    <w:rsid w:val="00AC204C"/>
    <w:rsid w:val="00AC70A6"/>
    <w:rsid w:val="00AC7663"/>
    <w:rsid w:val="00AC779F"/>
    <w:rsid w:val="00AD57C9"/>
    <w:rsid w:val="00AD7B70"/>
    <w:rsid w:val="00AE002C"/>
    <w:rsid w:val="00AE3EB9"/>
    <w:rsid w:val="00B022C9"/>
    <w:rsid w:val="00B065DD"/>
    <w:rsid w:val="00B078F1"/>
    <w:rsid w:val="00B152E1"/>
    <w:rsid w:val="00B232B0"/>
    <w:rsid w:val="00B258E0"/>
    <w:rsid w:val="00B274D5"/>
    <w:rsid w:val="00B35B50"/>
    <w:rsid w:val="00B42E01"/>
    <w:rsid w:val="00B47F0F"/>
    <w:rsid w:val="00B5263A"/>
    <w:rsid w:val="00B536C1"/>
    <w:rsid w:val="00B548AA"/>
    <w:rsid w:val="00B5625F"/>
    <w:rsid w:val="00B57131"/>
    <w:rsid w:val="00B60DFD"/>
    <w:rsid w:val="00B66593"/>
    <w:rsid w:val="00B74B27"/>
    <w:rsid w:val="00B77C13"/>
    <w:rsid w:val="00B802F7"/>
    <w:rsid w:val="00B82F34"/>
    <w:rsid w:val="00B86045"/>
    <w:rsid w:val="00B921CC"/>
    <w:rsid w:val="00B95FB5"/>
    <w:rsid w:val="00BA1450"/>
    <w:rsid w:val="00BA1DD9"/>
    <w:rsid w:val="00BA3FC3"/>
    <w:rsid w:val="00BB730C"/>
    <w:rsid w:val="00BD06A6"/>
    <w:rsid w:val="00BD2596"/>
    <w:rsid w:val="00BE433C"/>
    <w:rsid w:val="00BF185A"/>
    <w:rsid w:val="00BF73BF"/>
    <w:rsid w:val="00C038D9"/>
    <w:rsid w:val="00C05119"/>
    <w:rsid w:val="00C07B41"/>
    <w:rsid w:val="00C25892"/>
    <w:rsid w:val="00C2675D"/>
    <w:rsid w:val="00C27CEA"/>
    <w:rsid w:val="00C36003"/>
    <w:rsid w:val="00C37940"/>
    <w:rsid w:val="00C37D76"/>
    <w:rsid w:val="00C409CB"/>
    <w:rsid w:val="00C41E84"/>
    <w:rsid w:val="00C43F9A"/>
    <w:rsid w:val="00C55476"/>
    <w:rsid w:val="00C61163"/>
    <w:rsid w:val="00C6215E"/>
    <w:rsid w:val="00C63F2C"/>
    <w:rsid w:val="00C7427D"/>
    <w:rsid w:val="00C75B26"/>
    <w:rsid w:val="00C75CED"/>
    <w:rsid w:val="00C76766"/>
    <w:rsid w:val="00C82273"/>
    <w:rsid w:val="00C94617"/>
    <w:rsid w:val="00CA2550"/>
    <w:rsid w:val="00CA7365"/>
    <w:rsid w:val="00CC7F1F"/>
    <w:rsid w:val="00CD1F61"/>
    <w:rsid w:val="00CD6742"/>
    <w:rsid w:val="00CE4689"/>
    <w:rsid w:val="00CE5114"/>
    <w:rsid w:val="00CE70BF"/>
    <w:rsid w:val="00CE7124"/>
    <w:rsid w:val="00CF3A95"/>
    <w:rsid w:val="00CF55B2"/>
    <w:rsid w:val="00D03859"/>
    <w:rsid w:val="00D05609"/>
    <w:rsid w:val="00D056EF"/>
    <w:rsid w:val="00D06292"/>
    <w:rsid w:val="00D065E0"/>
    <w:rsid w:val="00D12EE2"/>
    <w:rsid w:val="00D16522"/>
    <w:rsid w:val="00D215DF"/>
    <w:rsid w:val="00D24550"/>
    <w:rsid w:val="00D27121"/>
    <w:rsid w:val="00D319DA"/>
    <w:rsid w:val="00D33173"/>
    <w:rsid w:val="00D334C7"/>
    <w:rsid w:val="00D340E4"/>
    <w:rsid w:val="00D444AE"/>
    <w:rsid w:val="00D45B87"/>
    <w:rsid w:val="00D53276"/>
    <w:rsid w:val="00D53C4C"/>
    <w:rsid w:val="00D5537C"/>
    <w:rsid w:val="00D56252"/>
    <w:rsid w:val="00D61E1C"/>
    <w:rsid w:val="00D63DE5"/>
    <w:rsid w:val="00D64A6F"/>
    <w:rsid w:val="00D662C5"/>
    <w:rsid w:val="00D70CC3"/>
    <w:rsid w:val="00D73F89"/>
    <w:rsid w:val="00D74D7F"/>
    <w:rsid w:val="00D75107"/>
    <w:rsid w:val="00D917F2"/>
    <w:rsid w:val="00D95710"/>
    <w:rsid w:val="00D97118"/>
    <w:rsid w:val="00D9744E"/>
    <w:rsid w:val="00DA26C9"/>
    <w:rsid w:val="00DA3BED"/>
    <w:rsid w:val="00DA7E55"/>
    <w:rsid w:val="00DB31F1"/>
    <w:rsid w:val="00DB3F3D"/>
    <w:rsid w:val="00DC2CE7"/>
    <w:rsid w:val="00DC40AA"/>
    <w:rsid w:val="00DC5BEB"/>
    <w:rsid w:val="00DD07AD"/>
    <w:rsid w:val="00DD1B5C"/>
    <w:rsid w:val="00DD7261"/>
    <w:rsid w:val="00DE5991"/>
    <w:rsid w:val="00DF3398"/>
    <w:rsid w:val="00DF72D8"/>
    <w:rsid w:val="00E00628"/>
    <w:rsid w:val="00E11ED2"/>
    <w:rsid w:val="00E1738A"/>
    <w:rsid w:val="00E2081F"/>
    <w:rsid w:val="00E21607"/>
    <w:rsid w:val="00E235CF"/>
    <w:rsid w:val="00E3286C"/>
    <w:rsid w:val="00E3289C"/>
    <w:rsid w:val="00E34FF3"/>
    <w:rsid w:val="00E44D23"/>
    <w:rsid w:val="00E475AA"/>
    <w:rsid w:val="00E50759"/>
    <w:rsid w:val="00E6478D"/>
    <w:rsid w:val="00E673D3"/>
    <w:rsid w:val="00E7465B"/>
    <w:rsid w:val="00E75CAA"/>
    <w:rsid w:val="00E76833"/>
    <w:rsid w:val="00E7719D"/>
    <w:rsid w:val="00E81BEA"/>
    <w:rsid w:val="00E93A08"/>
    <w:rsid w:val="00E96CB6"/>
    <w:rsid w:val="00E97BE8"/>
    <w:rsid w:val="00EA222D"/>
    <w:rsid w:val="00EA6DDB"/>
    <w:rsid w:val="00EB6485"/>
    <w:rsid w:val="00EB78A7"/>
    <w:rsid w:val="00EC0F1C"/>
    <w:rsid w:val="00EC3178"/>
    <w:rsid w:val="00EC5799"/>
    <w:rsid w:val="00ED0A21"/>
    <w:rsid w:val="00ED0EC1"/>
    <w:rsid w:val="00ED107C"/>
    <w:rsid w:val="00ED572D"/>
    <w:rsid w:val="00EE18FA"/>
    <w:rsid w:val="00EF6DC6"/>
    <w:rsid w:val="00F03ACB"/>
    <w:rsid w:val="00F03FB1"/>
    <w:rsid w:val="00F04F60"/>
    <w:rsid w:val="00F0745D"/>
    <w:rsid w:val="00F124A1"/>
    <w:rsid w:val="00F17E86"/>
    <w:rsid w:val="00F2041D"/>
    <w:rsid w:val="00F264B6"/>
    <w:rsid w:val="00F27F86"/>
    <w:rsid w:val="00F30F54"/>
    <w:rsid w:val="00F326DF"/>
    <w:rsid w:val="00F35F72"/>
    <w:rsid w:val="00F36C8B"/>
    <w:rsid w:val="00F50E0A"/>
    <w:rsid w:val="00F5720A"/>
    <w:rsid w:val="00F632CE"/>
    <w:rsid w:val="00F63E35"/>
    <w:rsid w:val="00F6736E"/>
    <w:rsid w:val="00F72496"/>
    <w:rsid w:val="00F734C8"/>
    <w:rsid w:val="00F76380"/>
    <w:rsid w:val="00F76662"/>
    <w:rsid w:val="00F76C7C"/>
    <w:rsid w:val="00F82C9D"/>
    <w:rsid w:val="00F86E36"/>
    <w:rsid w:val="00F87815"/>
    <w:rsid w:val="00F903B8"/>
    <w:rsid w:val="00F908CA"/>
    <w:rsid w:val="00F9371F"/>
    <w:rsid w:val="00F9738E"/>
    <w:rsid w:val="00FA604A"/>
    <w:rsid w:val="00FB60F1"/>
    <w:rsid w:val="00FD0286"/>
    <w:rsid w:val="00FD08A7"/>
    <w:rsid w:val="00FD0EC0"/>
    <w:rsid w:val="00FD2792"/>
    <w:rsid w:val="00FD27A7"/>
    <w:rsid w:val="00FD361B"/>
    <w:rsid w:val="00FD4277"/>
    <w:rsid w:val="00FD4863"/>
    <w:rsid w:val="00FD5AFA"/>
    <w:rsid w:val="00FE127F"/>
    <w:rsid w:val="00FE25AA"/>
    <w:rsid w:val="00FE5EBE"/>
    <w:rsid w:val="00FE7657"/>
    <w:rsid w:val="00FF12CE"/>
    <w:rsid w:val="00FF55F2"/>
    <w:rsid w:val="01314984"/>
    <w:rsid w:val="01A30737"/>
    <w:rsid w:val="01CD6DF0"/>
    <w:rsid w:val="01D8052A"/>
    <w:rsid w:val="02240C78"/>
    <w:rsid w:val="02B5E60D"/>
    <w:rsid w:val="02EBC9B2"/>
    <w:rsid w:val="02EF4982"/>
    <w:rsid w:val="05E14D76"/>
    <w:rsid w:val="06AA8439"/>
    <w:rsid w:val="0906A694"/>
    <w:rsid w:val="09E71382"/>
    <w:rsid w:val="0A0ED75C"/>
    <w:rsid w:val="0A2F1EDA"/>
    <w:rsid w:val="0A800FAD"/>
    <w:rsid w:val="0D5A75B4"/>
    <w:rsid w:val="0EAC06EF"/>
    <w:rsid w:val="153E3F55"/>
    <w:rsid w:val="1613F304"/>
    <w:rsid w:val="179FF161"/>
    <w:rsid w:val="182A7466"/>
    <w:rsid w:val="183BE8D7"/>
    <w:rsid w:val="194B922B"/>
    <w:rsid w:val="19702AFB"/>
    <w:rsid w:val="1ADA18E6"/>
    <w:rsid w:val="1ADB48A8"/>
    <w:rsid w:val="1BA5F93E"/>
    <w:rsid w:val="1CA50813"/>
    <w:rsid w:val="1D3481EF"/>
    <w:rsid w:val="1DE3DE49"/>
    <w:rsid w:val="1FBE00A4"/>
    <w:rsid w:val="21574511"/>
    <w:rsid w:val="21820F36"/>
    <w:rsid w:val="21BDE1A9"/>
    <w:rsid w:val="24DD391B"/>
    <w:rsid w:val="25AD6656"/>
    <w:rsid w:val="270F55B9"/>
    <w:rsid w:val="28661035"/>
    <w:rsid w:val="2A9145D4"/>
    <w:rsid w:val="2AB984E2"/>
    <w:rsid w:val="2ABDA936"/>
    <w:rsid w:val="2CAF2D62"/>
    <w:rsid w:val="2CC872F7"/>
    <w:rsid w:val="2D8E2651"/>
    <w:rsid w:val="2DAFC49A"/>
    <w:rsid w:val="2EA1335E"/>
    <w:rsid w:val="2FF77A85"/>
    <w:rsid w:val="30D36B4A"/>
    <w:rsid w:val="30E13F36"/>
    <w:rsid w:val="311FCAF9"/>
    <w:rsid w:val="3228B788"/>
    <w:rsid w:val="331FF5B4"/>
    <w:rsid w:val="33EC0790"/>
    <w:rsid w:val="33FA25A1"/>
    <w:rsid w:val="3401EE90"/>
    <w:rsid w:val="34633B34"/>
    <w:rsid w:val="34FD8BEC"/>
    <w:rsid w:val="366BEF08"/>
    <w:rsid w:val="3C8D1D24"/>
    <w:rsid w:val="3D0F31E8"/>
    <w:rsid w:val="3D4203F7"/>
    <w:rsid w:val="3EF562A1"/>
    <w:rsid w:val="3FC96BFB"/>
    <w:rsid w:val="402B3C87"/>
    <w:rsid w:val="40930BE8"/>
    <w:rsid w:val="411E3E74"/>
    <w:rsid w:val="42203B1C"/>
    <w:rsid w:val="43860948"/>
    <w:rsid w:val="46495A1F"/>
    <w:rsid w:val="48D0598A"/>
    <w:rsid w:val="492D5384"/>
    <w:rsid w:val="49C5E7AD"/>
    <w:rsid w:val="4A222511"/>
    <w:rsid w:val="4C38841E"/>
    <w:rsid w:val="4C5CA5DE"/>
    <w:rsid w:val="4D48F03F"/>
    <w:rsid w:val="4DB574C3"/>
    <w:rsid w:val="4E805EC0"/>
    <w:rsid w:val="4ED3EC7B"/>
    <w:rsid w:val="5105566D"/>
    <w:rsid w:val="51FEB5C4"/>
    <w:rsid w:val="524CB7E4"/>
    <w:rsid w:val="5458236E"/>
    <w:rsid w:val="5471240A"/>
    <w:rsid w:val="5599D196"/>
    <w:rsid w:val="571B6DA2"/>
    <w:rsid w:val="588E296B"/>
    <w:rsid w:val="58BCD27E"/>
    <w:rsid w:val="59471891"/>
    <w:rsid w:val="5A5E1251"/>
    <w:rsid w:val="5BE19AF5"/>
    <w:rsid w:val="5ED2E5E8"/>
    <w:rsid w:val="5F42CF47"/>
    <w:rsid w:val="6128C7D7"/>
    <w:rsid w:val="6286BB3F"/>
    <w:rsid w:val="62A0842D"/>
    <w:rsid w:val="62F9DEDB"/>
    <w:rsid w:val="63523067"/>
    <w:rsid w:val="63E452FD"/>
    <w:rsid w:val="667A6468"/>
    <w:rsid w:val="671F633C"/>
    <w:rsid w:val="67DBB67B"/>
    <w:rsid w:val="67E36963"/>
    <w:rsid w:val="68856396"/>
    <w:rsid w:val="6BABC292"/>
    <w:rsid w:val="6DD6FF6A"/>
    <w:rsid w:val="6E412D2E"/>
    <w:rsid w:val="6F519812"/>
    <w:rsid w:val="6F77A725"/>
    <w:rsid w:val="707043FD"/>
    <w:rsid w:val="7292C888"/>
    <w:rsid w:val="73492F09"/>
    <w:rsid w:val="7384C122"/>
    <w:rsid w:val="745A77A8"/>
    <w:rsid w:val="74E69362"/>
    <w:rsid w:val="74F7F91E"/>
    <w:rsid w:val="75735DE9"/>
    <w:rsid w:val="758D6E38"/>
    <w:rsid w:val="77148158"/>
    <w:rsid w:val="79FF2E17"/>
    <w:rsid w:val="7A3E31D9"/>
    <w:rsid w:val="7A698039"/>
    <w:rsid w:val="7AC81937"/>
    <w:rsid w:val="7C9B08B7"/>
    <w:rsid w:val="7E2DED71"/>
    <w:rsid w:val="7E4D7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880D"/>
  <w15:chartTrackingRefBased/>
  <w15:docId w15:val="{3233AC06-DE26-4B5C-BD00-F6FF6D4C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2B0"/>
    <w:rPr>
      <w:rFonts w:eastAsiaTheme="majorEastAsia" w:cstheme="majorBidi"/>
      <w:color w:val="272727" w:themeColor="text1" w:themeTint="D8"/>
    </w:rPr>
  </w:style>
  <w:style w:type="paragraph" w:styleId="Title">
    <w:name w:val="Title"/>
    <w:basedOn w:val="Normal"/>
    <w:next w:val="Normal"/>
    <w:link w:val="TitleChar"/>
    <w:uiPriority w:val="10"/>
    <w:qFormat/>
    <w:rsid w:val="00B23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2B0"/>
    <w:pPr>
      <w:spacing w:before="160"/>
      <w:jc w:val="center"/>
    </w:pPr>
    <w:rPr>
      <w:i/>
      <w:iCs/>
      <w:color w:val="404040" w:themeColor="text1" w:themeTint="BF"/>
    </w:rPr>
  </w:style>
  <w:style w:type="character" w:customStyle="1" w:styleId="QuoteChar">
    <w:name w:val="Quote Char"/>
    <w:basedOn w:val="DefaultParagraphFont"/>
    <w:link w:val="Quote"/>
    <w:uiPriority w:val="29"/>
    <w:rsid w:val="00B232B0"/>
    <w:rPr>
      <w:i/>
      <w:iCs/>
      <w:color w:val="404040" w:themeColor="text1" w:themeTint="BF"/>
    </w:rPr>
  </w:style>
  <w:style w:type="paragraph" w:styleId="ListParagraph">
    <w:name w:val="List Paragraph"/>
    <w:basedOn w:val="Normal"/>
    <w:uiPriority w:val="34"/>
    <w:qFormat/>
    <w:rsid w:val="00B232B0"/>
    <w:pPr>
      <w:ind w:left="720"/>
      <w:contextualSpacing/>
    </w:pPr>
  </w:style>
  <w:style w:type="character" w:styleId="IntenseEmphasis">
    <w:name w:val="Intense Emphasis"/>
    <w:basedOn w:val="DefaultParagraphFont"/>
    <w:uiPriority w:val="21"/>
    <w:qFormat/>
    <w:rsid w:val="00B232B0"/>
    <w:rPr>
      <w:i/>
      <w:iCs/>
      <w:color w:val="0F4761" w:themeColor="accent1" w:themeShade="BF"/>
    </w:rPr>
  </w:style>
  <w:style w:type="paragraph" w:styleId="IntenseQuote">
    <w:name w:val="Intense Quote"/>
    <w:basedOn w:val="Normal"/>
    <w:next w:val="Normal"/>
    <w:link w:val="IntenseQuoteChar"/>
    <w:uiPriority w:val="30"/>
    <w:qFormat/>
    <w:rsid w:val="00B23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2B0"/>
    <w:rPr>
      <w:i/>
      <w:iCs/>
      <w:color w:val="0F4761" w:themeColor="accent1" w:themeShade="BF"/>
    </w:rPr>
  </w:style>
  <w:style w:type="character" w:styleId="IntenseReference">
    <w:name w:val="Intense Reference"/>
    <w:basedOn w:val="DefaultParagraphFont"/>
    <w:uiPriority w:val="32"/>
    <w:qFormat/>
    <w:rsid w:val="00B232B0"/>
    <w:rPr>
      <w:b/>
      <w:bCs/>
      <w:smallCaps/>
      <w:color w:val="0F4761" w:themeColor="accent1" w:themeShade="BF"/>
      <w:spacing w:val="5"/>
    </w:rPr>
  </w:style>
  <w:style w:type="character" w:styleId="Hyperlink">
    <w:name w:val="Hyperlink"/>
    <w:basedOn w:val="DefaultParagraphFont"/>
    <w:uiPriority w:val="99"/>
    <w:unhideWhenUsed/>
    <w:rsid w:val="00CE70BF"/>
    <w:rPr>
      <w:color w:val="467886" w:themeColor="hyperlink"/>
      <w:u w:val="single"/>
    </w:rPr>
  </w:style>
  <w:style w:type="character" w:styleId="UnresolvedMention">
    <w:name w:val="Unresolved Mention"/>
    <w:basedOn w:val="DefaultParagraphFont"/>
    <w:uiPriority w:val="99"/>
    <w:semiHidden/>
    <w:unhideWhenUsed/>
    <w:rsid w:val="00CE70BF"/>
    <w:rPr>
      <w:color w:val="605E5C"/>
      <w:shd w:val="clear" w:color="auto" w:fill="E1DFDD"/>
    </w:rPr>
  </w:style>
  <w:style w:type="table" w:styleId="TableGrid">
    <w:name w:val="Table Grid"/>
    <w:basedOn w:val="TableNormal"/>
    <w:uiPriority w:val="39"/>
    <w:rsid w:val="0031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5892"/>
    <w:rPr>
      <w:sz w:val="16"/>
      <w:szCs w:val="16"/>
    </w:rPr>
  </w:style>
  <w:style w:type="paragraph" w:styleId="CommentText">
    <w:name w:val="annotation text"/>
    <w:basedOn w:val="Normal"/>
    <w:link w:val="CommentTextChar"/>
    <w:uiPriority w:val="99"/>
    <w:unhideWhenUsed/>
    <w:rsid w:val="00C25892"/>
    <w:pPr>
      <w:spacing w:line="240" w:lineRule="auto"/>
    </w:pPr>
    <w:rPr>
      <w:sz w:val="20"/>
      <w:szCs w:val="20"/>
    </w:rPr>
  </w:style>
  <w:style w:type="character" w:customStyle="1" w:styleId="CommentTextChar">
    <w:name w:val="Comment Text Char"/>
    <w:basedOn w:val="DefaultParagraphFont"/>
    <w:link w:val="CommentText"/>
    <w:uiPriority w:val="99"/>
    <w:rsid w:val="00C25892"/>
    <w:rPr>
      <w:sz w:val="20"/>
      <w:szCs w:val="20"/>
    </w:rPr>
  </w:style>
  <w:style w:type="paragraph" w:styleId="CommentSubject">
    <w:name w:val="annotation subject"/>
    <w:basedOn w:val="CommentText"/>
    <w:next w:val="CommentText"/>
    <w:link w:val="CommentSubjectChar"/>
    <w:uiPriority w:val="99"/>
    <w:semiHidden/>
    <w:unhideWhenUsed/>
    <w:rsid w:val="00C25892"/>
    <w:rPr>
      <w:b/>
      <w:bCs/>
    </w:rPr>
  </w:style>
  <w:style w:type="character" w:customStyle="1" w:styleId="CommentSubjectChar">
    <w:name w:val="Comment Subject Char"/>
    <w:basedOn w:val="CommentTextChar"/>
    <w:link w:val="CommentSubject"/>
    <w:uiPriority w:val="99"/>
    <w:semiHidden/>
    <w:rsid w:val="00C25892"/>
    <w:rPr>
      <w:b/>
      <w:bCs/>
      <w:sz w:val="20"/>
      <w:szCs w:val="20"/>
    </w:rPr>
  </w:style>
  <w:style w:type="paragraph" w:styleId="Revision">
    <w:name w:val="Revision"/>
    <w:hidden/>
    <w:uiPriority w:val="99"/>
    <w:semiHidden/>
    <w:rsid w:val="00A73EF2"/>
    <w:pPr>
      <w:spacing w:after="0" w:line="240" w:lineRule="auto"/>
    </w:pPr>
  </w:style>
  <w:style w:type="paragraph" w:styleId="FootnoteText">
    <w:name w:val="footnote text"/>
    <w:basedOn w:val="Normal"/>
    <w:link w:val="FootnoteTextChar"/>
    <w:uiPriority w:val="99"/>
    <w:semiHidden/>
    <w:unhideWhenUsed/>
    <w:rsid w:val="00905D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D88"/>
    <w:rPr>
      <w:sz w:val="20"/>
      <w:szCs w:val="20"/>
    </w:rPr>
  </w:style>
  <w:style w:type="character" w:styleId="FootnoteReference">
    <w:name w:val="footnote reference"/>
    <w:basedOn w:val="DefaultParagraphFont"/>
    <w:uiPriority w:val="99"/>
    <w:semiHidden/>
    <w:unhideWhenUsed/>
    <w:rsid w:val="00905D88"/>
    <w:rPr>
      <w:vertAlign w:val="superscript"/>
    </w:rPr>
  </w:style>
  <w:style w:type="paragraph" w:styleId="Header">
    <w:name w:val="header"/>
    <w:basedOn w:val="Normal"/>
    <w:link w:val="HeaderChar"/>
    <w:uiPriority w:val="99"/>
    <w:semiHidden/>
    <w:unhideWhenUsed/>
    <w:rsid w:val="007559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59B2"/>
  </w:style>
  <w:style w:type="paragraph" w:styleId="Footer">
    <w:name w:val="footer"/>
    <w:basedOn w:val="Normal"/>
    <w:link w:val="FooterChar"/>
    <w:uiPriority w:val="99"/>
    <w:semiHidden/>
    <w:unhideWhenUsed/>
    <w:rsid w:val="007559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blic.Advisor@cpuc.ca.gov" TargetMode="External"/><Relationship Id="rId5" Type="http://schemas.openxmlformats.org/officeDocument/2006/relationships/styles" Target="styles.xml"/><Relationship Id="rId10" Type="http://schemas.openxmlformats.org/officeDocument/2006/relationships/hyperlink" Target="file:///C:/Users/jkw/AppData/Local/Microsoft/Windows/INetCache/Content.Outlook/BSCA8SJF/apps.cpuc.ca.gov/c/AXXXXXXX"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FE309EC1A194F823B98B21C0E9EA3" ma:contentTypeVersion="24" ma:contentTypeDescription="Create a new document." ma:contentTypeScope="" ma:versionID="afc5e20d54592a99117275c06b2cf4e1">
  <xsd:schema xmlns:xsd="http://www.w3.org/2001/XMLSchema" xmlns:xs="http://www.w3.org/2001/XMLSchema" xmlns:p="http://schemas.microsoft.com/office/2006/metadata/properties" xmlns:ns2="0f42db82-cf02-4e3e-8805-a941ab3bad76" xmlns:ns3="b803de3c-da22-42b8-a970-35ccae6f9282" targetNamespace="http://schemas.microsoft.com/office/2006/metadata/properties" ma:root="true" ma:fieldsID="abf28d464056219cd51666bcc3c2bb00" ns2:_="" ns3:_="">
    <xsd:import namespace="0f42db82-cf02-4e3e-8805-a941ab3bad76"/>
    <xsd:import namespace="b803de3c-da22-42b8-a970-35ccae6f92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Details" minOccurs="0"/>
                <xsd:element ref="ns3:MediaServiceBillingMetadata" minOccurs="0"/>
                <xsd:element ref="ns3:MediaLengthInSeconds" minOccurs="0"/>
                <xsd:element ref="ns3:DocumentOwner" minOccurs="0"/>
                <xsd:element ref="ns3:MediaServiceLocation" minOccurs="0"/>
                <xsd:element ref="ns3:Attachment1" minOccurs="0"/>
                <xsd:element ref="ns3:Notes" minOccurs="0"/>
                <xsd:element ref="ns3:Workstream" minOccurs="0"/>
                <xsd:element ref="ns3:Defec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2db82-cf02-4e3e-8805-a941ab3bad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1685b6-2bce-40e0-a16f-1879b1ca25ad}" ma:internalName="TaxCatchAll" ma:showField="CatchAllData" ma:web="0f42db82-cf02-4e3e-8805-a941ab3bad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03de3c-da22-42b8-a970-35ccae6f92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tails" ma:index="21" nillable="true" ma:displayName="Details" ma:format="Dropdown" ma:internalName="Details">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ocumentOwner" ma:index="24" nillable="true" ma:displayName="Document Owner" ma:format="Dropdown" ma:list="UserInfo" ma:SharePointGroup="0" ma:internalName="Document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Attachment1" ma:index="26" nillable="true" ma:displayName="Attachment" ma:format="Hyperlink" ma:internalName="Attachment1">
      <xsd:complexType>
        <xsd:complexContent>
          <xsd:extension base="dms:URL">
            <xsd:sequence>
              <xsd:element name="Url" type="dms:ValidUrl" minOccurs="0" nillable="true"/>
              <xsd:element name="Description" type="xsd:string" nillable="true"/>
            </xsd:sequence>
          </xsd:extension>
        </xsd:complexContent>
      </xsd:complexType>
    </xsd:element>
    <xsd:element name="Notes" ma:index="27" nillable="true" ma:displayName="Notes" ma:format="Dropdown" ma:internalName="Notes">
      <xsd:simpleType>
        <xsd:restriction base="dms:Note">
          <xsd:maxLength value="255"/>
        </xsd:restriction>
      </xsd:simpleType>
    </xsd:element>
    <xsd:element name="Workstream" ma:index="28" nillable="true" ma:displayName="Workstream" ma:format="Dropdown" ma:internalName="Workstream">
      <xsd:simpleType>
        <xsd:restriction base="dms:Text">
          <xsd:maxLength value="255"/>
        </xsd:restriction>
      </xsd:simpleType>
    </xsd:element>
    <xsd:element name="Defects" ma:index="29" nillable="true" ma:displayName="Defects" ma:internalName="Defec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03de3c-da22-42b8-a970-35ccae6f9282">
      <Terms xmlns="http://schemas.microsoft.com/office/infopath/2007/PartnerControls"/>
    </lcf76f155ced4ddcb4097134ff3c332f>
    <TaxCatchAll xmlns="0f42db82-cf02-4e3e-8805-a941ab3bad76" xsi:nil="true"/>
    <DocumentOwner xmlns="b803de3c-da22-42b8-a970-35ccae6f9282">
      <UserInfo>
        <DisplayName/>
        <AccountId xsi:nil="true"/>
        <AccountType/>
      </UserInfo>
    </DocumentOwner>
    <Details xmlns="b803de3c-da22-42b8-a970-35ccae6f9282" xsi:nil="true"/>
    <Notes xmlns="b803de3c-da22-42b8-a970-35ccae6f9282" xsi:nil="true"/>
    <Workstream xmlns="b803de3c-da22-42b8-a970-35ccae6f9282" xsi:nil="true"/>
    <Defects xmlns="b803de3c-da22-42b8-a970-35ccae6f9282" xsi:nil="true"/>
    <Attachment1 xmlns="b803de3c-da22-42b8-a970-35ccae6f9282">
      <Url xsi:nil="true"/>
      <Description xsi:nil="true"/>
    </Attachment1>
  </documentManagement>
</p:properties>
</file>

<file path=customXml/itemProps1.xml><?xml version="1.0" encoding="utf-8"?>
<ds:datastoreItem xmlns:ds="http://schemas.openxmlformats.org/officeDocument/2006/customXml" ds:itemID="{4312F0B7-A220-4053-971B-A5C9CD20D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2db82-cf02-4e3e-8805-a941ab3bad76"/>
    <ds:schemaRef ds:uri="b803de3c-da22-42b8-a970-35ccae6f9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EC3B2-94E1-4A9A-85F8-698CF1A7E1A6}">
  <ds:schemaRefs>
    <ds:schemaRef ds:uri="http://schemas.openxmlformats.org/officeDocument/2006/bibliography"/>
  </ds:schemaRefs>
</ds:datastoreItem>
</file>

<file path=customXml/itemProps3.xml><?xml version="1.0" encoding="utf-8"?>
<ds:datastoreItem xmlns:ds="http://schemas.openxmlformats.org/officeDocument/2006/customXml" ds:itemID="{4C664799-4F39-4EA1-B29A-CA0DCA5FAD5E}">
  <ds:schemaRefs>
    <ds:schemaRef ds:uri="http://schemas.microsoft.com/sharepoint/v3/contenttype/forms"/>
  </ds:schemaRefs>
</ds:datastoreItem>
</file>

<file path=customXml/itemProps4.xml><?xml version="1.0" encoding="utf-8"?>
<ds:datastoreItem xmlns:ds="http://schemas.openxmlformats.org/officeDocument/2006/customXml" ds:itemID="{40C8AC5F-9D85-4662-BB8F-D9A94ACA7A8E}">
  <ds:schemaRefs>
    <ds:schemaRef ds:uri="http://schemas.microsoft.com/office/2006/metadata/properties"/>
    <ds:schemaRef ds:uri="http://schemas.microsoft.com/office/infopath/2007/PartnerControls"/>
    <ds:schemaRef ds:uri="b803de3c-da22-42b8-a970-35ccae6f9282"/>
    <ds:schemaRef ds:uri="0f42db82-cf02-4e3e-8805-a941ab3bad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3012</Characters>
  <Application>Microsoft Office Word</Application>
  <DocSecurity>0</DocSecurity>
  <Lines>103</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3480</CharactersWithSpaces>
  <SharedDoc>false</SharedDoc>
  <HyperlinkBase/>
  <HLinks>
    <vt:vector size="12" baseType="variant">
      <vt:variant>
        <vt:i4>2359320</vt:i4>
      </vt:variant>
      <vt:variant>
        <vt:i4>3</vt:i4>
      </vt:variant>
      <vt:variant>
        <vt:i4>0</vt:i4>
      </vt:variant>
      <vt:variant>
        <vt:i4>5</vt:i4>
      </vt:variant>
      <vt:variant>
        <vt:lpwstr>mailto:Public.Advisor@cpuc.ca.gov</vt:lpwstr>
      </vt:variant>
      <vt:variant>
        <vt:lpwstr/>
      </vt:variant>
      <vt:variant>
        <vt:i4>1900544</vt:i4>
      </vt:variant>
      <vt:variant>
        <vt:i4>0</vt:i4>
      </vt:variant>
      <vt:variant>
        <vt:i4>0</vt:i4>
      </vt:variant>
      <vt:variant>
        <vt:i4>5</vt:i4>
      </vt:variant>
      <vt:variant>
        <vt:lpwstr>C:\Users\jkw\AppData\Local\Microsoft\Windows\INetCache\Content.Outlook\BSCA8SJF\apps.cpuc.ca.gov\c\AXXXXXXX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Eric</dc:creator>
  <cp:keywords/>
  <dc:description/>
  <cp:lastModifiedBy>Rogelio Camacho</cp:lastModifiedBy>
  <cp:revision>2</cp:revision>
  <dcterms:created xsi:type="dcterms:W3CDTF">2026-05-11T18:03:00Z</dcterms:created>
  <dcterms:modified xsi:type="dcterms:W3CDTF">2026-05-11T18:03:00Z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0x010100D17FE309EC1A194F823B98B21C0E9EA3</vt:lpwstr>
  </property>
  <property fmtid="{D5CDD505-2E9C-101B-9397-08002B2CF9AE}" pid="3" name="MediaServiceImageTags">
    <vt:lpwstr/>
  </property>
  <property fmtid="{D5CDD505-2E9C-101B-9397-08002B2CF9AE}" pid="4" name="docLang">
    <vt:lpwstr>en</vt:lpwstr>
  </property>
</Properties>
</file>