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C402E" w14:textId="0543BF1A" w:rsidR="000951E6" w:rsidRPr="00961615" w:rsidRDefault="00E412D1" w:rsidP="00A65204">
      <w:pPr>
        <w:jc w:val="center"/>
        <w:rPr>
          <w:rFonts w:ascii="Arial" w:hAnsi="Arial" w:cs="Arial"/>
          <w:i/>
          <w:iCs/>
          <w:sz w:val="20"/>
          <w:szCs w:val="20"/>
          <w:lang w:val="es-ES_tradnl"/>
        </w:rPr>
      </w:pPr>
      <w:r w:rsidRPr="00961615">
        <w:rPr>
          <w:rFonts w:ascii="Arial" w:hAnsi="Arial" w:cs="Arial"/>
          <w:i/>
          <w:iCs/>
          <w:sz w:val="20"/>
          <w:szCs w:val="20"/>
          <w:lang w:val="es-ES_tradnl"/>
        </w:rPr>
        <w:t>Éste</w:t>
      </w:r>
      <w:r w:rsidR="000951E6" w:rsidRPr="00961615">
        <w:rPr>
          <w:rFonts w:ascii="Arial" w:hAnsi="Arial" w:cs="Arial"/>
          <w:i/>
          <w:iCs/>
          <w:sz w:val="20"/>
          <w:szCs w:val="20"/>
          <w:lang w:val="es-ES_tradnl"/>
        </w:rPr>
        <w:t xml:space="preserve"> es un anuncio de que sus tarifas pueden cambiar. Para más detalles en español</w:t>
      </w:r>
      <w:r w:rsidRPr="00961615">
        <w:rPr>
          <w:rFonts w:ascii="Arial" w:hAnsi="Arial" w:cs="Arial"/>
          <w:i/>
          <w:iCs/>
          <w:sz w:val="20"/>
          <w:szCs w:val="20"/>
          <w:lang w:val="es-ES_tradnl"/>
        </w:rPr>
        <w:t>,</w:t>
      </w:r>
      <w:r w:rsidR="000951E6" w:rsidRPr="00961615">
        <w:rPr>
          <w:rFonts w:ascii="Arial" w:hAnsi="Arial" w:cs="Arial"/>
          <w:i/>
          <w:iCs/>
          <w:sz w:val="20"/>
          <w:szCs w:val="20"/>
          <w:lang w:val="es-ES_tradnl"/>
        </w:rPr>
        <w:t xml:space="preserve"> </w:t>
      </w:r>
      <w:r w:rsidRPr="00961615">
        <w:rPr>
          <w:rFonts w:ascii="Arial" w:hAnsi="Arial" w:cs="Arial"/>
          <w:i/>
          <w:iCs/>
          <w:sz w:val="20"/>
          <w:szCs w:val="20"/>
          <w:lang w:val="es-ES_tradnl"/>
        </w:rPr>
        <w:br/>
      </w:r>
      <w:r w:rsidR="000951E6" w:rsidRPr="00961615">
        <w:rPr>
          <w:rFonts w:ascii="Arial" w:hAnsi="Arial" w:cs="Arial"/>
          <w:i/>
          <w:iCs/>
          <w:sz w:val="20"/>
          <w:szCs w:val="20"/>
          <w:lang w:val="es-ES_tradnl"/>
        </w:rPr>
        <w:t>llame al 1-800-311-7343.</w:t>
      </w:r>
    </w:p>
    <w:p w14:paraId="7BADD25E" w14:textId="77777777" w:rsidR="000951E6" w:rsidRPr="00961615" w:rsidRDefault="000951E6" w:rsidP="1A47ABBA">
      <w:pPr>
        <w:spacing w:after="0"/>
        <w:rPr>
          <w:rFonts w:ascii="Times New Roman" w:eastAsiaTheme="minorEastAsia" w:hAnsi="Times New Roman" w:cs="Times New Roman"/>
          <w:b/>
          <w:bCs/>
          <w:sz w:val="20"/>
          <w:szCs w:val="20"/>
          <w:lang w:val="es-ES_tradnl"/>
        </w:rPr>
      </w:pPr>
    </w:p>
    <w:p w14:paraId="3D605BB7" w14:textId="42887CF0" w:rsidR="0061592C" w:rsidRPr="00961615" w:rsidRDefault="00264132" w:rsidP="1A47ABBA">
      <w:pPr>
        <w:spacing w:after="0"/>
        <w:rPr>
          <w:rFonts w:ascii="Times New Roman" w:eastAsiaTheme="minorEastAsia" w:hAnsi="Times New Roman" w:cs="Times New Roman"/>
          <w:b/>
          <w:bCs/>
          <w:sz w:val="36"/>
          <w:szCs w:val="36"/>
          <w:lang w:val="es-ES_tradnl"/>
        </w:rPr>
      </w:pPr>
      <w:r w:rsidRPr="00961615">
        <w:rPr>
          <w:rFonts w:ascii="Times New Roman" w:eastAsiaTheme="minorEastAsia" w:hAnsi="Times New Roman" w:cs="Times New Roman"/>
          <w:b/>
          <w:bCs/>
          <w:sz w:val="36"/>
          <w:szCs w:val="36"/>
          <w:lang w:val="es-ES_tradnl"/>
        </w:rPr>
        <w:t>Aviso de solicitud de aumento de tarifas de San Diego Gas &amp; Electric Company</w:t>
      </w:r>
    </w:p>
    <w:p w14:paraId="2C57DDB8" w14:textId="77777777" w:rsidR="003636B1" w:rsidRPr="00961615" w:rsidRDefault="003636B1" w:rsidP="1A47ABBA">
      <w:pPr>
        <w:spacing w:after="0"/>
        <w:rPr>
          <w:rFonts w:ascii="Times New Roman" w:hAnsi="Times New Roman" w:cs="Times New Roman"/>
          <w:b/>
          <w:bCs/>
          <w:sz w:val="22"/>
          <w:szCs w:val="22"/>
          <w:lang w:val="es-ES_tradnl"/>
        </w:rPr>
      </w:pPr>
    </w:p>
    <w:p w14:paraId="254EB72C" w14:textId="1BF656EB" w:rsidR="00875FAB" w:rsidRPr="00961615" w:rsidRDefault="00EC0CA4">
      <w:pPr>
        <w:rPr>
          <w:rFonts w:ascii="Times New Roman" w:hAnsi="Times New Roman" w:cs="Times New Roman"/>
          <w:b/>
          <w:bCs/>
          <w:lang w:val="es-ES_tradnl"/>
        </w:rPr>
      </w:pPr>
      <w:r w:rsidRPr="00961615">
        <w:rPr>
          <w:rFonts w:ascii="Times New Roman" w:hAnsi="Times New Roman" w:cs="Times New Roman"/>
          <w:b/>
          <w:bCs/>
          <w:lang w:val="es-ES_tradnl"/>
        </w:rPr>
        <w:t xml:space="preserve">Solicitud </w:t>
      </w:r>
      <w:r w:rsidR="00472AAE">
        <w:rPr>
          <w:rFonts w:ascii="Times New Roman" w:hAnsi="Times New Roman" w:cs="Times New Roman"/>
          <w:b/>
          <w:bCs/>
          <w:lang w:val="es-ES_tradnl"/>
        </w:rPr>
        <w:t>sobre</w:t>
      </w:r>
      <w:r w:rsidR="00472AAE" w:rsidRPr="00961615">
        <w:rPr>
          <w:rFonts w:ascii="Times New Roman" w:hAnsi="Times New Roman" w:cs="Times New Roman"/>
          <w:b/>
          <w:bCs/>
          <w:lang w:val="es-ES_tradnl"/>
        </w:rPr>
        <w:t xml:space="preserve"> eficiencia energética (EE) para 2026 </w:t>
      </w:r>
      <w:r w:rsidR="005C1C77">
        <w:rPr>
          <w:rFonts w:ascii="Times New Roman" w:hAnsi="Times New Roman" w:cs="Times New Roman"/>
          <w:b/>
          <w:bCs/>
          <w:lang w:val="es-ES_tradnl"/>
        </w:rPr>
        <w:t>de</w:t>
      </w:r>
      <w:r w:rsidRPr="00961615">
        <w:rPr>
          <w:rFonts w:ascii="Times New Roman" w:hAnsi="Times New Roman" w:cs="Times New Roman"/>
          <w:b/>
          <w:bCs/>
          <w:lang w:val="es-ES_tradnl"/>
        </w:rPr>
        <w:t xml:space="preserve"> San Diego Gas &amp; Electric Company (SDG&amp;E) ante la Comisión de Servicios Públicos de California (CPUC) A. 26-03-012</w:t>
      </w:r>
    </w:p>
    <w:p w14:paraId="3BCBD343" w14:textId="76EAA436" w:rsidR="00875FAB" w:rsidRPr="00961615" w:rsidRDefault="00B6149F" w:rsidP="59F9173E">
      <w:pPr>
        <w:contextualSpacing/>
        <w:rPr>
          <w:rFonts w:ascii="Times New Roman" w:hAnsi="Times New Roman" w:cs="Times New Roman"/>
          <w:b/>
          <w:bCs/>
          <w:lang w:val="es-ES_tradnl"/>
        </w:rPr>
      </w:pPr>
      <w:r w:rsidRPr="00961615">
        <w:rPr>
          <w:rFonts w:ascii="Times New Roman" w:hAnsi="Times New Roman" w:cs="Times New Roman"/>
          <w:b/>
          <w:bCs/>
          <w:lang w:val="es-ES_tradnl"/>
        </w:rPr>
        <w:t>¿Qué se solicita?</w:t>
      </w:r>
    </w:p>
    <w:p w14:paraId="7A38CE9D" w14:textId="1130C93D" w:rsidR="710CBC77" w:rsidRPr="00961615" w:rsidRDefault="003F1969" w:rsidP="00AE00C7">
      <w:pPr>
        <w:spacing w:after="0" w:line="276" w:lineRule="auto"/>
        <w:contextualSpacing/>
        <w:rPr>
          <w:rFonts w:ascii="Times New Roman" w:eastAsia="Times New Roman" w:hAnsi="Times New Roman" w:cs="Times New Roman"/>
          <w:lang w:val="es-ES_tradnl"/>
        </w:rPr>
      </w:pPr>
      <w:r w:rsidRPr="00961615">
        <w:rPr>
          <w:rFonts w:ascii="Times New Roman" w:eastAsia="Times New Roman" w:hAnsi="Times New Roman" w:cs="Times New Roman"/>
          <w:lang w:val="es-ES_tradnl"/>
        </w:rPr>
        <w:t>SDG&amp;E solicita recaudar $460 millones a lo largo de un periodo de cuatro años (2028-2031) para seguir financiando los programas de eficiencia energética que ofrecen SDG&amp;E y la Red Regional de Energía de San Diego (</w:t>
      </w:r>
      <w:r w:rsidRPr="003E300F">
        <w:rPr>
          <w:rFonts w:ascii="Times New Roman" w:eastAsia="Times New Roman" w:hAnsi="Times New Roman" w:cs="Times New Roman"/>
          <w:i/>
          <w:iCs/>
          <w:lang w:val="es-ES_tradnl"/>
        </w:rPr>
        <w:t>San Diego Regional Energy Network</w:t>
      </w:r>
      <w:r w:rsidRPr="00961615">
        <w:rPr>
          <w:rFonts w:ascii="Times New Roman" w:eastAsia="Times New Roman" w:hAnsi="Times New Roman" w:cs="Times New Roman"/>
          <w:lang w:val="es-ES_tradnl"/>
        </w:rPr>
        <w:t xml:space="preserve">, SDREN). Aproximadamente $175 millones (38%) del monto propuesto se destinarían a </w:t>
      </w:r>
      <w:r w:rsidR="003E300F">
        <w:rPr>
          <w:rFonts w:ascii="Times New Roman" w:eastAsia="Times New Roman" w:hAnsi="Times New Roman" w:cs="Times New Roman"/>
          <w:lang w:val="es-ES_tradnl"/>
        </w:rPr>
        <w:t xml:space="preserve">financiar </w:t>
      </w:r>
      <w:r w:rsidRPr="00961615">
        <w:rPr>
          <w:rFonts w:ascii="Times New Roman" w:eastAsia="Times New Roman" w:hAnsi="Times New Roman" w:cs="Times New Roman"/>
          <w:lang w:val="es-ES_tradnl"/>
        </w:rPr>
        <w:t>los programas de la SDREN. La cantidad solicitada representa un incremento neto total de $9 millones durante el periodo de cuatro años en comparación con los ingresos actuales. El incremento se introducirá gradualmente entre 2028 y 2031</w:t>
      </w:r>
      <w:r w:rsidR="0041250F" w:rsidRPr="00961615">
        <w:rPr>
          <w:rFonts w:ascii="Times New Roman" w:eastAsia="Times New Roman" w:hAnsi="Times New Roman" w:cs="Times New Roman"/>
          <w:lang w:val="es-ES_tradnl"/>
        </w:rPr>
        <w:t>.</w:t>
      </w:r>
      <w:r w:rsidR="002204A6" w:rsidRPr="00961615">
        <w:rPr>
          <w:rStyle w:val="FootnoteReference"/>
          <w:rFonts w:ascii="Times New Roman" w:eastAsia="Times New Roman" w:hAnsi="Times New Roman" w:cs="Times New Roman"/>
          <w:lang w:val="es-ES_tradnl"/>
        </w:rPr>
        <w:footnoteReference w:id="1"/>
      </w:r>
    </w:p>
    <w:p w14:paraId="341C012E" w14:textId="11FC48E6" w:rsidR="710CBC77" w:rsidRPr="00961615" w:rsidRDefault="710CBC77" w:rsidP="00AE00C7">
      <w:pPr>
        <w:spacing w:after="0"/>
        <w:contextualSpacing/>
        <w:rPr>
          <w:lang w:val="es-ES_tradnl"/>
        </w:rPr>
      </w:pPr>
    </w:p>
    <w:p w14:paraId="5F8742C2" w14:textId="623A2768" w:rsidR="710CBC77" w:rsidRPr="00961615" w:rsidRDefault="0029691A" w:rsidP="00AE00C7">
      <w:pPr>
        <w:spacing w:after="0"/>
        <w:contextualSpacing/>
        <w:rPr>
          <w:rFonts w:ascii="Times New Roman" w:eastAsia="Times New Roman" w:hAnsi="Times New Roman" w:cs="Times New Roman"/>
          <w:lang w:val="es-ES_tradnl"/>
        </w:rPr>
      </w:pPr>
      <w:r w:rsidRPr="00961615">
        <w:rPr>
          <w:rFonts w:ascii="Times New Roman" w:eastAsia="Times New Roman" w:hAnsi="Times New Roman" w:cs="Times New Roman"/>
          <w:lang w:val="es-ES_tradnl"/>
        </w:rPr>
        <w:t xml:space="preserve">La SDREN es una asociación entre San Diego </w:t>
      </w:r>
      <w:proofErr w:type="spellStart"/>
      <w:r w:rsidRPr="00961615">
        <w:rPr>
          <w:rFonts w:ascii="Times New Roman" w:eastAsia="Times New Roman" w:hAnsi="Times New Roman" w:cs="Times New Roman"/>
          <w:lang w:val="es-ES_tradnl"/>
        </w:rPr>
        <w:t>Community</w:t>
      </w:r>
      <w:proofErr w:type="spellEnd"/>
      <w:r w:rsidRPr="00961615">
        <w:rPr>
          <w:rFonts w:ascii="Times New Roman" w:eastAsia="Times New Roman" w:hAnsi="Times New Roman" w:cs="Times New Roman"/>
          <w:lang w:val="es-ES_tradnl"/>
        </w:rPr>
        <w:t xml:space="preserve"> </w:t>
      </w:r>
      <w:proofErr w:type="spellStart"/>
      <w:r w:rsidRPr="00961615">
        <w:rPr>
          <w:rFonts w:ascii="Times New Roman" w:eastAsia="Times New Roman" w:hAnsi="Times New Roman" w:cs="Times New Roman"/>
          <w:lang w:val="es-ES_tradnl"/>
        </w:rPr>
        <w:t>Power</w:t>
      </w:r>
      <w:proofErr w:type="spellEnd"/>
      <w:r w:rsidRPr="00961615">
        <w:rPr>
          <w:rFonts w:ascii="Times New Roman" w:eastAsia="Times New Roman" w:hAnsi="Times New Roman" w:cs="Times New Roman"/>
          <w:lang w:val="es-ES_tradnl"/>
        </w:rPr>
        <w:t xml:space="preserve"> y el condado de San Diego. Se trata de una entidad independiente de SDG&amp;E</w:t>
      </w:r>
      <w:r w:rsidR="5B4CEF87" w:rsidRPr="00961615">
        <w:rPr>
          <w:rFonts w:ascii="Times New Roman" w:eastAsia="Times New Roman" w:hAnsi="Times New Roman" w:cs="Times New Roman"/>
          <w:lang w:val="es-ES_tradnl"/>
        </w:rPr>
        <w:t>.</w:t>
      </w:r>
      <w:r w:rsidR="00A242C2" w:rsidRPr="00961615">
        <w:rPr>
          <w:rStyle w:val="FootnoteReference"/>
          <w:rFonts w:ascii="Times New Roman" w:eastAsia="Times New Roman" w:hAnsi="Times New Roman" w:cs="Times New Roman"/>
          <w:lang w:val="es-ES_tradnl"/>
        </w:rPr>
        <w:footnoteReference w:id="2"/>
      </w:r>
      <w:r w:rsidR="00BC638B" w:rsidRPr="00961615">
        <w:rPr>
          <w:rFonts w:ascii="Times New Roman" w:eastAsia="Times New Roman" w:hAnsi="Times New Roman" w:cs="Times New Roman"/>
          <w:lang w:val="es-ES_tradnl"/>
        </w:rPr>
        <w:t xml:space="preserve"> </w:t>
      </w:r>
      <w:r w:rsidR="00796BC6" w:rsidRPr="00961615">
        <w:rPr>
          <w:rFonts w:ascii="Times New Roman" w:eastAsia="Times New Roman" w:hAnsi="Times New Roman" w:cs="Times New Roman"/>
          <w:lang w:val="es-ES_tradnl"/>
        </w:rPr>
        <w:t>La CPUC requiere que SDG&amp;E recaude fondos para la SDREN a través de las tarifas que cobra a sus clientes</w:t>
      </w:r>
      <w:r w:rsidR="5B4CEF87" w:rsidRPr="00961615">
        <w:rPr>
          <w:rFonts w:ascii="Times New Roman" w:eastAsia="Times New Roman" w:hAnsi="Times New Roman" w:cs="Times New Roman"/>
          <w:lang w:val="es-ES_tradnl"/>
        </w:rPr>
        <w:t>.</w:t>
      </w:r>
      <w:r w:rsidR="0041250F" w:rsidRPr="00961615">
        <w:rPr>
          <w:rFonts w:ascii="Times New Roman" w:eastAsia="Times New Roman" w:hAnsi="Times New Roman" w:cs="Times New Roman"/>
          <w:lang w:val="es-ES_tradnl"/>
        </w:rPr>
        <w:t xml:space="preserve"> </w:t>
      </w:r>
    </w:p>
    <w:p w14:paraId="1906B2E8" w14:textId="72E9D490" w:rsidR="710CBC77" w:rsidRPr="00961615" w:rsidRDefault="710CBC77" w:rsidP="404F3E9F">
      <w:pPr>
        <w:spacing w:after="0"/>
        <w:contextualSpacing/>
        <w:rPr>
          <w:rFonts w:ascii="Times New Roman" w:eastAsia="Times New Roman" w:hAnsi="Times New Roman" w:cs="Times New Roman"/>
          <w:lang w:val="es-ES_tradnl"/>
        </w:rPr>
      </w:pPr>
    </w:p>
    <w:p w14:paraId="6AC97090" w14:textId="0F536612" w:rsidR="0041250F" w:rsidRPr="00961615" w:rsidRDefault="00A01FFC" w:rsidP="0041250F">
      <w:pPr>
        <w:contextualSpacing/>
        <w:rPr>
          <w:rFonts w:ascii="Times New Roman" w:eastAsia="Times New Roman" w:hAnsi="Times New Roman" w:cs="Times New Roman"/>
          <w:lang w:val="es-ES_tradnl"/>
        </w:rPr>
      </w:pPr>
      <w:r w:rsidRPr="00961615">
        <w:rPr>
          <w:rFonts w:ascii="Times New Roman" w:eastAsia="Times New Roman" w:hAnsi="Times New Roman" w:cs="Times New Roman"/>
          <w:b/>
          <w:bCs/>
          <w:lang w:val="es-ES_tradnl"/>
        </w:rPr>
        <w:t>Impacto ilustrativo de las tarifas eléctricas propuestas por clase de cliente (SDG&amp;E + SDREN)</w:t>
      </w:r>
      <w:r w:rsidR="0041250F" w:rsidRPr="00961615">
        <w:rPr>
          <w:rStyle w:val="FootnoteReference"/>
          <w:rFonts w:ascii="Times New Roman" w:eastAsia="Times New Roman" w:hAnsi="Times New Roman" w:cs="Times New Roman"/>
          <w:b/>
          <w:bCs/>
          <w:lang w:val="es-ES_tradnl"/>
        </w:rPr>
        <w:footnoteReference w:id="3"/>
      </w:r>
    </w:p>
    <w:tbl>
      <w:tblPr>
        <w:tblStyle w:val="TableGrid"/>
        <w:tblW w:w="0" w:type="auto"/>
        <w:tblLook w:val="04A0" w:firstRow="1" w:lastRow="0" w:firstColumn="1" w:lastColumn="0" w:noHBand="0" w:noVBand="1"/>
      </w:tblPr>
      <w:tblGrid>
        <w:gridCol w:w="3116"/>
        <w:gridCol w:w="3117"/>
        <w:gridCol w:w="3117"/>
      </w:tblGrid>
      <w:tr w:rsidR="0041250F" w:rsidRPr="00845566" w14:paraId="4B37172A" w14:textId="77777777" w:rsidTr="00995D9A">
        <w:tc>
          <w:tcPr>
            <w:tcW w:w="3116" w:type="dxa"/>
          </w:tcPr>
          <w:p w14:paraId="4CF036E1" w14:textId="3BA6256A" w:rsidR="0041250F" w:rsidRPr="00961615" w:rsidRDefault="00A01FFC" w:rsidP="00995D9A">
            <w:pPr>
              <w:rPr>
                <w:rFonts w:ascii="Times New Roman" w:hAnsi="Times New Roman" w:cs="Times New Roman"/>
                <w:lang w:val="es-ES_tradnl"/>
              </w:rPr>
            </w:pPr>
            <w:r w:rsidRPr="00961615">
              <w:rPr>
                <w:rFonts w:ascii="Times New Roman" w:hAnsi="Times New Roman" w:cs="Times New Roman"/>
                <w:lang w:val="es-ES_tradnl"/>
              </w:rPr>
              <w:t>Clase de cliente</w:t>
            </w:r>
          </w:p>
        </w:tc>
        <w:tc>
          <w:tcPr>
            <w:tcW w:w="3117" w:type="dxa"/>
          </w:tcPr>
          <w:p w14:paraId="3676253D" w14:textId="0A0C1D81" w:rsidR="0041250F" w:rsidRPr="00961615" w:rsidRDefault="00DE1C82" w:rsidP="00995D9A">
            <w:pPr>
              <w:rPr>
                <w:rFonts w:ascii="Times New Roman" w:eastAsia="Times New Roman" w:hAnsi="Times New Roman" w:cs="Times New Roman"/>
                <w:lang w:val="es-ES_tradnl"/>
              </w:rPr>
            </w:pPr>
            <w:r w:rsidRPr="00961615">
              <w:rPr>
                <w:rFonts w:ascii="Times New Roman" w:hAnsi="Times New Roman" w:cs="Times New Roman"/>
                <w:lang w:val="es-ES_tradnl"/>
              </w:rPr>
              <w:t>A</w:t>
            </w:r>
            <w:r w:rsidR="00A01FFC" w:rsidRPr="00961615">
              <w:rPr>
                <w:rFonts w:ascii="Times New Roman" w:hAnsi="Times New Roman" w:cs="Times New Roman"/>
                <w:lang w:val="es-ES_tradnl"/>
              </w:rPr>
              <w:t>umento de tarifas</w:t>
            </w:r>
            <w:r w:rsidR="0041250F" w:rsidRPr="00961615">
              <w:rPr>
                <w:rFonts w:ascii="Times New Roman" w:hAnsi="Times New Roman" w:cs="Times New Roman"/>
                <w:lang w:val="es-ES_tradnl"/>
              </w:rPr>
              <w:t xml:space="preserve"> </w:t>
            </w:r>
            <w:r w:rsidRPr="00961615">
              <w:rPr>
                <w:rFonts w:ascii="Times New Roman" w:hAnsi="Times New Roman" w:cs="Times New Roman"/>
                <w:lang w:val="es-ES_tradnl"/>
              </w:rPr>
              <w:t xml:space="preserve">propuesto </w:t>
            </w:r>
            <w:r w:rsidR="0041250F" w:rsidRPr="00961615">
              <w:rPr>
                <w:rFonts w:ascii="Aptos" w:eastAsia="Aptos" w:hAnsi="Aptos" w:cs="Aptos"/>
                <w:lang w:val="es-ES_tradnl"/>
              </w:rPr>
              <w:t>(¢/kWh)</w:t>
            </w:r>
          </w:p>
        </w:tc>
        <w:tc>
          <w:tcPr>
            <w:tcW w:w="3117" w:type="dxa"/>
          </w:tcPr>
          <w:p w14:paraId="6D7F6448" w14:textId="133E0921" w:rsidR="0041250F" w:rsidRPr="00961615" w:rsidRDefault="00CC3350" w:rsidP="00995D9A">
            <w:pPr>
              <w:rPr>
                <w:rFonts w:ascii="Times New Roman" w:hAnsi="Times New Roman" w:cs="Times New Roman"/>
                <w:lang w:val="es-ES_tradnl"/>
              </w:rPr>
            </w:pPr>
            <w:r w:rsidRPr="00961615">
              <w:rPr>
                <w:rFonts w:ascii="Times New Roman" w:hAnsi="Times New Roman" w:cs="Times New Roman"/>
                <w:lang w:val="es-ES_tradnl"/>
              </w:rPr>
              <w:t xml:space="preserve">Aumento porcentual en las tarifas </w:t>
            </w:r>
            <w:r w:rsidR="0041250F" w:rsidRPr="00961615">
              <w:rPr>
                <w:rFonts w:ascii="Times New Roman" w:hAnsi="Times New Roman" w:cs="Times New Roman"/>
                <w:lang w:val="es-ES_tradnl"/>
              </w:rPr>
              <w:t>(%)</w:t>
            </w:r>
          </w:p>
        </w:tc>
      </w:tr>
      <w:tr w:rsidR="0041250F" w:rsidRPr="00961615" w14:paraId="5606A896" w14:textId="77777777" w:rsidTr="00995D9A">
        <w:tc>
          <w:tcPr>
            <w:tcW w:w="3116" w:type="dxa"/>
          </w:tcPr>
          <w:p w14:paraId="1B808D96" w14:textId="307EF076"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Residen</w:t>
            </w:r>
            <w:r w:rsidR="00CC3350" w:rsidRPr="00961615">
              <w:rPr>
                <w:rFonts w:ascii="Times New Roman" w:hAnsi="Times New Roman" w:cs="Times New Roman"/>
                <w:lang w:val="es-ES_tradnl"/>
              </w:rPr>
              <w:t>c</w:t>
            </w:r>
            <w:r w:rsidRPr="00961615">
              <w:rPr>
                <w:rFonts w:ascii="Times New Roman" w:hAnsi="Times New Roman" w:cs="Times New Roman"/>
                <w:lang w:val="es-ES_tradnl"/>
              </w:rPr>
              <w:t>ial</w:t>
            </w:r>
          </w:p>
        </w:tc>
        <w:tc>
          <w:tcPr>
            <w:tcW w:w="3117" w:type="dxa"/>
          </w:tcPr>
          <w:p w14:paraId="2DC4797A" w14:textId="7777777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0.007</w:t>
            </w:r>
          </w:p>
        </w:tc>
        <w:tc>
          <w:tcPr>
            <w:tcW w:w="3117" w:type="dxa"/>
          </w:tcPr>
          <w:p w14:paraId="657509D2" w14:textId="7777777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0.0%</w:t>
            </w:r>
          </w:p>
        </w:tc>
      </w:tr>
      <w:tr w:rsidR="0041250F" w:rsidRPr="00961615" w14:paraId="1787FC9F" w14:textId="77777777" w:rsidTr="00995D9A">
        <w:tc>
          <w:tcPr>
            <w:tcW w:w="3116" w:type="dxa"/>
          </w:tcPr>
          <w:p w14:paraId="587E6087" w14:textId="51C44785" w:rsidR="0041250F" w:rsidRPr="00961615" w:rsidRDefault="00D378AD" w:rsidP="00995D9A">
            <w:pPr>
              <w:rPr>
                <w:rFonts w:ascii="Times New Roman" w:hAnsi="Times New Roman" w:cs="Times New Roman"/>
                <w:lang w:val="es-ES_tradnl"/>
              </w:rPr>
            </w:pPr>
            <w:r w:rsidRPr="00961615">
              <w:rPr>
                <w:rFonts w:ascii="Times New Roman" w:hAnsi="Times New Roman" w:cs="Times New Roman"/>
                <w:lang w:val="es-ES_tradnl"/>
              </w:rPr>
              <w:t>Comercial pequeño</w:t>
            </w:r>
          </w:p>
        </w:tc>
        <w:tc>
          <w:tcPr>
            <w:tcW w:w="3117" w:type="dxa"/>
          </w:tcPr>
          <w:p w14:paraId="0349F350" w14:textId="7777777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0.002</w:t>
            </w:r>
          </w:p>
        </w:tc>
        <w:tc>
          <w:tcPr>
            <w:tcW w:w="3117" w:type="dxa"/>
          </w:tcPr>
          <w:p w14:paraId="4707F67D" w14:textId="7777777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0.0%</w:t>
            </w:r>
          </w:p>
        </w:tc>
      </w:tr>
      <w:tr w:rsidR="0041250F" w:rsidRPr="00961615" w14:paraId="423DFD52" w14:textId="77777777" w:rsidTr="00995D9A">
        <w:tc>
          <w:tcPr>
            <w:tcW w:w="3116" w:type="dxa"/>
          </w:tcPr>
          <w:p w14:paraId="56F316C2" w14:textId="10710650" w:rsidR="0041250F" w:rsidRPr="00961615" w:rsidRDefault="00853DE5" w:rsidP="00995D9A">
            <w:pPr>
              <w:rPr>
                <w:rFonts w:ascii="Times New Roman" w:hAnsi="Times New Roman" w:cs="Times New Roman"/>
                <w:lang w:val="es-ES_tradnl"/>
              </w:rPr>
            </w:pPr>
            <w:r w:rsidRPr="00961615">
              <w:rPr>
                <w:rFonts w:ascii="Times New Roman" w:hAnsi="Times New Roman" w:cs="Times New Roman"/>
                <w:lang w:val="es-ES_tradnl"/>
              </w:rPr>
              <w:t>Comercial e industrial mediano y grande</w:t>
            </w:r>
          </w:p>
        </w:tc>
        <w:tc>
          <w:tcPr>
            <w:tcW w:w="3117" w:type="dxa"/>
          </w:tcPr>
          <w:p w14:paraId="46BCF6C1" w14:textId="7777777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0.001</w:t>
            </w:r>
          </w:p>
        </w:tc>
        <w:tc>
          <w:tcPr>
            <w:tcW w:w="3117" w:type="dxa"/>
          </w:tcPr>
          <w:p w14:paraId="5A5321A1" w14:textId="7777777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0.0%</w:t>
            </w:r>
          </w:p>
        </w:tc>
      </w:tr>
      <w:tr w:rsidR="0041250F" w:rsidRPr="00961615" w14:paraId="2A3153CC" w14:textId="77777777" w:rsidTr="00995D9A">
        <w:tc>
          <w:tcPr>
            <w:tcW w:w="3116" w:type="dxa"/>
          </w:tcPr>
          <w:p w14:paraId="5F2C18D7" w14:textId="53ECCA7E"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Agr</w:t>
            </w:r>
            <w:r w:rsidR="00853DE5" w:rsidRPr="00961615">
              <w:rPr>
                <w:rFonts w:ascii="Times New Roman" w:hAnsi="Times New Roman" w:cs="Times New Roman"/>
                <w:lang w:val="es-ES_tradnl"/>
              </w:rPr>
              <w:t>ícola</w:t>
            </w:r>
          </w:p>
        </w:tc>
        <w:tc>
          <w:tcPr>
            <w:tcW w:w="3117" w:type="dxa"/>
          </w:tcPr>
          <w:p w14:paraId="39C1D915" w14:textId="7777777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0.005</w:t>
            </w:r>
          </w:p>
        </w:tc>
        <w:tc>
          <w:tcPr>
            <w:tcW w:w="3117" w:type="dxa"/>
          </w:tcPr>
          <w:p w14:paraId="5CB1C076" w14:textId="7777777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0.0%</w:t>
            </w:r>
          </w:p>
        </w:tc>
      </w:tr>
      <w:tr w:rsidR="0041250F" w:rsidRPr="00961615" w14:paraId="24EE0015" w14:textId="77777777" w:rsidTr="00995D9A">
        <w:tc>
          <w:tcPr>
            <w:tcW w:w="3116" w:type="dxa"/>
          </w:tcPr>
          <w:p w14:paraId="41688649" w14:textId="535FC4D7" w:rsidR="0041250F" w:rsidRPr="00961615" w:rsidDel="00FA7321" w:rsidRDefault="008A3069" w:rsidP="00995D9A">
            <w:pPr>
              <w:rPr>
                <w:rFonts w:ascii="Times New Roman" w:hAnsi="Times New Roman" w:cs="Times New Roman"/>
                <w:lang w:val="es-ES_tradnl"/>
              </w:rPr>
            </w:pPr>
            <w:r w:rsidRPr="00961615">
              <w:rPr>
                <w:rFonts w:ascii="Times New Roman" w:hAnsi="Times New Roman" w:cs="Times New Roman"/>
                <w:lang w:val="es-ES_tradnl"/>
              </w:rPr>
              <w:t>Alumbrado público</w:t>
            </w:r>
          </w:p>
        </w:tc>
        <w:tc>
          <w:tcPr>
            <w:tcW w:w="3117" w:type="dxa"/>
          </w:tcPr>
          <w:p w14:paraId="61F47BCE" w14:textId="7777777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0.013</w:t>
            </w:r>
          </w:p>
        </w:tc>
        <w:tc>
          <w:tcPr>
            <w:tcW w:w="3117" w:type="dxa"/>
          </w:tcPr>
          <w:p w14:paraId="7B3E6D24" w14:textId="7777777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0.0%</w:t>
            </w:r>
          </w:p>
        </w:tc>
      </w:tr>
      <w:tr w:rsidR="0041250F" w:rsidRPr="00961615" w14:paraId="5750609D" w14:textId="77777777" w:rsidTr="00995D9A">
        <w:tc>
          <w:tcPr>
            <w:tcW w:w="3116" w:type="dxa"/>
          </w:tcPr>
          <w:p w14:paraId="5985DECC" w14:textId="7F39BE26" w:rsidR="0041250F" w:rsidRPr="00961615" w:rsidDel="00FA7321" w:rsidRDefault="008A3069" w:rsidP="00995D9A">
            <w:pPr>
              <w:rPr>
                <w:rFonts w:ascii="Times New Roman" w:hAnsi="Times New Roman" w:cs="Times New Roman"/>
                <w:lang w:val="es-ES_tradnl"/>
              </w:rPr>
            </w:pPr>
            <w:proofErr w:type="gramStart"/>
            <w:r w:rsidRPr="00961615">
              <w:rPr>
                <w:rFonts w:ascii="Times New Roman" w:hAnsi="Times New Roman" w:cs="Times New Roman"/>
                <w:lang w:val="es-ES_tradnl"/>
              </w:rPr>
              <w:t>Total</w:t>
            </w:r>
            <w:proofErr w:type="gramEnd"/>
            <w:r w:rsidRPr="00961615">
              <w:rPr>
                <w:rFonts w:ascii="Times New Roman" w:hAnsi="Times New Roman" w:cs="Times New Roman"/>
                <w:lang w:val="es-ES_tradnl"/>
              </w:rPr>
              <w:t xml:space="preserve"> del sistema</w:t>
            </w:r>
          </w:p>
        </w:tc>
        <w:tc>
          <w:tcPr>
            <w:tcW w:w="3117" w:type="dxa"/>
          </w:tcPr>
          <w:p w14:paraId="7FC128A6" w14:textId="7777777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0.005</w:t>
            </w:r>
          </w:p>
        </w:tc>
        <w:tc>
          <w:tcPr>
            <w:tcW w:w="3117" w:type="dxa"/>
          </w:tcPr>
          <w:p w14:paraId="304161C4" w14:textId="7777777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0.0%</w:t>
            </w:r>
          </w:p>
        </w:tc>
      </w:tr>
    </w:tbl>
    <w:p w14:paraId="759041A0" w14:textId="56868C27" w:rsidR="0041250F" w:rsidRPr="00961615" w:rsidRDefault="00DE1C82" w:rsidP="0041250F">
      <w:pPr>
        <w:spacing w:after="0"/>
        <w:contextualSpacing/>
        <w:rPr>
          <w:rFonts w:ascii="Times New Roman" w:eastAsia="Times New Roman" w:hAnsi="Times New Roman" w:cs="Times New Roman"/>
          <w:b/>
          <w:lang w:val="es-ES_tradnl"/>
        </w:rPr>
      </w:pPr>
      <w:r w:rsidRPr="00961615">
        <w:rPr>
          <w:rFonts w:ascii="Times New Roman" w:eastAsia="Times New Roman" w:hAnsi="Times New Roman" w:cs="Times New Roman"/>
          <w:b/>
          <w:bCs/>
          <w:lang w:val="es-ES_tradnl"/>
        </w:rPr>
        <w:lastRenderedPageBreak/>
        <w:t>Impacto ilustrativo de la tarifa de gas propuesta por clase de cliente</w:t>
      </w:r>
      <w:r w:rsidR="0041250F" w:rsidRPr="00961615">
        <w:rPr>
          <w:rFonts w:ascii="Times New Roman" w:eastAsia="Times New Roman" w:hAnsi="Times New Roman" w:cs="Times New Roman"/>
          <w:b/>
          <w:bCs/>
          <w:lang w:val="es-ES_tradnl"/>
        </w:rPr>
        <w:t xml:space="preserve"> (SDG&amp;E + SDREN)</w:t>
      </w:r>
      <w:r w:rsidR="0041250F" w:rsidRPr="00961615">
        <w:rPr>
          <w:rStyle w:val="FootnoteReference"/>
          <w:rFonts w:ascii="Times New Roman" w:eastAsia="Times New Roman" w:hAnsi="Times New Roman" w:cs="Times New Roman"/>
          <w:b/>
          <w:bCs/>
          <w:lang w:val="es-ES_tradnl"/>
        </w:rPr>
        <w:footnoteReference w:id="4"/>
      </w:r>
    </w:p>
    <w:tbl>
      <w:tblPr>
        <w:tblStyle w:val="TableGrid"/>
        <w:tblW w:w="0" w:type="auto"/>
        <w:tblLook w:val="04A0" w:firstRow="1" w:lastRow="0" w:firstColumn="1" w:lastColumn="0" w:noHBand="0" w:noVBand="1"/>
      </w:tblPr>
      <w:tblGrid>
        <w:gridCol w:w="3216"/>
        <w:gridCol w:w="3073"/>
        <w:gridCol w:w="3061"/>
      </w:tblGrid>
      <w:tr w:rsidR="0041250F" w:rsidRPr="00845566" w14:paraId="11451F5C" w14:textId="77777777" w:rsidTr="00995D9A">
        <w:trPr>
          <w:trHeight w:val="300"/>
        </w:trPr>
        <w:tc>
          <w:tcPr>
            <w:tcW w:w="3216" w:type="dxa"/>
          </w:tcPr>
          <w:p w14:paraId="42967B3F" w14:textId="7C32D582" w:rsidR="0041250F" w:rsidRPr="00961615" w:rsidRDefault="00DE1C82" w:rsidP="00995D9A">
            <w:pPr>
              <w:rPr>
                <w:rFonts w:ascii="Times New Roman" w:hAnsi="Times New Roman" w:cs="Times New Roman"/>
                <w:lang w:val="es-ES_tradnl"/>
              </w:rPr>
            </w:pPr>
            <w:r w:rsidRPr="00961615">
              <w:rPr>
                <w:rFonts w:ascii="Times New Roman" w:hAnsi="Times New Roman" w:cs="Times New Roman"/>
                <w:lang w:val="es-ES_tradnl"/>
              </w:rPr>
              <w:t>Clase de cliente</w:t>
            </w:r>
          </w:p>
        </w:tc>
        <w:tc>
          <w:tcPr>
            <w:tcW w:w="3073" w:type="dxa"/>
          </w:tcPr>
          <w:p w14:paraId="2202E6EC" w14:textId="14D68B26" w:rsidR="0041250F" w:rsidRPr="00961615" w:rsidRDefault="00DE1C82" w:rsidP="00995D9A">
            <w:pPr>
              <w:rPr>
                <w:rFonts w:ascii="Times New Roman" w:eastAsia="Times New Roman" w:hAnsi="Times New Roman" w:cs="Times New Roman"/>
                <w:lang w:val="es-ES_tradnl"/>
              </w:rPr>
            </w:pPr>
            <w:r w:rsidRPr="00961615">
              <w:rPr>
                <w:rFonts w:ascii="Times New Roman" w:hAnsi="Times New Roman" w:cs="Times New Roman"/>
                <w:lang w:val="es-ES_tradnl"/>
              </w:rPr>
              <w:t xml:space="preserve">Aumento de tarifas propuesto </w:t>
            </w:r>
            <w:r w:rsidR="0041250F" w:rsidRPr="00961615">
              <w:rPr>
                <w:rFonts w:ascii="Times New Roman" w:hAnsi="Times New Roman" w:cs="Times New Roman"/>
                <w:lang w:val="es-ES_tradnl"/>
              </w:rPr>
              <w:t>(¢/term</w:t>
            </w:r>
            <w:r w:rsidR="00961615" w:rsidRPr="00961615">
              <w:rPr>
                <w:rFonts w:ascii="Times New Roman" w:hAnsi="Times New Roman" w:cs="Times New Roman"/>
                <w:lang w:val="es-ES_tradnl"/>
              </w:rPr>
              <w:t>ia</w:t>
            </w:r>
            <w:r w:rsidR="0041250F" w:rsidRPr="00961615">
              <w:rPr>
                <w:rFonts w:ascii="Times New Roman" w:hAnsi="Times New Roman" w:cs="Times New Roman"/>
                <w:lang w:val="es-ES_tradnl"/>
              </w:rPr>
              <w:t>)</w:t>
            </w:r>
          </w:p>
        </w:tc>
        <w:tc>
          <w:tcPr>
            <w:tcW w:w="3061" w:type="dxa"/>
          </w:tcPr>
          <w:p w14:paraId="6461A6B3" w14:textId="2A891EE9" w:rsidR="0041250F" w:rsidRPr="00961615" w:rsidRDefault="00DE1C82" w:rsidP="00995D9A">
            <w:pPr>
              <w:rPr>
                <w:rFonts w:ascii="Times New Roman" w:hAnsi="Times New Roman" w:cs="Times New Roman"/>
                <w:lang w:val="es-ES_tradnl"/>
              </w:rPr>
            </w:pPr>
            <w:r w:rsidRPr="00961615">
              <w:rPr>
                <w:rFonts w:ascii="Times New Roman" w:hAnsi="Times New Roman" w:cs="Times New Roman"/>
                <w:lang w:val="es-ES_tradnl"/>
              </w:rPr>
              <w:t xml:space="preserve">Aumento porcentual en las tarifas </w:t>
            </w:r>
            <w:r w:rsidR="0041250F" w:rsidRPr="00961615">
              <w:rPr>
                <w:rFonts w:ascii="Times New Roman" w:hAnsi="Times New Roman" w:cs="Times New Roman"/>
                <w:lang w:val="es-ES_tradnl"/>
              </w:rPr>
              <w:t>(%)</w:t>
            </w:r>
          </w:p>
        </w:tc>
      </w:tr>
      <w:tr w:rsidR="0041250F" w:rsidRPr="00961615" w14:paraId="314E24A4" w14:textId="77777777" w:rsidTr="00995D9A">
        <w:trPr>
          <w:trHeight w:val="300"/>
        </w:trPr>
        <w:tc>
          <w:tcPr>
            <w:tcW w:w="3216" w:type="dxa"/>
          </w:tcPr>
          <w:p w14:paraId="23D0C957" w14:textId="0BC318EA" w:rsidR="0041250F" w:rsidRPr="00961615" w:rsidRDefault="00FC195E" w:rsidP="00995D9A">
            <w:pPr>
              <w:rPr>
                <w:rFonts w:ascii="Times New Roman" w:hAnsi="Times New Roman" w:cs="Times New Roman"/>
                <w:b/>
                <w:bCs/>
                <w:lang w:val="es-ES_tradnl"/>
              </w:rPr>
            </w:pPr>
            <w:r w:rsidRPr="00961615">
              <w:rPr>
                <w:rFonts w:ascii="Times New Roman" w:hAnsi="Times New Roman" w:cs="Times New Roman"/>
                <w:b/>
                <w:bCs/>
                <w:lang w:val="es-ES_tradnl"/>
              </w:rPr>
              <w:t>Clientes principales</w:t>
            </w:r>
          </w:p>
        </w:tc>
        <w:tc>
          <w:tcPr>
            <w:tcW w:w="3073" w:type="dxa"/>
          </w:tcPr>
          <w:p w14:paraId="1BC8DBEF" w14:textId="77777777" w:rsidR="0041250F" w:rsidRPr="00961615" w:rsidRDefault="0041250F" w:rsidP="00995D9A">
            <w:pPr>
              <w:rPr>
                <w:rFonts w:ascii="Times New Roman" w:hAnsi="Times New Roman" w:cs="Times New Roman"/>
                <w:highlight w:val="yellow"/>
                <w:lang w:val="es-ES_tradnl"/>
              </w:rPr>
            </w:pPr>
          </w:p>
        </w:tc>
        <w:tc>
          <w:tcPr>
            <w:tcW w:w="3061" w:type="dxa"/>
          </w:tcPr>
          <w:p w14:paraId="03AA24B0" w14:textId="77777777" w:rsidR="0041250F" w:rsidRPr="00961615" w:rsidRDefault="0041250F" w:rsidP="00995D9A">
            <w:pPr>
              <w:rPr>
                <w:rFonts w:ascii="Times New Roman" w:hAnsi="Times New Roman" w:cs="Times New Roman"/>
                <w:highlight w:val="yellow"/>
                <w:lang w:val="es-ES_tradnl"/>
              </w:rPr>
            </w:pPr>
          </w:p>
        </w:tc>
      </w:tr>
      <w:tr w:rsidR="0041250F" w:rsidRPr="00961615" w14:paraId="6FFF0195" w14:textId="77777777" w:rsidTr="00995D9A">
        <w:trPr>
          <w:trHeight w:val="300"/>
        </w:trPr>
        <w:tc>
          <w:tcPr>
            <w:tcW w:w="3216" w:type="dxa"/>
          </w:tcPr>
          <w:p w14:paraId="1DE083F8" w14:textId="3EB9BB41"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 xml:space="preserve">  Residen</w:t>
            </w:r>
            <w:r w:rsidR="00FC195E" w:rsidRPr="00961615">
              <w:rPr>
                <w:rFonts w:ascii="Times New Roman" w:hAnsi="Times New Roman" w:cs="Times New Roman"/>
                <w:lang w:val="es-ES_tradnl"/>
              </w:rPr>
              <w:t>c</w:t>
            </w:r>
            <w:r w:rsidRPr="00961615">
              <w:rPr>
                <w:rFonts w:ascii="Times New Roman" w:hAnsi="Times New Roman" w:cs="Times New Roman"/>
                <w:lang w:val="es-ES_tradnl"/>
              </w:rPr>
              <w:t xml:space="preserve">ial </w:t>
            </w:r>
          </w:p>
        </w:tc>
        <w:tc>
          <w:tcPr>
            <w:tcW w:w="3073" w:type="dxa"/>
          </w:tcPr>
          <w:p w14:paraId="49337325" w14:textId="7777777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0.614</w:t>
            </w:r>
          </w:p>
        </w:tc>
        <w:tc>
          <w:tcPr>
            <w:tcW w:w="3061" w:type="dxa"/>
          </w:tcPr>
          <w:p w14:paraId="55D5392B" w14:textId="7777777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0.2%</w:t>
            </w:r>
          </w:p>
        </w:tc>
      </w:tr>
      <w:tr w:rsidR="0041250F" w:rsidRPr="00961615" w14:paraId="54263175" w14:textId="77777777" w:rsidTr="00995D9A">
        <w:trPr>
          <w:trHeight w:val="300"/>
        </w:trPr>
        <w:tc>
          <w:tcPr>
            <w:tcW w:w="3216" w:type="dxa"/>
          </w:tcPr>
          <w:p w14:paraId="24EC9E9A" w14:textId="4A4007BD"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 xml:space="preserve">  </w:t>
            </w:r>
            <w:r w:rsidR="00FC195E" w:rsidRPr="00961615">
              <w:rPr>
                <w:rFonts w:ascii="Times New Roman" w:hAnsi="Times New Roman" w:cs="Times New Roman"/>
                <w:lang w:val="es-ES_tradnl"/>
              </w:rPr>
              <w:t>Comercial e industrial</w:t>
            </w:r>
          </w:p>
        </w:tc>
        <w:tc>
          <w:tcPr>
            <w:tcW w:w="3073" w:type="dxa"/>
          </w:tcPr>
          <w:p w14:paraId="248D3BF6" w14:textId="7777777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2.129</w:t>
            </w:r>
          </w:p>
        </w:tc>
        <w:tc>
          <w:tcPr>
            <w:tcW w:w="3061" w:type="dxa"/>
          </w:tcPr>
          <w:p w14:paraId="594200D1" w14:textId="7777777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1.4%</w:t>
            </w:r>
          </w:p>
        </w:tc>
      </w:tr>
      <w:tr w:rsidR="0041250F" w:rsidRPr="00961615" w14:paraId="6159D5C1" w14:textId="77777777" w:rsidTr="00995D9A">
        <w:trPr>
          <w:trHeight w:val="300"/>
        </w:trPr>
        <w:tc>
          <w:tcPr>
            <w:tcW w:w="3216" w:type="dxa"/>
          </w:tcPr>
          <w:p w14:paraId="5844460C" w14:textId="014F976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 xml:space="preserve">  </w:t>
            </w:r>
            <w:r w:rsidR="00FC195E" w:rsidRPr="00961615">
              <w:rPr>
                <w:rFonts w:ascii="Times New Roman" w:hAnsi="Times New Roman" w:cs="Times New Roman"/>
                <w:lang w:val="es-ES_tradnl"/>
              </w:rPr>
              <w:t>Vehículos de gas natural</w:t>
            </w:r>
          </w:p>
        </w:tc>
        <w:tc>
          <w:tcPr>
            <w:tcW w:w="3073" w:type="dxa"/>
          </w:tcPr>
          <w:p w14:paraId="4E400D74" w14:textId="7777777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0.001</w:t>
            </w:r>
          </w:p>
        </w:tc>
        <w:tc>
          <w:tcPr>
            <w:tcW w:w="3061" w:type="dxa"/>
          </w:tcPr>
          <w:p w14:paraId="0A5105D8" w14:textId="7777777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0.0%</w:t>
            </w:r>
          </w:p>
        </w:tc>
      </w:tr>
      <w:tr w:rsidR="0041250F" w:rsidRPr="00961615" w14:paraId="3DB1E353" w14:textId="77777777" w:rsidTr="00995D9A">
        <w:trPr>
          <w:trHeight w:val="350"/>
        </w:trPr>
        <w:tc>
          <w:tcPr>
            <w:tcW w:w="3216" w:type="dxa"/>
          </w:tcPr>
          <w:p w14:paraId="4E6A4659" w14:textId="40BF90F9" w:rsidR="0041250F" w:rsidRPr="00961615" w:rsidRDefault="00FC195E" w:rsidP="00995D9A">
            <w:pPr>
              <w:rPr>
                <w:rFonts w:ascii="Times New Roman" w:hAnsi="Times New Roman" w:cs="Times New Roman"/>
                <w:b/>
                <w:bCs/>
                <w:lang w:val="es-ES_tradnl"/>
              </w:rPr>
            </w:pPr>
            <w:r w:rsidRPr="00961615">
              <w:rPr>
                <w:rFonts w:ascii="Times New Roman" w:hAnsi="Times New Roman" w:cs="Times New Roman"/>
                <w:b/>
                <w:bCs/>
                <w:lang w:val="es-ES_tradnl"/>
              </w:rPr>
              <w:t>Clientes no principales</w:t>
            </w:r>
            <w:r w:rsidR="0041250F" w:rsidRPr="00961615">
              <w:rPr>
                <w:rStyle w:val="FootnoteReference"/>
                <w:rFonts w:ascii="Times New Roman" w:hAnsi="Times New Roman" w:cs="Times New Roman"/>
                <w:b/>
                <w:bCs/>
                <w:lang w:val="es-ES_tradnl"/>
              </w:rPr>
              <w:footnoteReference w:id="5"/>
            </w:r>
          </w:p>
        </w:tc>
        <w:tc>
          <w:tcPr>
            <w:tcW w:w="3073" w:type="dxa"/>
          </w:tcPr>
          <w:p w14:paraId="5E199A20" w14:textId="77777777" w:rsidR="0041250F" w:rsidRPr="00961615" w:rsidRDefault="0041250F" w:rsidP="00995D9A">
            <w:pPr>
              <w:rPr>
                <w:rFonts w:ascii="Times New Roman" w:hAnsi="Times New Roman" w:cs="Times New Roman"/>
                <w:lang w:val="es-ES_tradnl"/>
              </w:rPr>
            </w:pPr>
          </w:p>
        </w:tc>
        <w:tc>
          <w:tcPr>
            <w:tcW w:w="3061" w:type="dxa"/>
          </w:tcPr>
          <w:p w14:paraId="173A96A5" w14:textId="77777777" w:rsidR="0041250F" w:rsidRPr="00961615" w:rsidRDefault="0041250F" w:rsidP="00995D9A">
            <w:pPr>
              <w:rPr>
                <w:rFonts w:ascii="Times New Roman" w:hAnsi="Times New Roman" w:cs="Times New Roman"/>
                <w:lang w:val="es-ES_tradnl"/>
              </w:rPr>
            </w:pPr>
          </w:p>
        </w:tc>
      </w:tr>
      <w:tr w:rsidR="0041250F" w:rsidRPr="00961615" w14:paraId="73559212" w14:textId="77777777" w:rsidTr="00995D9A">
        <w:trPr>
          <w:trHeight w:val="302"/>
        </w:trPr>
        <w:tc>
          <w:tcPr>
            <w:tcW w:w="3216" w:type="dxa"/>
          </w:tcPr>
          <w:p w14:paraId="6C6AC782" w14:textId="148E06F9"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 xml:space="preserve">  </w:t>
            </w:r>
            <w:r w:rsidR="00FC195E" w:rsidRPr="00961615">
              <w:rPr>
                <w:rFonts w:ascii="Times New Roman" w:hAnsi="Times New Roman" w:cs="Times New Roman"/>
                <w:lang w:val="es-ES_tradnl"/>
              </w:rPr>
              <w:t>Comercial e industrial</w:t>
            </w:r>
          </w:p>
        </w:tc>
        <w:tc>
          <w:tcPr>
            <w:tcW w:w="3073" w:type="dxa"/>
          </w:tcPr>
          <w:p w14:paraId="5774B6B1" w14:textId="7777777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2.078</w:t>
            </w:r>
          </w:p>
        </w:tc>
        <w:tc>
          <w:tcPr>
            <w:tcW w:w="3061" w:type="dxa"/>
          </w:tcPr>
          <w:p w14:paraId="339196DE" w14:textId="7777777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4.1%</w:t>
            </w:r>
          </w:p>
        </w:tc>
      </w:tr>
      <w:tr w:rsidR="0041250F" w:rsidRPr="00961615" w14:paraId="1640D55A" w14:textId="77777777" w:rsidTr="00995D9A">
        <w:trPr>
          <w:trHeight w:val="350"/>
        </w:trPr>
        <w:tc>
          <w:tcPr>
            <w:tcW w:w="3216" w:type="dxa"/>
          </w:tcPr>
          <w:p w14:paraId="34D1AB0F" w14:textId="1CD6754B" w:rsidR="0041250F" w:rsidRPr="00961615" w:rsidRDefault="001A2F41" w:rsidP="00995D9A">
            <w:pPr>
              <w:rPr>
                <w:rFonts w:ascii="Times New Roman" w:hAnsi="Times New Roman" w:cs="Times New Roman"/>
                <w:b/>
                <w:bCs/>
                <w:lang w:val="es-ES_tradnl"/>
              </w:rPr>
            </w:pPr>
            <w:r w:rsidRPr="00961615">
              <w:rPr>
                <w:rFonts w:ascii="Times New Roman" w:hAnsi="Times New Roman" w:cs="Times New Roman"/>
                <w:b/>
                <w:bCs/>
                <w:lang w:val="es-ES_tradnl"/>
              </w:rPr>
              <w:t>Tarifa promedio del sistema</w:t>
            </w:r>
          </w:p>
        </w:tc>
        <w:tc>
          <w:tcPr>
            <w:tcW w:w="3073" w:type="dxa"/>
          </w:tcPr>
          <w:p w14:paraId="6A9C354A" w14:textId="7777777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1.216</w:t>
            </w:r>
          </w:p>
        </w:tc>
        <w:tc>
          <w:tcPr>
            <w:tcW w:w="3061" w:type="dxa"/>
          </w:tcPr>
          <w:p w14:paraId="05B545BB" w14:textId="77777777" w:rsidR="0041250F" w:rsidRPr="00961615" w:rsidRDefault="0041250F" w:rsidP="00995D9A">
            <w:pPr>
              <w:rPr>
                <w:rFonts w:ascii="Times New Roman" w:hAnsi="Times New Roman" w:cs="Times New Roman"/>
                <w:lang w:val="es-ES_tradnl"/>
              </w:rPr>
            </w:pPr>
            <w:r w:rsidRPr="00961615">
              <w:rPr>
                <w:rFonts w:ascii="Times New Roman" w:hAnsi="Times New Roman" w:cs="Times New Roman"/>
                <w:lang w:val="es-ES_tradnl"/>
              </w:rPr>
              <w:t>0.9%</w:t>
            </w:r>
          </w:p>
        </w:tc>
      </w:tr>
    </w:tbl>
    <w:p w14:paraId="2635F0E8" w14:textId="77777777" w:rsidR="0041250F" w:rsidRPr="00961615" w:rsidRDefault="0041250F" w:rsidP="404F3E9F">
      <w:pPr>
        <w:spacing w:after="0" w:line="276" w:lineRule="auto"/>
        <w:contextualSpacing/>
        <w:rPr>
          <w:rFonts w:ascii="Times New Roman" w:eastAsia="Times New Roman" w:hAnsi="Times New Roman" w:cs="Times New Roman"/>
          <w:lang w:val="es-ES_tradnl"/>
        </w:rPr>
      </w:pPr>
    </w:p>
    <w:p w14:paraId="1F87997A" w14:textId="50CCCC9B" w:rsidR="710CBC77" w:rsidRPr="00961615" w:rsidRDefault="001A2F41" w:rsidP="00AE00C7">
      <w:pPr>
        <w:spacing w:after="0" w:line="276" w:lineRule="auto"/>
        <w:contextualSpacing/>
        <w:rPr>
          <w:rFonts w:ascii="Times New Roman" w:hAnsi="Times New Roman" w:cs="Times New Roman"/>
          <w:b/>
          <w:bCs/>
          <w:lang w:val="es-ES_tradnl"/>
        </w:rPr>
      </w:pPr>
      <w:r w:rsidRPr="00961615">
        <w:rPr>
          <w:rFonts w:ascii="Times New Roman" w:hAnsi="Times New Roman" w:cs="Times New Roman"/>
          <w:b/>
          <w:bCs/>
          <w:lang w:val="es-ES_tradnl"/>
        </w:rPr>
        <w:t>¿Cómo afectaría esto al cliente residencial promedio?</w:t>
      </w:r>
    </w:p>
    <w:p w14:paraId="29BCB3B8" w14:textId="5223AC2C" w:rsidR="22DC111B" w:rsidRPr="00961615" w:rsidRDefault="00C317D9" w:rsidP="00AE00C7">
      <w:pPr>
        <w:spacing w:line="276" w:lineRule="auto"/>
        <w:rPr>
          <w:rFonts w:ascii="Times New Roman" w:eastAsia="Times New Roman" w:hAnsi="Times New Roman" w:cs="Times New Roman"/>
          <w:lang w:val="es-ES_tradnl"/>
        </w:rPr>
      </w:pPr>
      <w:r w:rsidRPr="00961615">
        <w:rPr>
          <w:rFonts w:ascii="Times New Roman" w:eastAsia="Times New Roman" w:hAnsi="Times New Roman" w:cs="Times New Roman"/>
          <w:lang w:val="es-ES_tradnl"/>
        </w:rPr>
        <w:t xml:space="preserve">Si se aprueba la solicitud, un cliente residencial típico de electricidad que consuma 400 kWh al mes vería un aumento en su factura de aproximadamente $0.04. Un cliente residencial típico de gas que consuma 24 termias al mes vería un aumento en su factura mensual de aproximadamente $0.15. Estos aumentos corresponden al incremento máximo previsto para el año 2031. Los efectos reales variarán en función del consumo, </w:t>
      </w:r>
      <w:r w:rsidR="00D963FE">
        <w:rPr>
          <w:rFonts w:ascii="Times New Roman" w:eastAsia="Times New Roman" w:hAnsi="Times New Roman" w:cs="Times New Roman"/>
          <w:lang w:val="es-ES_tradnl"/>
        </w:rPr>
        <w:t>el territorio</w:t>
      </w:r>
      <w:r w:rsidRPr="00961615">
        <w:rPr>
          <w:rFonts w:ascii="Times New Roman" w:eastAsia="Times New Roman" w:hAnsi="Times New Roman" w:cs="Times New Roman"/>
          <w:lang w:val="es-ES_tradnl"/>
        </w:rPr>
        <w:t xml:space="preserve"> de referencia y otros factores.</w:t>
      </w:r>
    </w:p>
    <w:p w14:paraId="61AFD8B0" w14:textId="4788A9F5" w:rsidR="00875FAB" w:rsidRPr="00961615" w:rsidRDefault="00522EAF" w:rsidP="5ED2E5E8">
      <w:pPr>
        <w:contextualSpacing/>
        <w:rPr>
          <w:rFonts w:ascii="Times New Roman" w:hAnsi="Times New Roman" w:cs="Times New Roman"/>
          <w:b/>
          <w:bCs/>
          <w:lang w:val="es-ES_tradnl"/>
        </w:rPr>
      </w:pPr>
      <w:r w:rsidRPr="00961615">
        <w:rPr>
          <w:rFonts w:ascii="Times New Roman" w:hAnsi="Times New Roman" w:cs="Times New Roman"/>
          <w:b/>
          <w:bCs/>
          <w:lang w:val="es-ES_tradnl"/>
        </w:rPr>
        <w:t>Información adicional</w:t>
      </w:r>
    </w:p>
    <w:p w14:paraId="67F0E739" w14:textId="1227D633" w:rsidR="00875FAB" w:rsidRPr="00961615" w:rsidRDefault="00522EAF" w:rsidP="00EC7B6F">
      <w:pPr>
        <w:contextualSpacing/>
        <w:rPr>
          <w:rFonts w:ascii="Times New Roman" w:hAnsi="Times New Roman" w:cs="Times New Roman"/>
          <w:lang w:val="es-ES_tradnl"/>
        </w:rPr>
      </w:pPr>
      <w:r w:rsidRPr="00961615">
        <w:rPr>
          <w:rFonts w:ascii="Times New Roman" w:hAnsi="Times New Roman" w:cs="Times New Roman"/>
          <w:lang w:val="es-ES_tradnl"/>
        </w:rPr>
        <w:t xml:space="preserve">Para obtener más información sobre la solicitud de la empresa de servicios públicos y hacer comentarios públicos, visite </w:t>
      </w:r>
      <w:hyperlink r:id="rId10">
        <w:r w:rsidR="5A5E1251" w:rsidRPr="00961615">
          <w:rPr>
            <w:rStyle w:val="Hyperlink"/>
            <w:rFonts w:ascii="Times New Roman" w:hAnsi="Times New Roman" w:cs="Times New Roman"/>
            <w:lang w:val="es-ES_tradnl"/>
          </w:rPr>
          <w:t>apps.cpuc.ca.gov/</w:t>
        </w:r>
        <w:r w:rsidR="7E4D709D" w:rsidRPr="00961615">
          <w:rPr>
            <w:rStyle w:val="Hyperlink"/>
            <w:rFonts w:ascii="Times New Roman" w:hAnsi="Times New Roman" w:cs="Times New Roman"/>
            <w:lang w:val="es-ES_tradnl"/>
          </w:rPr>
          <w:t>c</w:t>
        </w:r>
        <w:r w:rsidR="5A5E1251" w:rsidRPr="00961615">
          <w:rPr>
            <w:rStyle w:val="Hyperlink"/>
            <w:rFonts w:ascii="Times New Roman" w:hAnsi="Times New Roman" w:cs="Times New Roman"/>
            <w:lang w:val="es-ES_tradnl"/>
          </w:rPr>
          <w:t>/</w:t>
        </w:r>
        <w:r w:rsidR="00471BFA" w:rsidRPr="00961615">
          <w:rPr>
            <w:rStyle w:val="Hyperlink"/>
            <w:rFonts w:ascii="Times New Roman" w:hAnsi="Times New Roman" w:cs="Times New Roman"/>
            <w:b/>
            <w:bCs/>
            <w:lang w:val="es-ES_tradnl"/>
          </w:rPr>
          <w:t>A2603012</w:t>
        </w:r>
      </w:hyperlink>
      <w:r w:rsidR="5A5E1251" w:rsidRPr="00961615">
        <w:rPr>
          <w:rFonts w:ascii="Times New Roman" w:hAnsi="Times New Roman" w:cs="Times New Roman"/>
          <w:lang w:val="es-ES_tradnl"/>
        </w:rPr>
        <w:t>.</w:t>
      </w:r>
      <w:r w:rsidR="411E3E74" w:rsidRPr="00961615">
        <w:rPr>
          <w:rFonts w:ascii="Times New Roman" w:hAnsi="Times New Roman" w:cs="Times New Roman"/>
          <w:lang w:val="es-ES_tradnl"/>
        </w:rPr>
        <w:t xml:space="preserve"> </w:t>
      </w:r>
      <w:r w:rsidR="00EC7B6F" w:rsidRPr="00961615">
        <w:rPr>
          <w:rFonts w:ascii="Times New Roman" w:hAnsi="Times New Roman" w:cs="Times New Roman"/>
          <w:lang w:val="es-ES_tradnl"/>
        </w:rPr>
        <w:t xml:space="preserve">Si tiene alguna pregunta sobre cómo participar en asuntos relacionados con la CPUC, puede ponerse en contacto con la Oficina del Asesor Público enviando un mensaje a </w:t>
      </w:r>
      <w:hyperlink r:id="rId11">
        <w:r w:rsidR="51FEB5C4" w:rsidRPr="00961615">
          <w:rPr>
            <w:rStyle w:val="Hyperlink"/>
            <w:rFonts w:ascii="Times New Roman" w:hAnsi="Times New Roman" w:cs="Times New Roman"/>
            <w:lang w:val="es-ES_tradnl"/>
          </w:rPr>
          <w:t>Public.Advisor@cpuc.ca.gov</w:t>
        </w:r>
      </w:hyperlink>
      <w:r w:rsidR="51FEB5C4" w:rsidRPr="00961615">
        <w:rPr>
          <w:rFonts w:ascii="Times New Roman" w:hAnsi="Times New Roman" w:cs="Times New Roman"/>
          <w:lang w:val="es-ES_tradnl"/>
        </w:rPr>
        <w:t xml:space="preserve">, </w:t>
      </w:r>
      <w:r w:rsidR="00EC7B6F" w:rsidRPr="00961615">
        <w:rPr>
          <w:rFonts w:ascii="Times New Roman" w:hAnsi="Times New Roman" w:cs="Times New Roman"/>
          <w:lang w:val="es-ES_tradnl"/>
        </w:rPr>
        <w:t xml:space="preserve">llamando al </w:t>
      </w:r>
      <w:r w:rsidR="411E3E74" w:rsidRPr="00961615">
        <w:rPr>
          <w:rFonts w:ascii="Times New Roman" w:hAnsi="Times New Roman" w:cs="Times New Roman"/>
          <w:lang w:val="es-ES_tradnl"/>
        </w:rPr>
        <w:t>1-866-8</w:t>
      </w:r>
      <w:r w:rsidR="4DB574C3" w:rsidRPr="00961615">
        <w:rPr>
          <w:rFonts w:ascii="Times New Roman" w:hAnsi="Times New Roman" w:cs="Times New Roman"/>
          <w:lang w:val="es-ES_tradnl"/>
        </w:rPr>
        <w:t>49</w:t>
      </w:r>
      <w:r w:rsidR="411E3E74" w:rsidRPr="00961615">
        <w:rPr>
          <w:rFonts w:ascii="Times New Roman" w:hAnsi="Times New Roman" w:cs="Times New Roman"/>
          <w:lang w:val="es-ES_tradnl"/>
        </w:rPr>
        <w:t>-8390</w:t>
      </w:r>
      <w:r w:rsidR="2EA1335E" w:rsidRPr="00961615">
        <w:rPr>
          <w:rFonts w:ascii="Times New Roman" w:hAnsi="Times New Roman" w:cs="Times New Roman"/>
          <w:lang w:val="es-ES_tradnl"/>
        </w:rPr>
        <w:t xml:space="preserve">, </w:t>
      </w:r>
      <w:r w:rsidR="51FEB5C4" w:rsidRPr="00961615">
        <w:rPr>
          <w:rFonts w:ascii="Times New Roman" w:hAnsi="Times New Roman" w:cs="Times New Roman"/>
          <w:lang w:val="es-ES_tradnl"/>
        </w:rPr>
        <w:t>o</w:t>
      </w:r>
      <w:r w:rsidR="00EC7B6F" w:rsidRPr="00961615">
        <w:rPr>
          <w:rFonts w:ascii="Times New Roman" w:hAnsi="Times New Roman" w:cs="Times New Roman"/>
          <w:lang w:val="es-ES_tradnl"/>
        </w:rPr>
        <w:t xml:space="preserve"> escribiendo a </w:t>
      </w:r>
      <w:r w:rsidR="2EA1335E" w:rsidRPr="00961615">
        <w:rPr>
          <w:rFonts w:ascii="Times New Roman" w:hAnsi="Times New Roman" w:cs="Times New Roman"/>
          <w:lang w:val="es-ES_tradnl"/>
        </w:rPr>
        <w:t>505 Van Ness Ave.,</w:t>
      </w:r>
      <w:r w:rsidR="62A0842D" w:rsidRPr="00961615">
        <w:rPr>
          <w:rFonts w:ascii="Times New Roman" w:hAnsi="Times New Roman" w:cs="Times New Roman"/>
          <w:lang w:val="es-ES_tradnl"/>
        </w:rPr>
        <w:t xml:space="preserve"> San Francisco, CA 94102</w:t>
      </w:r>
      <w:r w:rsidR="411E3E74" w:rsidRPr="00961615">
        <w:rPr>
          <w:rFonts w:ascii="Times New Roman" w:hAnsi="Times New Roman" w:cs="Times New Roman"/>
          <w:lang w:val="es-ES_tradnl"/>
        </w:rPr>
        <w:t>.</w:t>
      </w:r>
      <w:r w:rsidR="0906A694" w:rsidRPr="00961615">
        <w:rPr>
          <w:rFonts w:ascii="Times New Roman" w:hAnsi="Times New Roman" w:cs="Times New Roman"/>
          <w:lang w:val="es-ES_tradnl"/>
        </w:rPr>
        <w:t xml:space="preserve"> </w:t>
      </w:r>
      <w:r w:rsidR="003B0865" w:rsidRPr="00961615">
        <w:rPr>
          <w:rFonts w:ascii="Times New Roman" w:hAnsi="Times New Roman" w:cs="Times New Roman"/>
          <w:lang w:val="es-ES_tradnl"/>
        </w:rPr>
        <w:t>Sírvase hacer referencia a la solicitud A.26-03-012 en cualquier comunicación con la CPUC.</w:t>
      </w:r>
      <w:r w:rsidR="0906A694" w:rsidRPr="00961615">
        <w:rPr>
          <w:rFonts w:ascii="Times New Roman" w:hAnsi="Times New Roman" w:cs="Times New Roman"/>
          <w:lang w:val="es-ES_tradnl"/>
        </w:rPr>
        <w:t xml:space="preserve"> </w:t>
      </w:r>
    </w:p>
    <w:p w14:paraId="0CE4847A" w14:textId="77777777" w:rsidR="002408C9" w:rsidRPr="00961615" w:rsidRDefault="002408C9" w:rsidP="5ED2E5E8">
      <w:pPr>
        <w:contextualSpacing/>
        <w:rPr>
          <w:rFonts w:ascii="Times New Roman" w:hAnsi="Times New Roman" w:cs="Times New Roman"/>
          <w:lang w:val="es-ES_tradnl"/>
        </w:rPr>
      </w:pPr>
    </w:p>
    <w:p w14:paraId="48BFE3C5" w14:textId="6A90B253" w:rsidR="00CE70BF" w:rsidRPr="00961615" w:rsidRDefault="005711B7" w:rsidP="5ED2E5E8">
      <w:pPr>
        <w:contextualSpacing/>
        <w:rPr>
          <w:rFonts w:ascii="Times New Roman" w:hAnsi="Times New Roman" w:cs="Times New Roman"/>
          <w:b/>
          <w:bCs/>
          <w:lang w:val="es-ES_tradnl"/>
        </w:rPr>
      </w:pPr>
      <w:r w:rsidRPr="00961615">
        <w:rPr>
          <w:rFonts w:ascii="Times New Roman" w:hAnsi="Times New Roman" w:cs="Times New Roman"/>
          <w:b/>
          <w:bCs/>
          <w:lang w:val="es-ES_tradnl"/>
        </w:rPr>
        <w:t>Preguntas sobre la solicitud</w:t>
      </w:r>
    </w:p>
    <w:p w14:paraId="2F0B4A06" w14:textId="7609A1CA" w:rsidR="00704A9D" w:rsidRPr="00961615" w:rsidRDefault="005711B7">
      <w:pPr>
        <w:contextualSpacing/>
        <w:rPr>
          <w:rFonts w:ascii="Times New Roman" w:hAnsi="Times New Roman" w:cs="Times New Roman"/>
          <w:lang w:val="es-ES_tradnl"/>
        </w:rPr>
      </w:pPr>
      <w:r w:rsidRPr="00961615">
        <w:rPr>
          <w:rFonts w:ascii="Times New Roman" w:hAnsi="Times New Roman" w:cs="Times New Roman"/>
          <w:lang w:val="es-ES_tradnl"/>
        </w:rPr>
        <w:t xml:space="preserve">Si tiene alguna pregunta sobre esta solicitud, póngase en contacto con SDG&amp;E enviando un mensaje de correo electrónico a </w:t>
      </w:r>
      <w:r w:rsidR="0021328A" w:rsidRPr="00961615">
        <w:rPr>
          <w:rFonts w:ascii="Times New Roman" w:hAnsi="Times New Roman" w:cs="Times New Roman"/>
          <w:lang w:val="es-ES_tradnl"/>
        </w:rPr>
        <w:t>lwatts1@sdge.com o</w:t>
      </w:r>
      <w:r w:rsidRPr="00961615">
        <w:rPr>
          <w:rFonts w:ascii="Times New Roman" w:hAnsi="Times New Roman" w:cs="Times New Roman"/>
          <w:lang w:val="es-ES_tradnl"/>
        </w:rPr>
        <w:t xml:space="preserve"> escribiendo a </w:t>
      </w:r>
      <w:r w:rsidR="0021328A" w:rsidRPr="00961615">
        <w:rPr>
          <w:rFonts w:ascii="Times New Roman" w:hAnsi="Times New Roman" w:cs="Times New Roman"/>
          <w:lang w:val="es-ES_tradnl"/>
        </w:rPr>
        <w:t xml:space="preserve">8306 Century Park </w:t>
      </w:r>
      <w:proofErr w:type="spellStart"/>
      <w:r w:rsidR="0021328A" w:rsidRPr="00961615">
        <w:rPr>
          <w:rFonts w:ascii="Times New Roman" w:hAnsi="Times New Roman" w:cs="Times New Roman"/>
          <w:lang w:val="es-ES_tradnl"/>
        </w:rPr>
        <w:t>Ct</w:t>
      </w:r>
      <w:proofErr w:type="spellEnd"/>
      <w:r w:rsidR="0021328A" w:rsidRPr="00961615">
        <w:rPr>
          <w:rFonts w:ascii="Times New Roman" w:hAnsi="Times New Roman" w:cs="Times New Roman"/>
          <w:lang w:val="es-ES_tradnl"/>
        </w:rPr>
        <w:t xml:space="preserve">., San Diego, CA 92123 </w:t>
      </w:r>
      <w:r w:rsidRPr="00961615">
        <w:rPr>
          <w:rFonts w:ascii="Times New Roman" w:hAnsi="Times New Roman" w:cs="Times New Roman"/>
          <w:lang w:val="es-ES_tradnl"/>
        </w:rPr>
        <w:t xml:space="preserve">con referencia a la solicitud </w:t>
      </w:r>
      <w:r w:rsidR="0021328A" w:rsidRPr="00961615">
        <w:rPr>
          <w:rFonts w:ascii="Times New Roman" w:hAnsi="Times New Roman" w:cs="Times New Roman"/>
          <w:lang w:val="es-ES_tradnl"/>
        </w:rPr>
        <w:t>A.26-03-</w:t>
      </w:r>
      <w:r w:rsidR="00471BFA" w:rsidRPr="00961615">
        <w:rPr>
          <w:rFonts w:ascii="Times New Roman" w:hAnsi="Times New Roman" w:cs="Times New Roman"/>
          <w:lang w:val="es-ES_tradnl"/>
        </w:rPr>
        <w:t>012</w:t>
      </w:r>
      <w:r w:rsidR="00471BFA" w:rsidRPr="00961615">
        <w:rPr>
          <w:rFonts w:ascii="Times New Roman" w:hAnsi="Times New Roman" w:cs="Times New Roman"/>
          <w:b/>
          <w:bCs/>
          <w:lang w:val="es-ES_tradnl"/>
        </w:rPr>
        <w:t xml:space="preserve"> </w:t>
      </w:r>
      <w:r w:rsidRPr="00961615">
        <w:rPr>
          <w:rFonts w:ascii="Times New Roman" w:hAnsi="Times New Roman" w:cs="Times New Roman"/>
          <w:lang w:val="es-ES_tradnl"/>
        </w:rPr>
        <w:t>sobre Eficiencia Energética</w:t>
      </w:r>
      <w:r w:rsidR="0021328A" w:rsidRPr="00961615">
        <w:rPr>
          <w:rFonts w:ascii="Times New Roman" w:hAnsi="Times New Roman" w:cs="Times New Roman"/>
          <w:lang w:val="es-ES_tradnl"/>
        </w:rPr>
        <w:t>.</w:t>
      </w:r>
    </w:p>
    <w:sectPr w:rsidR="00704A9D" w:rsidRPr="009616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BF8B5" w14:textId="77777777" w:rsidR="00422855" w:rsidRDefault="00422855" w:rsidP="004F173D">
      <w:pPr>
        <w:spacing w:after="0" w:line="240" w:lineRule="auto"/>
      </w:pPr>
      <w:r>
        <w:separator/>
      </w:r>
    </w:p>
  </w:endnote>
  <w:endnote w:type="continuationSeparator" w:id="0">
    <w:p w14:paraId="38882A6B" w14:textId="77777777" w:rsidR="00422855" w:rsidRDefault="00422855" w:rsidP="004F1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CC"/>
    <w:family w:val="swiss"/>
    <w:pitch w:val="variable"/>
    <w:sig w:usb0="E0007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885E3" w14:textId="77777777" w:rsidR="00422855" w:rsidRDefault="00422855" w:rsidP="004F173D">
      <w:pPr>
        <w:spacing w:after="0" w:line="240" w:lineRule="auto"/>
      </w:pPr>
      <w:r>
        <w:separator/>
      </w:r>
    </w:p>
  </w:footnote>
  <w:footnote w:type="continuationSeparator" w:id="0">
    <w:p w14:paraId="6E8CB22A" w14:textId="77777777" w:rsidR="00422855" w:rsidRDefault="00422855" w:rsidP="004F173D">
      <w:pPr>
        <w:spacing w:after="0" w:line="240" w:lineRule="auto"/>
      </w:pPr>
      <w:r>
        <w:continuationSeparator/>
      </w:r>
    </w:p>
  </w:footnote>
  <w:footnote w:id="1">
    <w:p w14:paraId="3D1679AF" w14:textId="2331D912" w:rsidR="002204A6" w:rsidRPr="006B576F" w:rsidRDefault="002204A6">
      <w:pPr>
        <w:pStyle w:val="FootnoteText"/>
        <w:rPr>
          <w:lang w:val="es-MX"/>
        </w:rPr>
      </w:pPr>
      <w:r>
        <w:rPr>
          <w:rStyle w:val="FootnoteReference"/>
        </w:rPr>
        <w:footnoteRef/>
      </w:r>
      <w:r w:rsidRPr="006B576F">
        <w:rPr>
          <w:lang w:val="es-MX"/>
        </w:rPr>
        <w:t xml:space="preserve"> </w:t>
      </w:r>
      <w:r w:rsidR="006B576F" w:rsidRPr="006B576F">
        <w:rPr>
          <w:lang w:val="es-MX"/>
        </w:rPr>
        <w:t xml:space="preserve">SDG&amp;E está a la espera de una determinación </w:t>
      </w:r>
      <w:r w:rsidR="00C80907">
        <w:rPr>
          <w:lang w:val="es-MX"/>
        </w:rPr>
        <w:t>respecto de</w:t>
      </w:r>
      <w:r w:rsidR="006B576F" w:rsidRPr="006B576F">
        <w:rPr>
          <w:lang w:val="es-MX"/>
        </w:rPr>
        <w:t xml:space="preserve"> la Solicitud (A.) 25-04-014, mediante la cual </w:t>
      </w:r>
      <w:r w:rsidR="00586418">
        <w:rPr>
          <w:lang w:val="es-MX"/>
        </w:rPr>
        <w:t>pretende</w:t>
      </w:r>
      <w:r w:rsidR="006B576F" w:rsidRPr="006B576F">
        <w:rPr>
          <w:lang w:val="es-MX"/>
        </w:rPr>
        <w:t xml:space="preserve"> retirarse de la </w:t>
      </w:r>
      <w:r w:rsidR="00586418">
        <w:rPr>
          <w:lang w:val="es-MX"/>
        </w:rPr>
        <w:t xml:space="preserve">administración </w:t>
      </w:r>
      <w:r w:rsidR="006B576F" w:rsidRPr="006B576F">
        <w:rPr>
          <w:lang w:val="es-MX"/>
        </w:rPr>
        <w:t>del programa regional de eficiencia energética. De aprobarse, la solicitud de SDG&amp;E y el correspondiente impacto en las tarifas se reducirán</w:t>
      </w:r>
      <w:r w:rsidRPr="006B576F">
        <w:rPr>
          <w:lang w:val="es-MX"/>
        </w:rPr>
        <w:t xml:space="preserve">.   </w:t>
      </w:r>
    </w:p>
  </w:footnote>
  <w:footnote w:id="2">
    <w:p w14:paraId="1423027A" w14:textId="189A377E" w:rsidR="00A242C2" w:rsidRPr="00705CEB" w:rsidRDefault="00A242C2" w:rsidP="00705CEB">
      <w:pPr>
        <w:pStyle w:val="FootnoteText"/>
        <w:rPr>
          <w:lang w:val="es-MX"/>
        </w:rPr>
      </w:pPr>
      <w:r>
        <w:rPr>
          <w:rStyle w:val="FootnoteReference"/>
        </w:rPr>
        <w:footnoteRef/>
      </w:r>
      <w:r w:rsidRPr="00705CEB">
        <w:rPr>
          <w:lang w:val="es-MX"/>
        </w:rPr>
        <w:t xml:space="preserve"> </w:t>
      </w:r>
      <w:r w:rsidR="00705CEB" w:rsidRPr="00705CEB">
        <w:rPr>
          <w:lang w:val="es-MX"/>
        </w:rPr>
        <w:t>La SDREN fue aprobada por la CPUC en la Resolución (D.) 24-08-003. Para obtener más información sobre la SDREN, consulte</w:t>
      </w:r>
      <w:r w:rsidR="00705CEB">
        <w:rPr>
          <w:lang w:val="es-MX"/>
        </w:rPr>
        <w:t xml:space="preserve"> </w:t>
      </w:r>
      <w:r w:rsidRPr="00705CEB">
        <w:rPr>
          <w:lang w:val="es-MX"/>
        </w:rPr>
        <w:t>https://sdcommunitypower.org/sdren/.</w:t>
      </w:r>
    </w:p>
  </w:footnote>
  <w:footnote w:id="3">
    <w:p w14:paraId="41973AA8" w14:textId="6E5B86F0" w:rsidR="0041250F" w:rsidRPr="009600A9" w:rsidRDefault="0041250F" w:rsidP="0041250F">
      <w:pPr>
        <w:pStyle w:val="FootnoteText"/>
        <w:rPr>
          <w:lang w:val="es-MX"/>
        </w:rPr>
      </w:pPr>
      <w:r>
        <w:rPr>
          <w:rStyle w:val="FootnoteReference"/>
        </w:rPr>
        <w:footnoteRef/>
      </w:r>
      <w:r w:rsidRPr="009600A9">
        <w:rPr>
          <w:lang w:val="es-MX"/>
        </w:rPr>
        <w:t xml:space="preserve"> </w:t>
      </w:r>
      <w:r w:rsidR="00264B50">
        <w:rPr>
          <w:lang w:val="es-MX"/>
        </w:rPr>
        <w:t>I</w:t>
      </w:r>
      <w:r w:rsidR="009600A9" w:rsidRPr="009600A9">
        <w:rPr>
          <w:lang w:val="es-MX"/>
        </w:rPr>
        <w:t xml:space="preserve">ncremento calculado comparando el año 2031 —que es el año en que el impacto en las tarifas y las facturas alcanza su punto máximo— con las tarifas </w:t>
      </w:r>
      <w:r w:rsidR="00BF27AA">
        <w:rPr>
          <w:lang w:val="es-MX"/>
        </w:rPr>
        <w:t xml:space="preserve">efectivas en vigor </w:t>
      </w:r>
      <w:r w:rsidR="009600A9" w:rsidRPr="009600A9">
        <w:rPr>
          <w:lang w:val="es-MX"/>
        </w:rPr>
        <w:t>al 1</w:t>
      </w:r>
      <w:r w:rsidR="00BF27AA">
        <w:rPr>
          <w:lang w:val="es-MX"/>
        </w:rPr>
        <w:t>/1/</w:t>
      </w:r>
      <w:r w:rsidR="009600A9" w:rsidRPr="009600A9">
        <w:rPr>
          <w:lang w:val="es-MX"/>
        </w:rPr>
        <w:t>2026. El incremento tarifa</w:t>
      </w:r>
      <w:r w:rsidR="00BF27AA">
        <w:rPr>
          <w:lang w:val="es-MX"/>
        </w:rPr>
        <w:t>rio</w:t>
      </w:r>
      <w:r w:rsidR="009600A9" w:rsidRPr="009600A9">
        <w:rPr>
          <w:lang w:val="es-MX"/>
        </w:rPr>
        <w:t xml:space="preserve"> será el mismo tanto para los clientes de servicio en paquete como para los que no tienen servicio en paquete. El cambio porcentual refleja la comparación con las tarifas totales del servicio en paquete</w:t>
      </w:r>
      <w:r w:rsidRPr="009600A9">
        <w:rPr>
          <w:lang w:val="es-MX"/>
        </w:rPr>
        <w:t>.</w:t>
      </w:r>
    </w:p>
  </w:footnote>
  <w:footnote w:id="4">
    <w:p w14:paraId="50459CEF" w14:textId="18E0F17A" w:rsidR="0041250F" w:rsidRPr="002D40C5" w:rsidRDefault="0041250F" w:rsidP="0041250F">
      <w:pPr>
        <w:pStyle w:val="FootnoteText"/>
        <w:rPr>
          <w:lang w:val="es-MX"/>
        </w:rPr>
      </w:pPr>
      <w:r>
        <w:rPr>
          <w:rStyle w:val="FootnoteReference"/>
        </w:rPr>
        <w:footnoteRef/>
      </w:r>
      <w:r w:rsidRPr="002D40C5">
        <w:rPr>
          <w:lang w:val="es-MX"/>
        </w:rPr>
        <w:t xml:space="preserve"> </w:t>
      </w:r>
      <w:r w:rsidR="00360904" w:rsidRPr="00360904">
        <w:rPr>
          <w:lang w:val="es-MX"/>
        </w:rPr>
        <w:t>Incremento calculado comparando el año 2031 —que es el año en que el impacto en las tarifas y las facturas alcanza su punto máximo— con las tarifas efectivas en vigor al 1/1/2026. El cambio porcentual refleja la comparación con las tarifas totales del servicio en paquete</w:t>
      </w:r>
      <w:r w:rsidR="002D40C5" w:rsidRPr="002D40C5">
        <w:rPr>
          <w:lang w:val="es-MX"/>
        </w:rPr>
        <w:t>.</w:t>
      </w:r>
    </w:p>
  </w:footnote>
  <w:footnote w:id="5">
    <w:p w14:paraId="19A2625B" w14:textId="00190396" w:rsidR="0041250F" w:rsidRPr="00B9372B" w:rsidRDefault="0041250F" w:rsidP="0041250F">
      <w:pPr>
        <w:pStyle w:val="FootnoteText"/>
        <w:rPr>
          <w:lang w:val="es-MX"/>
        </w:rPr>
      </w:pPr>
      <w:r>
        <w:rPr>
          <w:rStyle w:val="FootnoteReference"/>
        </w:rPr>
        <w:footnoteRef/>
      </w:r>
      <w:r w:rsidRPr="00B9372B">
        <w:rPr>
          <w:lang w:val="es-MX"/>
        </w:rPr>
        <w:t xml:space="preserve"> </w:t>
      </w:r>
      <w:r w:rsidR="00B9372B" w:rsidRPr="00B9372B">
        <w:rPr>
          <w:lang w:val="es-MX"/>
        </w:rPr>
        <w:t>La tarifa promedio para clientes no principales no incluye el cargo por adquisición de gas. La tarifa promedio del sistema incluye un prorrateo del cargo por adquisición de gas únicamente para los clientes principales</w:t>
      </w:r>
      <w:r w:rsidRPr="00B9372B">
        <w:rPr>
          <w:lang w:val="es-MX"/>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2B0"/>
    <w:rsid w:val="0000327F"/>
    <w:rsid w:val="000077B0"/>
    <w:rsid w:val="0001377B"/>
    <w:rsid w:val="00017B66"/>
    <w:rsid w:val="00020E4F"/>
    <w:rsid w:val="00022AF8"/>
    <w:rsid w:val="00023BA8"/>
    <w:rsid w:val="00032F8E"/>
    <w:rsid w:val="00034C6F"/>
    <w:rsid w:val="000361FF"/>
    <w:rsid w:val="0004523B"/>
    <w:rsid w:val="000513B8"/>
    <w:rsid w:val="0006642C"/>
    <w:rsid w:val="00066D4B"/>
    <w:rsid w:val="000731F3"/>
    <w:rsid w:val="0007452F"/>
    <w:rsid w:val="00074A1B"/>
    <w:rsid w:val="00077A5E"/>
    <w:rsid w:val="00077CB7"/>
    <w:rsid w:val="00085877"/>
    <w:rsid w:val="000861D5"/>
    <w:rsid w:val="00091B94"/>
    <w:rsid w:val="00091CA3"/>
    <w:rsid w:val="000929CC"/>
    <w:rsid w:val="0009375B"/>
    <w:rsid w:val="000951E6"/>
    <w:rsid w:val="000958ED"/>
    <w:rsid w:val="00096232"/>
    <w:rsid w:val="0009674A"/>
    <w:rsid w:val="0009721C"/>
    <w:rsid w:val="000A1FD4"/>
    <w:rsid w:val="000B34B3"/>
    <w:rsid w:val="000B4A59"/>
    <w:rsid w:val="000B53BD"/>
    <w:rsid w:val="000C307F"/>
    <w:rsid w:val="000C733A"/>
    <w:rsid w:val="000D0EC9"/>
    <w:rsid w:val="000D145C"/>
    <w:rsid w:val="000D2010"/>
    <w:rsid w:val="000D37C5"/>
    <w:rsid w:val="000D6465"/>
    <w:rsid w:val="000D66B8"/>
    <w:rsid w:val="000E02F6"/>
    <w:rsid w:val="000E669A"/>
    <w:rsid w:val="000F4367"/>
    <w:rsid w:val="000F6FDD"/>
    <w:rsid w:val="00101E82"/>
    <w:rsid w:val="00102A10"/>
    <w:rsid w:val="00104ED0"/>
    <w:rsid w:val="00110C7B"/>
    <w:rsid w:val="00114BDD"/>
    <w:rsid w:val="00115B75"/>
    <w:rsid w:val="001177DE"/>
    <w:rsid w:val="001243BF"/>
    <w:rsid w:val="0015212D"/>
    <w:rsid w:val="00154DE7"/>
    <w:rsid w:val="00155431"/>
    <w:rsid w:val="0015790A"/>
    <w:rsid w:val="001601FA"/>
    <w:rsid w:val="0016136B"/>
    <w:rsid w:val="00161A73"/>
    <w:rsid w:val="00161EB6"/>
    <w:rsid w:val="001733F3"/>
    <w:rsid w:val="00173A4D"/>
    <w:rsid w:val="00175956"/>
    <w:rsid w:val="0017683B"/>
    <w:rsid w:val="00177410"/>
    <w:rsid w:val="00186593"/>
    <w:rsid w:val="001932FE"/>
    <w:rsid w:val="00194DC9"/>
    <w:rsid w:val="00196F9E"/>
    <w:rsid w:val="001977CD"/>
    <w:rsid w:val="001A2F41"/>
    <w:rsid w:val="001A51A8"/>
    <w:rsid w:val="001B262D"/>
    <w:rsid w:val="001B3033"/>
    <w:rsid w:val="001B3AF0"/>
    <w:rsid w:val="001B6558"/>
    <w:rsid w:val="001B66D2"/>
    <w:rsid w:val="001C0EB7"/>
    <w:rsid w:val="001C19C8"/>
    <w:rsid w:val="001C45DE"/>
    <w:rsid w:val="001C77CC"/>
    <w:rsid w:val="001D076B"/>
    <w:rsid w:val="001D0B0D"/>
    <w:rsid w:val="001D2B43"/>
    <w:rsid w:val="001E0A0C"/>
    <w:rsid w:val="001E110E"/>
    <w:rsid w:val="001E40E6"/>
    <w:rsid w:val="001E4D17"/>
    <w:rsid w:val="001E509A"/>
    <w:rsid w:val="001E6277"/>
    <w:rsid w:val="001E64C3"/>
    <w:rsid w:val="001E7DD5"/>
    <w:rsid w:val="001F07F1"/>
    <w:rsid w:val="001F222E"/>
    <w:rsid w:val="001F35A2"/>
    <w:rsid w:val="001F4EB4"/>
    <w:rsid w:val="00201229"/>
    <w:rsid w:val="002015B8"/>
    <w:rsid w:val="00201E3E"/>
    <w:rsid w:val="0020441F"/>
    <w:rsid w:val="002058CD"/>
    <w:rsid w:val="00211791"/>
    <w:rsid w:val="0021328A"/>
    <w:rsid w:val="00214EF7"/>
    <w:rsid w:val="002204A6"/>
    <w:rsid w:val="002226E6"/>
    <w:rsid w:val="00232104"/>
    <w:rsid w:val="0023404C"/>
    <w:rsid w:val="002408C9"/>
    <w:rsid w:val="00241FC4"/>
    <w:rsid w:val="002446E0"/>
    <w:rsid w:val="00245EFB"/>
    <w:rsid w:val="00246A52"/>
    <w:rsid w:val="00247940"/>
    <w:rsid w:val="002479D0"/>
    <w:rsid w:val="0025215F"/>
    <w:rsid w:val="002534D7"/>
    <w:rsid w:val="00255DF4"/>
    <w:rsid w:val="00256990"/>
    <w:rsid w:val="0026237E"/>
    <w:rsid w:val="00264132"/>
    <w:rsid w:val="00264B50"/>
    <w:rsid w:val="00281903"/>
    <w:rsid w:val="00282FF0"/>
    <w:rsid w:val="00287E46"/>
    <w:rsid w:val="002935A5"/>
    <w:rsid w:val="0029691A"/>
    <w:rsid w:val="00296B29"/>
    <w:rsid w:val="002973D4"/>
    <w:rsid w:val="002A0512"/>
    <w:rsid w:val="002A2B76"/>
    <w:rsid w:val="002A3F43"/>
    <w:rsid w:val="002A43FA"/>
    <w:rsid w:val="002A7A26"/>
    <w:rsid w:val="002A7BC1"/>
    <w:rsid w:val="002B4D37"/>
    <w:rsid w:val="002B5A23"/>
    <w:rsid w:val="002B5FDD"/>
    <w:rsid w:val="002B6482"/>
    <w:rsid w:val="002B79DA"/>
    <w:rsid w:val="002B7C85"/>
    <w:rsid w:val="002C772A"/>
    <w:rsid w:val="002C7BAB"/>
    <w:rsid w:val="002D40C5"/>
    <w:rsid w:val="002E55D2"/>
    <w:rsid w:val="002E5C5E"/>
    <w:rsid w:val="002E662A"/>
    <w:rsid w:val="002E6CDC"/>
    <w:rsid w:val="002E7EA3"/>
    <w:rsid w:val="002F3637"/>
    <w:rsid w:val="002F5347"/>
    <w:rsid w:val="00300720"/>
    <w:rsid w:val="00301D4C"/>
    <w:rsid w:val="0030404F"/>
    <w:rsid w:val="003046B7"/>
    <w:rsid w:val="0030478A"/>
    <w:rsid w:val="00305177"/>
    <w:rsid w:val="00311795"/>
    <w:rsid w:val="00313533"/>
    <w:rsid w:val="00313845"/>
    <w:rsid w:val="00314444"/>
    <w:rsid w:val="00314589"/>
    <w:rsid w:val="00314AE9"/>
    <w:rsid w:val="003176FC"/>
    <w:rsid w:val="003206A9"/>
    <w:rsid w:val="00320853"/>
    <w:rsid w:val="00320D21"/>
    <w:rsid w:val="00324166"/>
    <w:rsid w:val="00325388"/>
    <w:rsid w:val="00325C54"/>
    <w:rsid w:val="003342C7"/>
    <w:rsid w:val="00334C03"/>
    <w:rsid w:val="003360C5"/>
    <w:rsid w:val="003376C7"/>
    <w:rsid w:val="003511E4"/>
    <w:rsid w:val="003512E9"/>
    <w:rsid w:val="0035237D"/>
    <w:rsid w:val="003525AC"/>
    <w:rsid w:val="00360904"/>
    <w:rsid w:val="00360AC6"/>
    <w:rsid w:val="00361DAF"/>
    <w:rsid w:val="003636B1"/>
    <w:rsid w:val="00364495"/>
    <w:rsid w:val="0036794C"/>
    <w:rsid w:val="003706EF"/>
    <w:rsid w:val="00370E99"/>
    <w:rsid w:val="0037101E"/>
    <w:rsid w:val="00374E5B"/>
    <w:rsid w:val="003752C4"/>
    <w:rsid w:val="00377A92"/>
    <w:rsid w:val="0038294C"/>
    <w:rsid w:val="00383367"/>
    <w:rsid w:val="00384564"/>
    <w:rsid w:val="00390367"/>
    <w:rsid w:val="0039190B"/>
    <w:rsid w:val="00391CB7"/>
    <w:rsid w:val="00394493"/>
    <w:rsid w:val="00394DF4"/>
    <w:rsid w:val="00397873"/>
    <w:rsid w:val="003A1D30"/>
    <w:rsid w:val="003A6126"/>
    <w:rsid w:val="003A7012"/>
    <w:rsid w:val="003B0865"/>
    <w:rsid w:val="003B2663"/>
    <w:rsid w:val="003B7EB4"/>
    <w:rsid w:val="003C1F3E"/>
    <w:rsid w:val="003C57B0"/>
    <w:rsid w:val="003D0D8B"/>
    <w:rsid w:val="003D20EE"/>
    <w:rsid w:val="003D3027"/>
    <w:rsid w:val="003D54AE"/>
    <w:rsid w:val="003D5D6F"/>
    <w:rsid w:val="003D7115"/>
    <w:rsid w:val="003E0FB2"/>
    <w:rsid w:val="003E300F"/>
    <w:rsid w:val="003E5A30"/>
    <w:rsid w:val="003E774B"/>
    <w:rsid w:val="003F1969"/>
    <w:rsid w:val="003F42EE"/>
    <w:rsid w:val="003F5069"/>
    <w:rsid w:val="00400A99"/>
    <w:rsid w:val="00403BBF"/>
    <w:rsid w:val="00404393"/>
    <w:rsid w:val="00410CCC"/>
    <w:rsid w:val="0041250F"/>
    <w:rsid w:val="00412D73"/>
    <w:rsid w:val="0041419D"/>
    <w:rsid w:val="0041575D"/>
    <w:rsid w:val="0041616E"/>
    <w:rsid w:val="0041708F"/>
    <w:rsid w:val="004178C7"/>
    <w:rsid w:val="00420216"/>
    <w:rsid w:val="00422855"/>
    <w:rsid w:val="00422EBB"/>
    <w:rsid w:val="00425B3D"/>
    <w:rsid w:val="0043271F"/>
    <w:rsid w:val="004356B3"/>
    <w:rsid w:val="0043793E"/>
    <w:rsid w:val="00441716"/>
    <w:rsid w:val="0044382A"/>
    <w:rsid w:val="00444561"/>
    <w:rsid w:val="00444FD1"/>
    <w:rsid w:val="004514D0"/>
    <w:rsid w:val="00452EBD"/>
    <w:rsid w:val="0045465D"/>
    <w:rsid w:val="004552DE"/>
    <w:rsid w:val="004617E8"/>
    <w:rsid w:val="00461D91"/>
    <w:rsid w:val="00471BFA"/>
    <w:rsid w:val="00472AAE"/>
    <w:rsid w:val="0047389D"/>
    <w:rsid w:val="00477599"/>
    <w:rsid w:val="00481080"/>
    <w:rsid w:val="004837DD"/>
    <w:rsid w:val="004903D2"/>
    <w:rsid w:val="00490D08"/>
    <w:rsid w:val="004935B1"/>
    <w:rsid w:val="004938B7"/>
    <w:rsid w:val="004A4CB0"/>
    <w:rsid w:val="004A51F8"/>
    <w:rsid w:val="004A589A"/>
    <w:rsid w:val="004A6093"/>
    <w:rsid w:val="004A6CAF"/>
    <w:rsid w:val="004B2256"/>
    <w:rsid w:val="004B34CB"/>
    <w:rsid w:val="004B770D"/>
    <w:rsid w:val="004C06C1"/>
    <w:rsid w:val="004C1297"/>
    <w:rsid w:val="004C2BA0"/>
    <w:rsid w:val="004C3834"/>
    <w:rsid w:val="004C6CD9"/>
    <w:rsid w:val="004D04F6"/>
    <w:rsid w:val="004D1B9F"/>
    <w:rsid w:val="004D2BF9"/>
    <w:rsid w:val="004D631C"/>
    <w:rsid w:val="004E058A"/>
    <w:rsid w:val="004E1A34"/>
    <w:rsid w:val="004E2996"/>
    <w:rsid w:val="004E3BAA"/>
    <w:rsid w:val="004E5EC0"/>
    <w:rsid w:val="004E79F1"/>
    <w:rsid w:val="004F173D"/>
    <w:rsid w:val="004F1E04"/>
    <w:rsid w:val="004F4698"/>
    <w:rsid w:val="00503DC3"/>
    <w:rsid w:val="00511CC0"/>
    <w:rsid w:val="00516C0A"/>
    <w:rsid w:val="00517256"/>
    <w:rsid w:val="00517B51"/>
    <w:rsid w:val="00522E95"/>
    <w:rsid w:val="00522EAF"/>
    <w:rsid w:val="00526742"/>
    <w:rsid w:val="00531927"/>
    <w:rsid w:val="005358E7"/>
    <w:rsid w:val="00536EDB"/>
    <w:rsid w:val="00542406"/>
    <w:rsid w:val="005513F5"/>
    <w:rsid w:val="00556379"/>
    <w:rsid w:val="00556DD0"/>
    <w:rsid w:val="00566A76"/>
    <w:rsid w:val="005711B7"/>
    <w:rsid w:val="00573610"/>
    <w:rsid w:val="00575B27"/>
    <w:rsid w:val="00576563"/>
    <w:rsid w:val="00580B15"/>
    <w:rsid w:val="0058246A"/>
    <w:rsid w:val="00584ABA"/>
    <w:rsid w:val="0058576A"/>
    <w:rsid w:val="00586418"/>
    <w:rsid w:val="005873B9"/>
    <w:rsid w:val="00587AD8"/>
    <w:rsid w:val="00591319"/>
    <w:rsid w:val="0059251F"/>
    <w:rsid w:val="0059789B"/>
    <w:rsid w:val="005A1F35"/>
    <w:rsid w:val="005A2563"/>
    <w:rsid w:val="005A4E52"/>
    <w:rsid w:val="005A674D"/>
    <w:rsid w:val="005B2501"/>
    <w:rsid w:val="005B2DB3"/>
    <w:rsid w:val="005B2FDA"/>
    <w:rsid w:val="005B39FA"/>
    <w:rsid w:val="005B5E3F"/>
    <w:rsid w:val="005C0D39"/>
    <w:rsid w:val="005C1C77"/>
    <w:rsid w:val="005C4D51"/>
    <w:rsid w:val="005C54FB"/>
    <w:rsid w:val="005C5963"/>
    <w:rsid w:val="005C5C39"/>
    <w:rsid w:val="005D2AC3"/>
    <w:rsid w:val="005D378E"/>
    <w:rsid w:val="005D4CB0"/>
    <w:rsid w:val="005D4DC1"/>
    <w:rsid w:val="005E5660"/>
    <w:rsid w:val="005E715D"/>
    <w:rsid w:val="005E7743"/>
    <w:rsid w:val="005E7BCE"/>
    <w:rsid w:val="005F116A"/>
    <w:rsid w:val="005F1432"/>
    <w:rsid w:val="005F1D51"/>
    <w:rsid w:val="005F798F"/>
    <w:rsid w:val="005F7CC6"/>
    <w:rsid w:val="0060071C"/>
    <w:rsid w:val="00601121"/>
    <w:rsid w:val="0060293A"/>
    <w:rsid w:val="00602AFA"/>
    <w:rsid w:val="00604CD9"/>
    <w:rsid w:val="00607982"/>
    <w:rsid w:val="006157D6"/>
    <w:rsid w:val="0061592C"/>
    <w:rsid w:val="0061614C"/>
    <w:rsid w:val="006165B7"/>
    <w:rsid w:val="0061672D"/>
    <w:rsid w:val="00622664"/>
    <w:rsid w:val="00622FFA"/>
    <w:rsid w:val="00624DAD"/>
    <w:rsid w:val="006339F1"/>
    <w:rsid w:val="00633ED5"/>
    <w:rsid w:val="00635B0D"/>
    <w:rsid w:val="00641E8A"/>
    <w:rsid w:val="00643181"/>
    <w:rsid w:val="006468B2"/>
    <w:rsid w:val="006472E5"/>
    <w:rsid w:val="00653C13"/>
    <w:rsid w:val="00655C28"/>
    <w:rsid w:val="0066204B"/>
    <w:rsid w:val="006625AE"/>
    <w:rsid w:val="00664DCE"/>
    <w:rsid w:val="00675BE8"/>
    <w:rsid w:val="00676882"/>
    <w:rsid w:val="00677B5D"/>
    <w:rsid w:val="00681406"/>
    <w:rsid w:val="00682291"/>
    <w:rsid w:val="006833E3"/>
    <w:rsid w:val="0068769A"/>
    <w:rsid w:val="00690B28"/>
    <w:rsid w:val="00691132"/>
    <w:rsid w:val="00694C37"/>
    <w:rsid w:val="006B0381"/>
    <w:rsid w:val="006B0482"/>
    <w:rsid w:val="006B0614"/>
    <w:rsid w:val="006B1F99"/>
    <w:rsid w:val="006B4AFE"/>
    <w:rsid w:val="006B576F"/>
    <w:rsid w:val="006B702E"/>
    <w:rsid w:val="006C343C"/>
    <w:rsid w:val="006C3FBE"/>
    <w:rsid w:val="006C4D17"/>
    <w:rsid w:val="006D25B3"/>
    <w:rsid w:val="006D404E"/>
    <w:rsid w:val="006D5B5B"/>
    <w:rsid w:val="006E5471"/>
    <w:rsid w:val="006F111E"/>
    <w:rsid w:val="006F1325"/>
    <w:rsid w:val="006F1516"/>
    <w:rsid w:val="006F3CE9"/>
    <w:rsid w:val="00701B69"/>
    <w:rsid w:val="00703620"/>
    <w:rsid w:val="00704A9D"/>
    <w:rsid w:val="00705CEB"/>
    <w:rsid w:val="00706D79"/>
    <w:rsid w:val="007122AE"/>
    <w:rsid w:val="00714647"/>
    <w:rsid w:val="00715851"/>
    <w:rsid w:val="007164A9"/>
    <w:rsid w:val="007170AD"/>
    <w:rsid w:val="00725BBE"/>
    <w:rsid w:val="0072666A"/>
    <w:rsid w:val="007300FA"/>
    <w:rsid w:val="007308C4"/>
    <w:rsid w:val="00740130"/>
    <w:rsid w:val="00744054"/>
    <w:rsid w:val="0074701B"/>
    <w:rsid w:val="00751BF7"/>
    <w:rsid w:val="00752B5E"/>
    <w:rsid w:val="00754A95"/>
    <w:rsid w:val="007620B7"/>
    <w:rsid w:val="007640AC"/>
    <w:rsid w:val="00767063"/>
    <w:rsid w:val="00767521"/>
    <w:rsid w:val="0077483B"/>
    <w:rsid w:val="0077649A"/>
    <w:rsid w:val="007801CF"/>
    <w:rsid w:val="00784895"/>
    <w:rsid w:val="00796BC6"/>
    <w:rsid w:val="007B5F72"/>
    <w:rsid w:val="007B610B"/>
    <w:rsid w:val="007C0889"/>
    <w:rsid w:val="007D0EC3"/>
    <w:rsid w:val="007D13EA"/>
    <w:rsid w:val="007D18C1"/>
    <w:rsid w:val="007D4680"/>
    <w:rsid w:val="007D5993"/>
    <w:rsid w:val="007E3ECC"/>
    <w:rsid w:val="007F46E1"/>
    <w:rsid w:val="007F6C6D"/>
    <w:rsid w:val="0080636B"/>
    <w:rsid w:val="008067BB"/>
    <w:rsid w:val="00807925"/>
    <w:rsid w:val="00810D8B"/>
    <w:rsid w:val="00813F71"/>
    <w:rsid w:val="00815ECB"/>
    <w:rsid w:val="0081651B"/>
    <w:rsid w:val="0081687C"/>
    <w:rsid w:val="00820B33"/>
    <w:rsid w:val="00822F06"/>
    <w:rsid w:val="0082581A"/>
    <w:rsid w:val="00825D68"/>
    <w:rsid w:val="00826E38"/>
    <w:rsid w:val="00834E25"/>
    <w:rsid w:val="00836BF0"/>
    <w:rsid w:val="008374EB"/>
    <w:rsid w:val="00841D19"/>
    <w:rsid w:val="00842092"/>
    <w:rsid w:val="00842C83"/>
    <w:rsid w:val="00843742"/>
    <w:rsid w:val="00843D52"/>
    <w:rsid w:val="00844570"/>
    <w:rsid w:val="00845566"/>
    <w:rsid w:val="00853DE5"/>
    <w:rsid w:val="00855EC8"/>
    <w:rsid w:val="008613F6"/>
    <w:rsid w:val="0086158B"/>
    <w:rsid w:val="00863F30"/>
    <w:rsid w:val="008645A2"/>
    <w:rsid w:val="00864726"/>
    <w:rsid w:val="00866870"/>
    <w:rsid w:val="00871F21"/>
    <w:rsid w:val="00875C82"/>
    <w:rsid w:val="00875E31"/>
    <w:rsid w:val="00875E64"/>
    <w:rsid w:val="00875FAB"/>
    <w:rsid w:val="00882C97"/>
    <w:rsid w:val="00883808"/>
    <w:rsid w:val="00887C63"/>
    <w:rsid w:val="00895CED"/>
    <w:rsid w:val="00897506"/>
    <w:rsid w:val="008A3069"/>
    <w:rsid w:val="008A321B"/>
    <w:rsid w:val="008A5D5A"/>
    <w:rsid w:val="008A6AD2"/>
    <w:rsid w:val="008A7C30"/>
    <w:rsid w:val="008B0CCA"/>
    <w:rsid w:val="008B3C20"/>
    <w:rsid w:val="008B41DA"/>
    <w:rsid w:val="008B436D"/>
    <w:rsid w:val="008B5C14"/>
    <w:rsid w:val="008C5992"/>
    <w:rsid w:val="008C6395"/>
    <w:rsid w:val="008C63E3"/>
    <w:rsid w:val="008D4B0A"/>
    <w:rsid w:val="008D552D"/>
    <w:rsid w:val="008D7D5E"/>
    <w:rsid w:val="008E293F"/>
    <w:rsid w:val="008E4E9B"/>
    <w:rsid w:val="008E6B75"/>
    <w:rsid w:val="008E6D30"/>
    <w:rsid w:val="0090160E"/>
    <w:rsid w:val="009024FB"/>
    <w:rsid w:val="00905A1E"/>
    <w:rsid w:val="009066BC"/>
    <w:rsid w:val="009104F1"/>
    <w:rsid w:val="00914BB3"/>
    <w:rsid w:val="009158A2"/>
    <w:rsid w:val="00921DB9"/>
    <w:rsid w:val="009254E6"/>
    <w:rsid w:val="00925844"/>
    <w:rsid w:val="009305A3"/>
    <w:rsid w:val="00932034"/>
    <w:rsid w:val="009339E6"/>
    <w:rsid w:val="00933C24"/>
    <w:rsid w:val="00934E47"/>
    <w:rsid w:val="00941E1A"/>
    <w:rsid w:val="00946611"/>
    <w:rsid w:val="00946F80"/>
    <w:rsid w:val="00950A88"/>
    <w:rsid w:val="00950C2E"/>
    <w:rsid w:val="0095225D"/>
    <w:rsid w:val="009522D2"/>
    <w:rsid w:val="00955271"/>
    <w:rsid w:val="00956E2F"/>
    <w:rsid w:val="00957E4E"/>
    <w:rsid w:val="009600A9"/>
    <w:rsid w:val="00961615"/>
    <w:rsid w:val="00963C6B"/>
    <w:rsid w:val="0096443E"/>
    <w:rsid w:val="009657E4"/>
    <w:rsid w:val="00965EED"/>
    <w:rsid w:val="00966C3E"/>
    <w:rsid w:val="00967919"/>
    <w:rsid w:val="009725A7"/>
    <w:rsid w:val="00973411"/>
    <w:rsid w:val="009750E7"/>
    <w:rsid w:val="009820D5"/>
    <w:rsid w:val="0098441B"/>
    <w:rsid w:val="0098661C"/>
    <w:rsid w:val="0098676A"/>
    <w:rsid w:val="00987C38"/>
    <w:rsid w:val="00990224"/>
    <w:rsid w:val="009943B2"/>
    <w:rsid w:val="009A4812"/>
    <w:rsid w:val="009A586F"/>
    <w:rsid w:val="009B21B8"/>
    <w:rsid w:val="009B2AF8"/>
    <w:rsid w:val="009B584F"/>
    <w:rsid w:val="009C5113"/>
    <w:rsid w:val="009C5F10"/>
    <w:rsid w:val="009D11DE"/>
    <w:rsid w:val="009D3278"/>
    <w:rsid w:val="009D363A"/>
    <w:rsid w:val="009D4F88"/>
    <w:rsid w:val="009D777D"/>
    <w:rsid w:val="009E2F91"/>
    <w:rsid w:val="009E6481"/>
    <w:rsid w:val="009F2E61"/>
    <w:rsid w:val="009F2F7D"/>
    <w:rsid w:val="009F3495"/>
    <w:rsid w:val="009F3739"/>
    <w:rsid w:val="009F44A9"/>
    <w:rsid w:val="00A002FA"/>
    <w:rsid w:val="00A01FFC"/>
    <w:rsid w:val="00A03303"/>
    <w:rsid w:val="00A04114"/>
    <w:rsid w:val="00A052F3"/>
    <w:rsid w:val="00A055B7"/>
    <w:rsid w:val="00A06E04"/>
    <w:rsid w:val="00A07438"/>
    <w:rsid w:val="00A076BB"/>
    <w:rsid w:val="00A121ED"/>
    <w:rsid w:val="00A13D63"/>
    <w:rsid w:val="00A155A8"/>
    <w:rsid w:val="00A21FD5"/>
    <w:rsid w:val="00A242C2"/>
    <w:rsid w:val="00A24509"/>
    <w:rsid w:val="00A252EC"/>
    <w:rsid w:val="00A27680"/>
    <w:rsid w:val="00A30D84"/>
    <w:rsid w:val="00A3231E"/>
    <w:rsid w:val="00A35062"/>
    <w:rsid w:val="00A42E8F"/>
    <w:rsid w:val="00A51A6C"/>
    <w:rsid w:val="00A525C7"/>
    <w:rsid w:val="00A533C0"/>
    <w:rsid w:val="00A53C63"/>
    <w:rsid w:val="00A541E5"/>
    <w:rsid w:val="00A57198"/>
    <w:rsid w:val="00A61641"/>
    <w:rsid w:val="00A63FE7"/>
    <w:rsid w:val="00A64A71"/>
    <w:rsid w:val="00A65204"/>
    <w:rsid w:val="00A655E4"/>
    <w:rsid w:val="00A72749"/>
    <w:rsid w:val="00A73EF2"/>
    <w:rsid w:val="00A746FA"/>
    <w:rsid w:val="00A74C2F"/>
    <w:rsid w:val="00A768B0"/>
    <w:rsid w:val="00A86CE5"/>
    <w:rsid w:val="00AA02D3"/>
    <w:rsid w:val="00AA04BA"/>
    <w:rsid w:val="00AA1D88"/>
    <w:rsid w:val="00AA3A52"/>
    <w:rsid w:val="00AA4449"/>
    <w:rsid w:val="00AA4753"/>
    <w:rsid w:val="00AA53C3"/>
    <w:rsid w:val="00AA5E1E"/>
    <w:rsid w:val="00AB1E34"/>
    <w:rsid w:val="00AB2329"/>
    <w:rsid w:val="00AB2AAA"/>
    <w:rsid w:val="00AB3C88"/>
    <w:rsid w:val="00AC204C"/>
    <w:rsid w:val="00AC779F"/>
    <w:rsid w:val="00AC7EB5"/>
    <w:rsid w:val="00AD0CEE"/>
    <w:rsid w:val="00AD3F96"/>
    <w:rsid w:val="00AD47CB"/>
    <w:rsid w:val="00AE002C"/>
    <w:rsid w:val="00AE00C7"/>
    <w:rsid w:val="00AE045C"/>
    <w:rsid w:val="00AE4C35"/>
    <w:rsid w:val="00AE6660"/>
    <w:rsid w:val="00AF04CB"/>
    <w:rsid w:val="00AF440A"/>
    <w:rsid w:val="00AF7F1E"/>
    <w:rsid w:val="00B02835"/>
    <w:rsid w:val="00B035F1"/>
    <w:rsid w:val="00B03D00"/>
    <w:rsid w:val="00B03FC8"/>
    <w:rsid w:val="00B06DA4"/>
    <w:rsid w:val="00B07B97"/>
    <w:rsid w:val="00B07D3D"/>
    <w:rsid w:val="00B113FA"/>
    <w:rsid w:val="00B149C4"/>
    <w:rsid w:val="00B14F91"/>
    <w:rsid w:val="00B15A63"/>
    <w:rsid w:val="00B20680"/>
    <w:rsid w:val="00B232B0"/>
    <w:rsid w:val="00B258E0"/>
    <w:rsid w:val="00B26588"/>
    <w:rsid w:val="00B274D5"/>
    <w:rsid w:val="00B304C6"/>
    <w:rsid w:val="00B33F64"/>
    <w:rsid w:val="00B362C1"/>
    <w:rsid w:val="00B370FE"/>
    <w:rsid w:val="00B41B9D"/>
    <w:rsid w:val="00B44571"/>
    <w:rsid w:val="00B45E9D"/>
    <w:rsid w:val="00B47F0F"/>
    <w:rsid w:val="00B5263A"/>
    <w:rsid w:val="00B536C1"/>
    <w:rsid w:val="00B60DFD"/>
    <w:rsid w:val="00B6142B"/>
    <w:rsid w:val="00B6149F"/>
    <w:rsid w:val="00B64316"/>
    <w:rsid w:val="00B67571"/>
    <w:rsid w:val="00B72E01"/>
    <w:rsid w:val="00B742E4"/>
    <w:rsid w:val="00B7556E"/>
    <w:rsid w:val="00B76069"/>
    <w:rsid w:val="00B76D1E"/>
    <w:rsid w:val="00B77673"/>
    <w:rsid w:val="00B77C13"/>
    <w:rsid w:val="00B801F8"/>
    <w:rsid w:val="00B82BA4"/>
    <w:rsid w:val="00B82F34"/>
    <w:rsid w:val="00B847F8"/>
    <w:rsid w:val="00B85588"/>
    <w:rsid w:val="00B921CC"/>
    <w:rsid w:val="00B92292"/>
    <w:rsid w:val="00B9372B"/>
    <w:rsid w:val="00B95BCC"/>
    <w:rsid w:val="00B96F03"/>
    <w:rsid w:val="00BA05B3"/>
    <w:rsid w:val="00BA084E"/>
    <w:rsid w:val="00BA3356"/>
    <w:rsid w:val="00BA51E9"/>
    <w:rsid w:val="00BB383C"/>
    <w:rsid w:val="00BB7AC5"/>
    <w:rsid w:val="00BC4A34"/>
    <w:rsid w:val="00BC638B"/>
    <w:rsid w:val="00BC6672"/>
    <w:rsid w:val="00BC6935"/>
    <w:rsid w:val="00BD037D"/>
    <w:rsid w:val="00BD06A6"/>
    <w:rsid w:val="00BD2596"/>
    <w:rsid w:val="00BD5866"/>
    <w:rsid w:val="00BD6330"/>
    <w:rsid w:val="00BD71AE"/>
    <w:rsid w:val="00BE163B"/>
    <w:rsid w:val="00BE1DBD"/>
    <w:rsid w:val="00BE1DDB"/>
    <w:rsid w:val="00BE254E"/>
    <w:rsid w:val="00BE433C"/>
    <w:rsid w:val="00BE5C75"/>
    <w:rsid w:val="00BE61A9"/>
    <w:rsid w:val="00BF18AE"/>
    <w:rsid w:val="00BF25DD"/>
    <w:rsid w:val="00BF27AA"/>
    <w:rsid w:val="00C01F24"/>
    <w:rsid w:val="00C07B41"/>
    <w:rsid w:val="00C11CE7"/>
    <w:rsid w:val="00C13294"/>
    <w:rsid w:val="00C13465"/>
    <w:rsid w:val="00C210D3"/>
    <w:rsid w:val="00C21DF7"/>
    <w:rsid w:val="00C25892"/>
    <w:rsid w:val="00C317D9"/>
    <w:rsid w:val="00C347A8"/>
    <w:rsid w:val="00C36003"/>
    <w:rsid w:val="00C3754F"/>
    <w:rsid w:val="00C40BE5"/>
    <w:rsid w:val="00C452E8"/>
    <w:rsid w:val="00C46107"/>
    <w:rsid w:val="00C468A2"/>
    <w:rsid w:val="00C470FB"/>
    <w:rsid w:val="00C4716A"/>
    <w:rsid w:val="00C50C77"/>
    <w:rsid w:val="00C52543"/>
    <w:rsid w:val="00C61163"/>
    <w:rsid w:val="00C6215E"/>
    <w:rsid w:val="00C6324D"/>
    <w:rsid w:val="00C63F2C"/>
    <w:rsid w:val="00C64570"/>
    <w:rsid w:val="00C71E6E"/>
    <w:rsid w:val="00C724AF"/>
    <w:rsid w:val="00C76766"/>
    <w:rsid w:val="00C77D89"/>
    <w:rsid w:val="00C80907"/>
    <w:rsid w:val="00C82273"/>
    <w:rsid w:val="00C8472D"/>
    <w:rsid w:val="00C849DB"/>
    <w:rsid w:val="00C8655D"/>
    <w:rsid w:val="00C9267E"/>
    <w:rsid w:val="00C92D22"/>
    <w:rsid w:val="00C92DFD"/>
    <w:rsid w:val="00C9427D"/>
    <w:rsid w:val="00CA0640"/>
    <w:rsid w:val="00CA2550"/>
    <w:rsid w:val="00CA38B9"/>
    <w:rsid w:val="00CA51B2"/>
    <w:rsid w:val="00CA7365"/>
    <w:rsid w:val="00CB05C0"/>
    <w:rsid w:val="00CB1331"/>
    <w:rsid w:val="00CB22D1"/>
    <w:rsid w:val="00CB288E"/>
    <w:rsid w:val="00CC16E7"/>
    <w:rsid w:val="00CC3350"/>
    <w:rsid w:val="00CC7F1F"/>
    <w:rsid w:val="00CD49A6"/>
    <w:rsid w:val="00CD6742"/>
    <w:rsid w:val="00CD765E"/>
    <w:rsid w:val="00CE5114"/>
    <w:rsid w:val="00CE70BF"/>
    <w:rsid w:val="00CE7124"/>
    <w:rsid w:val="00CF6B45"/>
    <w:rsid w:val="00CF6F1B"/>
    <w:rsid w:val="00D01D08"/>
    <w:rsid w:val="00D03859"/>
    <w:rsid w:val="00D06292"/>
    <w:rsid w:val="00D065E0"/>
    <w:rsid w:val="00D11E09"/>
    <w:rsid w:val="00D17141"/>
    <w:rsid w:val="00D17ADB"/>
    <w:rsid w:val="00D215DF"/>
    <w:rsid w:val="00D2450B"/>
    <w:rsid w:val="00D250A0"/>
    <w:rsid w:val="00D33173"/>
    <w:rsid w:val="00D334C7"/>
    <w:rsid w:val="00D36115"/>
    <w:rsid w:val="00D378AD"/>
    <w:rsid w:val="00D4314E"/>
    <w:rsid w:val="00D43993"/>
    <w:rsid w:val="00D444AE"/>
    <w:rsid w:val="00D45B87"/>
    <w:rsid w:val="00D4739A"/>
    <w:rsid w:val="00D47DD9"/>
    <w:rsid w:val="00D56252"/>
    <w:rsid w:val="00D57326"/>
    <w:rsid w:val="00D60E8B"/>
    <w:rsid w:val="00D61E1C"/>
    <w:rsid w:val="00D67A87"/>
    <w:rsid w:val="00D70327"/>
    <w:rsid w:val="00D71309"/>
    <w:rsid w:val="00D71B7D"/>
    <w:rsid w:val="00D73838"/>
    <w:rsid w:val="00D74D7F"/>
    <w:rsid w:val="00D765D7"/>
    <w:rsid w:val="00D768DA"/>
    <w:rsid w:val="00D82173"/>
    <w:rsid w:val="00D86786"/>
    <w:rsid w:val="00D87CE7"/>
    <w:rsid w:val="00D91211"/>
    <w:rsid w:val="00D95317"/>
    <w:rsid w:val="00D963FE"/>
    <w:rsid w:val="00D97118"/>
    <w:rsid w:val="00D9731D"/>
    <w:rsid w:val="00D9744E"/>
    <w:rsid w:val="00D97CD4"/>
    <w:rsid w:val="00DA125E"/>
    <w:rsid w:val="00DA4170"/>
    <w:rsid w:val="00DA439C"/>
    <w:rsid w:val="00DB0960"/>
    <w:rsid w:val="00DB19CF"/>
    <w:rsid w:val="00DB3EF8"/>
    <w:rsid w:val="00DC09B4"/>
    <w:rsid w:val="00DC40AA"/>
    <w:rsid w:val="00DC5600"/>
    <w:rsid w:val="00DC5839"/>
    <w:rsid w:val="00DC5BEB"/>
    <w:rsid w:val="00DD0E19"/>
    <w:rsid w:val="00DD1B5C"/>
    <w:rsid w:val="00DD2B38"/>
    <w:rsid w:val="00DD3700"/>
    <w:rsid w:val="00DD3B65"/>
    <w:rsid w:val="00DD472D"/>
    <w:rsid w:val="00DD7A7D"/>
    <w:rsid w:val="00DE0418"/>
    <w:rsid w:val="00DE068B"/>
    <w:rsid w:val="00DE1C82"/>
    <w:rsid w:val="00DE27FE"/>
    <w:rsid w:val="00DE4D58"/>
    <w:rsid w:val="00DE7270"/>
    <w:rsid w:val="00DF06CE"/>
    <w:rsid w:val="00DF273E"/>
    <w:rsid w:val="00DF2908"/>
    <w:rsid w:val="00E01D34"/>
    <w:rsid w:val="00E0581B"/>
    <w:rsid w:val="00E13854"/>
    <w:rsid w:val="00E21607"/>
    <w:rsid w:val="00E22D17"/>
    <w:rsid w:val="00E235CF"/>
    <w:rsid w:val="00E2401A"/>
    <w:rsid w:val="00E257FA"/>
    <w:rsid w:val="00E25F8A"/>
    <w:rsid w:val="00E27FE0"/>
    <w:rsid w:val="00E30DCB"/>
    <w:rsid w:val="00E32244"/>
    <w:rsid w:val="00E3277D"/>
    <w:rsid w:val="00E34C31"/>
    <w:rsid w:val="00E34FF3"/>
    <w:rsid w:val="00E35900"/>
    <w:rsid w:val="00E412D1"/>
    <w:rsid w:val="00E41EB0"/>
    <w:rsid w:val="00E4270C"/>
    <w:rsid w:val="00E43127"/>
    <w:rsid w:val="00E4374B"/>
    <w:rsid w:val="00E475AA"/>
    <w:rsid w:val="00E5029D"/>
    <w:rsid w:val="00E513B2"/>
    <w:rsid w:val="00E536E0"/>
    <w:rsid w:val="00E6159E"/>
    <w:rsid w:val="00E627E3"/>
    <w:rsid w:val="00E62AD6"/>
    <w:rsid w:val="00E673D3"/>
    <w:rsid w:val="00E67926"/>
    <w:rsid w:val="00E72E03"/>
    <w:rsid w:val="00E7465B"/>
    <w:rsid w:val="00E75CAA"/>
    <w:rsid w:val="00E76491"/>
    <w:rsid w:val="00E81239"/>
    <w:rsid w:val="00E81BEA"/>
    <w:rsid w:val="00E83B3A"/>
    <w:rsid w:val="00E90762"/>
    <w:rsid w:val="00E91E1E"/>
    <w:rsid w:val="00E96CB6"/>
    <w:rsid w:val="00E97414"/>
    <w:rsid w:val="00E97BE8"/>
    <w:rsid w:val="00EA222D"/>
    <w:rsid w:val="00EA28C5"/>
    <w:rsid w:val="00EA357C"/>
    <w:rsid w:val="00EA5305"/>
    <w:rsid w:val="00EA6DDB"/>
    <w:rsid w:val="00EB50AA"/>
    <w:rsid w:val="00EB5A48"/>
    <w:rsid w:val="00EB6485"/>
    <w:rsid w:val="00EC0CA4"/>
    <w:rsid w:val="00EC2C1B"/>
    <w:rsid w:val="00EC4D87"/>
    <w:rsid w:val="00EC7B6F"/>
    <w:rsid w:val="00ED0AC0"/>
    <w:rsid w:val="00ED107C"/>
    <w:rsid w:val="00ED1D44"/>
    <w:rsid w:val="00ED3931"/>
    <w:rsid w:val="00ED4180"/>
    <w:rsid w:val="00ED53E3"/>
    <w:rsid w:val="00ED7F08"/>
    <w:rsid w:val="00EE0C5E"/>
    <w:rsid w:val="00EE54D6"/>
    <w:rsid w:val="00EE6571"/>
    <w:rsid w:val="00EE7F33"/>
    <w:rsid w:val="00EE7FAE"/>
    <w:rsid w:val="00F00F79"/>
    <w:rsid w:val="00F0142C"/>
    <w:rsid w:val="00F0749B"/>
    <w:rsid w:val="00F119FC"/>
    <w:rsid w:val="00F2041D"/>
    <w:rsid w:val="00F20D0D"/>
    <w:rsid w:val="00F2125D"/>
    <w:rsid w:val="00F23889"/>
    <w:rsid w:val="00F264B6"/>
    <w:rsid w:val="00F278A4"/>
    <w:rsid w:val="00F27F86"/>
    <w:rsid w:val="00F30F54"/>
    <w:rsid w:val="00F326DF"/>
    <w:rsid w:val="00F327B3"/>
    <w:rsid w:val="00F34C5B"/>
    <w:rsid w:val="00F35F72"/>
    <w:rsid w:val="00F36C8B"/>
    <w:rsid w:val="00F4130F"/>
    <w:rsid w:val="00F42B09"/>
    <w:rsid w:val="00F474F1"/>
    <w:rsid w:val="00F508B0"/>
    <w:rsid w:val="00F50E0A"/>
    <w:rsid w:val="00F5153D"/>
    <w:rsid w:val="00F532EA"/>
    <w:rsid w:val="00F54057"/>
    <w:rsid w:val="00F5720A"/>
    <w:rsid w:val="00F57C22"/>
    <w:rsid w:val="00F616C5"/>
    <w:rsid w:val="00F62B3D"/>
    <w:rsid w:val="00F6736E"/>
    <w:rsid w:val="00F70E93"/>
    <w:rsid w:val="00F76C7C"/>
    <w:rsid w:val="00F778B6"/>
    <w:rsid w:val="00F8146C"/>
    <w:rsid w:val="00F8193C"/>
    <w:rsid w:val="00F81A54"/>
    <w:rsid w:val="00F843B0"/>
    <w:rsid w:val="00F8475A"/>
    <w:rsid w:val="00F87134"/>
    <w:rsid w:val="00F874B3"/>
    <w:rsid w:val="00F87815"/>
    <w:rsid w:val="00F903B8"/>
    <w:rsid w:val="00F903F1"/>
    <w:rsid w:val="00F9371F"/>
    <w:rsid w:val="00F95A41"/>
    <w:rsid w:val="00FA188B"/>
    <w:rsid w:val="00FA2F77"/>
    <w:rsid w:val="00FA4DFA"/>
    <w:rsid w:val="00FA63CE"/>
    <w:rsid w:val="00FA7321"/>
    <w:rsid w:val="00FB5FD8"/>
    <w:rsid w:val="00FC0CC8"/>
    <w:rsid w:val="00FC195E"/>
    <w:rsid w:val="00FC1DDF"/>
    <w:rsid w:val="00FC2307"/>
    <w:rsid w:val="00FC4430"/>
    <w:rsid w:val="00FD0286"/>
    <w:rsid w:val="00FD0F9E"/>
    <w:rsid w:val="00FD2792"/>
    <w:rsid w:val="00FD4863"/>
    <w:rsid w:val="00FE25AA"/>
    <w:rsid w:val="00FE7CDB"/>
    <w:rsid w:val="00FF44E6"/>
    <w:rsid w:val="01314984"/>
    <w:rsid w:val="018FA99D"/>
    <w:rsid w:val="01A30737"/>
    <w:rsid w:val="01CD6DF0"/>
    <w:rsid w:val="01D8052A"/>
    <w:rsid w:val="02240C78"/>
    <w:rsid w:val="024748D2"/>
    <w:rsid w:val="0247A5CB"/>
    <w:rsid w:val="029DE32F"/>
    <w:rsid w:val="02B5E60D"/>
    <w:rsid w:val="02EBC9B2"/>
    <w:rsid w:val="02EF4982"/>
    <w:rsid w:val="03285856"/>
    <w:rsid w:val="052EFFF7"/>
    <w:rsid w:val="058ED0A3"/>
    <w:rsid w:val="05C0111B"/>
    <w:rsid w:val="05E14D76"/>
    <w:rsid w:val="06263637"/>
    <w:rsid w:val="06AA8439"/>
    <w:rsid w:val="0906A694"/>
    <w:rsid w:val="09390656"/>
    <w:rsid w:val="0987A434"/>
    <w:rsid w:val="09E71382"/>
    <w:rsid w:val="0A0ED75C"/>
    <w:rsid w:val="0A2F1EDA"/>
    <w:rsid w:val="0A800FAD"/>
    <w:rsid w:val="0A9CF123"/>
    <w:rsid w:val="0B4662FC"/>
    <w:rsid w:val="0B615087"/>
    <w:rsid w:val="0C71AEE1"/>
    <w:rsid w:val="0CCCEB31"/>
    <w:rsid w:val="0D3564AA"/>
    <w:rsid w:val="0D5A75B4"/>
    <w:rsid w:val="0E497035"/>
    <w:rsid w:val="0E592937"/>
    <w:rsid w:val="0EAC06EF"/>
    <w:rsid w:val="0F4FC32D"/>
    <w:rsid w:val="0FD39643"/>
    <w:rsid w:val="12769F71"/>
    <w:rsid w:val="13E00812"/>
    <w:rsid w:val="153E3F55"/>
    <w:rsid w:val="15984712"/>
    <w:rsid w:val="1613F304"/>
    <w:rsid w:val="16998D01"/>
    <w:rsid w:val="16FD3751"/>
    <w:rsid w:val="170328A7"/>
    <w:rsid w:val="179FF161"/>
    <w:rsid w:val="182A7466"/>
    <w:rsid w:val="183BE8D7"/>
    <w:rsid w:val="194B922B"/>
    <w:rsid w:val="19702AFB"/>
    <w:rsid w:val="19B805FB"/>
    <w:rsid w:val="1A21EB16"/>
    <w:rsid w:val="1A47ABBA"/>
    <w:rsid w:val="1ADA18E6"/>
    <w:rsid w:val="1ADB48A8"/>
    <w:rsid w:val="1AE69083"/>
    <w:rsid w:val="1BA5F93E"/>
    <w:rsid w:val="1C243C52"/>
    <w:rsid w:val="1C5A2AB3"/>
    <w:rsid w:val="1CA50813"/>
    <w:rsid w:val="1D21359A"/>
    <w:rsid w:val="1D3481EF"/>
    <w:rsid w:val="1D35744D"/>
    <w:rsid w:val="1D4836F7"/>
    <w:rsid w:val="1D845CD6"/>
    <w:rsid w:val="1DE3DE49"/>
    <w:rsid w:val="1E04E004"/>
    <w:rsid w:val="1F0C9874"/>
    <w:rsid w:val="1F7A5A77"/>
    <w:rsid w:val="1FBE00A4"/>
    <w:rsid w:val="2022A509"/>
    <w:rsid w:val="20909429"/>
    <w:rsid w:val="20BCC31E"/>
    <w:rsid w:val="21574511"/>
    <w:rsid w:val="21820F36"/>
    <w:rsid w:val="21BDE1A9"/>
    <w:rsid w:val="22DC111B"/>
    <w:rsid w:val="24DD391B"/>
    <w:rsid w:val="25AD6656"/>
    <w:rsid w:val="270F55B9"/>
    <w:rsid w:val="2762524B"/>
    <w:rsid w:val="27717660"/>
    <w:rsid w:val="277F92C4"/>
    <w:rsid w:val="27C6A231"/>
    <w:rsid w:val="27EFC74D"/>
    <w:rsid w:val="28661035"/>
    <w:rsid w:val="28B41E35"/>
    <w:rsid w:val="2A5EB905"/>
    <w:rsid w:val="2A9145D4"/>
    <w:rsid w:val="2AB984E2"/>
    <w:rsid w:val="2ABDA936"/>
    <w:rsid w:val="2B22B3CF"/>
    <w:rsid w:val="2B25F398"/>
    <w:rsid w:val="2CAF2D62"/>
    <w:rsid w:val="2CC872F7"/>
    <w:rsid w:val="2D5C8CDC"/>
    <w:rsid w:val="2D65AD24"/>
    <w:rsid w:val="2D8E2651"/>
    <w:rsid w:val="2DAFC49A"/>
    <w:rsid w:val="2EA1335E"/>
    <w:rsid w:val="2F79527D"/>
    <w:rsid w:val="2FAC5410"/>
    <w:rsid w:val="2FC96EA7"/>
    <w:rsid w:val="2FF77A85"/>
    <w:rsid w:val="30D36B4A"/>
    <w:rsid w:val="30E13F36"/>
    <w:rsid w:val="311FCAF9"/>
    <w:rsid w:val="31D3AEC3"/>
    <w:rsid w:val="3228B788"/>
    <w:rsid w:val="3229D392"/>
    <w:rsid w:val="331FF5B4"/>
    <w:rsid w:val="3341E3B6"/>
    <w:rsid w:val="33EC0790"/>
    <w:rsid w:val="33FA25A1"/>
    <w:rsid w:val="3401EE90"/>
    <w:rsid w:val="34633B34"/>
    <w:rsid w:val="34FCC271"/>
    <w:rsid w:val="34FD8BEC"/>
    <w:rsid w:val="36122CD0"/>
    <w:rsid w:val="366BEF08"/>
    <w:rsid w:val="370AE3A2"/>
    <w:rsid w:val="3A03DF94"/>
    <w:rsid w:val="3B0F9CDB"/>
    <w:rsid w:val="3C8D1D24"/>
    <w:rsid w:val="3D0F31E8"/>
    <w:rsid w:val="3D4203F7"/>
    <w:rsid w:val="3E6113D1"/>
    <w:rsid w:val="3E9A497B"/>
    <w:rsid w:val="3EF562A1"/>
    <w:rsid w:val="3FC96BFB"/>
    <w:rsid w:val="402B3C87"/>
    <w:rsid w:val="404F3E9F"/>
    <w:rsid w:val="40930BE8"/>
    <w:rsid w:val="40B878EB"/>
    <w:rsid w:val="40BD6A41"/>
    <w:rsid w:val="411E3E74"/>
    <w:rsid w:val="42203B1C"/>
    <w:rsid w:val="43860948"/>
    <w:rsid w:val="4509DA08"/>
    <w:rsid w:val="46495A1F"/>
    <w:rsid w:val="46611B41"/>
    <w:rsid w:val="46F930FF"/>
    <w:rsid w:val="48D0598A"/>
    <w:rsid w:val="492D5384"/>
    <w:rsid w:val="49394984"/>
    <w:rsid w:val="49C5E7AD"/>
    <w:rsid w:val="4A222511"/>
    <w:rsid w:val="4ABE0095"/>
    <w:rsid w:val="4C38841E"/>
    <w:rsid w:val="4C5CA5DE"/>
    <w:rsid w:val="4C794EE5"/>
    <w:rsid w:val="4CA01810"/>
    <w:rsid w:val="4D48F03F"/>
    <w:rsid w:val="4D698987"/>
    <w:rsid w:val="4D947177"/>
    <w:rsid w:val="4DB574C3"/>
    <w:rsid w:val="4DCDD1EA"/>
    <w:rsid w:val="4DDAD933"/>
    <w:rsid w:val="4E244A8C"/>
    <w:rsid w:val="4E805EC0"/>
    <w:rsid w:val="4E9171CA"/>
    <w:rsid w:val="4ED3EC7B"/>
    <w:rsid w:val="5001D26A"/>
    <w:rsid w:val="501BCDD1"/>
    <w:rsid w:val="50B3306C"/>
    <w:rsid w:val="50CDD0F1"/>
    <w:rsid w:val="5105566D"/>
    <w:rsid w:val="510F9D4E"/>
    <w:rsid w:val="511777D8"/>
    <w:rsid w:val="51FEB5C4"/>
    <w:rsid w:val="524CB7E4"/>
    <w:rsid w:val="52AEC3B7"/>
    <w:rsid w:val="52C71BEA"/>
    <w:rsid w:val="52F9C465"/>
    <w:rsid w:val="54444F3B"/>
    <w:rsid w:val="5458236E"/>
    <w:rsid w:val="546056A8"/>
    <w:rsid w:val="5471240A"/>
    <w:rsid w:val="54814333"/>
    <w:rsid w:val="557A24DB"/>
    <w:rsid w:val="5599D196"/>
    <w:rsid w:val="56161E90"/>
    <w:rsid w:val="56F5EDA5"/>
    <w:rsid w:val="571B6DA2"/>
    <w:rsid w:val="588E296B"/>
    <w:rsid w:val="58BCD27E"/>
    <w:rsid w:val="59471891"/>
    <w:rsid w:val="59A06FB0"/>
    <w:rsid w:val="59B3815B"/>
    <w:rsid w:val="59F9173E"/>
    <w:rsid w:val="5A5E1251"/>
    <w:rsid w:val="5A781B1C"/>
    <w:rsid w:val="5B4CEF87"/>
    <w:rsid w:val="5BE19AF5"/>
    <w:rsid w:val="5D4F0D49"/>
    <w:rsid w:val="5ED2E5E8"/>
    <w:rsid w:val="5EEFE42D"/>
    <w:rsid w:val="5F42CF47"/>
    <w:rsid w:val="5F44DB11"/>
    <w:rsid w:val="5FD63A91"/>
    <w:rsid w:val="5FE1EC16"/>
    <w:rsid w:val="6128C7D7"/>
    <w:rsid w:val="617123F9"/>
    <w:rsid w:val="6278D263"/>
    <w:rsid w:val="6286BB3F"/>
    <w:rsid w:val="62A0842D"/>
    <w:rsid w:val="62F9DEDB"/>
    <w:rsid w:val="62FE19B6"/>
    <w:rsid w:val="63523067"/>
    <w:rsid w:val="6381FCBC"/>
    <w:rsid w:val="63E452FD"/>
    <w:rsid w:val="666E690F"/>
    <w:rsid w:val="667A6468"/>
    <w:rsid w:val="671F633C"/>
    <w:rsid w:val="67DBB67B"/>
    <w:rsid w:val="67E36963"/>
    <w:rsid w:val="6813FEAA"/>
    <w:rsid w:val="683721F9"/>
    <w:rsid w:val="68856396"/>
    <w:rsid w:val="6AC70D4E"/>
    <w:rsid w:val="6B96C916"/>
    <w:rsid w:val="6BABC292"/>
    <w:rsid w:val="6BE68F4A"/>
    <w:rsid w:val="6CD14599"/>
    <w:rsid w:val="6D2481AC"/>
    <w:rsid w:val="6D37594F"/>
    <w:rsid w:val="6D45C2A1"/>
    <w:rsid w:val="6DD6FF6A"/>
    <w:rsid w:val="6E412D2E"/>
    <w:rsid w:val="6EF37D67"/>
    <w:rsid w:val="6F519812"/>
    <w:rsid w:val="6F64186B"/>
    <w:rsid w:val="6F77A725"/>
    <w:rsid w:val="707043FD"/>
    <w:rsid w:val="70E4867D"/>
    <w:rsid w:val="710CBC77"/>
    <w:rsid w:val="7276D92C"/>
    <w:rsid w:val="72891BD0"/>
    <w:rsid w:val="7292C888"/>
    <w:rsid w:val="72CD6DE3"/>
    <w:rsid w:val="7347CA1C"/>
    <w:rsid w:val="73492F09"/>
    <w:rsid w:val="7384C122"/>
    <w:rsid w:val="740FB335"/>
    <w:rsid w:val="745A77A8"/>
    <w:rsid w:val="74E69362"/>
    <w:rsid w:val="74F7F91E"/>
    <w:rsid w:val="75735DE9"/>
    <w:rsid w:val="758D6E38"/>
    <w:rsid w:val="766B7C04"/>
    <w:rsid w:val="7701FBDA"/>
    <w:rsid w:val="77148158"/>
    <w:rsid w:val="782C71DF"/>
    <w:rsid w:val="7902CA79"/>
    <w:rsid w:val="79360E24"/>
    <w:rsid w:val="79BE1FDC"/>
    <w:rsid w:val="79FF2E17"/>
    <w:rsid w:val="7A3E31D9"/>
    <w:rsid w:val="7A698039"/>
    <w:rsid w:val="7A733C05"/>
    <w:rsid w:val="7AC81937"/>
    <w:rsid w:val="7B8C49F6"/>
    <w:rsid w:val="7C9B08B7"/>
    <w:rsid w:val="7D547DCF"/>
    <w:rsid w:val="7E2DED71"/>
    <w:rsid w:val="7E4D709D"/>
    <w:rsid w:val="7E5301BC"/>
    <w:rsid w:val="7F223D8E"/>
    <w:rsid w:val="7F40CF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F880D"/>
  <w15:chartTrackingRefBased/>
  <w15:docId w15:val="{0E9E9F9A-342B-43F0-818F-EAE8E8D7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3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2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2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2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2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3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2B0"/>
    <w:rPr>
      <w:rFonts w:eastAsiaTheme="majorEastAsia" w:cstheme="majorBidi"/>
      <w:color w:val="272727" w:themeColor="text1" w:themeTint="D8"/>
    </w:rPr>
  </w:style>
  <w:style w:type="paragraph" w:styleId="Title">
    <w:name w:val="Title"/>
    <w:basedOn w:val="Normal"/>
    <w:next w:val="Normal"/>
    <w:link w:val="TitleChar"/>
    <w:uiPriority w:val="10"/>
    <w:qFormat/>
    <w:rsid w:val="00B23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2B0"/>
    <w:pPr>
      <w:spacing w:before="160"/>
      <w:jc w:val="center"/>
    </w:pPr>
    <w:rPr>
      <w:i/>
      <w:iCs/>
      <w:color w:val="404040" w:themeColor="text1" w:themeTint="BF"/>
    </w:rPr>
  </w:style>
  <w:style w:type="character" w:customStyle="1" w:styleId="QuoteChar">
    <w:name w:val="Quote Char"/>
    <w:basedOn w:val="DefaultParagraphFont"/>
    <w:link w:val="Quote"/>
    <w:uiPriority w:val="29"/>
    <w:rsid w:val="00B232B0"/>
    <w:rPr>
      <w:i/>
      <w:iCs/>
      <w:color w:val="404040" w:themeColor="text1" w:themeTint="BF"/>
    </w:rPr>
  </w:style>
  <w:style w:type="paragraph" w:styleId="ListParagraph">
    <w:name w:val="List Paragraph"/>
    <w:basedOn w:val="Normal"/>
    <w:uiPriority w:val="34"/>
    <w:qFormat/>
    <w:rsid w:val="00B232B0"/>
    <w:pPr>
      <w:ind w:left="720"/>
      <w:contextualSpacing/>
    </w:pPr>
  </w:style>
  <w:style w:type="character" w:styleId="IntenseEmphasis">
    <w:name w:val="Intense Emphasis"/>
    <w:basedOn w:val="DefaultParagraphFont"/>
    <w:uiPriority w:val="21"/>
    <w:qFormat/>
    <w:rsid w:val="00B232B0"/>
    <w:rPr>
      <w:i/>
      <w:iCs/>
      <w:color w:val="0F4761" w:themeColor="accent1" w:themeShade="BF"/>
    </w:rPr>
  </w:style>
  <w:style w:type="paragraph" w:styleId="IntenseQuote">
    <w:name w:val="Intense Quote"/>
    <w:basedOn w:val="Normal"/>
    <w:next w:val="Normal"/>
    <w:link w:val="IntenseQuoteChar"/>
    <w:uiPriority w:val="30"/>
    <w:qFormat/>
    <w:rsid w:val="00B23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2B0"/>
    <w:rPr>
      <w:i/>
      <w:iCs/>
      <w:color w:val="0F4761" w:themeColor="accent1" w:themeShade="BF"/>
    </w:rPr>
  </w:style>
  <w:style w:type="character" w:styleId="IntenseReference">
    <w:name w:val="Intense Reference"/>
    <w:basedOn w:val="DefaultParagraphFont"/>
    <w:uiPriority w:val="32"/>
    <w:qFormat/>
    <w:rsid w:val="00B232B0"/>
    <w:rPr>
      <w:b/>
      <w:bCs/>
      <w:smallCaps/>
      <w:color w:val="0F4761" w:themeColor="accent1" w:themeShade="BF"/>
      <w:spacing w:val="5"/>
    </w:rPr>
  </w:style>
  <w:style w:type="character" w:styleId="Hyperlink">
    <w:name w:val="Hyperlink"/>
    <w:basedOn w:val="DefaultParagraphFont"/>
    <w:uiPriority w:val="99"/>
    <w:unhideWhenUsed/>
    <w:rsid w:val="00CE70BF"/>
    <w:rPr>
      <w:color w:val="467886" w:themeColor="hyperlink"/>
      <w:u w:val="single"/>
    </w:rPr>
  </w:style>
  <w:style w:type="character" w:styleId="UnresolvedMention">
    <w:name w:val="Unresolved Mention"/>
    <w:basedOn w:val="DefaultParagraphFont"/>
    <w:uiPriority w:val="99"/>
    <w:semiHidden/>
    <w:unhideWhenUsed/>
    <w:rsid w:val="00CE70BF"/>
    <w:rPr>
      <w:color w:val="605E5C"/>
      <w:shd w:val="clear" w:color="auto" w:fill="E1DFDD"/>
    </w:rPr>
  </w:style>
  <w:style w:type="table" w:styleId="TableGrid">
    <w:name w:val="Table Grid"/>
    <w:basedOn w:val="TableNormal"/>
    <w:uiPriority w:val="39"/>
    <w:rsid w:val="00311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25892"/>
    <w:rPr>
      <w:sz w:val="16"/>
      <w:szCs w:val="16"/>
    </w:rPr>
  </w:style>
  <w:style w:type="paragraph" w:styleId="CommentText">
    <w:name w:val="annotation text"/>
    <w:basedOn w:val="Normal"/>
    <w:link w:val="CommentTextChar"/>
    <w:uiPriority w:val="99"/>
    <w:unhideWhenUsed/>
    <w:rsid w:val="00C25892"/>
    <w:pPr>
      <w:spacing w:line="240" w:lineRule="auto"/>
    </w:pPr>
    <w:rPr>
      <w:sz w:val="20"/>
      <w:szCs w:val="20"/>
    </w:rPr>
  </w:style>
  <w:style w:type="character" w:customStyle="1" w:styleId="CommentTextChar">
    <w:name w:val="Comment Text Char"/>
    <w:basedOn w:val="DefaultParagraphFont"/>
    <w:link w:val="CommentText"/>
    <w:uiPriority w:val="99"/>
    <w:rsid w:val="00C25892"/>
    <w:rPr>
      <w:sz w:val="20"/>
      <w:szCs w:val="20"/>
    </w:rPr>
  </w:style>
  <w:style w:type="paragraph" w:styleId="CommentSubject">
    <w:name w:val="annotation subject"/>
    <w:basedOn w:val="CommentText"/>
    <w:next w:val="CommentText"/>
    <w:link w:val="CommentSubjectChar"/>
    <w:uiPriority w:val="99"/>
    <w:semiHidden/>
    <w:unhideWhenUsed/>
    <w:rsid w:val="00C25892"/>
    <w:rPr>
      <w:b/>
      <w:bCs/>
    </w:rPr>
  </w:style>
  <w:style w:type="character" w:customStyle="1" w:styleId="CommentSubjectChar">
    <w:name w:val="Comment Subject Char"/>
    <w:basedOn w:val="CommentTextChar"/>
    <w:link w:val="CommentSubject"/>
    <w:uiPriority w:val="99"/>
    <w:semiHidden/>
    <w:rsid w:val="00C25892"/>
    <w:rPr>
      <w:b/>
      <w:bCs/>
      <w:sz w:val="20"/>
      <w:szCs w:val="20"/>
    </w:rPr>
  </w:style>
  <w:style w:type="paragraph" w:styleId="Revision">
    <w:name w:val="Revision"/>
    <w:hidden/>
    <w:uiPriority w:val="99"/>
    <w:semiHidden/>
    <w:rsid w:val="00A73EF2"/>
    <w:pPr>
      <w:spacing w:after="0" w:line="240" w:lineRule="auto"/>
    </w:pPr>
  </w:style>
  <w:style w:type="paragraph" w:styleId="FootnoteText">
    <w:name w:val="footnote text"/>
    <w:basedOn w:val="Normal"/>
    <w:link w:val="FootnoteTextChar"/>
    <w:uiPriority w:val="99"/>
    <w:semiHidden/>
    <w:unhideWhenUsed/>
    <w:rsid w:val="004F17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173D"/>
    <w:rPr>
      <w:sz w:val="20"/>
      <w:szCs w:val="20"/>
    </w:rPr>
  </w:style>
  <w:style w:type="character" w:styleId="FootnoteReference">
    <w:name w:val="footnote reference"/>
    <w:basedOn w:val="DefaultParagraphFont"/>
    <w:uiPriority w:val="99"/>
    <w:semiHidden/>
    <w:unhideWhenUsed/>
    <w:rsid w:val="004F173D"/>
    <w:rPr>
      <w:vertAlign w:val="superscript"/>
    </w:rPr>
  </w:style>
  <w:style w:type="paragraph" w:styleId="Header">
    <w:name w:val="header"/>
    <w:basedOn w:val="Normal"/>
    <w:link w:val="HeaderChar"/>
    <w:uiPriority w:val="99"/>
    <w:semiHidden/>
    <w:unhideWhenUsed/>
    <w:rsid w:val="00374E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4E5B"/>
  </w:style>
  <w:style w:type="paragraph" w:styleId="Footer">
    <w:name w:val="footer"/>
    <w:basedOn w:val="Normal"/>
    <w:link w:val="FooterChar"/>
    <w:uiPriority w:val="99"/>
    <w:semiHidden/>
    <w:unhideWhenUsed/>
    <w:rsid w:val="00374E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4E5B"/>
  </w:style>
  <w:style w:type="character" w:styleId="Mention">
    <w:name w:val="Mention"/>
    <w:basedOn w:val="DefaultParagraphFont"/>
    <w:uiPriority w:val="99"/>
    <w:unhideWhenUsed/>
    <w:rsid w:val="00DA12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blic.Advisor@cpuc.ca.gov" TargetMode="External"/><Relationship Id="rId5" Type="http://schemas.openxmlformats.org/officeDocument/2006/relationships/styles" Target="styles.xml"/><Relationship Id="rId10" Type="http://schemas.openxmlformats.org/officeDocument/2006/relationships/hyperlink" Target="file:///C:/Users/jkw/AppData/Local/Microsoft/Windows/INetCache/Content.Outlook/BSCA8SJF/apps.cpuc.ca.gov/c/AXXXXXXX"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12F91F3B1E54384D717647B243C76" ma:contentTypeVersion="22" ma:contentTypeDescription="Create a new document." ma:contentTypeScope="" ma:versionID="f2210e6aa3803ece68d01afd17870fdf">
  <xsd:schema xmlns:xsd="http://www.w3.org/2001/XMLSchema" xmlns:xs="http://www.w3.org/2001/XMLSchema" xmlns:p="http://schemas.microsoft.com/office/2006/metadata/properties" xmlns:ns1="http://schemas.microsoft.com/sharepoint/v3" xmlns:ns2="66e8ffee-413a-4321-934f-9d2588dbcb17" xmlns:ns3="http://schemas.microsoft.com/sharepoint/v3/fields" xmlns:ns4="f7d0d543-5bbc-4586-ab0e-1c8391228024" targetNamespace="http://schemas.microsoft.com/office/2006/metadata/properties" ma:root="true" ma:fieldsID="18762fea852c267fffb0fe95c60f2f4a" ns1:_="" ns2:_="" ns3:_="" ns4:_="">
    <xsd:import namespace="http://schemas.microsoft.com/sharepoint/v3"/>
    <xsd:import namespace="66e8ffee-413a-4321-934f-9d2588dbcb17"/>
    <xsd:import namespace="http://schemas.microsoft.com/sharepoint/v3/fields"/>
    <xsd:import namespace="f7d0d543-5bbc-4586-ab0e-1c8391228024"/>
    <xsd:element name="properties">
      <xsd:complexType>
        <xsd:sequence>
          <xsd:element name="documentManagement">
            <xsd:complexType>
              <xsd:all>
                <xsd:element ref="ns1:AssignedTo" minOccurs="0"/>
                <xsd:element ref="ns3:TaskDueDate" minOccurs="0"/>
                <xsd:element ref="ns3:_Status" minOccurs="0"/>
                <xsd:element ref="ns2:_Flow_SignoffStatus" minOccurs="0"/>
                <xsd:element ref="ns2:ProposedSchedule" minOccurs="0"/>
                <xsd:element ref="ns2:MediaServiceMetadata" minOccurs="0"/>
                <xsd:element ref="ns2:MediaServiceFastMetadata" minOccurs="0"/>
                <xsd:element ref="ns4:SharedWithUsers" minOccurs="0"/>
                <xsd:element ref="ns4: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Not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e8ffee-413a-4321-934f-9d2588dbcb17" elementFormDefault="qualified">
    <xsd:import namespace="http://schemas.microsoft.com/office/2006/documentManagement/types"/>
    <xsd:import namespace="http://schemas.microsoft.com/office/infopath/2007/PartnerControls"/>
    <xsd:element name="_Flow_SignoffStatus" ma:index="6" nillable="true" ma:displayName="Sign-off status" ma:internalName="Sign_x002d_off_x0020_status">
      <xsd:simpleType>
        <xsd:restriction base="dms:Text"/>
      </xsd:simpleType>
    </xsd:element>
    <xsd:element name="ProposedSchedule" ma:index="7" nillable="true" ma:displayName="Proposed Schedule" ma:format="Thumbnail" ma:internalName="ProposedSchedule">
      <xsd:simpleType>
        <xsd:restriction base="dms:Unknow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TaskDueDate" ma:index="4" nillable="true" ma:displayName="Due Date" ma:format="DateOnly" ma:internalName="TaskDueDate">
      <xsd:simpleType>
        <xsd:restriction base="dms:DateTime"/>
      </xsd:simpleType>
    </xsd:element>
    <xsd:element name="_Status" ma:index="5" nillable="true" ma:displayName="Status" ma:default="Not Started" ma:format="Dropdown" ma:internalName="_Status">
      <xsd:simpleType>
        <xsd:union memberTypes="dms:Text">
          <xsd:simpleType>
            <xsd:restriction base="dms:Choice">
              <xsd:enumeration value="Not Started"/>
              <xsd:enumeration value="Program/Marketing Advisor Editing"/>
              <xsd:enumeration value="At Policy Advisor Review"/>
              <xsd:enumeration value="At Program/Policy Supervisor Review"/>
              <xsd:enumeration value="At Program/Policy Manager Review"/>
              <xsd:enumeration value="At Legal/Regulatory Review"/>
              <xsd:enumeration value="Filed"/>
              <xsd:enumeration value="Complete"/>
              <xsd:enumeration value="Data Tables Program/Policy Supervisor Review"/>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7d0d543-5bbc-4586-ab0e-1c83912280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bf74ecd-d7b6-43a6-a643-8ae2ae5f4afa}" ma:internalName="TaxCatchAll" ma:showField="CatchAllData" ma:web="f7d0d543-5bbc-4586-ab0e-1c8391228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e8ffee-413a-4321-934f-9d2588dbcb17">
      <Terms xmlns="http://schemas.microsoft.com/office/infopath/2007/PartnerControls"/>
    </lcf76f155ced4ddcb4097134ff3c332f>
    <TaxCatchAll xmlns="f7d0d543-5bbc-4586-ab0e-1c8391228024" xsi:nil="true"/>
    <_Flow_SignoffStatus xmlns="66e8ffee-413a-4321-934f-9d2588dbcb17" xsi:nil="true"/>
    <AssignedTo xmlns="http://schemas.microsoft.com/sharepoint/v3">
      <UserInfo>
        <DisplayName/>
        <AccountId xsi:nil="true"/>
        <AccountType/>
      </UserInfo>
    </AssignedTo>
    <TaskDueDate xmlns="http://schemas.microsoft.com/sharepoint/v3/fields" xsi:nil="true"/>
    <_Status xmlns="http://schemas.microsoft.com/sharepoint/v3/fields">Not Started</_Status>
    <ProposedSchedule xmlns="66e8ffee-413a-4321-934f-9d2588dbcb17" xsi:nil="true"/>
    <Notes xmlns="66e8ffee-413a-4321-934f-9d2588dbcb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64799-4F39-4EA1-B29A-CA0DCA5FAD5E}">
  <ds:schemaRefs>
    <ds:schemaRef ds:uri="http://schemas.microsoft.com/sharepoint/v3/contenttype/forms"/>
  </ds:schemaRefs>
</ds:datastoreItem>
</file>

<file path=customXml/itemProps2.xml><?xml version="1.0" encoding="utf-8"?>
<ds:datastoreItem xmlns:ds="http://schemas.openxmlformats.org/officeDocument/2006/customXml" ds:itemID="{468B4261-2CDD-4E77-BE1B-F5E762A3E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8ffee-413a-4321-934f-9d2588dbcb17"/>
    <ds:schemaRef ds:uri="http://schemas.microsoft.com/sharepoint/v3/fields"/>
    <ds:schemaRef ds:uri="f7d0d543-5bbc-4586-ab0e-1c8391228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C8AC5F-9D85-4662-BB8F-D9A94ACA7A8E}">
  <ds:schemaRefs>
    <ds:schemaRef ds:uri="http://schemas.microsoft.com/office/2006/metadata/properties"/>
    <ds:schemaRef ds:uri="http://schemas.microsoft.com/office/infopath/2007/PartnerControls"/>
    <ds:schemaRef ds:uri="66e8ffee-413a-4321-934f-9d2588dbcb17"/>
    <ds:schemaRef ds:uri="f7d0d543-5bbc-4586-ab0e-1c8391228024"/>
    <ds:schemaRef ds:uri="http://schemas.microsoft.com/sharepoint/v3"/>
    <ds:schemaRef ds:uri="http://schemas.microsoft.com/sharepoint/v3/fields"/>
  </ds:schemaRefs>
</ds:datastoreItem>
</file>

<file path=customXml/itemProps4.xml><?xml version="1.0" encoding="utf-8"?>
<ds:datastoreItem xmlns:ds="http://schemas.openxmlformats.org/officeDocument/2006/customXml" ds:itemID="{7DBEC3B2-94E1-4A9A-85F8-698CF1A7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543</Words>
  <Characters>2997</Characters>
  <Application>Microsoft Office Word</Application>
  <DocSecurity>0</DocSecurity>
  <Lines>99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Eric</dc:creator>
  <cp:keywords/>
  <dc:description/>
  <cp:lastModifiedBy>Rogelio Camacho</cp:lastModifiedBy>
  <cp:revision>2</cp:revision>
  <cp:lastPrinted>2026-03-18T16:52:00Z</cp:lastPrinted>
  <dcterms:created xsi:type="dcterms:W3CDTF">2026-03-23T00:35:00Z</dcterms:created>
  <dcterms:modified xsi:type="dcterms:W3CDTF">2026-03-23T00:35:00Z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0x01010029D12F91F3B1E54384D717647B243C76</vt:lpwstr>
  </property>
  <property fmtid="{D5CDD505-2E9C-101B-9397-08002B2CF9AE}" pid="3" name="MediaServiceImageTags">
    <vt:lpwstr/>
  </property>
  <property fmtid="{D5CDD505-2E9C-101B-9397-08002B2CF9AE}" pid="4" name="docLang">
    <vt:lpwstr>en</vt:lpwstr>
  </property>
</Properties>
</file>