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D240" w14:textId="77777777" w:rsidR="000A3282" w:rsidRPr="00986BF2" w:rsidRDefault="000A3282" w:rsidP="000A328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</w:pPr>
    </w:p>
    <w:p w14:paraId="6DEFE025" w14:textId="0B327938" w:rsidR="000A3282" w:rsidRPr="00986BF2" w:rsidRDefault="000A3282" w:rsidP="000A328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 xml:space="preserve">Para más información sobre esta reunión pública, y cómo este cambio impactará su factura, llame al </w:t>
      </w:r>
      <w:r w:rsidRPr="00986BF2">
        <w:rPr>
          <w:rFonts w:ascii="Times New Roman" w:hAnsi="Times New Roman" w:cs="Times New Roman"/>
          <w:b/>
          <w:sz w:val="24"/>
          <w:szCs w:val="24"/>
          <w:lang w:val="es-ES_tradnl"/>
        </w:rPr>
        <w:t>1-800-311-7343</w:t>
      </w:r>
    </w:p>
    <w:p w14:paraId="0006253B" w14:textId="77777777" w:rsidR="008B664E" w:rsidRPr="00986BF2" w:rsidRDefault="008B664E" w:rsidP="008B66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132D7FA" w14:textId="3F8D9A60" w:rsidR="00DD252D" w:rsidRPr="00986BF2" w:rsidRDefault="00B16E7D" w:rsidP="008B66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AVISO DE FORO PÚBLICO</w:t>
      </w:r>
    </w:p>
    <w:p w14:paraId="6A196B38" w14:textId="052DE672" w:rsidR="2EBE90CF" w:rsidRPr="00986BF2" w:rsidRDefault="000B3A6E" w:rsidP="008B66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(</w:t>
      </w:r>
      <w:r w:rsidR="00633873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Audiencia de </w:t>
      </w:r>
      <w:r w:rsidR="007E115B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Participación Pública</w:t>
      </w: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)</w:t>
      </w:r>
    </w:p>
    <w:p w14:paraId="5C51E077" w14:textId="24AC81F9" w:rsidR="2EBE90CF" w:rsidRPr="00986BF2" w:rsidRDefault="00465D99" w:rsidP="00465D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bookmarkStart w:id="0" w:name="_Hlk40950256"/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Solicitud conjunta de San Diego Gas and Electric Company y </w:t>
      </w:r>
      <w:proofErr w:type="spellStart"/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Southern</w:t>
      </w:r>
      <w:proofErr w:type="spellEnd"/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California Edison Company para el procedimiento trienal sobre los </w:t>
      </w:r>
      <w:r w:rsidR="002A0326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stos de desmantelamiento nuclear 2024</w:t>
      </w:r>
    </w:p>
    <w:bookmarkEnd w:id="0"/>
    <w:p w14:paraId="1C06ECDC" w14:textId="3F831499" w:rsidR="2EBE90CF" w:rsidRPr="00986BF2" w:rsidRDefault="00465D99" w:rsidP="008B66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SOLICITUD NÚM. </w:t>
      </w:r>
      <w:r w:rsidR="00DD252D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A.2</w:t>
      </w:r>
      <w:r w:rsidR="00A236B3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4</w:t>
      </w:r>
      <w:r w:rsidR="00DD252D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A236B3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1</w:t>
      </w:r>
      <w:r w:rsidR="00DD252D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2-0</w:t>
      </w:r>
      <w:r w:rsidR="00A236B3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03</w:t>
      </w:r>
    </w:p>
    <w:p w14:paraId="554D3D5F" w14:textId="1360AF3A" w:rsidR="36CA3CC7" w:rsidRPr="00986BF2" w:rsidRDefault="36CA3CC7" w:rsidP="008B66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038B371C" w14:textId="61B6D1B9" w:rsidR="0A749CF5" w:rsidRPr="00986BF2" w:rsidRDefault="000766D8" w:rsidP="008B664E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bookmarkStart w:id="1" w:name="_Hlk40949614"/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¿Cómo puedo participar?</w:t>
      </w:r>
      <w:r w:rsidR="0A749CF5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4E49065E" w14:textId="24052A91" w:rsidR="0A749CF5" w:rsidRPr="00986BF2" w:rsidRDefault="00B40A23" w:rsidP="008B664E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bookmarkStart w:id="2" w:name="_Hlk196114882"/>
      <w:bookmarkEnd w:id="1"/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San Diego Gas &amp; Electric Company (SDG&amp;E), </w:t>
      </w:r>
      <w:proofErr w:type="spellStart"/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Southern</w:t>
      </w:r>
      <w:proofErr w:type="spellEnd"/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California Edison Company (SCE) y la Comisión de Servicios Públicos de California (CPUC) desean conocer su opinión. Le invitamos a participar en un </w:t>
      </w:r>
      <w:r w:rsidR="00354069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Foro Público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, también denominado Audiencia de Participación Pública (PPH), sobre la solicitud conjunta de SDG&amp;E y SCE para el Procedimiento Trienal de </w:t>
      </w:r>
      <w:r w:rsidR="00354069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stos de Desmantelamiento Nuclear 2024.</w:t>
      </w:r>
    </w:p>
    <w:p w14:paraId="4355E7E0" w14:textId="77777777" w:rsidR="008B664E" w:rsidRPr="00986BF2" w:rsidRDefault="008B664E" w:rsidP="008B664E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4375DB5C" w14:textId="3D42F1A5" w:rsidR="00A77794" w:rsidRPr="00986BF2" w:rsidRDefault="004C209A" w:rsidP="008B664E">
      <w:pPr>
        <w:pStyle w:val="xmsonormal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bookmarkStart w:id="3" w:name="_Hlk45721594"/>
      <w:bookmarkStart w:id="4" w:name="_Hlk40949709"/>
      <w:bookmarkStart w:id="5" w:name="_Hlk40949734"/>
      <w:r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Estos Foros Públicos </w:t>
      </w:r>
      <w:r w:rsidR="0078683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son</w:t>
      </w:r>
      <w:r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parte del procedimiento formal. Se documentarán y se </w:t>
      </w:r>
      <w:r w:rsidR="0078683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integrarán</w:t>
      </w:r>
      <w:r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en el registro </w:t>
      </w:r>
      <w:r w:rsidR="001B7F6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formal</w:t>
      </w:r>
      <w:r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para que la CPUC pueda tomar una decisión fundamentada y sólida respecto de la solicitud conjunta de SDG&amp;E y SCE. En estas PPH, puede hacer comentarios y plantear sus inquietudes al Juez de Derecho Administrativo de la CPUC que supervisa esta solicitud.</w:t>
      </w:r>
      <w:bookmarkEnd w:id="3"/>
    </w:p>
    <w:bookmarkEnd w:id="2"/>
    <w:p w14:paraId="79498AD5" w14:textId="77777777" w:rsidR="00A77794" w:rsidRPr="00986BF2" w:rsidRDefault="00A77794" w:rsidP="008B664E">
      <w:pPr>
        <w:pStyle w:val="xmsonormal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bookmarkEnd w:id="4"/>
    <w:p w14:paraId="11BBB9BD" w14:textId="70C8A335" w:rsidR="000B0103" w:rsidRPr="00986BF2" w:rsidRDefault="00B10F60" w:rsidP="008B664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¿Dónde, cuándo y cómo se celebrarán estos </w:t>
      </w:r>
      <w:r w:rsidR="00DD60B1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Foros Públicos</w:t>
      </w: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?</w:t>
      </w:r>
      <w:r w:rsidR="4FA76A65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bookmarkEnd w:id="5"/>
    </w:p>
    <w:p w14:paraId="37B848D0" w14:textId="28053368" w:rsidR="00A31609" w:rsidRPr="00986BF2" w:rsidRDefault="00DC6D50" w:rsidP="00F3174F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Como parte de los esfuerzos continuos de la CPUC por proporcionar el mayor acceso posible, uno de los Foros Públicos se celebrará de forma remota y dos serán únicamente presenciales. </w:t>
      </w:r>
      <w:r w:rsidR="00935B45">
        <w:rPr>
          <w:rFonts w:ascii="Times New Roman" w:eastAsia="Calibri" w:hAnsi="Times New Roman" w:cs="Times New Roman"/>
          <w:sz w:val="24"/>
          <w:szCs w:val="24"/>
          <w:lang w:val="es-ES_tradnl"/>
        </w:rPr>
        <w:t>Tal vez asista un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Pr="003027E3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>qu</w:t>
      </w:r>
      <w:r w:rsidR="003027E3" w:rsidRPr="003027E3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>o</w:t>
      </w:r>
      <w:r w:rsidRPr="003027E3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>rum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comisionados, pero en estos foros no se tomarán decisiones ni se votará.</w:t>
      </w:r>
    </w:p>
    <w:p w14:paraId="00EBE2FA" w14:textId="77777777" w:rsidR="00140B36" w:rsidRPr="00986BF2" w:rsidRDefault="00140B36" w:rsidP="008B664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5125"/>
      </w:tblGrid>
      <w:tr w:rsidR="000F210A" w:rsidRPr="00986BF2" w14:paraId="350DDAE5" w14:textId="77777777" w:rsidTr="002D3632">
        <w:trPr>
          <w:jc w:val="center"/>
        </w:trPr>
        <w:tc>
          <w:tcPr>
            <w:tcW w:w="2700" w:type="dxa"/>
          </w:tcPr>
          <w:p w14:paraId="08E757E7" w14:textId="0A333B2C" w:rsidR="000F210A" w:rsidRPr="00986BF2" w:rsidRDefault="00DC6D50" w:rsidP="008B66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FECHA Y HORA</w:t>
            </w:r>
          </w:p>
        </w:tc>
        <w:tc>
          <w:tcPr>
            <w:tcW w:w="5125" w:type="dxa"/>
          </w:tcPr>
          <w:p w14:paraId="2E23F8D5" w14:textId="5266931D" w:rsidR="000F210A" w:rsidRPr="00986BF2" w:rsidRDefault="00E1176E" w:rsidP="008B66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DETALLES</w:t>
            </w:r>
          </w:p>
        </w:tc>
      </w:tr>
      <w:tr w:rsidR="000F210A" w:rsidRPr="00986BF2" w14:paraId="4330978F" w14:textId="77777777" w:rsidTr="00521E45">
        <w:trPr>
          <w:trHeight w:val="962"/>
          <w:jc w:val="center"/>
        </w:trPr>
        <w:tc>
          <w:tcPr>
            <w:tcW w:w="2700" w:type="dxa"/>
          </w:tcPr>
          <w:p w14:paraId="17E2DA25" w14:textId="53435957" w:rsidR="000F210A" w:rsidRPr="00986BF2" w:rsidRDefault="00DC6D50" w:rsidP="00D42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16 de julio de 2025</w:t>
            </w:r>
            <w:r w:rsidR="00285ACC"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br/>
            </w:r>
            <w:r w:rsidR="00DE3FE7"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2:00 </w:t>
            </w:r>
            <w:r w:rsidR="00285ACC"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p.m.</w:t>
            </w:r>
          </w:p>
          <w:p w14:paraId="6F936306" w14:textId="09DECC7F" w:rsidR="00DE3FE7" w:rsidRPr="00986BF2" w:rsidRDefault="00DE3FE7" w:rsidP="00D42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</w:t>
            </w:r>
            <w:r w:rsidR="00E1176E"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PPH REMOTA ÚNICAMENTE</w:t>
            </w: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5125" w:type="dxa"/>
          </w:tcPr>
          <w:p w14:paraId="7093561C" w14:textId="3C28F14B" w:rsidR="0048124B" w:rsidRPr="00986BF2" w:rsidRDefault="00E1176E" w:rsidP="009D0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Transmisión por internet</w:t>
            </w:r>
            <w:r w:rsidR="0048124B"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: </w:t>
            </w:r>
            <w:hyperlink r:id="rId13" w:history="1">
              <w:r w:rsidR="0048124B" w:rsidRPr="00986BF2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es-ES_tradnl"/>
                </w:rPr>
                <w:t>www.adminmonitor.com/ca/cpuc</w:t>
              </w:r>
            </w:hyperlink>
          </w:p>
          <w:p w14:paraId="0132BA1F" w14:textId="70DFDB4D" w:rsidR="00F2768D" w:rsidRPr="00986BF2" w:rsidRDefault="00E1176E" w:rsidP="009D0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Número de teléfono</w:t>
            </w:r>
            <w:r w:rsidR="00E73189"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: 800-857-1917</w:t>
            </w:r>
          </w:p>
          <w:p w14:paraId="044AC33C" w14:textId="5892897A" w:rsidR="00984E30" w:rsidRPr="00986BF2" w:rsidRDefault="00E1176E" w:rsidP="009D0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Contraseña</w:t>
            </w:r>
            <w:r w:rsidR="00F2768D"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: </w:t>
            </w:r>
            <w:r w:rsidR="00F3174F"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6032788#</w:t>
            </w:r>
          </w:p>
        </w:tc>
      </w:tr>
    </w:tbl>
    <w:p w14:paraId="4C53B12C" w14:textId="77777777" w:rsidR="00BA50ED" w:rsidRPr="00986BF2" w:rsidRDefault="00BA50ED" w:rsidP="008B6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1D6B667" w14:textId="622082A4" w:rsidR="00DE3FE7" w:rsidRPr="00986BF2" w:rsidRDefault="004924BF" w:rsidP="00DE3F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La PPH del 16 de julio de 2025 se celebrará de forma virtual, lo que significa que puede escucharla o participar por internet o por teléfono utilizando los datos de acceso indicados arriba.</w:t>
      </w:r>
      <w:r w:rsidR="00DE3FE7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35207EA3" w14:textId="77777777" w:rsidR="00DE3FE7" w:rsidRPr="00986BF2" w:rsidRDefault="00DE3FE7" w:rsidP="00DE3F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</w:pPr>
    </w:p>
    <w:p w14:paraId="7A1E8911" w14:textId="4DD33668" w:rsidR="36CA3CC7" w:rsidRPr="00986BF2" w:rsidRDefault="003E345A" w:rsidP="00DE3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_tradnl"/>
        </w:rPr>
        <w:t>Tenga en cuenta lo siguiente</w:t>
      </w:r>
      <w:r w:rsidR="00DE3FE7" w:rsidRPr="00986B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_tradnl"/>
        </w:rPr>
        <w:t xml:space="preserve">: </w:t>
      </w:r>
      <w:r w:rsidR="00BE15D5" w:rsidRPr="00986BF2">
        <w:rPr>
          <w:rFonts w:ascii="Times New Roman" w:eastAsia="Calibri" w:hAnsi="Times New Roman" w:cs="Times New Roman"/>
          <w:color w:val="000000"/>
          <w:sz w:val="24"/>
          <w:szCs w:val="24"/>
          <w:lang w:val="es-ES_tradnl"/>
        </w:rPr>
        <w:t>Si desea hacer un comentario público, participe por teléfono usando el número de teléfono que aparece arriba. Después de llamar e introducir la contraseña indicada, pulse *1, active el micrófono de su teléfono y grabe su nombre cuando se le solicite. Se le pondrá en cola en el orden en que haya llamado.</w:t>
      </w:r>
    </w:p>
    <w:p w14:paraId="079E0967" w14:textId="4A1377C8" w:rsidR="00BE15D5" w:rsidRPr="00986BF2" w:rsidRDefault="00BE15D5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sz w:val="24"/>
          <w:szCs w:val="24"/>
          <w:lang w:val="es-ES_tradnl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5125"/>
      </w:tblGrid>
      <w:tr w:rsidR="003E345A" w:rsidRPr="00986BF2" w14:paraId="73F461B1" w14:textId="77777777" w:rsidTr="004D1672">
        <w:trPr>
          <w:jc w:val="center"/>
        </w:trPr>
        <w:tc>
          <w:tcPr>
            <w:tcW w:w="2700" w:type="dxa"/>
          </w:tcPr>
          <w:p w14:paraId="58D80C97" w14:textId="6F6DECCA" w:rsidR="003E345A" w:rsidRPr="00986BF2" w:rsidRDefault="003E345A" w:rsidP="003E345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lastRenderedPageBreak/>
              <w:t>FECHA Y HORA</w:t>
            </w:r>
          </w:p>
        </w:tc>
        <w:tc>
          <w:tcPr>
            <w:tcW w:w="5125" w:type="dxa"/>
          </w:tcPr>
          <w:p w14:paraId="7367E620" w14:textId="1E41EDA3" w:rsidR="003E345A" w:rsidRPr="00986BF2" w:rsidRDefault="003E345A" w:rsidP="003E345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DETALLES</w:t>
            </w:r>
          </w:p>
        </w:tc>
      </w:tr>
      <w:tr w:rsidR="00CD1CD7" w:rsidRPr="00986BF2" w14:paraId="25ED73B3" w14:textId="77777777" w:rsidTr="004D1672">
        <w:trPr>
          <w:jc w:val="center"/>
        </w:trPr>
        <w:tc>
          <w:tcPr>
            <w:tcW w:w="2700" w:type="dxa"/>
          </w:tcPr>
          <w:p w14:paraId="0154BE1D" w14:textId="6A78D472" w:rsidR="00CD1CD7" w:rsidRPr="00986BF2" w:rsidRDefault="00C531C0" w:rsidP="004D16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17 de julio de 2025</w:t>
            </w:r>
            <w:r w:rsidR="00CD1CD7"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br/>
              <w:t xml:space="preserve">2:00 p.m. </w:t>
            </w: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y</w:t>
            </w:r>
            <w:r w:rsidR="00CD1CD7"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 6:00 p.m.</w:t>
            </w:r>
          </w:p>
          <w:p w14:paraId="2B0E06EC" w14:textId="6C1FB01F" w:rsidR="00CD1CD7" w:rsidRPr="00986BF2" w:rsidRDefault="00CD1CD7" w:rsidP="004D16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</w:t>
            </w:r>
            <w:r w:rsidR="00C531C0"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PPH PRESENCIAL ÚNICAMENTE</w:t>
            </w: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5125" w:type="dxa"/>
          </w:tcPr>
          <w:p w14:paraId="698A5DF7" w14:textId="77777777" w:rsidR="00F3174F" w:rsidRPr="00986BF2" w:rsidRDefault="00F3174F" w:rsidP="00F3174F">
            <w:pP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San Clemente City Hall</w:t>
            </w:r>
          </w:p>
          <w:p w14:paraId="7C43B8B3" w14:textId="400C0ED0" w:rsidR="00F3174F" w:rsidRPr="00986BF2" w:rsidRDefault="00F3174F" w:rsidP="00F3174F">
            <w:pP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Council Chambers</w:t>
            </w:r>
          </w:p>
          <w:p w14:paraId="4D11A16A" w14:textId="77777777" w:rsidR="00F3174F" w:rsidRPr="00986BF2" w:rsidRDefault="00F3174F" w:rsidP="00F3174F">
            <w:pP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910 </w:t>
            </w:r>
            <w:proofErr w:type="gramStart"/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Calle</w:t>
            </w:r>
            <w:proofErr w:type="gramEnd"/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 Negocio</w:t>
            </w:r>
          </w:p>
          <w:p w14:paraId="442DA3B0" w14:textId="386A390C" w:rsidR="00CD1CD7" w:rsidRPr="00986BF2" w:rsidRDefault="00F3174F" w:rsidP="00F3174F">
            <w:pP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986BF2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San Clemente, CA 92673</w:t>
            </w:r>
          </w:p>
        </w:tc>
      </w:tr>
    </w:tbl>
    <w:p w14:paraId="78A040FA" w14:textId="77777777" w:rsidR="00CD1CD7" w:rsidRPr="00986BF2" w:rsidRDefault="00CD1CD7" w:rsidP="008B664E">
      <w:pPr>
        <w:spacing w:after="0" w:line="240" w:lineRule="auto"/>
        <w:rPr>
          <w:lang w:val="es-ES_tradnl"/>
        </w:rPr>
      </w:pPr>
    </w:p>
    <w:p w14:paraId="47B81657" w14:textId="03B16A4E" w:rsidR="00CD1CD7" w:rsidRPr="00986BF2" w:rsidRDefault="00E55C53" w:rsidP="00CD1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El 17 de julio de 2025, las PPH solo se realizarán de forma presencial.</w:t>
      </w:r>
      <w:r w:rsidR="00CD1CD7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Si desea hacer un comentario público, </w:t>
      </w:r>
      <w:r w:rsidR="00D06F7D">
        <w:rPr>
          <w:rFonts w:ascii="Times New Roman" w:hAnsi="Times New Roman" w:cs="Times New Roman"/>
          <w:sz w:val="24"/>
          <w:szCs w:val="24"/>
          <w:lang w:val="es-ES_tradnl"/>
        </w:rPr>
        <w:t>regístrese</w:t>
      </w:r>
      <w:r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 en la mesa del Asesor Público.</w:t>
      </w:r>
    </w:p>
    <w:p w14:paraId="7C3DE4D0" w14:textId="77777777" w:rsidR="00CD1CD7" w:rsidRPr="00986BF2" w:rsidRDefault="00CD1CD7" w:rsidP="00CD1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B0352E5" w14:textId="08713AAA" w:rsidR="00CD1CD7" w:rsidRPr="00986BF2" w:rsidRDefault="00E55C53" w:rsidP="00CD1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Tenga en cuenta lo siguiente</w:t>
      </w:r>
      <w:r w:rsidR="00CD1CD7" w:rsidRPr="00986BF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:</w:t>
      </w:r>
      <w:r w:rsidR="00CD1CD7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441F9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El lugar es accesible conforme a la ley ADA. Si desea asistir y necesita arreglos especiales, comuníquese con la Oficina del Asesor Público de la CPUC utilizando la información de contacto que </w:t>
      </w:r>
      <w:r w:rsidR="00581A5F">
        <w:rPr>
          <w:rFonts w:ascii="Times New Roman" w:hAnsi="Times New Roman" w:cs="Times New Roman"/>
          <w:sz w:val="24"/>
          <w:szCs w:val="24"/>
          <w:lang w:val="es-ES_tradnl"/>
        </w:rPr>
        <w:t>se indica</w:t>
      </w:r>
      <w:r w:rsidR="00E441F9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 al final de este aviso, al menos cinco días hábiles antes del </w:t>
      </w:r>
      <w:r w:rsidR="00632801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Foro Público </w:t>
      </w:r>
      <w:r w:rsidR="00E441F9" w:rsidRPr="00986BF2">
        <w:rPr>
          <w:rFonts w:ascii="Times New Roman" w:hAnsi="Times New Roman" w:cs="Times New Roman"/>
          <w:sz w:val="24"/>
          <w:szCs w:val="24"/>
          <w:lang w:val="es-ES_tradnl"/>
        </w:rPr>
        <w:t>al que planea asistir.</w:t>
      </w:r>
    </w:p>
    <w:p w14:paraId="641D230B" w14:textId="77777777" w:rsidR="00CD1CD7" w:rsidRPr="00986BF2" w:rsidRDefault="00CD1CD7" w:rsidP="00CD1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1982C3A" w14:textId="221B49CE" w:rsidR="00CD1CD7" w:rsidRPr="00986BF2" w:rsidRDefault="00767CD3" w:rsidP="00CD1CD7">
      <w:pPr>
        <w:spacing w:after="0" w:line="240" w:lineRule="auto"/>
        <w:rPr>
          <w:lang w:val="es-ES_tradnl"/>
        </w:rPr>
      </w:pPr>
      <w:r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Si necesita intérprete en algún idioma para cualquiera de estas audiencias, comuníquese con la Oficina del Asesor Público de la CPUC utilizando la información de contacto que </w:t>
      </w:r>
      <w:r w:rsidR="00632801" w:rsidRPr="00632801">
        <w:rPr>
          <w:rFonts w:ascii="Times New Roman" w:hAnsi="Times New Roman" w:cs="Times New Roman"/>
          <w:sz w:val="24"/>
          <w:szCs w:val="24"/>
          <w:lang w:val="es-ES_tradnl"/>
        </w:rPr>
        <w:t xml:space="preserve">se indica </w:t>
      </w:r>
      <w:r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al final de este aviso, al menos cinco días hábiles antes del </w:t>
      </w:r>
      <w:r w:rsidR="00632801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Foro Público </w:t>
      </w:r>
      <w:r w:rsidRPr="00986BF2">
        <w:rPr>
          <w:rFonts w:ascii="Times New Roman" w:hAnsi="Times New Roman" w:cs="Times New Roman"/>
          <w:sz w:val="24"/>
          <w:szCs w:val="24"/>
          <w:lang w:val="es-ES_tradnl"/>
        </w:rPr>
        <w:t>al que desea asistir. Su participación, al compartir sus opiniones sobre la solicitud de SDG&amp;E y SCE, puede ayudar a la CPUC a tomar una decisión fundamentada.</w:t>
      </w:r>
    </w:p>
    <w:p w14:paraId="26BC5597" w14:textId="77777777" w:rsidR="00CD1CD7" w:rsidRPr="00986BF2" w:rsidRDefault="00CD1CD7" w:rsidP="008B664E">
      <w:pPr>
        <w:spacing w:after="0" w:line="240" w:lineRule="auto"/>
        <w:rPr>
          <w:lang w:val="es-ES_tradnl"/>
        </w:rPr>
      </w:pPr>
    </w:p>
    <w:p w14:paraId="383CC635" w14:textId="24388640" w:rsidR="76D4DE75" w:rsidRPr="00986BF2" w:rsidRDefault="000517ED" w:rsidP="008B664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¿Por qué estoy recibiendo este aviso?</w:t>
      </w:r>
      <w:r w:rsidR="76D4DE75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5D4A334A" w14:textId="3E14805F" w:rsidR="009A43E4" w:rsidRPr="00986BF2" w:rsidRDefault="00D92A9B" w:rsidP="0081436B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El 6 de diciembre de 2024, SDG&amp;E y SCE presentaron ante la CPUC su Solicitud Conjunta para el Procedimiento Trienal de Desmantelamiento Nuclear 2024 (A.24-12-003). En la solicitud conjunta, SDG&amp;E y SCE solicitan aprobaciones relacionadas con los </w:t>
      </w:r>
      <w:r w:rsidR="00D73111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stos del desmantelamiento de la Central Nuclear de San Onofre (SONGS). Además, SCE solicita aprobaciones relacionadas con los </w:t>
      </w:r>
      <w:r w:rsidR="00D73111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stos estimados del futuro desmantelamiento de la Central Nuclear de Palo Verde (PVNGS).</w:t>
      </w:r>
      <w:r w:rsidR="001838D1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 </w:t>
      </w:r>
    </w:p>
    <w:p w14:paraId="04A082B7" w14:textId="77777777" w:rsidR="00DC3BD1" w:rsidRPr="00986BF2" w:rsidRDefault="00DC3BD1" w:rsidP="0081436B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0AA3D9C5" w14:textId="4DEDF311" w:rsidR="00957C46" w:rsidRPr="00986BF2" w:rsidRDefault="00CF3423" w:rsidP="00957C46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SDG&amp;E y SCE solicitan conjuntamente a la CPUC que apruebe $5.07 millones para la Unidad 1 de SONGS y $518.6 millones para las Unidades 2 y 3 de SONGS. Estos </w:t>
      </w:r>
      <w:r w:rsidR="00604A04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stos registrados corresponden a proyectos de desmantelamiento completados entre 2021 y 2023.</w:t>
      </w:r>
      <w:r w:rsidR="00957C46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</w:p>
    <w:p w14:paraId="6E032B5F" w14:textId="77777777" w:rsidR="00957C46" w:rsidRPr="00986BF2" w:rsidRDefault="00957C46" w:rsidP="0081436B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496523AC" w14:textId="3263341A" w:rsidR="003D00AF" w:rsidRPr="00986BF2" w:rsidRDefault="008609D1" w:rsidP="0081436B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SDG&amp;E y SCE también solicitan que se aprueben las estimaciones de los </w:t>
      </w:r>
      <w:r w:rsidR="00AC3010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stos de desmantelamiento de $215.0 millones para la Unidad 1 de SONGS y de $4.709 mil millones para las Unidades 2 y 3 de SONGS.</w:t>
      </w:r>
      <w:r w:rsidR="001E53C9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 </w:t>
      </w:r>
      <w:r w:rsidR="003D00AF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</w:p>
    <w:p w14:paraId="5B7E83A0" w14:textId="3E051ECA" w:rsidR="008B664E" w:rsidRPr="00986BF2" w:rsidRDefault="008B664E" w:rsidP="008B664E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44B8BB3" w14:textId="7C3EA16A" w:rsidR="00785896" w:rsidRPr="00986BF2" w:rsidRDefault="00764513" w:rsidP="00764513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SDG&amp;E solicita individualmente a la CPUC que apruebe su parte de los </w:t>
      </w:r>
      <w:r w:rsidR="00291008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stos de desmantelamiento, estimados en $43.0 millones para la Unidad 1 de SONGS, $941.9 millones para las Unidades 2 y 3 de SONGS, y $18.6 millones de </w:t>
      </w:r>
      <w:r w:rsidR="00291008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stos exclusivos de SDG&amp;E para la SONGS 1 y la SONGS 2 y 3. </w:t>
      </w:r>
      <w:r w:rsidR="00F31277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SDG&amp;E no está </w:t>
      </w:r>
      <w:r w:rsidR="0044013D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pidiendo</w:t>
      </w:r>
      <w:r w:rsidR="00F31277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un aumento tarifario en esta solicitud.</w:t>
      </w:r>
    </w:p>
    <w:p w14:paraId="7710F151" w14:textId="77777777" w:rsidR="00785896" w:rsidRPr="00986BF2" w:rsidRDefault="00785896" w:rsidP="00BF33A3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9C2787C" w14:textId="0CD40C19" w:rsidR="00785896" w:rsidRPr="00986BF2" w:rsidRDefault="00D24FAB" w:rsidP="00785896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SDG&amp;E también solicita a la CPUC que apruebe $1 millón para la Unidad 1 de SONGS, $104.9 millones para las Unidades 2 y 3 de SONGS, y $3.1 millones en </w:t>
      </w:r>
      <w:r w:rsidR="00B12BAB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stos exclusivos de SDG&amp;E. 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lastRenderedPageBreak/>
        <w:t xml:space="preserve">Los </w:t>
      </w:r>
      <w:r w:rsidR="00B12BAB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stos de las Unidades 1, 2 y 3 se registraron para proyectos de desmantelamiento y</w:t>
      </w:r>
      <w:r w:rsidR="00E17DFF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se incurrió en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todos los </w:t>
      </w:r>
      <w:r w:rsidR="00C90F07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stos entre 2021 y 2023.</w:t>
      </w:r>
    </w:p>
    <w:p w14:paraId="7ED9CD6A" w14:textId="77777777" w:rsidR="00785896" w:rsidRPr="00986BF2" w:rsidRDefault="00785896" w:rsidP="00BF33A3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173BAEE3" w14:textId="4218CFCF" w:rsidR="00E427ED" w:rsidRPr="00986BF2" w:rsidRDefault="00EC5CF6" w:rsidP="00BF33A3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SCE solicita individualmente que se apruebe el </w:t>
      </w:r>
      <w:r w:rsidR="001654E1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sto estimado de desmantelamiento de $632.1 millones para las Unidades 1, 2 y 3 de PVNGS.</w:t>
      </w:r>
      <w:r w:rsidR="00897208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SCE </w:t>
      </w: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no está </w:t>
      </w:r>
      <w:r w:rsidR="0044013D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pidiendo</w:t>
      </w: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un aumento tarifario en esta solicitud.</w:t>
      </w:r>
    </w:p>
    <w:p w14:paraId="1A6C7331" w14:textId="77777777" w:rsidR="00BF33A3" w:rsidRPr="00986BF2" w:rsidRDefault="00BF33A3" w:rsidP="00BF33A3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BD4FECE" w14:textId="38CCA459" w:rsidR="76D4DE75" w:rsidRPr="00986BF2" w:rsidRDefault="00FF5138" w:rsidP="008B664E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¿Por qué SDG&amp;E y SCE presentaron la solicitud conjunta?</w:t>
      </w:r>
    </w:p>
    <w:p w14:paraId="53EB8BA7" w14:textId="23750127" w:rsidR="00496A97" w:rsidRPr="00986BF2" w:rsidRDefault="00D953F5" w:rsidP="008B664E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La CPUC exige a las empresas de servicios públicos que poseen instalaciones de generación nuclear que presenten solicitudes de procedimientos de </w:t>
      </w:r>
      <w:r w:rsidR="001654E1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stos de desmantelamiento nuclear cada tres años. El último procedimiento trienal de </w:t>
      </w:r>
      <w:r w:rsidR="001654E1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stos de desmantelamiento nuclear de SDG&amp;E y SCE se presentó en 2022.</w:t>
      </w:r>
      <w:r w:rsidR="004A7B59" w:rsidRPr="00986BF2">
        <w:rPr>
          <w:rStyle w:val="FootnoteReference"/>
          <w:rFonts w:ascii="Times New Roman" w:eastAsia="Calibri" w:hAnsi="Times New Roman" w:cs="Times New Roman"/>
          <w:sz w:val="24"/>
          <w:szCs w:val="24"/>
          <w:lang w:val="es-ES_tradnl"/>
        </w:rPr>
        <w:footnoteReference w:id="1"/>
      </w:r>
      <w:r w:rsidR="00C02D9B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 </w:t>
      </w:r>
    </w:p>
    <w:p w14:paraId="6CEFA95C" w14:textId="77777777" w:rsidR="008B664E" w:rsidRPr="00986BF2" w:rsidRDefault="008B664E" w:rsidP="008B664E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9B203AC" w14:textId="5F5CB2E9" w:rsidR="76D4DE75" w:rsidRPr="00986BF2" w:rsidRDefault="00D953F5" w:rsidP="008B664E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¿Cómo podría esto afectar mis tarifas eléctricas mensuales?</w:t>
      </w:r>
      <w:r w:rsidR="76D4DE75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59181B98" w14:textId="7325F2C7" w:rsidR="0049645E" w:rsidRPr="00986BF2" w:rsidRDefault="00063C94" w:rsidP="00FB6A07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SDG&amp;E no está solicitando ningún cambio en las tarifas eléctricas en este procedimiento.</w:t>
      </w:r>
    </w:p>
    <w:p w14:paraId="5434FD83" w14:textId="77777777" w:rsidR="00526CCA" w:rsidRPr="00986BF2" w:rsidRDefault="00526CCA" w:rsidP="008B664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3FA1AC9B" w14:textId="7E7FE92E" w:rsidR="76D4DE75" w:rsidRPr="00986BF2" w:rsidRDefault="00063C94" w:rsidP="008B664E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¿Cómo funciona el resto de este proceso?</w:t>
      </w:r>
    </w:p>
    <w:p w14:paraId="581A760F" w14:textId="5ABA0DBB" w:rsidR="00BE6651" w:rsidRPr="00986BF2" w:rsidRDefault="00333DFE" w:rsidP="00BE66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La presente solicitud se ha asignado a un Juez de Derecho Administrativo (ALJ) de la CPUC, quien considerará las propuestas y pruebas presentadas durante el proceso formal de las audiencias. El ALJ emitirá una propuesta de decisión que </w:t>
      </w:r>
      <w:r w:rsidR="009134FE" w:rsidRPr="001654E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tal vez adopte la solicitud de SDG&amp;E</w:t>
      </w:r>
      <w:r w:rsidR="009134FE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y SCE</w:t>
      </w:r>
      <w:r w:rsidR="00D822C7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, la modifique o la deniegue. Cualquier Comisionado de la CPUC puede proponer una decisión altern</w:t>
      </w:r>
      <w:r w:rsidR="008004AD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ativ</w:t>
      </w:r>
      <w:r w:rsidR="00D822C7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 con un resultado distinto. La decisión propuesta y cualquier decisión alterna</w:t>
      </w:r>
      <w:r w:rsidR="008004AD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tiva</w:t>
      </w:r>
      <w:r w:rsidR="00D822C7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serán sometidas a la discusión y votación de los Comisionados de la CPUC en una Reunión de Votación pública de la CPUC</w:t>
      </w:r>
      <w:r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  <w:r w:rsidR="00BE6651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</w:p>
    <w:p w14:paraId="0A301171" w14:textId="77777777" w:rsidR="00BE6651" w:rsidRPr="00986BF2" w:rsidRDefault="00BE6651" w:rsidP="00BE66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46A962A3" w14:textId="188B10F4" w:rsidR="00373183" w:rsidRPr="00986BF2" w:rsidRDefault="00373183" w:rsidP="00373183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Contact</w:t>
      </w:r>
      <w:r w:rsidR="00333DFE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e a la</w:t>
      </w: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CPUC</w:t>
      </w:r>
    </w:p>
    <w:p w14:paraId="7119D66B" w14:textId="7097D9CB" w:rsidR="00BE6651" w:rsidRPr="00986BF2" w:rsidRDefault="006B195E" w:rsidP="00BE66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Las partes en el procedimiento, entre las cuales se incluye la Oficina de Defensores Públicos, podrán examinar la solicitud de SDG&amp;E y </w:t>
      </w:r>
      <w:r w:rsidR="00785896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SCE</w:t>
      </w:r>
      <w:r w:rsidR="00BE6651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  <w:r w:rsidR="00221353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 Oficina de Defensores Públicos es un defensor independiente de los consumidores dentro de la CPUC que representa a los clientes para obtener la tarifa más baja posible por un servicio acorde con niveles de servicio confiables y seguros. Para obtener más información acerca de la Oficina de Defensores Públicos</w:t>
      </w:r>
      <w:r w:rsidR="00BE6651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, ll</w:t>
      </w:r>
      <w:r w:rsidR="00221353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ame al</w:t>
      </w:r>
      <w:r w:rsidR="00BE6651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1-415-703-1584, </w:t>
      </w:r>
      <w:r w:rsidR="00410F9A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envíe un mensaje de correo electrónico a </w:t>
      </w:r>
      <w:hyperlink r:id="rId14" w:history="1">
        <w:r w:rsidR="00BE6651" w:rsidRPr="00986BF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s-ES_tradnl"/>
          </w:rPr>
          <w:t>PublicAdvocatesOffice@cpuc.ca.gov</w:t>
        </w:r>
      </w:hyperlink>
      <w:r w:rsidR="00BE6651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o visit</w:t>
      </w:r>
      <w:r w:rsidR="00410F9A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</w:t>
      </w:r>
      <w:r w:rsidR="00BE6651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E6651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https://www.publicadvocates.cpuc.ca.gov/.</w:t>
      </w:r>
    </w:p>
    <w:p w14:paraId="0743B3D2" w14:textId="77777777" w:rsidR="00BE6651" w:rsidRPr="00986BF2" w:rsidRDefault="00BE6651" w:rsidP="00BE6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D7F365C" w14:textId="7DA4A2E8" w:rsidR="00373183" w:rsidRPr="00986BF2" w:rsidRDefault="00A4639B" w:rsidP="00373183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Visite </w:t>
      </w:r>
      <w:r w:rsidR="00373183" w:rsidRPr="00986BF2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apps.cpuc.ca.gov/c/A2412003</w:t>
      </w:r>
      <w:r w:rsidR="00373183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A44EEB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para enviar un comentario acerca de este procedimiento en la Ficha del Expediente de la CPUC. Aquí también puede ver documentos y otros comentarios públicos relacionados con este procedimiento. </w:t>
      </w:r>
      <w:r w:rsidR="00527521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Para obtener información adicional, incluida una hoja informativa y cualquier actualización sobre las audiencias, visite </w:t>
      </w:r>
      <w:r w:rsidR="00F3174F" w:rsidRPr="00986BF2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cpuc.ca.gov/</w:t>
      </w:r>
      <w:proofErr w:type="spellStart"/>
      <w:r w:rsidR="00F3174F" w:rsidRPr="00986BF2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pph</w:t>
      </w:r>
      <w:proofErr w:type="spellEnd"/>
      <w:r w:rsidR="00F3174F" w:rsidRPr="00986BF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017789C0" w14:textId="77777777" w:rsidR="00F3174F" w:rsidRPr="00986BF2" w:rsidRDefault="00F3174F" w:rsidP="00373183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04553AAC" w14:textId="27998D9E" w:rsidR="00373183" w:rsidRPr="00986BF2" w:rsidRDefault="00D02244" w:rsidP="003731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lastRenderedPageBreak/>
        <w:t>Si tiene preguntas acerca de los procesos de la CPUC, puede comunicarse a la Oficina del Asesor Público de la CPUC</w:t>
      </w:r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</w:p>
    <w:p w14:paraId="54B88464" w14:textId="52C45943" w:rsidR="00373183" w:rsidRPr="00986BF2" w:rsidRDefault="00D02244" w:rsidP="003731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Llamando al</w:t>
      </w:r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: 1-866-849-8390</w:t>
      </w:r>
      <w:r w:rsidR="00373183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(</w:t>
      </w:r>
      <w:r w:rsidR="00545EE8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sin costo) o al </w:t>
      </w:r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1-415-703-2074</w:t>
      </w:r>
    </w:p>
    <w:p w14:paraId="45BBDB1A" w14:textId="217A20DE" w:rsidR="00373183" w:rsidRPr="00986BF2" w:rsidRDefault="000F57FD" w:rsidP="003731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Enviando un mensaje de correo electrónico a</w:t>
      </w:r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  <w:r w:rsidR="00CD2CB6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hyperlink r:id="rId15" w:history="1">
        <w:r w:rsidR="00373183" w:rsidRPr="00986BF2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Public.Advisor@cpuc.ca.gov</w:t>
        </w:r>
      </w:hyperlink>
      <w:r w:rsidR="00373183" w:rsidRPr="00986BF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373183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52D14811" w14:textId="34275B75" w:rsidR="00373183" w:rsidRPr="00986BF2" w:rsidRDefault="000F57FD" w:rsidP="003731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Escribiendo a</w:t>
      </w:r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ab/>
        <w:t xml:space="preserve">CPUC </w:t>
      </w:r>
      <w:proofErr w:type="spellStart"/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Public</w:t>
      </w:r>
      <w:proofErr w:type="spellEnd"/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Advisor’s</w:t>
      </w:r>
      <w:proofErr w:type="spellEnd"/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Office</w:t>
      </w:r>
    </w:p>
    <w:p w14:paraId="41C682ED" w14:textId="77777777" w:rsidR="00373183" w:rsidRPr="00986BF2" w:rsidRDefault="00373183" w:rsidP="000F57F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505 </w:t>
      </w:r>
      <w:proofErr w:type="gramStart"/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Van</w:t>
      </w:r>
      <w:proofErr w:type="gramEnd"/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Ness Avenue</w:t>
      </w:r>
    </w:p>
    <w:p w14:paraId="77999443" w14:textId="77777777" w:rsidR="00373183" w:rsidRPr="00986BF2" w:rsidRDefault="00373183" w:rsidP="000F57F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San Francisco, CA 94102</w:t>
      </w:r>
    </w:p>
    <w:p w14:paraId="59D9CA32" w14:textId="77777777" w:rsidR="00373183" w:rsidRPr="00986BF2" w:rsidRDefault="00373183" w:rsidP="003731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132EC3BF" w14:textId="63B82035" w:rsidR="00373183" w:rsidRPr="00986BF2" w:rsidRDefault="003C101F" w:rsidP="003731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Por favor, haga referencia a la solicitud </w:t>
      </w:r>
      <w:r w:rsidR="009D77C3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SONGS </w:t>
      </w:r>
      <w:proofErr w:type="spellStart"/>
      <w:r w:rsidR="00373183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Application</w:t>
      </w:r>
      <w:proofErr w:type="spellEnd"/>
      <w:r w:rsidR="00373183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373183" w:rsidRPr="00986BF2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A.24-12-003</w:t>
      </w:r>
      <w:r w:rsidR="00373183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de SDG&amp;E </w:t>
      </w:r>
      <w:r w:rsidR="005B29F1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en cualesquiera comunicaciones que sostenga con la CPUC en relación con este asunto</w:t>
      </w:r>
      <w:r w:rsidR="00373183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1B46BB3C" w14:textId="77777777" w:rsidR="00373183" w:rsidRPr="00986BF2" w:rsidRDefault="00373183" w:rsidP="00BE6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3D004603" w14:textId="26A06CA9" w:rsidR="00CD244A" w:rsidRPr="00986BF2" w:rsidRDefault="007F64D2" w:rsidP="00BE6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¿Dónde puedo obtener más información</w:t>
      </w:r>
      <w:r w:rsidR="00BE6651" w:rsidRPr="00986BF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4B5636F6" w14:textId="2303F171" w:rsidR="00BE6651" w:rsidRPr="00986BF2" w:rsidRDefault="003F35B1" w:rsidP="00BE6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bookmarkStart w:id="6" w:name="_Hlk196145911"/>
      <w:r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Si tiene preguntas acerca de la solicitud conjunta o </w:t>
      </w:r>
      <w:r w:rsidR="00322969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la parte que corresponde a </w:t>
      </w:r>
      <w:r w:rsidR="008B4092" w:rsidRPr="00986BF2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009D77C3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322969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puede ponerse en </w:t>
      </w:r>
      <w:r w:rsidR="00373183" w:rsidRPr="00986BF2">
        <w:rPr>
          <w:rFonts w:ascii="Times New Roman" w:hAnsi="Times New Roman" w:cs="Times New Roman"/>
          <w:sz w:val="24"/>
          <w:szCs w:val="24"/>
          <w:lang w:val="es-ES_tradnl"/>
        </w:rPr>
        <w:t>contact</w:t>
      </w:r>
      <w:r w:rsidR="00322969" w:rsidRPr="00986BF2">
        <w:rPr>
          <w:rFonts w:ascii="Times New Roman" w:hAnsi="Times New Roman" w:cs="Times New Roman"/>
          <w:sz w:val="24"/>
          <w:szCs w:val="24"/>
          <w:lang w:val="es-ES_tradnl"/>
        </w:rPr>
        <w:t>o con</w:t>
      </w:r>
      <w:r w:rsidR="00373183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B4092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SDG&amp;E </w:t>
      </w:r>
      <w:r w:rsidR="00322969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utilizando los métodos que se indican a continuación. También puede </w:t>
      </w:r>
      <w:r w:rsidR="002E298C" w:rsidRPr="00986BF2">
        <w:rPr>
          <w:rFonts w:ascii="Times New Roman" w:hAnsi="Times New Roman" w:cs="Times New Roman"/>
          <w:sz w:val="24"/>
          <w:szCs w:val="24"/>
          <w:lang w:val="es-ES_tradnl"/>
        </w:rPr>
        <w:t>ponerse en contacto con</w:t>
      </w:r>
      <w:bookmarkEnd w:id="6"/>
      <w:r w:rsidR="0097255F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B4092" w:rsidRPr="00986BF2">
        <w:rPr>
          <w:rFonts w:ascii="Times New Roman" w:hAnsi="Times New Roman" w:cs="Times New Roman"/>
          <w:sz w:val="24"/>
          <w:szCs w:val="24"/>
          <w:lang w:val="es-ES_tradnl"/>
        </w:rPr>
        <w:t>SCE</w:t>
      </w:r>
      <w:r w:rsidR="00705492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E298C" w:rsidRPr="00986BF2">
        <w:rPr>
          <w:rFonts w:ascii="Times New Roman" w:hAnsi="Times New Roman" w:cs="Times New Roman"/>
          <w:sz w:val="24"/>
          <w:szCs w:val="24"/>
          <w:lang w:val="es-ES_tradnl"/>
        </w:rPr>
        <w:t>si tiene preguntas acerca de la parte de la solicitud conjunta que a ésta corresponde como se señala a continuación</w:t>
      </w:r>
      <w:r w:rsidR="0000401F" w:rsidRPr="00986BF2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7BAD8D08" w14:textId="77777777" w:rsidR="009D77C3" w:rsidRPr="00986BF2" w:rsidRDefault="009D77C3" w:rsidP="00BE6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bookmarkStart w:id="7" w:name="_Hlk196145955"/>
    </w:p>
    <w:bookmarkEnd w:id="7"/>
    <w:p w14:paraId="39DE6CA2" w14:textId="77777777" w:rsidR="00215212" w:rsidRPr="00986BF2" w:rsidRDefault="00215212" w:rsidP="00215212">
      <w:pPr>
        <w:pStyle w:val="paragraph"/>
        <w:spacing w:before="0" w:beforeAutospacing="0" w:after="0" w:afterAutospacing="0"/>
        <w:textAlignment w:val="baseline"/>
        <w:rPr>
          <w:lang w:val="es-ES_tradnl"/>
        </w:rPr>
      </w:pPr>
      <w:r w:rsidRPr="00986BF2">
        <w:rPr>
          <w:rStyle w:val="eop"/>
          <w:color w:val="881798"/>
          <w:lang w:val="es-ES_tradnl"/>
        </w:rPr>
        <w:t> </w:t>
      </w:r>
    </w:p>
    <w:p w14:paraId="50C49FE9" w14:textId="5FC2CFFB" w:rsidR="00D16E3A" w:rsidRPr="00986BF2" w:rsidRDefault="00D16E3A" w:rsidP="00D16E3A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Contact</w:t>
      </w:r>
      <w:r w:rsidR="00915076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e a</w:t>
      </w:r>
      <w:r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SDG&amp;E</w:t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</w:p>
    <w:p w14:paraId="22378B15" w14:textId="2AFF2732" w:rsidR="00D16E3A" w:rsidRPr="00986BF2" w:rsidRDefault="00915076" w:rsidP="00D16E3A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Enviando un mensaje de correo electrónico a</w:t>
      </w:r>
      <w:r w:rsidR="00D16E3A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: tmkirch2@sdge.com</w:t>
      </w:r>
    </w:p>
    <w:p w14:paraId="47DF6B83" w14:textId="7FC05752" w:rsidR="00D16E3A" w:rsidRPr="00986BF2" w:rsidRDefault="00915076" w:rsidP="00D16E3A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Escribiendo a:</w:t>
      </w:r>
      <w:r w:rsidR="00D16E3A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D16E3A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ab/>
        <w:t xml:space="preserve">Tyler Kirchhoff, </w:t>
      </w:r>
      <w:proofErr w:type="spellStart"/>
      <w:r w:rsidR="00D16E3A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Regulatory</w:t>
      </w:r>
      <w:proofErr w:type="spellEnd"/>
      <w:r w:rsidR="00D16E3A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Case Manager </w:t>
      </w:r>
      <w:proofErr w:type="spellStart"/>
      <w:r w:rsidR="00D16E3A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for</w:t>
      </w:r>
      <w:proofErr w:type="spellEnd"/>
      <w:r w:rsidR="00D16E3A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SDG&amp;E</w:t>
      </w:r>
    </w:p>
    <w:p w14:paraId="612C53FC" w14:textId="10E2D5EF" w:rsidR="00D16E3A" w:rsidRPr="00986BF2" w:rsidRDefault="00D16E3A" w:rsidP="00D16E3A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ab/>
      </w:r>
      <w:r w:rsidR="00915076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ab/>
      </w: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San Diego Gas &amp; Electric Company</w:t>
      </w:r>
    </w:p>
    <w:p w14:paraId="7C9ECAC0" w14:textId="77777777" w:rsidR="00D16E3A" w:rsidRPr="00986BF2" w:rsidRDefault="00D16E3A" w:rsidP="00915076">
      <w:pPr>
        <w:spacing w:after="0"/>
        <w:ind w:left="1440" w:firstLine="72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8330 Century Park </w:t>
      </w:r>
      <w:proofErr w:type="spellStart"/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Court</w:t>
      </w:r>
      <w:proofErr w:type="spellEnd"/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, CP31</w:t>
      </w:r>
    </w:p>
    <w:p w14:paraId="72D530A4" w14:textId="77777777" w:rsidR="00D16E3A" w:rsidRPr="00986BF2" w:rsidRDefault="00D16E3A" w:rsidP="00915076">
      <w:pPr>
        <w:spacing w:after="0"/>
        <w:ind w:left="1440" w:firstLine="72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San Diego, CA 92123</w:t>
      </w:r>
    </w:p>
    <w:p w14:paraId="18BAC748" w14:textId="28361D7D" w:rsidR="008B4092" w:rsidRPr="00986BF2" w:rsidRDefault="008B4092" w:rsidP="00215212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s-ES_tradnl"/>
        </w:rPr>
      </w:pPr>
    </w:p>
    <w:p w14:paraId="6C460FA3" w14:textId="0DA5A959" w:rsidR="008B4092" w:rsidRPr="00986BF2" w:rsidRDefault="00915076" w:rsidP="008B4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Contacte a </w:t>
      </w:r>
      <w:r w:rsidR="008B4092" w:rsidRPr="00986BF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SCE</w:t>
      </w:r>
    </w:p>
    <w:p w14:paraId="56D2D720" w14:textId="29C18213" w:rsidR="008B4092" w:rsidRPr="00986BF2" w:rsidRDefault="00915076" w:rsidP="008B409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sz w:val="24"/>
          <w:szCs w:val="24"/>
          <w:lang w:val="es-ES_tradnl"/>
        </w:rPr>
        <w:t>Llamando al</w:t>
      </w:r>
      <w:r w:rsidR="008B4092" w:rsidRPr="00986BF2">
        <w:rPr>
          <w:rFonts w:ascii="Times New Roman" w:hAnsi="Times New Roman" w:cs="Times New Roman"/>
          <w:sz w:val="24"/>
          <w:szCs w:val="24"/>
          <w:lang w:val="es-ES_tradnl"/>
        </w:rPr>
        <w:t>: (800) 655-4555</w:t>
      </w:r>
    </w:p>
    <w:p w14:paraId="7193CAA7" w14:textId="7201CFD7" w:rsidR="008B4092" w:rsidRPr="00986BF2" w:rsidRDefault="00915076" w:rsidP="008B409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sz w:val="24"/>
          <w:szCs w:val="24"/>
          <w:lang w:val="es-ES_tradnl"/>
        </w:rPr>
        <w:t>Enviando un mensaje de correo electrónico a:</w:t>
      </w:r>
      <w:r w:rsidR="008B4092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hyperlink r:id="rId16" w:history="1">
        <w:r w:rsidR="008B4092" w:rsidRPr="00986BF2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case.admin@sce.com</w:t>
        </w:r>
      </w:hyperlink>
      <w:r w:rsidR="008B4092" w:rsidRPr="00986BF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4DD25550" w14:textId="0213B336" w:rsidR="008B4092" w:rsidRPr="00986BF2" w:rsidRDefault="00915076" w:rsidP="008B409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Escribiendo a: </w:t>
      </w:r>
      <w:r w:rsidRPr="00986BF2">
        <w:rPr>
          <w:rFonts w:ascii="Times New Roman" w:hAnsi="Times New Roman" w:cs="Times New Roman"/>
          <w:sz w:val="24"/>
          <w:szCs w:val="24"/>
          <w:lang w:val="es-ES_tradnl"/>
        </w:rPr>
        <w:tab/>
      </w:r>
      <w:proofErr w:type="spellStart"/>
      <w:r w:rsidR="008B4092" w:rsidRPr="00986BF2">
        <w:rPr>
          <w:rFonts w:ascii="Times New Roman" w:hAnsi="Times New Roman" w:cs="Times New Roman"/>
          <w:sz w:val="24"/>
          <w:szCs w:val="24"/>
          <w:lang w:val="es-ES_tradnl"/>
        </w:rPr>
        <w:t>Southern</w:t>
      </w:r>
      <w:proofErr w:type="spellEnd"/>
      <w:r w:rsidR="008B4092"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 California Edison Company</w:t>
      </w:r>
    </w:p>
    <w:p w14:paraId="191FC697" w14:textId="77777777" w:rsidR="008B4092" w:rsidRPr="00986BF2" w:rsidRDefault="008B4092" w:rsidP="00915076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A.24-12-003 – NDCTP </w:t>
      </w:r>
      <w:proofErr w:type="spellStart"/>
      <w:r w:rsidRPr="00986BF2">
        <w:rPr>
          <w:rFonts w:ascii="Times New Roman" w:hAnsi="Times New Roman" w:cs="Times New Roman"/>
          <w:sz w:val="24"/>
          <w:szCs w:val="24"/>
          <w:lang w:val="es-ES_tradnl"/>
        </w:rPr>
        <w:t>Application</w:t>
      </w:r>
      <w:proofErr w:type="spellEnd"/>
    </w:p>
    <w:p w14:paraId="7312513D" w14:textId="77777777" w:rsidR="008B4092" w:rsidRPr="00986BF2" w:rsidRDefault="008B4092" w:rsidP="00915076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hAnsi="Times New Roman" w:cs="Times New Roman"/>
          <w:sz w:val="24"/>
          <w:szCs w:val="24"/>
          <w:lang w:val="es-ES_tradnl"/>
        </w:rPr>
        <w:t>P.O. Box 800</w:t>
      </w:r>
    </w:p>
    <w:p w14:paraId="20C38ED1" w14:textId="77777777" w:rsidR="008B4092" w:rsidRPr="00986BF2" w:rsidRDefault="008B4092" w:rsidP="00915076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986BF2">
        <w:rPr>
          <w:rFonts w:ascii="Times New Roman" w:hAnsi="Times New Roman" w:cs="Times New Roman"/>
          <w:sz w:val="24"/>
          <w:szCs w:val="24"/>
          <w:lang w:val="es-ES_tradnl"/>
        </w:rPr>
        <w:t>Rosemead</w:t>
      </w:r>
      <w:proofErr w:type="spellEnd"/>
      <w:r w:rsidRPr="00986BF2">
        <w:rPr>
          <w:rFonts w:ascii="Times New Roman" w:hAnsi="Times New Roman" w:cs="Times New Roman"/>
          <w:sz w:val="24"/>
          <w:szCs w:val="24"/>
          <w:lang w:val="es-ES_tradnl"/>
        </w:rPr>
        <w:t>, CA 91770</w:t>
      </w:r>
    </w:p>
    <w:p w14:paraId="094AB2EF" w14:textId="77777777" w:rsidR="008B4092" w:rsidRPr="00986BF2" w:rsidRDefault="008B4092" w:rsidP="00915076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986BF2">
        <w:rPr>
          <w:rFonts w:ascii="Times New Roman" w:hAnsi="Times New Roman" w:cs="Times New Roman"/>
          <w:sz w:val="24"/>
          <w:szCs w:val="24"/>
          <w:lang w:val="es-ES_tradnl"/>
        </w:rPr>
        <w:t>Attention</w:t>
      </w:r>
      <w:proofErr w:type="spellEnd"/>
      <w:r w:rsidRPr="00986BF2">
        <w:rPr>
          <w:rFonts w:ascii="Times New Roman" w:hAnsi="Times New Roman" w:cs="Times New Roman"/>
          <w:sz w:val="24"/>
          <w:szCs w:val="24"/>
          <w:lang w:val="es-ES_tradnl"/>
        </w:rPr>
        <w:t xml:space="preserve">: Case </w:t>
      </w:r>
      <w:proofErr w:type="spellStart"/>
      <w:r w:rsidRPr="00986BF2">
        <w:rPr>
          <w:rFonts w:ascii="Times New Roman" w:hAnsi="Times New Roman" w:cs="Times New Roman"/>
          <w:sz w:val="24"/>
          <w:szCs w:val="24"/>
          <w:lang w:val="es-ES_tradnl"/>
        </w:rPr>
        <w:t>Administration</w:t>
      </w:r>
      <w:proofErr w:type="spellEnd"/>
    </w:p>
    <w:p w14:paraId="370F090F" w14:textId="77777777" w:rsidR="008B4092" w:rsidRPr="00986BF2" w:rsidRDefault="008B4092" w:rsidP="00215212">
      <w:pPr>
        <w:pStyle w:val="paragraph"/>
        <w:spacing w:before="0" w:beforeAutospacing="0" w:after="0" w:afterAutospacing="0"/>
        <w:ind w:left="1440"/>
        <w:textAlignment w:val="baseline"/>
        <w:rPr>
          <w:lang w:val="es-ES_tradnl"/>
        </w:rPr>
      </w:pPr>
    </w:p>
    <w:p w14:paraId="4E0BEC74" w14:textId="77777777" w:rsidR="00215212" w:rsidRPr="00986BF2" w:rsidRDefault="00215212" w:rsidP="00215212">
      <w:pPr>
        <w:pStyle w:val="paragraph"/>
        <w:spacing w:before="0" w:beforeAutospacing="0" w:after="0" w:afterAutospacing="0"/>
        <w:ind w:left="720" w:firstLine="720"/>
        <w:textAlignment w:val="baseline"/>
        <w:rPr>
          <w:lang w:val="es-ES_tradnl"/>
        </w:rPr>
      </w:pPr>
      <w:r w:rsidRPr="00986BF2">
        <w:rPr>
          <w:rStyle w:val="eop"/>
          <w:color w:val="881798"/>
          <w:lang w:val="es-ES_tradnl"/>
        </w:rPr>
        <w:t> </w:t>
      </w:r>
    </w:p>
    <w:p w14:paraId="077262BE" w14:textId="6715484F" w:rsidR="0004031E" w:rsidRPr="00986BF2" w:rsidRDefault="00FB236D" w:rsidP="00B208AD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>Una copia de la solicitud y cualquier documento relacionado también pueden examinarse en</w:t>
      </w:r>
      <w:r w:rsidR="0004031E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hyperlink r:id="rId17" w:history="1">
        <w:r w:rsidR="0004031E" w:rsidRPr="00986BF2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val="es-ES_tradnl"/>
          </w:rPr>
          <w:t>https://www.sdge.com/rates-and-regulations/proceedings</w:t>
        </w:r>
      </w:hyperlink>
      <w:r w:rsidR="0004031E" w:rsidRPr="00986BF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.</w:t>
      </w:r>
      <w:r w:rsidR="0004031E" w:rsidRPr="00986BF2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</w:p>
    <w:p w14:paraId="2B0097DA" w14:textId="77777777" w:rsidR="00215212" w:rsidRPr="00986BF2" w:rsidRDefault="00215212" w:rsidP="00F7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2F2B263" w14:textId="77777777" w:rsidR="00D31233" w:rsidRPr="00986BF2" w:rsidRDefault="00D31233" w:rsidP="00D31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A47E7EE" w14:textId="20482E29" w:rsidR="76D4DE75" w:rsidRPr="00986BF2" w:rsidRDefault="76D4DE75" w:rsidP="00D3123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76D4DE75" w:rsidRPr="00986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5EE3" w14:textId="77777777" w:rsidR="001508B7" w:rsidRDefault="001508B7" w:rsidP="004A7B59">
      <w:pPr>
        <w:spacing w:after="0" w:line="240" w:lineRule="auto"/>
      </w:pPr>
      <w:r>
        <w:separator/>
      </w:r>
    </w:p>
  </w:endnote>
  <w:endnote w:type="continuationSeparator" w:id="0">
    <w:p w14:paraId="321B0069" w14:textId="77777777" w:rsidR="001508B7" w:rsidRDefault="001508B7" w:rsidP="004A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IN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A012" w14:textId="77777777" w:rsidR="001508B7" w:rsidRDefault="001508B7" w:rsidP="004A7B59">
      <w:pPr>
        <w:spacing w:after="0" w:line="240" w:lineRule="auto"/>
      </w:pPr>
      <w:r>
        <w:separator/>
      </w:r>
    </w:p>
  </w:footnote>
  <w:footnote w:type="continuationSeparator" w:id="0">
    <w:p w14:paraId="11CEF624" w14:textId="77777777" w:rsidR="001508B7" w:rsidRDefault="001508B7" w:rsidP="004A7B59">
      <w:pPr>
        <w:spacing w:after="0" w:line="240" w:lineRule="auto"/>
      </w:pPr>
      <w:r>
        <w:continuationSeparator/>
      </w:r>
    </w:p>
  </w:footnote>
  <w:footnote w:id="1">
    <w:p w14:paraId="17439FFD" w14:textId="50AF2E26" w:rsidR="004A7B59" w:rsidRPr="00256A75" w:rsidRDefault="004A7B59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="00256A75" w:rsidRPr="00256A75">
        <w:rPr>
          <w:rFonts w:ascii="Calibri" w:eastAsia="Calibri" w:hAnsi="Calibri" w:cs="Calibri"/>
          <w:lang w:val="es-MX"/>
        </w:rPr>
        <w:t xml:space="preserve">SCE posee una participación del 80% y SDG&amp;E una participación del 20% en la responsabilidad </w:t>
      </w:r>
      <w:r w:rsidR="00EB03AA">
        <w:rPr>
          <w:rFonts w:ascii="Calibri" w:eastAsia="Calibri" w:hAnsi="Calibri" w:cs="Calibri"/>
          <w:lang w:val="es-MX"/>
        </w:rPr>
        <w:t>de</w:t>
      </w:r>
      <w:r w:rsidR="00256A75" w:rsidRPr="00256A75">
        <w:rPr>
          <w:rFonts w:ascii="Calibri" w:eastAsia="Calibri" w:hAnsi="Calibri" w:cs="Calibri"/>
          <w:lang w:val="es-MX"/>
        </w:rPr>
        <w:t xml:space="preserve"> desmantelamiento de la Unidad 1 de SONGS. SCE tiene una participación aproximada del 75.74% y SDG&amp;E una participación del 20% en la responsabilidad </w:t>
      </w:r>
      <w:r w:rsidR="002B09B5">
        <w:rPr>
          <w:rFonts w:ascii="Calibri" w:eastAsia="Calibri" w:hAnsi="Calibri" w:cs="Calibri"/>
          <w:lang w:val="es-MX"/>
        </w:rPr>
        <w:t>d</w:t>
      </w:r>
      <w:r w:rsidR="00256A75" w:rsidRPr="00256A75">
        <w:rPr>
          <w:rFonts w:ascii="Calibri" w:eastAsia="Calibri" w:hAnsi="Calibri" w:cs="Calibri"/>
          <w:lang w:val="es-MX"/>
        </w:rPr>
        <w:t xml:space="preserve">e desmantelamiento de las Unidades 2 y 3 de SONGS (la responsabilidad restante </w:t>
      </w:r>
      <w:r w:rsidR="002B09B5">
        <w:rPr>
          <w:rFonts w:ascii="Calibri" w:eastAsia="Calibri" w:hAnsi="Calibri" w:cs="Calibri"/>
          <w:lang w:val="es-MX"/>
        </w:rPr>
        <w:t>de</w:t>
      </w:r>
      <w:r w:rsidR="00256A75" w:rsidRPr="00256A75">
        <w:rPr>
          <w:rFonts w:ascii="Calibri" w:eastAsia="Calibri" w:hAnsi="Calibri" w:cs="Calibri"/>
          <w:lang w:val="es-MX"/>
        </w:rPr>
        <w:t xml:space="preserve"> desmantelamiento de las Unidades 2 y 3 de SONGS es de la ciudad de Anaheim [aproximadamente el 2.47%</w:t>
      </w:r>
      <w:r w:rsidR="00256A75">
        <w:rPr>
          <w:rFonts w:ascii="Calibri" w:eastAsia="Calibri" w:hAnsi="Calibri" w:cs="Calibri"/>
          <w:lang w:val="es-MX"/>
        </w:rPr>
        <w:t xml:space="preserve">] </w:t>
      </w:r>
      <w:r w:rsidR="00256A75" w:rsidRPr="00256A75">
        <w:rPr>
          <w:rFonts w:ascii="Calibri" w:eastAsia="Calibri" w:hAnsi="Calibri" w:cs="Calibri"/>
          <w:lang w:val="es-MX"/>
        </w:rPr>
        <w:t xml:space="preserve">y la ciudad de Riverside </w:t>
      </w:r>
      <w:r w:rsidR="00256A75">
        <w:rPr>
          <w:rFonts w:ascii="Calibri" w:eastAsia="Calibri" w:hAnsi="Calibri" w:cs="Calibri"/>
          <w:lang w:val="es-MX"/>
        </w:rPr>
        <w:t>[</w:t>
      </w:r>
      <w:r w:rsidR="00256A75" w:rsidRPr="00256A75">
        <w:rPr>
          <w:rFonts w:ascii="Calibri" w:eastAsia="Calibri" w:hAnsi="Calibri" w:cs="Calibri"/>
          <w:lang w:val="es-MX"/>
        </w:rPr>
        <w:t>aproximadamente el 1.79%</w:t>
      </w:r>
      <w:r w:rsidR="00256A75">
        <w:rPr>
          <w:rFonts w:ascii="Calibri" w:eastAsia="Calibri" w:hAnsi="Calibri" w:cs="Calibri"/>
          <w:lang w:val="es-MX"/>
        </w:rPr>
        <w:t>]</w:t>
      </w:r>
      <w:r w:rsidR="00256A75" w:rsidRPr="00256A75">
        <w:rPr>
          <w:rFonts w:ascii="Calibri" w:eastAsia="Calibri" w:hAnsi="Calibri" w:cs="Calibri"/>
          <w:lang w:val="es-MX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03A5"/>
    <w:multiLevelType w:val="hybridMultilevel"/>
    <w:tmpl w:val="ECF03836"/>
    <w:lvl w:ilvl="0" w:tplc="C99E42AE">
      <w:start w:val="1"/>
      <w:numFmt w:val="upperLetter"/>
      <w:lvlText w:val="%1."/>
      <w:lvlJc w:val="left"/>
      <w:pPr>
        <w:ind w:left="720" w:hanging="360"/>
      </w:pPr>
    </w:lvl>
    <w:lvl w:ilvl="1" w:tplc="9A701FE4">
      <w:start w:val="1"/>
      <w:numFmt w:val="lowerLetter"/>
      <w:lvlText w:val="%2."/>
      <w:lvlJc w:val="left"/>
      <w:pPr>
        <w:ind w:left="1440" w:hanging="360"/>
      </w:pPr>
    </w:lvl>
    <w:lvl w:ilvl="2" w:tplc="CA8C0D32">
      <w:start w:val="1"/>
      <w:numFmt w:val="lowerRoman"/>
      <w:lvlText w:val="%3."/>
      <w:lvlJc w:val="right"/>
      <w:pPr>
        <w:ind w:left="2160" w:hanging="180"/>
      </w:pPr>
    </w:lvl>
    <w:lvl w:ilvl="3" w:tplc="81D8B2F0">
      <w:start w:val="1"/>
      <w:numFmt w:val="decimal"/>
      <w:lvlText w:val="%4."/>
      <w:lvlJc w:val="left"/>
      <w:pPr>
        <w:ind w:left="2880" w:hanging="360"/>
      </w:pPr>
    </w:lvl>
    <w:lvl w:ilvl="4" w:tplc="539E46F6">
      <w:start w:val="1"/>
      <w:numFmt w:val="lowerLetter"/>
      <w:lvlText w:val="%5."/>
      <w:lvlJc w:val="left"/>
      <w:pPr>
        <w:ind w:left="3600" w:hanging="360"/>
      </w:pPr>
    </w:lvl>
    <w:lvl w:ilvl="5" w:tplc="E26005D6">
      <w:start w:val="1"/>
      <w:numFmt w:val="lowerRoman"/>
      <w:lvlText w:val="%6."/>
      <w:lvlJc w:val="right"/>
      <w:pPr>
        <w:ind w:left="4320" w:hanging="180"/>
      </w:pPr>
    </w:lvl>
    <w:lvl w:ilvl="6" w:tplc="529A7668">
      <w:start w:val="1"/>
      <w:numFmt w:val="decimal"/>
      <w:lvlText w:val="%7."/>
      <w:lvlJc w:val="left"/>
      <w:pPr>
        <w:ind w:left="5040" w:hanging="360"/>
      </w:pPr>
    </w:lvl>
    <w:lvl w:ilvl="7" w:tplc="FF8E7690">
      <w:start w:val="1"/>
      <w:numFmt w:val="lowerLetter"/>
      <w:lvlText w:val="%8."/>
      <w:lvlJc w:val="left"/>
      <w:pPr>
        <w:ind w:left="5760" w:hanging="360"/>
      </w:pPr>
    </w:lvl>
    <w:lvl w:ilvl="8" w:tplc="E51E614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1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4BAAE4"/>
    <w:rsid w:val="000014A6"/>
    <w:rsid w:val="00002583"/>
    <w:rsid w:val="0000361B"/>
    <w:rsid w:val="0000401F"/>
    <w:rsid w:val="0002134C"/>
    <w:rsid w:val="0004031E"/>
    <w:rsid w:val="000517ED"/>
    <w:rsid w:val="00063529"/>
    <w:rsid w:val="00063C94"/>
    <w:rsid w:val="00066989"/>
    <w:rsid w:val="000766D8"/>
    <w:rsid w:val="00080019"/>
    <w:rsid w:val="00085495"/>
    <w:rsid w:val="00092476"/>
    <w:rsid w:val="00094EC6"/>
    <w:rsid w:val="00095DE8"/>
    <w:rsid w:val="000A3282"/>
    <w:rsid w:val="000A4CA9"/>
    <w:rsid w:val="000A544A"/>
    <w:rsid w:val="000B0103"/>
    <w:rsid w:val="000B2CAA"/>
    <w:rsid w:val="000B3A6E"/>
    <w:rsid w:val="000C04E1"/>
    <w:rsid w:val="000D380F"/>
    <w:rsid w:val="000E75C6"/>
    <w:rsid w:val="000F0D5C"/>
    <w:rsid w:val="000F210A"/>
    <w:rsid w:val="000F34C3"/>
    <w:rsid w:val="000F57FD"/>
    <w:rsid w:val="000F77C2"/>
    <w:rsid w:val="00110158"/>
    <w:rsid w:val="00116BA4"/>
    <w:rsid w:val="00125752"/>
    <w:rsid w:val="00126890"/>
    <w:rsid w:val="00134BD1"/>
    <w:rsid w:val="00140B36"/>
    <w:rsid w:val="0014584D"/>
    <w:rsid w:val="001508B7"/>
    <w:rsid w:val="001565FC"/>
    <w:rsid w:val="00157F23"/>
    <w:rsid w:val="001654E1"/>
    <w:rsid w:val="0017612B"/>
    <w:rsid w:val="001838D1"/>
    <w:rsid w:val="001856F4"/>
    <w:rsid w:val="0018690A"/>
    <w:rsid w:val="00187EDF"/>
    <w:rsid w:val="001A0ACA"/>
    <w:rsid w:val="001B2FCA"/>
    <w:rsid w:val="001B54F1"/>
    <w:rsid w:val="001B57BA"/>
    <w:rsid w:val="001B7F6B"/>
    <w:rsid w:val="001C66A4"/>
    <w:rsid w:val="001D4F62"/>
    <w:rsid w:val="001D57EC"/>
    <w:rsid w:val="001E4CE6"/>
    <w:rsid w:val="001E4E03"/>
    <w:rsid w:val="001E53C9"/>
    <w:rsid w:val="001E5594"/>
    <w:rsid w:val="001F13B0"/>
    <w:rsid w:val="001F141D"/>
    <w:rsid w:val="001F1B27"/>
    <w:rsid w:val="00210688"/>
    <w:rsid w:val="002138E9"/>
    <w:rsid w:val="00215212"/>
    <w:rsid w:val="00221353"/>
    <w:rsid w:val="00221A2E"/>
    <w:rsid w:val="00226119"/>
    <w:rsid w:val="00244102"/>
    <w:rsid w:val="00245E80"/>
    <w:rsid w:val="00256A75"/>
    <w:rsid w:val="00261D41"/>
    <w:rsid w:val="0026486E"/>
    <w:rsid w:val="00264DF8"/>
    <w:rsid w:val="00275A8B"/>
    <w:rsid w:val="00285ACC"/>
    <w:rsid w:val="00291008"/>
    <w:rsid w:val="0029156D"/>
    <w:rsid w:val="002A0326"/>
    <w:rsid w:val="002A2BE8"/>
    <w:rsid w:val="002A2DFD"/>
    <w:rsid w:val="002B09B5"/>
    <w:rsid w:val="002B526F"/>
    <w:rsid w:val="002C71AF"/>
    <w:rsid w:val="002D3632"/>
    <w:rsid w:val="002D6429"/>
    <w:rsid w:val="002D6EC7"/>
    <w:rsid w:val="002E298C"/>
    <w:rsid w:val="002F6FBC"/>
    <w:rsid w:val="003027E3"/>
    <w:rsid w:val="003124F5"/>
    <w:rsid w:val="003161F8"/>
    <w:rsid w:val="00317719"/>
    <w:rsid w:val="00322969"/>
    <w:rsid w:val="00333DFE"/>
    <w:rsid w:val="00345202"/>
    <w:rsid w:val="00354069"/>
    <w:rsid w:val="00371184"/>
    <w:rsid w:val="00373183"/>
    <w:rsid w:val="003A1096"/>
    <w:rsid w:val="003A6261"/>
    <w:rsid w:val="003B1BB4"/>
    <w:rsid w:val="003B2D2B"/>
    <w:rsid w:val="003B2E12"/>
    <w:rsid w:val="003C101F"/>
    <w:rsid w:val="003D00AF"/>
    <w:rsid w:val="003E345A"/>
    <w:rsid w:val="003E77AB"/>
    <w:rsid w:val="003F203F"/>
    <w:rsid w:val="003F35B1"/>
    <w:rsid w:val="003F6655"/>
    <w:rsid w:val="00407986"/>
    <w:rsid w:val="00410F9A"/>
    <w:rsid w:val="0041358D"/>
    <w:rsid w:val="0041640F"/>
    <w:rsid w:val="00422D90"/>
    <w:rsid w:val="00425CA0"/>
    <w:rsid w:val="0043112B"/>
    <w:rsid w:val="0044013D"/>
    <w:rsid w:val="004526C8"/>
    <w:rsid w:val="00465D99"/>
    <w:rsid w:val="00480F30"/>
    <w:rsid w:val="0048124B"/>
    <w:rsid w:val="004924BF"/>
    <w:rsid w:val="0049645E"/>
    <w:rsid w:val="00496A97"/>
    <w:rsid w:val="004A1BE8"/>
    <w:rsid w:val="004A7B59"/>
    <w:rsid w:val="004B0843"/>
    <w:rsid w:val="004B3E18"/>
    <w:rsid w:val="004C0453"/>
    <w:rsid w:val="004C209A"/>
    <w:rsid w:val="004C51FF"/>
    <w:rsid w:val="004D161F"/>
    <w:rsid w:val="004D79C0"/>
    <w:rsid w:val="004E23FC"/>
    <w:rsid w:val="004F42AD"/>
    <w:rsid w:val="004F47E0"/>
    <w:rsid w:val="005002BA"/>
    <w:rsid w:val="00505B5B"/>
    <w:rsid w:val="00521E45"/>
    <w:rsid w:val="00525521"/>
    <w:rsid w:val="00526CCA"/>
    <w:rsid w:val="00527521"/>
    <w:rsid w:val="005276DC"/>
    <w:rsid w:val="00530815"/>
    <w:rsid w:val="00531761"/>
    <w:rsid w:val="00545EE8"/>
    <w:rsid w:val="005612EF"/>
    <w:rsid w:val="00563A55"/>
    <w:rsid w:val="005727F7"/>
    <w:rsid w:val="00573286"/>
    <w:rsid w:val="00581A5F"/>
    <w:rsid w:val="005867B7"/>
    <w:rsid w:val="005A0678"/>
    <w:rsid w:val="005B0809"/>
    <w:rsid w:val="005B29F1"/>
    <w:rsid w:val="005B2C02"/>
    <w:rsid w:val="005B4234"/>
    <w:rsid w:val="005B7EE6"/>
    <w:rsid w:val="005E30A5"/>
    <w:rsid w:val="00600862"/>
    <w:rsid w:val="006023E8"/>
    <w:rsid w:val="00604A04"/>
    <w:rsid w:val="006155E7"/>
    <w:rsid w:val="00616176"/>
    <w:rsid w:val="00632801"/>
    <w:rsid w:val="00633873"/>
    <w:rsid w:val="00640DA6"/>
    <w:rsid w:val="00652246"/>
    <w:rsid w:val="00653436"/>
    <w:rsid w:val="0065663E"/>
    <w:rsid w:val="006568BA"/>
    <w:rsid w:val="00675010"/>
    <w:rsid w:val="00677EE1"/>
    <w:rsid w:val="0068411F"/>
    <w:rsid w:val="00695D8A"/>
    <w:rsid w:val="006A6878"/>
    <w:rsid w:val="006B195E"/>
    <w:rsid w:val="006B2DA1"/>
    <w:rsid w:val="006C15BD"/>
    <w:rsid w:val="006C5283"/>
    <w:rsid w:val="006E04B0"/>
    <w:rsid w:val="006F7931"/>
    <w:rsid w:val="007028D7"/>
    <w:rsid w:val="00704D28"/>
    <w:rsid w:val="00705492"/>
    <w:rsid w:val="00714794"/>
    <w:rsid w:val="007178ED"/>
    <w:rsid w:val="00721FD9"/>
    <w:rsid w:val="0072697D"/>
    <w:rsid w:val="00731BE4"/>
    <w:rsid w:val="00741110"/>
    <w:rsid w:val="007517DC"/>
    <w:rsid w:val="00761EF4"/>
    <w:rsid w:val="00764513"/>
    <w:rsid w:val="00767CD3"/>
    <w:rsid w:val="00781061"/>
    <w:rsid w:val="00785896"/>
    <w:rsid w:val="00786830"/>
    <w:rsid w:val="00786AC5"/>
    <w:rsid w:val="00790158"/>
    <w:rsid w:val="00791DB9"/>
    <w:rsid w:val="00792D28"/>
    <w:rsid w:val="007A1CF0"/>
    <w:rsid w:val="007B5FA0"/>
    <w:rsid w:val="007C46F0"/>
    <w:rsid w:val="007C68A7"/>
    <w:rsid w:val="007E115B"/>
    <w:rsid w:val="007F64D2"/>
    <w:rsid w:val="008004AD"/>
    <w:rsid w:val="00812767"/>
    <w:rsid w:val="0081436B"/>
    <w:rsid w:val="00820D7D"/>
    <w:rsid w:val="0082190F"/>
    <w:rsid w:val="008304FF"/>
    <w:rsid w:val="0083278D"/>
    <w:rsid w:val="00860018"/>
    <w:rsid w:val="008609D1"/>
    <w:rsid w:val="00860F71"/>
    <w:rsid w:val="00871BDF"/>
    <w:rsid w:val="00871EFD"/>
    <w:rsid w:val="00886101"/>
    <w:rsid w:val="00895161"/>
    <w:rsid w:val="00897208"/>
    <w:rsid w:val="008B4092"/>
    <w:rsid w:val="008B664E"/>
    <w:rsid w:val="008B6C89"/>
    <w:rsid w:val="008C0840"/>
    <w:rsid w:val="008C2A54"/>
    <w:rsid w:val="008C42F8"/>
    <w:rsid w:val="008C4505"/>
    <w:rsid w:val="008D1A47"/>
    <w:rsid w:val="008D1C21"/>
    <w:rsid w:val="008E4E44"/>
    <w:rsid w:val="00903303"/>
    <w:rsid w:val="00905B13"/>
    <w:rsid w:val="00907C80"/>
    <w:rsid w:val="009134FE"/>
    <w:rsid w:val="00915076"/>
    <w:rsid w:val="00935B45"/>
    <w:rsid w:val="00936F05"/>
    <w:rsid w:val="009467E5"/>
    <w:rsid w:val="00951CA7"/>
    <w:rsid w:val="00957C46"/>
    <w:rsid w:val="0096223F"/>
    <w:rsid w:val="0097255F"/>
    <w:rsid w:val="00975A6A"/>
    <w:rsid w:val="00984E30"/>
    <w:rsid w:val="00986BF2"/>
    <w:rsid w:val="00990BE7"/>
    <w:rsid w:val="009A0E45"/>
    <w:rsid w:val="009A3C0D"/>
    <w:rsid w:val="009A43E4"/>
    <w:rsid w:val="009A45C5"/>
    <w:rsid w:val="009B19C4"/>
    <w:rsid w:val="009B3D4E"/>
    <w:rsid w:val="009C06A8"/>
    <w:rsid w:val="009D034B"/>
    <w:rsid w:val="009D0CB1"/>
    <w:rsid w:val="009D77C3"/>
    <w:rsid w:val="00A236B3"/>
    <w:rsid w:val="00A31609"/>
    <w:rsid w:val="00A32D9E"/>
    <w:rsid w:val="00A42566"/>
    <w:rsid w:val="00A44EEB"/>
    <w:rsid w:val="00A4639B"/>
    <w:rsid w:val="00A51885"/>
    <w:rsid w:val="00A5540A"/>
    <w:rsid w:val="00A6163D"/>
    <w:rsid w:val="00A6721D"/>
    <w:rsid w:val="00A67937"/>
    <w:rsid w:val="00A72E5F"/>
    <w:rsid w:val="00A77794"/>
    <w:rsid w:val="00A82C97"/>
    <w:rsid w:val="00A841C0"/>
    <w:rsid w:val="00A84CC7"/>
    <w:rsid w:val="00AA2618"/>
    <w:rsid w:val="00AA5317"/>
    <w:rsid w:val="00AB2F3C"/>
    <w:rsid w:val="00AB4FD5"/>
    <w:rsid w:val="00AB7060"/>
    <w:rsid w:val="00AC3010"/>
    <w:rsid w:val="00AC5078"/>
    <w:rsid w:val="00AC57ED"/>
    <w:rsid w:val="00AD2748"/>
    <w:rsid w:val="00AE5090"/>
    <w:rsid w:val="00AE5951"/>
    <w:rsid w:val="00AE5C03"/>
    <w:rsid w:val="00AE666B"/>
    <w:rsid w:val="00B10290"/>
    <w:rsid w:val="00B10F60"/>
    <w:rsid w:val="00B12BAB"/>
    <w:rsid w:val="00B14F50"/>
    <w:rsid w:val="00B16E7D"/>
    <w:rsid w:val="00B208AD"/>
    <w:rsid w:val="00B2244D"/>
    <w:rsid w:val="00B37524"/>
    <w:rsid w:val="00B40A23"/>
    <w:rsid w:val="00B6076F"/>
    <w:rsid w:val="00B63434"/>
    <w:rsid w:val="00B736E2"/>
    <w:rsid w:val="00B77631"/>
    <w:rsid w:val="00BA3C8B"/>
    <w:rsid w:val="00BA50ED"/>
    <w:rsid w:val="00BA6F4A"/>
    <w:rsid w:val="00BC0B04"/>
    <w:rsid w:val="00BD38FD"/>
    <w:rsid w:val="00BE15D5"/>
    <w:rsid w:val="00BE6651"/>
    <w:rsid w:val="00BE77D7"/>
    <w:rsid w:val="00BF2BDB"/>
    <w:rsid w:val="00BF2D46"/>
    <w:rsid w:val="00BF33A3"/>
    <w:rsid w:val="00BF6C1D"/>
    <w:rsid w:val="00C02D9B"/>
    <w:rsid w:val="00C0537C"/>
    <w:rsid w:val="00C1107D"/>
    <w:rsid w:val="00C1796A"/>
    <w:rsid w:val="00C32F10"/>
    <w:rsid w:val="00C4497D"/>
    <w:rsid w:val="00C45406"/>
    <w:rsid w:val="00C46E18"/>
    <w:rsid w:val="00C531C0"/>
    <w:rsid w:val="00C60771"/>
    <w:rsid w:val="00C63CA8"/>
    <w:rsid w:val="00C71734"/>
    <w:rsid w:val="00C90F07"/>
    <w:rsid w:val="00C976CE"/>
    <w:rsid w:val="00CA237E"/>
    <w:rsid w:val="00CB6235"/>
    <w:rsid w:val="00CC5298"/>
    <w:rsid w:val="00CD10B5"/>
    <w:rsid w:val="00CD169D"/>
    <w:rsid w:val="00CD1CD7"/>
    <w:rsid w:val="00CD244A"/>
    <w:rsid w:val="00CD2CB6"/>
    <w:rsid w:val="00CD5AA9"/>
    <w:rsid w:val="00CF060D"/>
    <w:rsid w:val="00CF3423"/>
    <w:rsid w:val="00D015C3"/>
    <w:rsid w:val="00D02244"/>
    <w:rsid w:val="00D06F7D"/>
    <w:rsid w:val="00D075C2"/>
    <w:rsid w:val="00D16E3A"/>
    <w:rsid w:val="00D24904"/>
    <w:rsid w:val="00D24FAB"/>
    <w:rsid w:val="00D31233"/>
    <w:rsid w:val="00D41611"/>
    <w:rsid w:val="00D4232D"/>
    <w:rsid w:val="00D4559B"/>
    <w:rsid w:val="00D57A97"/>
    <w:rsid w:val="00D61880"/>
    <w:rsid w:val="00D645DD"/>
    <w:rsid w:val="00D6662C"/>
    <w:rsid w:val="00D67D2C"/>
    <w:rsid w:val="00D73111"/>
    <w:rsid w:val="00D80B81"/>
    <w:rsid w:val="00D80FB0"/>
    <w:rsid w:val="00D822C7"/>
    <w:rsid w:val="00D83377"/>
    <w:rsid w:val="00D866F9"/>
    <w:rsid w:val="00D87D43"/>
    <w:rsid w:val="00D914E6"/>
    <w:rsid w:val="00D92A9B"/>
    <w:rsid w:val="00D93EB1"/>
    <w:rsid w:val="00D953F5"/>
    <w:rsid w:val="00DA727C"/>
    <w:rsid w:val="00DB0901"/>
    <w:rsid w:val="00DB3EEC"/>
    <w:rsid w:val="00DC1F03"/>
    <w:rsid w:val="00DC3BD1"/>
    <w:rsid w:val="00DC3C97"/>
    <w:rsid w:val="00DC47CF"/>
    <w:rsid w:val="00DC6D50"/>
    <w:rsid w:val="00DC6DC5"/>
    <w:rsid w:val="00DD0A48"/>
    <w:rsid w:val="00DD252D"/>
    <w:rsid w:val="00DD60B1"/>
    <w:rsid w:val="00DE1817"/>
    <w:rsid w:val="00DE3FE7"/>
    <w:rsid w:val="00DF6FAE"/>
    <w:rsid w:val="00DF72F6"/>
    <w:rsid w:val="00E02612"/>
    <w:rsid w:val="00E02F05"/>
    <w:rsid w:val="00E1176E"/>
    <w:rsid w:val="00E17DFF"/>
    <w:rsid w:val="00E41485"/>
    <w:rsid w:val="00E427ED"/>
    <w:rsid w:val="00E441F9"/>
    <w:rsid w:val="00E508B7"/>
    <w:rsid w:val="00E5254B"/>
    <w:rsid w:val="00E55C53"/>
    <w:rsid w:val="00E5679E"/>
    <w:rsid w:val="00E61F09"/>
    <w:rsid w:val="00E64719"/>
    <w:rsid w:val="00E647FD"/>
    <w:rsid w:val="00E66106"/>
    <w:rsid w:val="00E71537"/>
    <w:rsid w:val="00E73189"/>
    <w:rsid w:val="00E7666A"/>
    <w:rsid w:val="00E81DEE"/>
    <w:rsid w:val="00E837C3"/>
    <w:rsid w:val="00E91DFE"/>
    <w:rsid w:val="00E95A79"/>
    <w:rsid w:val="00EA1FA6"/>
    <w:rsid w:val="00EB01CB"/>
    <w:rsid w:val="00EB03AA"/>
    <w:rsid w:val="00EB04FA"/>
    <w:rsid w:val="00EC5CF6"/>
    <w:rsid w:val="00EF1A25"/>
    <w:rsid w:val="00F05799"/>
    <w:rsid w:val="00F05EC1"/>
    <w:rsid w:val="00F06992"/>
    <w:rsid w:val="00F223C3"/>
    <w:rsid w:val="00F2768D"/>
    <w:rsid w:val="00F31277"/>
    <w:rsid w:val="00F3174F"/>
    <w:rsid w:val="00F34579"/>
    <w:rsid w:val="00F65940"/>
    <w:rsid w:val="00F67C04"/>
    <w:rsid w:val="00F76BFE"/>
    <w:rsid w:val="00F77874"/>
    <w:rsid w:val="00F850F5"/>
    <w:rsid w:val="00F863B9"/>
    <w:rsid w:val="00FB0A0B"/>
    <w:rsid w:val="00FB13B9"/>
    <w:rsid w:val="00FB236D"/>
    <w:rsid w:val="00FB6A07"/>
    <w:rsid w:val="00FC2F6B"/>
    <w:rsid w:val="00FD7EB1"/>
    <w:rsid w:val="00FE4FAD"/>
    <w:rsid w:val="00FF5138"/>
    <w:rsid w:val="00FF553E"/>
    <w:rsid w:val="00FF60C0"/>
    <w:rsid w:val="00FF6BAA"/>
    <w:rsid w:val="0202BFF6"/>
    <w:rsid w:val="039A5FA4"/>
    <w:rsid w:val="0676F514"/>
    <w:rsid w:val="06824A80"/>
    <w:rsid w:val="08C4CA5F"/>
    <w:rsid w:val="0A450F03"/>
    <w:rsid w:val="0A749CF5"/>
    <w:rsid w:val="0AFADEE4"/>
    <w:rsid w:val="0CAC85DD"/>
    <w:rsid w:val="0DC5DC90"/>
    <w:rsid w:val="0F61ACF1"/>
    <w:rsid w:val="10F56970"/>
    <w:rsid w:val="111AA4BC"/>
    <w:rsid w:val="11A7E440"/>
    <w:rsid w:val="12A1B8D9"/>
    <w:rsid w:val="12E3D448"/>
    <w:rsid w:val="1661A573"/>
    <w:rsid w:val="184BAAE4"/>
    <w:rsid w:val="1A8A8510"/>
    <w:rsid w:val="23BA14FF"/>
    <w:rsid w:val="25EE7E5F"/>
    <w:rsid w:val="2A60AD94"/>
    <w:rsid w:val="2DD86818"/>
    <w:rsid w:val="2EBE90CF"/>
    <w:rsid w:val="36CA3CC7"/>
    <w:rsid w:val="3B69B657"/>
    <w:rsid w:val="42151D28"/>
    <w:rsid w:val="42766F8C"/>
    <w:rsid w:val="42865194"/>
    <w:rsid w:val="45B47CB3"/>
    <w:rsid w:val="47B87A47"/>
    <w:rsid w:val="4B99AF82"/>
    <w:rsid w:val="4E9D15DA"/>
    <w:rsid w:val="4FA76A65"/>
    <w:rsid w:val="51F467F0"/>
    <w:rsid w:val="5944CFCF"/>
    <w:rsid w:val="59F3C195"/>
    <w:rsid w:val="5C83FB43"/>
    <w:rsid w:val="62706249"/>
    <w:rsid w:val="6B4A398A"/>
    <w:rsid w:val="6B67A6EB"/>
    <w:rsid w:val="6D29712C"/>
    <w:rsid w:val="76C45C3E"/>
    <w:rsid w:val="76D4DE75"/>
    <w:rsid w:val="77F4D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AAE4"/>
  <w15:chartTrackingRefBased/>
  <w15:docId w15:val="{A9AEA927-8ADD-4125-B3EC-AD796248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45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CC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1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B2CA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7779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77794"/>
    <w:pPr>
      <w:spacing w:after="0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4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F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A6721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F33A3"/>
    <w:pPr>
      <w:spacing w:after="0" w:line="240" w:lineRule="auto"/>
    </w:pPr>
  </w:style>
  <w:style w:type="paragraph" w:customStyle="1" w:styleId="paragraph">
    <w:name w:val="paragraph"/>
    <w:basedOn w:val="Normal"/>
    <w:rsid w:val="0021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15212"/>
  </w:style>
  <w:style w:type="character" w:customStyle="1" w:styleId="normaltextrun">
    <w:name w:val="normaltextrun"/>
    <w:basedOn w:val="DefaultParagraphFont"/>
    <w:rsid w:val="00215212"/>
  </w:style>
  <w:style w:type="paragraph" w:customStyle="1" w:styleId="Default">
    <w:name w:val="Default"/>
    <w:rsid w:val="00B37524"/>
    <w:pPr>
      <w:autoSpaceDE w:val="0"/>
      <w:autoSpaceDN w:val="0"/>
      <w:adjustRightInd w:val="0"/>
      <w:spacing w:after="0" w:line="240" w:lineRule="auto"/>
    </w:pPr>
    <w:rPr>
      <w:rFonts w:ascii="DINPro" w:hAnsi="DINPro" w:cs="DINPro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36B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7B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7B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7B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adminmonitor.com/ca/cpu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sdge.com/rates-and-regulations/proceeding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se.admin@sce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ublic.Advisor@cpuc.ca.gov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ublicAdvocatesOffice@cpu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ate xmlns="ec52a836-0bb4-4d79-aa0d-20b4805e15e2">2025-04-17T07:00:00.000Z</Document_x0020_Date>
    <ACT_x0020_Classification xmlns="ec52a836-0bb4-4d79-aa0d-20b4805e15e2">Internal</ACT_x0020_Classification>
    <Clip xmlns="d98743c6-c38f-45d3-801d-78b084194761">8</Clip>
    <TaxCatchAll xmlns="e45da448-bf9c-43e8-8676-7e88d583ded9" xsi:nil="true"/>
    <Legal_x0020_Group1 xmlns="ec52a836-0bb4-4d79-aa0d-20b4805e15e2" xsi:nil="true"/>
    <lcf76f155ced4ddcb4097134ff3c332f xmlns="d98743c6-c38f-45d3-801d-78b084194761">
      <Terms xmlns="http://schemas.microsoft.com/office/infopath/2007/PartnerControls"/>
    </lcf76f155ced4ddcb4097134ff3c332f>
    <_dlc_DocId xmlns="ec52a836-0bb4-4d79-aa0d-20b4805e15e2">LIMSO365-434097053-15790</_dlc_DocId>
    <_dlc_DocIdUrl xmlns="ec52a836-0bb4-4d79-aa0d-20b4805e15e2">
      <Url>https://edisonintl.sharepoint.com/teams/LIMS O365/BRGS/_layouts/15/DocIdRedir.aspx?ID=LIMSO365-434097053-15790</Url>
      <Description>LIMSO365-434097053-15790</Description>
    </_dlc_DocIdUrl>
    <SharedWithUsers xmlns="ec52a836-0bb4-4d79-aa0d-20b4805e15e2">
      <UserInfo>
        <DisplayName>Ryan Jerman</DisplayName>
        <AccountId>15904</AccountId>
        <AccountType/>
      </UserInfo>
      <UserInfo>
        <DisplayName>Kyu Dong Lee</DisplayName>
        <AccountId>6130</AccountId>
        <AccountType/>
      </UserInfo>
    </SharedWithUsers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gal Document" ma:contentTypeID="0x01010059CF184591B1604A8B5108A47612E81200121A33D7D53B3C4694AD1C022184B7EA" ma:contentTypeVersion="80" ma:contentTypeDescription="" ma:contentTypeScope="" ma:versionID="ff5510a83f31a06ce1e4ba7aa34a21f9">
  <xsd:schema xmlns:xsd="http://www.w3.org/2001/XMLSchema" xmlns:xs="http://www.w3.org/2001/XMLSchema" xmlns:p="http://schemas.microsoft.com/office/2006/metadata/properties" xmlns:ns3="ec52a836-0bb4-4d79-aa0d-20b4805e15e2" xmlns:ns4="614b9607-6f2c-442d-bf2a-e89dfa4838f8" xmlns:ns5="d98743c6-c38f-45d3-801d-78b084194761" xmlns:ns6="e45da448-bf9c-43e8-8676-7e88d583ded9" targetNamespace="http://schemas.microsoft.com/office/2006/metadata/properties" ma:root="true" ma:fieldsID="059677fc6babd3a727cb74fc2a80ecca" ns3:_="" ns4:_="" ns5:_="" ns6:_="">
    <xsd:import namespace="ec52a836-0bb4-4d79-aa0d-20b4805e15e2"/>
    <xsd:import namespace="614b9607-6f2c-442d-bf2a-e89dfa4838f8"/>
    <xsd:import namespace="d98743c6-c38f-45d3-801d-78b084194761"/>
    <xsd:import namespace="e45da448-bf9c-43e8-8676-7e88d583ded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SharedWithUsers" minOccurs="0"/>
                <xsd:element ref="ns3:SharedWithDetails" minOccurs="0"/>
                <xsd:element ref="ns3:Legal_x0020_Group1" minOccurs="0"/>
                <xsd:element ref="ns4:LastSharedByUser" minOccurs="0"/>
                <xsd:element ref="ns4:LastSharedByTime" minOccurs="0"/>
                <xsd:element ref="ns3:_dlc_DocId" minOccurs="0"/>
                <xsd:element ref="ns3:_dlc_DocIdUrl" minOccurs="0"/>
                <xsd:element ref="ns3:_dlc_DocIdPersistId" minOccurs="0"/>
                <xsd:element ref="ns5:MediaServiceMetadata" minOccurs="0"/>
                <xsd:element ref="ns5:MediaServiceFastMetadata" minOccurs="0"/>
                <xsd:element ref="ns5:Clip" minOccurs="0"/>
                <xsd:element ref="ns3:ACT_x0020_Classification" minOccurs="0"/>
                <xsd:element ref="ns5:MediaServiceEventHashCode" minOccurs="0"/>
                <xsd:element ref="ns5:MediaServiceGenerationTime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lcf76f155ced4ddcb4097134ff3c332f" minOccurs="0"/>
                <xsd:element ref="ns6:TaxCatchAll" minOccurs="0"/>
                <xsd:element ref="ns5:MediaServiceOCR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a836-0bb4-4d79-aa0d-20b4805e15e2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3" nillable="true" ma:displayName="Document Date" ma:format="DateOnly" ma:indexed="true" ma:internalName="Document_x0020_Date">
      <xsd:simpleType>
        <xsd:restriction base="dms:DateTime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egal_x0020_Group1" ma:index="13" nillable="true" ma:displayName="Legal Group" ma:format="Dropdown" ma:hidden="true" ma:internalName="Legal_x0020_Group1" ma:readOnly="false">
      <xsd:simpleType>
        <xsd:restriction base="dms:Choice">
          <xsd:enumeration value="Claims and General Litigation"/>
          <xsd:enumeration value="Commercial Litigation"/>
          <xsd:enumeration value="Contracts And Intellectual Property"/>
          <xsd:enumeration value="Base Rates and Grid Support"/>
          <xsd:enumeration value="Corporate Governance - Area"/>
          <xsd:enumeration value="Customer and Tariff"/>
          <xsd:enumeration value="Labor and Employment"/>
          <xsd:enumeration value="Licensing and Environmental"/>
          <xsd:enumeration value="Power Procurement"/>
          <xsd:enumeration value="Real Prop and Local Government"/>
          <xsd:enumeration value="Resource Policy and Planning"/>
          <xsd:enumeration value="Transmission and Wholesale Markets"/>
        </xsd:restriction>
      </xsd:simpleType>
    </xsd:element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T_x0020_Classification" ma:index="22" nillable="true" ma:displayName="ACT Classification" ma:default="Internal" ma:format="Dropdown" ma:indexed="true" ma:internalName="ACT_x0020_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b9607-6f2c-442d-bf2a-e89dfa4838f8" elementFormDefault="qualified">
    <xsd:import namespace="http://schemas.microsoft.com/office/2006/documentManagement/types"/>
    <xsd:import namespace="http://schemas.microsoft.com/office/infopath/2007/PartnerControls"/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43c6-c38f-45d3-801d-78b084194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Clip" ma:index="21" nillable="true" ma:displayName="Clip" ma:list="{fcc3162c-d6c7-4ebe-9c5a-2e41117b3802}" ma:internalName="Clip" ma:showField="Title">
      <xsd:simpleType>
        <xsd:restriction base="dms:Lookup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da7e81d-6ea8-45c5-b51f-f6fb8dd58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da448-bf9c-43e8-8676-7e88d583ded9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0a8c02f6-2558-4537-a7e1-51f8d166058a}" ma:internalName="TaxCatchAll" ma:showField="CatchAllData" ma:web="ec52a836-0bb4-4d79-aa0d-20b4805e1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9C60-BB47-4200-B096-2A081CCF5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3321F-EBB4-4838-A3DD-3AD7C768C5D7}">
  <ds:schemaRefs>
    <ds:schemaRef ds:uri="http://schemas.microsoft.com/office/2006/metadata/properties"/>
    <ds:schemaRef ds:uri="http://schemas.microsoft.com/office/infopath/2007/PartnerControls"/>
    <ds:schemaRef ds:uri="ec52a836-0bb4-4d79-aa0d-20b4805e15e2"/>
    <ds:schemaRef ds:uri="d98743c6-c38f-45d3-801d-78b084194761"/>
    <ds:schemaRef ds:uri="e45da448-bf9c-43e8-8676-7e88d583ded9"/>
  </ds:schemaRefs>
</ds:datastoreItem>
</file>

<file path=customXml/itemProps3.xml><?xml version="1.0" encoding="utf-8"?>
<ds:datastoreItem xmlns:ds="http://schemas.openxmlformats.org/officeDocument/2006/customXml" ds:itemID="{DDAD56F3-3878-4CA7-81AB-6F9F868D6C4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AB2AFEB-3E9C-4A5E-9CA3-33A494EE2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a836-0bb4-4d79-aa0d-20b4805e15e2"/>
    <ds:schemaRef ds:uri="614b9607-6f2c-442d-bf2a-e89dfa4838f8"/>
    <ds:schemaRef ds:uri="d98743c6-c38f-45d3-801d-78b084194761"/>
    <ds:schemaRef ds:uri="e45da448-bf9c-43e8-8676-7e88d583d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5F38D0-457A-4C88-820C-F7AABFEE547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919B9D6-6317-43BF-A317-A2D2F431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1426</Words>
  <Characters>7631</Characters>
  <Application>Microsoft Office Word</Application>
  <DocSecurity>0</DocSecurity>
  <Lines>181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PPH PER RULE 13.1</vt:lpstr>
    </vt:vector>
  </TitlesOfParts>
  <Manager/>
  <Company/>
  <LinksUpToDate>false</LinksUpToDate>
  <CharactersWithSpaces>8972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PPH PER RULE 13.1</dc:title>
  <dc:subject/>
  <dc:creator>Kyu Dong Lee</dc:creator>
  <cp:keywords/>
  <dc:description/>
  <cp:lastModifiedBy>Rogelio Camacho</cp:lastModifiedBy>
  <cp:revision>3</cp:revision>
  <cp:lastPrinted>2022-08-18T20:44:00Z</cp:lastPrinted>
  <dcterms:created xsi:type="dcterms:W3CDTF">2025-06-11T00:37:00Z</dcterms:created>
  <dcterms:modified xsi:type="dcterms:W3CDTF">2025-06-11T00:38:00Z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0x01010059CF184591B1604A8B5108A47612E81200121A33D7D53B3C4694AD1C022184B7EA</vt:lpwstr>
  </property>
  <property fmtid="{D5CDD505-2E9C-101B-9397-08002B2CF9AE}" pid="3" name="MediaServiceImageTags">
    <vt:lpwstr/>
  </property>
  <property fmtid="{D5CDD505-2E9C-101B-9397-08002B2CF9AE}" pid="4" name="Order">
    <vt:i4>814800</vt:i4>
  </property>
  <property fmtid="{D5CDD505-2E9C-101B-9397-08002B2CF9AE}" pid="5" name="LAA">
    <vt:lpwstr/>
  </property>
  <property fmtid="{D5CDD505-2E9C-101B-9397-08002B2CF9AE}" pid="6" name="Professional in Charge">
    <vt:lpwstr/>
  </property>
  <property fmtid="{D5CDD505-2E9C-101B-9397-08002B2CF9AE}" pid="7" name="MSIP_Label_bc3dd1c7-2c40-4a31-84b2-bec599b321a0_Enabled">
    <vt:lpwstr>true</vt:lpwstr>
  </property>
  <property fmtid="{D5CDD505-2E9C-101B-9397-08002B2CF9AE}" pid="8" name="MSIP_Label_bc3dd1c7-2c40-4a31-84b2-bec599b321a0_SetDate">
    <vt:lpwstr>2025-04-17T17:45:22Z</vt:lpwstr>
  </property>
  <property fmtid="{D5CDD505-2E9C-101B-9397-08002B2CF9AE}" pid="9" name="MSIP_Label_bc3dd1c7-2c40-4a31-84b2-bec599b321a0_Method">
    <vt:lpwstr>Standard</vt:lpwstr>
  </property>
  <property fmtid="{D5CDD505-2E9C-101B-9397-08002B2CF9AE}" pid="10" name="MSIP_Label_bc3dd1c7-2c40-4a31-84b2-bec599b321a0_Name">
    <vt:lpwstr>bc3dd1c7-2c40-4a31-84b2-bec599b321a0</vt:lpwstr>
  </property>
  <property fmtid="{D5CDD505-2E9C-101B-9397-08002B2CF9AE}" pid="11" name="MSIP_Label_bc3dd1c7-2c40-4a31-84b2-bec599b321a0_SiteId">
    <vt:lpwstr>5b2a8fee-4c95-4bdc-8aae-196f8aacb1b6</vt:lpwstr>
  </property>
  <property fmtid="{D5CDD505-2E9C-101B-9397-08002B2CF9AE}" pid="12" name="MSIP_Label_bc3dd1c7-2c40-4a31-84b2-bec599b321a0_ActionId">
    <vt:lpwstr>4cea490f-0126-485d-95e1-e727b2a3f9b8</vt:lpwstr>
  </property>
  <property fmtid="{D5CDD505-2E9C-101B-9397-08002B2CF9AE}" pid="13" name="MSIP_Label_bc3dd1c7-2c40-4a31-84b2-bec599b321a0_ContentBits">
    <vt:lpwstr>0</vt:lpwstr>
  </property>
  <property fmtid="{D5CDD505-2E9C-101B-9397-08002B2CF9AE}" pid="14" name="MSIP_Label_bc3dd1c7-2c40-4a31-84b2-bec599b321a0_Tag">
    <vt:lpwstr>10, 3, 0, 1</vt:lpwstr>
  </property>
  <property fmtid="{D5CDD505-2E9C-101B-9397-08002B2CF9AE}" pid="15" name="_dlc_DocIdItemGuid">
    <vt:lpwstr>810a9956-7117-422b-968b-b9165848ba09</vt:lpwstr>
  </property>
</Properties>
</file>