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E5516B" w14:textId="4493547D" w:rsidR="00876793" w:rsidRPr="00440325" w:rsidRDefault="00876793" w:rsidP="003474EE">
      <w:pPr>
        <w:spacing w:after="0" w:line="240" w:lineRule="auto"/>
        <w:jc w:val="center"/>
        <w:rPr>
          <w:rFonts w:ascii="Times New Roman" w:eastAsia="Calibri" w:hAnsi="Times New Roman" w:cs="Times New Roman"/>
          <w:sz w:val="24"/>
          <w:szCs w:val="24"/>
          <w:lang w:val="es-ES_tradnl"/>
        </w:rPr>
      </w:pPr>
      <w:r w:rsidRPr="00440325">
        <w:rPr>
          <w:rFonts w:ascii="Times New Roman" w:eastAsia="Calibri" w:hAnsi="Times New Roman" w:cs="Times New Roman"/>
          <w:sz w:val="24"/>
          <w:szCs w:val="24"/>
          <w:lang w:val="es-ES_tradnl"/>
        </w:rPr>
        <w:t xml:space="preserve">Para más información </w:t>
      </w:r>
      <w:r w:rsidR="00E81690" w:rsidRPr="00440325">
        <w:rPr>
          <w:rFonts w:ascii="Times New Roman" w:eastAsia="Calibri" w:hAnsi="Times New Roman" w:cs="Times New Roman"/>
          <w:sz w:val="24"/>
          <w:szCs w:val="24"/>
          <w:lang w:val="es-ES_tradnl"/>
        </w:rPr>
        <w:t>sobre</w:t>
      </w:r>
      <w:r w:rsidRPr="00440325">
        <w:rPr>
          <w:rFonts w:ascii="Times New Roman" w:eastAsia="Calibri" w:hAnsi="Times New Roman" w:cs="Times New Roman"/>
          <w:sz w:val="24"/>
          <w:szCs w:val="24"/>
          <w:lang w:val="es-ES_tradnl"/>
        </w:rPr>
        <w:t xml:space="preserve"> cómo este cambio impactará su factura, llame al </w:t>
      </w:r>
      <w:r w:rsidR="00D0287B" w:rsidRPr="00440325">
        <w:rPr>
          <w:rFonts w:ascii="Times New Roman" w:hAnsi="Times New Roman" w:cs="Times New Roman"/>
          <w:sz w:val="24"/>
          <w:szCs w:val="24"/>
          <w:lang w:val="es-ES_tradnl"/>
        </w:rPr>
        <w:t>1-800-311-7343</w:t>
      </w:r>
    </w:p>
    <w:p w14:paraId="5F732329" w14:textId="77777777" w:rsidR="002A790E" w:rsidRPr="00440325" w:rsidRDefault="002A790E" w:rsidP="002A790E">
      <w:pPr>
        <w:spacing w:after="0" w:line="240" w:lineRule="auto"/>
        <w:jc w:val="center"/>
        <w:rPr>
          <w:rFonts w:ascii="Times New Roman" w:eastAsia="Calibri" w:hAnsi="Times New Roman" w:cs="Times New Roman"/>
          <w:i/>
          <w:iCs/>
          <w:color w:val="FF0000"/>
          <w:sz w:val="24"/>
          <w:szCs w:val="24"/>
          <w:lang w:val="es-ES_tradnl"/>
        </w:rPr>
      </w:pPr>
    </w:p>
    <w:p w14:paraId="369DF88F" w14:textId="715E0E25" w:rsidR="00FB2763" w:rsidRPr="00440325" w:rsidRDefault="007A5D82" w:rsidP="002A790E">
      <w:pPr>
        <w:spacing w:after="0" w:line="240" w:lineRule="auto"/>
        <w:jc w:val="center"/>
        <w:rPr>
          <w:rFonts w:ascii="Times New Roman" w:hAnsi="Times New Roman" w:cs="Times New Roman"/>
          <w:b/>
          <w:bCs/>
          <w:sz w:val="24"/>
          <w:szCs w:val="24"/>
          <w:lang w:val="es-ES_tradnl"/>
        </w:rPr>
      </w:pPr>
      <w:r w:rsidRPr="00440325">
        <w:rPr>
          <w:rFonts w:ascii="Times New Roman" w:hAnsi="Times New Roman" w:cs="Times New Roman"/>
          <w:b/>
          <w:bCs/>
          <w:sz w:val="24"/>
          <w:szCs w:val="24"/>
          <w:lang w:val="es-ES_tradnl"/>
        </w:rPr>
        <w:t>AVISO DE SOLICITUD</w:t>
      </w:r>
    </w:p>
    <w:p w14:paraId="3B8A9A45" w14:textId="0751FBB1" w:rsidR="00600BBA" w:rsidRPr="00440325" w:rsidRDefault="00273FAA" w:rsidP="7B0AE9EE">
      <w:pPr>
        <w:pStyle w:val="TableCaption"/>
        <w:keepNext w:val="0"/>
        <w:keepLines w:val="0"/>
        <w:spacing w:before="0" w:after="0" w:line="240" w:lineRule="auto"/>
        <w:rPr>
          <w:rFonts w:ascii="Times New Roman" w:hAnsi="Times New Roman" w:cs="Times New Roman"/>
          <w:caps w:val="0"/>
          <w:sz w:val="24"/>
          <w:szCs w:val="24"/>
          <w:lang w:val="es-ES_tradnl"/>
        </w:rPr>
      </w:pPr>
      <w:r w:rsidRPr="00440325">
        <w:rPr>
          <w:rFonts w:ascii="Times New Roman" w:hAnsi="Times New Roman" w:cs="Times New Roman"/>
          <w:bCs w:val="0"/>
          <w:caps w:val="0"/>
          <w:sz w:val="24"/>
          <w:szCs w:val="24"/>
          <w:lang w:val="es-ES_tradnl"/>
        </w:rPr>
        <w:t xml:space="preserve">PETICIÓN DE </w:t>
      </w:r>
      <w:r w:rsidR="00600BBA" w:rsidRPr="00440325">
        <w:rPr>
          <w:rFonts w:ascii="Times New Roman" w:hAnsi="Times New Roman" w:cs="Times New Roman"/>
          <w:caps w:val="0"/>
          <w:sz w:val="24"/>
          <w:szCs w:val="24"/>
          <w:lang w:val="es-ES_tradnl"/>
        </w:rPr>
        <w:t>SAN DIEGO GAS &amp; ELECTRIC COMPANY</w:t>
      </w:r>
      <w:r w:rsidR="006C1C1D" w:rsidRPr="00440325">
        <w:rPr>
          <w:rFonts w:ascii="Times New Roman" w:hAnsi="Times New Roman" w:cs="Times New Roman"/>
          <w:caps w:val="0"/>
          <w:sz w:val="24"/>
          <w:szCs w:val="24"/>
          <w:lang w:val="es-ES_tradnl"/>
        </w:rPr>
        <w:t xml:space="preserve"> A FIN DE </w:t>
      </w:r>
      <w:r w:rsidR="006C1C1D" w:rsidRPr="00440325">
        <w:rPr>
          <w:rFonts w:ascii="Times New Roman" w:hAnsi="Times New Roman" w:cs="Times New Roman"/>
          <w:caps w:val="0"/>
          <w:sz w:val="24"/>
          <w:szCs w:val="24"/>
          <w:lang w:val="es-ES_tradnl"/>
        </w:rPr>
        <w:br/>
        <w:t xml:space="preserve">AUMENTAR LAS TARIFAS </w:t>
      </w:r>
      <w:r w:rsidR="3C9F86BE" w:rsidRPr="00440325">
        <w:rPr>
          <w:rFonts w:ascii="Times New Roman" w:hAnsi="Times New Roman" w:cs="Times New Roman"/>
          <w:caps w:val="0"/>
          <w:sz w:val="24"/>
          <w:szCs w:val="24"/>
          <w:lang w:val="es-ES_tradnl"/>
        </w:rPr>
        <w:t>AS</w:t>
      </w:r>
      <w:r w:rsidR="000144E9" w:rsidRPr="00440325">
        <w:rPr>
          <w:rFonts w:ascii="Times New Roman" w:hAnsi="Times New Roman" w:cs="Times New Roman"/>
          <w:caps w:val="0"/>
          <w:sz w:val="24"/>
          <w:szCs w:val="24"/>
          <w:lang w:val="es-ES_tradnl"/>
        </w:rPr>
        <w:t xml:space="preserve">OCIADA CON LA FASE </w:t>
      </w:r>
      <w:r w:rsidR="56BAC0C0" w:rsidRPr="00440325">
        <w:rPr>
          <w:rFonts w:ascii="Times New Roman" w:hAnsi="Times New Roman" w:cs="Times New Roman"/>
          <w:caps w:val="0"/>
          <w:sz w:val="24"/>
          <w:szCs w:val="24"/>
          <w:lang w:val="es-ES_tradnl"/>
        </w:rPr>
        <w:t>3</w:t>
      </w:r>
      <w:r w:rsidR="3C9F86BE" w:rsidRPr="00440325">
        <w:rPr>
          <w:rFonts w:ascii="Times New Roman" w:hAnsi="Times New Roman" w:cs="Times New Roman"/>
          <w:caps w:val="0"/>
          <w:sz w:val="24"/>
          <w:szCs w:val="24"/>
          <w:lang w:val="es-ES_tradnl"/>
        </w:rPr>
        <w:t xml:space="preserve"> </w:t>
      </w:r>
      <w:r w:rsidR="00600BBA" w:rsidRPr="00440325">
        <w:rPr>
          <w:rFonts w:ascii="Times New Roman" w:hAnsi="Times New Roman" w:cs="Times New Roman"/>
          <w:sz w:val="24"/>
          <w:szCs w:val="24"/>
          <w:lang w:val="es-ES_tradnl"/>
        </w:rPr>
        <w:t>A.22-05-</w:t>
      </w:r>
      <w:r w:rsidR="00D837C5" w:rsidRPr="00440325">
        <w:rPr>
          <w:rFonts w:ascii="Times New Roman" w:hAnsi="Times New Roman" w:cs="Times New Roman"/>
          <w:sz w:val="24"/>
          <w:szCs w:val="24"/>
          <w:lang w:val="es-ES_tradnl"/>
        </w:rPr>
        <w:t>016</w:t>
      </w:r>
    </w:p>
    <w:p w14:paraId="27BE69B4" w14:textId="77777777" w:rsidR="008656A5" w:rsidRPr="00440325" w:rsidRDefault="008656A5" w:rsidP="002A790E">
      <w:pPr>
        <w:spacing w:after="0" w:line="240" w:lineRule="auto"/>
        <w:rPr>
          <w:rFonts w:ascii="Times New Roman" w:hAnsi="Times New Roman" w:cs="Times New Roman"/>
          <w:b/>
          <w:bCs/>
          <w:sz w:val="24"/>
          <w:szCs w:val="24"/>
          <w:lang w:val="es-ES_tradnl"/>
        </w:rPr>
      </w:pPr>
    </w:p>
    <w:p w14:paraId="7940A4BD" w14:textId="6ECFAC60" w:rsidR="0C6EBB1B" w:rsidRPr="00440325" w:rsidRDefault="00AA3F77" w:rsidP="002A790E">
      <w:pPr>
        <w:spacing w:after="0" w:line="240" w:lineRule="auto"/>
        <w:rPr>
          <w:rFonts w:ascii="Times New Roman" w:hAnsi="Times New Roman" w:cs="Times New Roman"/>
          <w:sz w:val="24"/>
          <w:szCs w:val="24"/>
          <w:lang w:val="es-ES_tradnl"/>
        </w:rPr>
      </w:pPr>
      <w:r w:rsidRPr="00440325">
        <w:rPr>
          <w:rFonts w:ascii="Times New Roman" w:eastAsia="Times New Roman" w:hAnsi="Times New Roman" w:cs="Times New Roman"/>
          <w:b/>
          <w:bCs/>
          <w:sz w:val="24"/>
          <w:szCs w:val="24"/>
          <w:lang w:val="es-ES_tradnl"/>
        </w:rPr>
        <w:t>¿Por qué estoy recibiendo este aviso</w:t>
      </w:r>
      <w:r w:rsidR="0C6EBB1B" w:rsidRPr="00440325">
        <w:rPr>
          <w:rFonts w:ascii="Times New Roman" w:hAnsi="Times New Roman" w:cs="Times New Roman"/>
          <w:b/>
          <w:bCs/>
          <w:sz w:val="24"/>
          <w:szCs w:val="24"/>
          <w:lang w:val="es-ES_tradnl"/>
        </w:rPr>
        <w:t xml:space="preserve">? </w:t>
      </w:r>
    </w:p>
    <w:p w14:paraId="3A8BB732" w14:textId="0A4DE0FA" w:rsidR="31064844" w:rsidRPr="00440325" w:rsidRDefault="00AA3F77" w:rsidP="7B0AE9EE">
      <w:pPr>
        <w:spacing w:after="0" w:line="240" w:lineRule="auto"/>
        <w:rPr>
          <w:rFonts w:ascii="Times New Roman" w:eastAsia="Calibri" w:hAnsi="Times New Roman" w:cs="Times New Roman"/>
          <w:sz w:val="24"/>
          <w:szCs w:val="24"/>
          <w:lang w:val="es-ES_tradnl"/>
        </w:rPr>
      </w:pPr>
      <w:r w:rsidRPr="00440325">
        <w:rPr>
          <w:rFonts w:ascii="Times New Roman" w:eastAsia="Calibri" w:hAnsi="Times New Roman" w:cs="Times New Roman"/>
          <w:sz w:val="24"/>
          <w:szCs w:val="24"/>
          <w:lang w:val="es-ES_tradnl"/>
        </w:rPr>
        <w:t>El 30 de abril de 2025</w:t>
      </w:r>
      <w:r w:rsidR="67047A50" w:rsidRPr="00440325">
        <w:rPr>
          <w:rFonts w:ascii="Times New Roman" w:eastAsia="Calibri" w:hAnsi="Times New Roman" w:cs="Times New Roman"/>
          <w:sz w:val="24"/>
          <w:szCs w:val="24"/>
          <w:lang w:val="es-ES_tradnl"/>
        </w:rPr>
        <w:t xml:space="preserve">, San Diego Gas and Electric® (SDG&amp;E®) </w:t>
      </w:r>
      <w:r w:rsidR="00BC0FEC" w:rsidRPr="00440325">
        <w:rPr>
          <w:rFonts w:ascii="Times New Roman" w:eastAsia="Times New Roman" w:hAnsi="Times New Roman" w:cs="Times New Roman"/>
          <w:sz w:val="24"/>
          <w:szCs w:val="24"/>
          <w:lang w:val="es-ES_tradnl"/>
        </w:rPr>
        <w:t xml:space="preserve">presentó ante la Comisión de Servicios Públicos de California (CPUC) una solicitud a fin de </w:t>
      </w:r>
      <w:r w:rsidR="00192B9D" w:rsidRPr="00440325">
        <w:rPr>
          <w:rFonts w:ascii="Times New Roman" w:eastAsia="Calibri" w:hAnsi="Times New Roman" w:cs="Times New Roman"/>
          <w:sz w:val="24"/>
          <w:szCs w:val="24"/>
          <w:lang w:val="es-ES_tradnl"/>
        </w:rPr>
        <w:t>recuperar los costos de mitigación de incendios tanto en sus tarifas de gas natural como en las de electricidad. En la solicitud se busca recuperar un total de $699.0 millones</w:t>
      </w:r>
      <w:r w:rsidR="00866F4C" w:rsidRPr="00440325">
        <w:rPr>
          <w:rFonts w:ascii="Times New Roman" w:eastAsia="Calibri" w:hAnsi="Times New Roman" w:cs="Times New Roman"/>
          <w:sz w:val="24"/>
          <w:szCs w:val="24"/>
          <w:lang w:val="es-ES_tradnl"/>
        </w:rPr>
        <w:t>.</w:t>
      </w:r>
    </w:p>
    <w:p w14:paraId="010FDF2B" w14:textId="77777777" w:rsidR="008656A5" w:rsidRPr="00440325" w:rsidRDefault="008656A5" w:rsidP="002A790E">
      <w:pPr>
        <w:spacing w:after="0" w:line="240" w:lineRule="auto"/>
        <w:rPr>
          <w:rFonts w:ascii="Times New Roman" w:hAnsi="Times New Roman" w:cs="Times New Roman"/>
          <w:b/>
          <w:bCs/>
          <w:sz w:val="24"/>
          <w:szCs w:val="24"/>
          <w:lang w:val="es-ES_tradnl"/>
        </w:rPr>
      </w:pPr>
    </w:p>
    <w:p w14:paraId="4EB99824" w14:textId="6B634F0B" w:rsidR="4E5FCC20" w:rsidRPr="00440325" w:rsidRDefault="00C472CF" w:rsidP="002A790E">
      <w:pPr>
        <w:spacing w:after="0" w:line="240" w:lineRule="auto"/>
        <w:rPr>
          <w:rFonts w:ascii="Times New Roman" w:hAnsi="Times New Roman" w:cs="Times New Roman"/>
          <w:b/>
          <w:bCs/>
          <w:sz w:val="24"/>
          <w:szCs w:val="24"/>
          <w:lang w:val="es-ES_tradnl"/>
        </w:rPr>
      </w:pPr>
      <w:r w:rsidRPr="00440325">
        <w:rPr>
          <w:rFonts w:ascii="Times New Roman" w:eastAsia="Times New Roman" w:hAnsi="Times New Roman" w:cs="Times New Roman"/>
          <w:b/>
          <w:bCs/>
          <w:sz w:val="24"/>
          <w:szCs w:val="24"/>
          <w:lang w:val="es-ES_tradnl"/>
        </w:rPr>
        <w:t>¿Por qué está solicitando SDG&amp;E este cambio tarifario</w:t>
      </w:r>
      <w:r w:rsidR="2E61B07B" w:rsidRPr="00440325">
        <w:rPr>
          <w:rFonts w:ascii="Times New Roman" w:hAnsi="Times New Roman" w:cs="Times New Roman"/>
          <w:b/>
          <w:bCs/>
          <w:sz w:val="24"/>
          <w:szCs w:val="24"/>
          <w:lang w:val="es-ES_tradnl"/>
        </w:rPr>
        <w:t>?</w:t>
      </w:r>
    </w:p>
    <w:p w14:paraId="0C1EE1C7" w14:textId="237B5DE2" w:rsidR="00240032" w:rsidRPr="00440325" w:rsidRDefault="00F26565" w:rsidP="2C2625ED">
      <w:pPr>
        <w:spacing w:after="240"/>
        <w:rPr>
          <w:rFonts w:ascii="Times New Roman" w:eastAsia="Times New Roman" w:hAnsi="Times New Roman" w:cs="Times New Roman"/>
          <w:sz w:val="24"/>
          <w:szCs w:val="24"/>
          <w:lang w:val="es-ES_tradnl"/>
        </w:rPr>
      </w:pPr>
      <w:r w:rsidRPr="00440325">
        <w:rPr>
          <w:rFonts w:ascii="Times New Roman" w:eastAsia="Times New Roman" w:hAnsi="Times New Roman" w:cs="Times New Roman"/>
          <w:sz w:val="24"/>
          <w:szCs w:val="24"/>
          <w:lang w:val="es-ES_tradnl"/>
        </w:rPr>
        <w:t xml:space="preserve">En respuesta a los incendios catastróficos que ocurrieron en California en 2017 y 2018, la Legislatura de California ordenó a todas las empresas de servicios </w:t>
      </w:r>
      <w:r w:rsidR="00227118">
        <w:rPr>
          <w:rFonts w:ascii="Times New Roman" w:eastAsia="Times New Roman" w:hAnsi="Times New Roman" w:cs="Times New Roman"/>
          <w:sz w:val="24"/>
          <w:szCs w:val="24"/>
          <w:lang w:val="es-ES_tradnl"/>
        </w:rPr>
        <w:t>públicos de electricidad</w:t>
      </w:r>
      <w:r w:rsidRPr="00440325">
        <w:rPr>
          <w:rFonts w:ascii="Times New Roman" w:eastAsia="Times New Roman" w:hAnsi="Times New Roman" w:cs="Times New Roman"/>
          <w:sz w:val="24"/>
          <w:szCs w:val="24"/>
          <w:lang w:val="es-ES_tradnl"/>
        </w:rPr>
        <w:t xml:space="preserve"> que reforzaran la mitigación de incendios mediante Planes de Mitigación de Incendios aprobados. Como parte de su Plan de Mitigación de Incendios 2023 aprobado, SDG&amp;E realizó esfuerzos para reforzar el sistema eléctrico, llevar a cabo más inspecciones y reparaciones, y promover la resiliencia del Sistema de Corte de Energía por Seguridad Pública (</w:t>
      </w:r>
      <w:proofErr w:type="spellStart"/>
      <w:r w:rsidRPr="00C07CE8">
        <w:rPr>
          <w:rFonts w:ascii="Times New Roman" w:eastAsia="Times New Roman" w:hAnsi="Times New Roman" w:cs="Times New Roman"/>
          <w:i/>
          <w:iCs/>
          <w:sz w:val="24"/>
          <w:szCs w:val="24"/>
          <w:lang w:val="es-ES_tradnl"/>
        </w:rPr>
        <w:t>Public</w:t>
      </w:r>
      <w:proofErr w:type="spellEnd"/>
      <w:r w:rsidRPr="00C07CE8">
        <w:rPr>
          <w:rFonts w:ascii="Times New Roman" w:eastAsia="Times New Roman" w:hAnsi="Times New Roman" w:cs="Times New Roman"/>
          <w:i/>
          <w:iCs/>
          <w:sz w:val="24"/>
          <w:szCs w:val="24"/>
          <w:lang w:val="es-ES_tradnl"/>
        </w:rPr>
        <w:t xml:space="preserve"> Safety </w:t>
      </w:r>
      <w:proofErr w:type="spellStart"/>
      <w:r w:rsidRPr="00C07CE8">
        <w:rPr>
          <w:rFonts w:ascii="Times New Roman" w:eastAsia="Times New Roman" w:hAnsi="Times New Roman" w:cs="Times New Roman"/>
          <w:i/>
          <w:iCs/>
          <w:sz w:val="24"/>
          <w:szCs w:val="24"/>
          <w:lang w:val="es-ES_tradnl"/>
        </w:rPr>
        <w:t>Power</w:t>
      </w:r>
      <w:proofErr w:type="spellEnd"/>
      <w:r w:rsidRPr="00C07CE8">
        <w:rPr>
          <w:rFonts w:ascii="Times New Roman" w:eastAsia="Times New Roman" w:hAnsi="Times New Roman" w:cs="Times New Roman"/>
          <w:i/>
          <w:iCs/>
          <w:sz w:val="24"/>
          <w:szCs w:val="24"/>
          <w:lang w:val="es-ES_tradnl"/>
        </w:rPr>
        <w:t xml:space="preserve"> </w:t>
      </w:r>
      <w:proofErr w:type="spellStart"/>
      <w:r w:rsidRPr="00C07CE8">
        <w:rPr>
          <w:rFonts w:ascii="Times New Roman" w:eastAsia="Times New Roman" w:hAnsi="Times New Roman" w:cs="Times New Roman"/>
          <w:i/>
          <w:iCs/>
          <w:sz w:val="24"/>
          <w:szCs w:val="24"/>
          <w:lang w:val="es-ES_tradnl"/>
        </w:rPr>
        <w:t>Shutoff</w:t>
      </w:r>
      <w:proofErr w:type="spellEnd"/>
      <w:r w:rsidRPr="00440325">
        <w:rPr>
          <w:rFonts w:ascii="Times New Roman" w:eastAsia="Times New Roman" w:hAnsi="Times New Roman" w:cs="Times New Roman"/>
          <w:sz w:val="24"/>
          <w:szCs w:val="24"/>
          <w:lang w:val="es-ES_tradnl"/>
        </w:rPr>
        <w:t>, PSPS) para las comunidades. Los costos de este Plan de Mitigación de Incendios se registraron en una cuenta de memor</w:t>
      </w:r>
      <w:r w:rsidR="00C07CE8">
        <w:rPr>
          <w:rFonts w:ascii="Times New Roman" w:eastAsia="Times New Roman" w:hAnsi="Times New Roman" w:cs="Times New Roman"/>
          <w:sz w:val="24"/>
          <w:szCs w:val="24"/>
          <w:lang w:val="es-ES_tradnl"/>
        </w:rPr>
        <w:t>a</w:t>
      </w:r>
      <w:r w:rsidRPr="00440325">
        <w:rPr>
          <w:rFonts w:ascii="Times New Roman" w:eastAsia="Times New Roman" w:hAnsi="Times New Roman" w:cs="Times New Roman"/>
          <w:sz w:val="24"/>
          <w:szCs w:val="24"/>
          <w:lang w:val="es-ES_tradnl"/>
        </w:rPr>
        <w:t>ndo autorizada por la CPUC. SDG&amp;E solicita ahora recuperar esos costos en las tarifas de electricidad y gas.</w:t>
      </w:r>
      <w:r w:rsidR="00240032" w:rsidRPr="00440325">
        <w:rPr>
          <w:rStyle w:val="FootnoteReference"/>
          <w:rFonts w:ascii="Times New Roman" w:eastAsia="Times New Roman" w:hAnsi="Times New Roman" w:cs="Times New Roman"/>
          <w:sz w:val="24"/>
          <w:szCs w:val="24"/>
          <w:lang w:val="es-ES_tradnl"/>
        </w:rPr>
        <w:footnoteReference w:id="2"/>
      </w:r>
    </w:p>
    <w:p w14:paraId="6CADF394" w14:textId="56E11183" w:rsidR="542CAB82" w:rsidRPr="00440325" w:rsidRDefault="542CAB82" w:rsidP="0B3120DB">
      <w:pPr>
        <w:spacing w:after="240" w:line="257" w:lineRule="auto"/>
        <w:rPr>
          <w:sz w:val="24"/>
          <w:szCs w:val="24"/>
          <w:lang w:val="es-ES_tradnl"/>
        </w:rPr>
      </w:pPr>
    </w:p>
    <w:p w14:paraId="6685AD18" w14:textId="77777777" w:rsidR="00926EB2" w:rsidRPr="00440325" w:rsidRDefault="00926EB2">
      <w:pPr>
        <w:rPr>
          <w:rFonts w:ascii="Times New Roman" w:eastAsia="Times New Roman" w:hAnsi="Times New Roman" w:cs="Times New Roman"/>
          <w:sz w:val="24"/>
          <w:szCs w:val="24"/>
          <w:u w:val="single"/>
          <w:lang w:val="es-ES_tradnl"/>
        </w:rPr>
      </w:pPr>
      <w:r w:rsidRPr="00440325">
        <w:rPr>
          <w:rFonts w:ascii="Times New Roman" w:eastAsia="Times New Roman" w:hAnsi="Times New Roman" w:cs="Times New Roman"/>
          <w:sz w:val="24"/>
          <w:szCs w:val="24"/>
          <w:u w:val="single"/>
          <w:lang w:val="es-ES_tradnl"/>
        </w:rPr>
        <w:br w:type="page"/>
      </w:r>
    </w:p>
    <w:p w14:paraId="7A98C665" w14:textId="460104CA" w:rsidR="4E5FCC20" w:rsidRPr="00440325" w:rsidRDefault="00746773" w:rsidP="00406310">
      <w:pPr>
        <w:spacing w:after="0" w:line="240" w:lineRule="auto"/>
        <w:rPr>
          <w:rFonts w:ascii="Times New Roman" w:hAnsi="Times New Roman" w:cs="Times New Roman"/>
          <w:b/>
          <w:bCs/>
          <w:sz w:val="24"/>
          <w:szCs w:val="24"/>
          <w:lang w:val="es-ES_tradnl"/>
        </w:rPr>
      </w:pPr>
      <w:r w:rsidRPr="00440325">
        <w:rPr>
          <w:rFonts w:ascii="Times New Roman" w:hAnsi="Times New Roman" w:cs="Times New Roman"/>
          <w:b/>
          <w:bCs/>
          <w:sz w:val="24"/>
          <w:szCs w:val="24"/>
          <w:lang w:val="es-ES_tradnl"/>
        </w:rPr>
        <w:lastRenderedPageBreak/>
        <w:t>¿Cómo podría esto afectar mis tarifas eléctricas</w:t>
      </w:r>
      <w:r w:rsidR="4E5FCC20" w:rsidRPr="00440325">
        <w:rPr>
          <w:rFonts w:ascii="Times New Roman" w:hAnsi="Times New Roman" w:cs="Times New Roman"/>
          <w:b/>
          <w:bCs/>
          <w:sz w:val="24"/>
          <w:szCs w:val="24"/>
          <w:lang w:val="es-ES_tradnl"/>
        </w:rPr>
        <w:t xml:space="preserve">? </w:t>
      </w:r>
    </w:p>
    <w:p w14:paraId="447E1916" w14:textId="1B056856" w:rsidR="3727DD72" w:rsidRPr="00440325" w:rsidRDefault="008A135C" w:rsidP="00383B84">
      <w:pPr>
        <w:spacing w:after="0" w:line="240" w:lineRule="auto"/>
        <w:rPr>
          <w:rFonts w:ascii="Times New Roman" w:eastAsia="Calibri" w:hAnsi="Times New Roman" w:cs="Times New Roman"/>
          <w:sz w:val="24"/>
          <w:szCs w:val="24"/>
          <w:lang w:val="es-ES_tradnl"/>
        </w:rPr>
      </w:pPr>
      <w:r w:rsidRPr="00440325">
        <w:rPr>
          <w:rFonts w:ascii="Times New Roman" w:eastAsia="Calibri" w:hAnsi="Times New Roman" w:cs="Times New Roman"/>
          <w:sz w:val="24"/>
          <w:szCs w:val="24"/>
          <w:lang w:val="es-ES_tradnl"/>
        </w:rPr>
        <w:t>Las tablas a continuación ilustran el impacto de las propuestas de SDG&amp;E en la tarifa de suministro eléctrico de SDG&amp;E y en las tarifas totales de servicio en paquete de SDG&amp;E (suministro eléctrico más electricidad como producto básico)</w:t>
      </w:r>
      <w:r w:rsidR="3727DD72" w:rsidRPr="00440325">
        <w:rPr>
          <w:rFonts w:ascii="Times New Roman" w:eastAsia="Calibri" w:hAnsi="Times New Roman" w:cs="Times New Roman"/>
          <w:sz w:val="24"/>
          <w:szCs w:val="24"/>
          <w:lang w:val="es-ES_tradnl"/>
        </w:rPr>
        <w:t>.</w:t>
      </w:r>
    </w:p>
    <w:p w14:paraId="64C7EDEB" w14:textId="76FF43A0" w:rsidR="449977F3" w:rsidRPr="00440325" w:rsidRDefault="449977F3" w:rsidP="449977F3">
      <w:pPr>
        <w:spacing w:after="0" w:line="240" w:lineRule="auto"/>
        <w:rPr>
          <w:rFonts w:ascii="Times New Roman" w:eastAsia="Times New Roman" w:hAnsi="Times New Roman" w:cs="Times New Roman"/>
          <w:sz w:val="24"/>
          <w:szCs w:val="24"/>
          <w:lang w:val="es-ES_tradnl"/>
        </w:rPr>
      </w:pPr>
    </w:p>
    <w:p w14:paraId="4F7FB1F9" w14:textId="6C1EC312" w:rsidR="3C99AC56" w:rsidRPr="00440325" w:rsidRDefault="008B1EEB" w:rsidP="449977F3">
      <w:pPr>
        <w:spacing w:after="0" w:line="240" w:lineRule="auto"/>
        <w:rPr>
          <w:rFonts w:ascii="Times New Roman" w:eastAsia="Times New Roman" w:hAnsi="Times New Roman" w:cs="Times New Roman"/>
          <w:sz w:val="24"/>
          <w:szCs w:val="24"/>
          <w:vertAlign w:val="superscript"/>
          <w:lang w:val="es-ES_tradnl"/>
        </w:rPr>
      </w:pPr>
      <w:r w:rsidRPr="00440325">
        <w:rPr>
          <w:rFonts w:ascii="Times New Roman" w:eastAsia="Times New Roman" w:hAnsi="Times New Roman" w:cs="Times New Roman"/>
          <w:sz w:val="24"/>
          <w:szCs w:val="24"/>
          <w:lang w:val="es-ES_tradnl"/>
        </w:rPr>
        <w:t>Si recibe su generación eléctrica de un proveedor de servicios de energía (</w:t>
      </w:r>
      <w:r w:rsidRPr="00440325">
        <w:rPr>
          <w:rFonts w:ascii="Times New Roman" w:eastAsia="Times New Roman" w:hAnsi="Times New Roman" w:cs="Times New Roman"/>
          <w:i/>
          <w:iCs/>
          <w:sz w:val="24"/>
          <w:szCs w:val="24"/>
          <w:lang w:val="es-ES_tradnl"/>
        </w:rPr>
        <w:t xml:space="preserve">Energy </w:t>
      </w:r>
      <w:proofErr w:type="spellStart"/>
      <w:r w:rsidRPr="00440325">
        <w:rPr>
          <w:rFonts w:ascii="Times New Roman" w:eastAsia="Times New Roman" w:hAnsi="Times New Roman" w:cs="Times New Roman"/>
          <w:i/>
          <w:iCs/>
          <w:sz w:val="24"/>
          <w:szCs w:val="24"/>
          <w:lang w:val="es-ES_tradnl"/>
        </w:rPr>
        <w:t>Service</w:t>
      </w:r>
      <w:proofErr w:type="spellEnd"/>
      <w:r w:rsidRPr="00440325">
        <w:rPr>
          <w:rFonts w:ascii="Times New Roman" w:eastAsia="Times New Roman" w:hAnsi="Times New Roman" w:cs="Times New Roman"/>
          <w:i/>
          <w:iCs/>
          <w:sz w:val="24"/>
          <w:szCs w:val="24"/>
          <w:lang w:val="es-ES_tradnl"/>
        </w:rPr>
        <w:t xml:space="preserve"> </w:t>
      </w:r>
      <w:proofErr w:type="spellStart"/>
      <w:r w:rsidRPr="00440325">
        <w:rPr>
          <w:rFonts w:ascii="Times New Roman" w:eastAsia="Times New Roman" w:hAnsi="Times New Roman" w:cs="Times New Roman"/>
          <w:i/>
          <w:iCs/>
          <w:sz w:val="24"/>
          <w:szCs w:val="24"/>
          <w:lang w:val="es-ES_tradnl"/>
        </w:rPr>
        <w:t>Provider</w:t>
      </w:r>
      <w:proofErr w:type="spellEnd"/>
      <w:r w:rsidRPr="00440325">
        <w:rPr>
          <w:rFonts w:ascii="Times New Roman" w:eastAsia="Times New Roman" w:hAnsi="Times New Roman" w:cs="Times New Roman"/>
          <w:sz w:val="24"/>
          <w:szCs w:val="24"/>
          <w:lang w:val="es-ES_tradnl"/>
        </w:rPr>
        <w:t xml:space="preserve">, ESP) distinto de SDG&amp;E, se le considera un cliente </w:t>
      </w:r>
      <w:r w:rsidR="00A9149C" w:rsidRPr="00440325">
        <w:rPr>
          <w:rFonts w:ascii="Times New Roman" w:eastAsia="Times New Roman" w:hAnsi="Times New Roman" w:cs="Times New Roman"/>
          <w:sz w:val="24"/>
          <w:szCs w:val="24"/>
          <w:lang w:val="es-ES_tradnl"/>
        </w:rPr>
        <w:t>“</w:t>
      </w:r>
      <w:r w:rsidR="006118FF">
        <w:rPr>
          <w:rFonts w:ascii="Times New Roman" w:eastAsia="Times New Roman" w:hAnsi="Times New Roman" w:cs="Times New Roman"/>
          <w:sz w:val="24"/>
          <w:szCs w:val="24"/>
          <w:lang w:val="es-ES_tradnl"/>
        </w:rPr>
        <w:t>con</w:t>
      </w:r>
      <w:r w:rsidRPr="00440325">
        <w:rPr>
          <w:rFonts w:ascii="Times New Roman" w:eastAsia="Times New Roman" w:hAnsi="Times New Roman" w:cs="Times New Roman"/>
          <w:sz w:val="24"/>
          <w:szCs w:val="24"/>
          <w:lang w:val="es-ES_tradnl"/>
        </w:rPr>
        <w:t xml:space="preserve"> servicio no en paquete</w:t>
      </w:r>
      <w:r w:rsidR="00A9149C" w:rsidRPr="00440325">
        <w:rPr>
          <w:rFonts w:ascii="Times New Roman" w:eastAsia="Times New Roman" w:hAnsi="Times New Roman" w:cs="Times New Roman"/>
          <w:sz w:val="24"/>
          <w:szCs w:val="24"/>
          <w:lang w:val="es-ES_tradnl"/>
        </w:rPr>
        <w:t>”</w:t>
      </w:r>
      <w:r w:rsidRPr="00440325">
        <w:rPr>
          <w:rFonts w:ascii="Times New Roman" w:eastAsia="Times New Roman" w:hAnsi="Times New Roman" w:cs="Times New Roman"/>
          <w:sz w:val="24"/>
          <w:szCs w:val="24"/>
          <w:lang w:val="es-ES_tradnl"/>
        </w:rPr>
        <w:t xml:space="preserve">. Si la CPUC aprueba la solicitud tarifaria de SDG&amp;E, la factura mensual residencial promedio de un cliente típico </w:t>
      </w:r>
      <w:r w:rsidR="006118FF">
        <w:rPr>
          <w:rFonts w:ascii="Times New Roman" w:eastAsia="Times New Roman" w:hAnsi="Times New Roman" w:cs="Times New Roman"/>
          <w:sz w:val="24"/>
          <w:szCs w:val="24"/>
          <w:lang w:val="es-ES_tradnl"/>
        </w:rPr>
        <w:t>con</w:t>
      </w:r>
      <w:r w:rsidRPr="00440325">
        <w:rPr>
          <w:rFonts w:ascii="Times New Roman" w:eastAsia="Times New Roman" w:hAnsi="Times New Roman" w:cs="Times New Roman"/>
          <w:sz w:val="24"/>
          <w:szCs w:val="24"/>
          <w:lang w:val="es-ES_tradnl"/>
        </w:rPr>
        <w:t xml:space="preserve"> servicio no en paquete que consume 400 kWh al mes aumentaría aproximadamente $2.93 o 3.4% al mes en 2027</w:t>
      </w:r>
      <w:r w:rsidR="3C99AC56" w:rsidRPr="00440325">
        <w:rPr>
          <w:rFonts w:ascii="Times New Roman" w:eastAsia="Times New Roman" w:hAnsi="Times New Roman" w:cs="Times New Roman"/>
          <w:sz w:val="24"/>
          <w:szCs w:val="24"/>
          <w:lang w:val="es-ES_tradnl"/>
        </w:rPr>
        <w:t>.</w:t>
      </w:r>
      <w:r w:rsidR="3C99AC56" w:rsidRPr="00440325">
        <w:rPr>
          <w:rStyle w:val="FootnoteReference"/>
          <w:rFonts w:ascii="Times New Roman" w:eastAsia="Times New Roman" w:hAnsi="Times New Roman" w:cs="Times New Roman"/>
          <w:sz w:val="24"/>
          <w:szCs w:val="24"/>
          <w:lang w:val="es-ES_tradnl"/>
        </w:rPr>
        <w:footnoteReference w:id="3"/>
      </w:r>
    </w:p>
    <w:p w14:paraId="7BEC797E" w14:textId="2EEDF2EB" w:rsidR="449977F3" w:rsidRPr="00440325" w:rsidRDefault="449977F3" w:rsidP="449977F3">
      <w:pPr>
        <w:spacing w:after="0" w:line="240" w:lineRule="auto"/>
        <w:rPr>
          <w:rFonts w:ascii="Times New Roman" w:eastAsia="Calibri" w:hAnsi="Times New Roman" w:cs="Times New Roman"/>
          <w:sz w:val="24"/>
          <w:szCs w:val="24"/>
          <w:lang w:val="es-ES_tradnl"/>
        </w:rPr>
      </w:pPr>
    </w:p>
    <w:p w14:paraId="7AF454BE" w14:textId="0CC0454D" w:rsidR="00945DCD" w:rsidRPr="00440325" w:rsidRDefault="00A21E2B" w:rsidP="00945DCD">
      <w:pPr>
        <w:rPr>
          <w:rFonts w:ascii="Times New Roman" w:eastAsia="Times New Roman" w:hAnsi="Times New Roman" w:cs="Times New Roman"/>
          <w:sz w:val="24"/>
          <w:szCs w:val="24"/>
          <w:vertAlign w:val="superscript"/>
          <w:lang w:val="es-ES_tradnl"/>
        </w:rPr>
      </w:pPr>
      <w:r w:rsidRPr="00440325">
        <w:rPr>
          <w:rFonts w:ascii="Times New Roman" w:eastAsia="Times New Roman" w:hAnsi="Times New Roman" w:cs="Times New Roman"/>
          <w:sz w:val="24"/>
          <w:szCs w:val="24"/>
          <w:lang w:val="es-ES_tradnl"/>
        </w:rPr>
        <w:t xml:space="preserve">Si recibe su generación eléctrica de SDG&amp;E, se le considera un cliente de </w:t>
      </w:r>
      <w:r w:rsidR="00D945F1">
        <w:rPr>
          <w:rFonts w:ascii="Times New Roman" w:eastAsia="Times New Roman" w:hAnsi="Times New Roman" w:cs="Times New Roman"/>
          <w:sz w:val="24"/>
          <w:szCs w:val="24"/>
          <w:lang w:val="es-ES_tradnl"/>
        </w:rPr>
        <w:t>“</w:t>
      </w:r>
      <w:r w:rsidRPr="00440325">
        <w:rPr>
          <w:rFonts w:ascii="Times New Roman" w:eastAsia="Times New Roman" w:hAnsi="Times New Roman" w:cs="Times New Roman"/>
          <w:sz w:val="24"/>
          <w:szCs w:val="24"/>
          <w:lang w:val="es-ES_tradnl"/>
        </w:rPr>
        <w:t>servicio en paquete</w:t>
      </w:r>
      <w:r w:rsidR="00D945F1">
        <w:rPr>
          <w:rFonts w:ascii="Times New Roman" w:eastAsia="Times New Roman" w:hAnsi="Times New Roman" w:cs="Times New Roman"/>
          <w:sz w:val="24"/>
          <w:szCs w:val="24"/>
          <w:lang w:val="es-ES_tradnl"/>
        </w:rPr>
        <w:t>”</w:t>
      </w:r>
      <w:r w:rsidRPr="00440325">
        <w:rPr>
          <w:rFonts w:ascii="Times New Roman" w:eastAsia="Times New Roman" w:hAnsi="Times New Roman" w:cs="Times New Roman"/>
          <w:sz w:val="24"/>
          <w:szCs w:val="24"/>
          <w:lang w:val="es-ES_tradnl"/>
        </w:rPr>
        <w:t xml:space="preserve">. Si la CPUC aprueba la solicitud tarifaria de SDG&amp;E, la factura mensual residencial promedio de un cliente típico </w:t>
      </w:r>
      <w:r w:rsidR="006118FF">
        <w:rPr>
          <w:rFonts w:ascii="Times New Roman" w:eastAsia="Times New Roman" w:hAnsi="Times New Roman" w:cs="Times New Roman"/>
          <w:sz w:val="24"/>
          <w:szCs w:val="24"/>
          <w:lang w:val="es-ES_tradnl"/>
        </w:rPr>
        <w:t>con</w:t>
      </w:r>
      <w:r w:rsidRPr="00440325">
        <w:rPr>
          <w:rFonts w:ascii="Times New Roman" w:eastAsia="Times New Roman" w:hAnsi="Times New Roman" w:cs="Times New Roman"/>
          <w:sz w:val="24"/>
          <w:szCs w:val="24"/>
          <w:lang w:val="es-ES_tradnl"/>
        </w:rPr>
        <w:t xml:space="preserve"> servicio en paquete que consume 400 kWh al mes aumentaría aproximadamente $2.93 o 1.9% al mes</w:t>
      </w:r>
      <w:r w:rsidR="00945DCD" w:rsidRPr="00440325">
        <w:rPr>
          <w:rFonts w:ascii="Times New Roman" w:eastAsia="Times New Roman" w:hAnsi="Times New Roman" w:cs="Times New Roman"/>
          <w:sz w:val="24"/>
          <w:szCs w:val="24"/>
          <w:lang w:val="es-ES_tradnl"/>
        </w:rPr>
        <w:t>.</w:t>
      </w:r>
      <w:r w:rsidR="00945DCD" w:rsidRPr="00440325">
        <w:rPr>
          <w:rStyle w:val="FootnoteReference"/>
          <w:rFonts w:ascii="Times New Roman" w:eastAsia="Times New Roman" w:hAnsi="Times New Roman" w:cs="Times New Roman"/>
          <w:sz w:val="24"/>
          <w:szCs w:val="24"/>
          <w:lang w:val="es-ES_tradnl"/>
        </w:rPr>
        <w:footnoteReference w:id="4"/>
      </w:r>
    </w:p>
    <w:p w14:paraId="79E90609" w14:textId="77777777" w:rsidR="00945DCD" w:rsidRPr="00440325" w:rsidRDefault="00945DCD" w:rsidP="449977F3">
      <w:pPr>
        <w:spacing w:after="0" w:line="240" w:lineRule="auto"/>
        <w:rPr>
          <w:rFonts w:ascii="Times New Roman" w:eastAsia="Calibri" w:hAnsi="Times New Roman" w:cs="Times New Roman"/>
          <w:sz w:val="24"/>
          <w:szCs w:val="24"/>
          <w:lang w:val="es-ES_tradnl"/>
        </w:rPr>
      </w:pPr>
    </w:p>
    <w:p w14:paraId="5493C442" w14:textId="32C83DBD" w:rsidR="449977F3" w:rsidRPr="00440325" w:rsidRDefault="449977F3">
      <w:pPr>
        <w:rPr>
          <w:sz w:val="24"/>
          <w:szCs w:val="24"/>
          <w:lang w:val="es-ES_tradnl"/>
        </w:rPr>
      </w:pPr>
      <w:r w:rsidRPr="00440325">
        <w:rPr>
          <w:sz w:val="24"/>
          <w:szCs w:val="24"/>
          <w:lang w:val="es-ES_tradnl"/>
        </w:rPr>
        <w:br w:type="page"/>
      </w:r>
    </w:p>
    <w:p w14:paraId="62D1B48C" w14:textId="0E20B4F4" w:rsidR="00A06171" w:rsidRPr="00440325" w:rsidRDefault="00ED44A1" w:rsidP="7B0AE9EE">
      <w:pPr>
        <w:spacing w:after="0" w:line="240" w:lineRule="auto"/>
        <w:jc w:val="center"/>
        <w:rPr>
          <w:sz w:val="24"/>
          <w:szCs w:val="24"/>
          <w:lang w:val="es-ES_tradnl"/>
        </w:rPr>
      </w:pPr>
      <w:r w:rsidRPr="00440325">
        <w:rPr>
          <w:rFonts w:ascii="Times New Roman" w:eastAsia="Times New Roman" w:hAnsi="Times New Roman" w:cs="Times New Roman"/>
          <w:sz w:val="24"/>
          <w:szCs w:val="24"/>
          <w:u w:val="single"/>
          <w:lang w:val="es-ES_tradnl"/>
        </w:rPr>
        <w:lastRenderedPageBreak/>
        <w:t>Aumento propuesto en la tarifa de suministro eléctrico</w:t>
      </w:r>
    </w:p>
    <w:tbl>
      <w:tblPr>
        <w:tblStyle w:val="TableGrid"/>
        <w:tblW w:w="0" w:type="auto"/>
        <w:tblLayout w:type="fixed"/>
        <w:tblLook w:val="06A0" w:firstRow="1" w:lastRow="0" w:firstColumn="1" w:lastColumn="0" w:noHBand="1" w:noVBand="1"/>
      </w:tblPr>
      <w:tblGrid>
        <w:gridCol w:w="1810"/>
        <w:gridCol w:w="1869"/>
        <w:gridCol w:w="1813"/>
        <w:gridCol w:w="1470"/>
        <w:gridCol w:w="1455"/>
      </w:tblGrid>
      <w:tr w:rsidR="7B0AE9EE" w:rsidRPr="00227118" w14:paraId="3429866F" w14:textId="77777777" w:rsidTr="449977F3">
        <w:trPr>
          <w:trHeight w:val="1605"/>
        </w:trPr>
        <w:tc>
          <w:tcPr>
            <w:tcW w:w="1810" w:type="dxa"/>
            <w:tcBorders>
              <w:top w:val="nil"/>
              <w:left w:val="nil"/>
              <w:bottom w:val="single" w:sz="8" w:space="0" w:color="auto"/>
              <w:right w:val="nil"/>
            </w:tcBorders>
            <w:shd w:val="clear" w:color="auto" w:fill="FFFFFF" w:themeFill="background1"/>
            <w:tcMar>
              <w:left w:w="108" w:type="dxa"/>
              <w:right w:w="108" w:type="dxa"/>
            </w:tcMar>
            <w:vAlign w:val="center"/>
          </w:tcPr>
          <w:p w14:paraId="58ABDFA4" w14:textId="304E675B" w:rsidR="7B0AE9EE" w:rsidRPr="00440325" w:rsidRDefault="005932BE" w:rsidP="7B0AE9EE">
            <w:pPr>
              <w:rPr>
                <w:sz w:val="24"/>
                <w:szCs w:val="24"/>
                <w:lang w:val="es-ES_tradnl"/>
              </w:rPr>
            </w:pPr>
            <w:r w:rsidRPr="00440325">
              <w:rPr>
                <w:rFonts w:ascii="Times New Roman" w:eastAsia="Times New Roman" w:hAnsi="Times New Roman" w:cs="Times New Roman"/>
                <w:b/>
                <w:bCs/>
                <w:sz w:val="24"/>
                <w:szCs w:val="24"/>
                <w:lang w:val="es-ES_tradnl"/>
              </w:rPr>
              <w:t>Clase de cliente</w:t>
            </w:r>
          </w:p>
          <w:p w14:paraId="0DDE2FE2" w14:textId="3E284D83" w:rsidR="7B0AE9EE" w:rsidRPr="00440325" w:rsidRDefault="7B0AE9EE" w:rsidP="7B0AE9EE">
            <w:pPr>
              <w:rPr>
                <w:sz w:val="24"/>
                <w:szCs w:val="24"/>
                <w:lang w:val="es-ES_tradnl"/>
              </w:rPr>
            </w:pPr>
            <w:r w:rsidRPr="00440325">
              <w:rPr>
                <w:rFonts w:ascii="Times New Roman" w:eastAsia="Times New Roman" w:hAnsi="Times New Roman" w:cs="Times New Roman"/>
                <w:sz w:val="24"/>
                <w:szCs w:val="24"/>
                <w:lang w:val="es-ES_tradnl"/>
              </w:rPr>
              <w:t xml:space="preserve"> </w:t>
            </w:r>
          </w:p>
        </w:tc>
        <w:tc>
          <w:tcPr>
            <w:tcW w:w="1869" w:type="dxa"/>
            <w:tcBorders>
              <w:top w:val="nil"/>
              <w:left w:val="nil"/>
              <w:bottom w:val="single" w:sz="8" w:space="0" w:color="auto"/>
              <w:right w:val="nil"/>
            </w:tcBorders>
            <w:tcMar>
              <w:left w:w="108" w:type="dxa"/>
              <w:right w:w="108" w:type="dxa"/>
            </w:tcMar>
            <w:vAlign w:val="center"/>
          </w:tcPr>
          <w:p w14:paraId="590C2548" w14:textId="21CF11CE" w:rsidR="7B0AE9EE" w:rsidRPr="00440325" w:rsidRDefault="00955D8B" w:rsidP="7B0AE9EE">
            <w:pPr>
              <w:jc w:val="center"/>
              <w:rPr>
                <w:sz w:val="24"/>
                <w:szCs w:val="24"/>
                <w:lang w:val="es-ES_tradnl"/>
              </w:rPr>
            </w:pPr>
            <w:r w:rsidRPr="00440325">
              <w:rPr>
                <w:rFonts w:ascii="Times New Roman" w:eastAsia="Times New Roman" w:hAnsi="Times New Roman" w:cs="Times New Roman"/>
                <w:b/>
                <w:bCs/>
                <w:sz w:val="24"/>
                <w:szCs w:val="24"/>
                <w:lang w:val="es-ES_tradnl"/>
              </w:rPr>
              <w:t xml:space="preserve">Tarifas promedio actuales de suministro eléctrico por clase en vigor a partir del </w:t>
            </w:r>
            <w:r w:rsidR="7B0AE9EE" w:rsidRPr="00440325">
              <w:rPr>
                <w:rFonts w:ascii="Times New Roman" w:eastAsia="Times New Roman" w:hAnsi="Times New Roman" w:cs="Times New Roman"/>
                <w:b/>
                <w:bCs/>
                <w:sz w:val="24"/>
                <w:szCs w:val="24"/>
                <w:lang w:val="es-ES_tradnl"/>
              </w:rPr>
              <w:t>0</w:t>
            </w:r>
            <w:r w:rsidR="0097404D" w:rsidRPr="00440325">
              <w:rPr>
                <w:rFonts w:ascii="Times New Roman" w:eastAsia="Times New Roman" w:hAnsi="Times New Roman" w:cs="Times New Roman"/>
                <w:b/>
                <w:bCs/>
                <w:sz w:val="24"/>
                <w:szCs w:val="24"/>
                <w:lang w:val="es-ES_tradnl"/>
              </w:rPr>
              <w:t>2</w:t>
            </w:r>
            <w:r w:rsidR="7B0AE9EE" w:rsidRPr="00440325">
              <w:rPr>
                <w:rFonts w:ascii="Times New Roman" w:eastAsia="Times New Roman" w:hAnsi="Times New Roman" w:cs="Times New Roman"/>
                <w:b/>
                <w:bCs/>
                <w:sz w:val="24"/>
                <w:szCs w:val="24"/>
                <w:lang w:val="es-ES_tradnl"/>
              </w:rPr>
              <w:t>/01/2</w:t>
            </w:r>
            <w:r w:rsidR="0097404D" w:rsidRPr="00440325">
              <w:rPr>
                <w:rFonts w:ascii="Times New Roman" w:eastAsia="Times New Roman" w:hAnsi="Times New Roman" w:cs="Times New Roman"/>
                <w:b/>
                <w:bCs/>
                <w:sz w:val="24"/>
                <w:szCs w:val="24"/>
                <w:lang w:val="es-ES_tradnl"/>
              </w:rPr>
              <w:t>5</w:t>
            </w:r>
            <w:r w:rsidR="7B0AE9EE" w:rsidRPr="00440325">
              <w:rPr>
                <w:rFonts w:ascii="Times New Roman" w:eastAsia="Times New Roman" w:hAnsi="Times New Roman" w:cs="Times New Roman"/>
                <w:b/>
                <w:bCs/>
                <w:sz w:val="24"/>
                <w:szCs w:val="24"/>
                <w:vertAlign w:val="superscript"/>
                <w:lang w:val="es-ES_tradnl"/>
              </w:rPr>
              <w:t>1</w:t>
            </w:r>
            <w:r w:rsidR="7B0AE9EE" w:rsidRPr="00440325">
              <w:rPr>
                <w:rFonts w:ascii="Times New Roman" w:eastAsia="Times New Roman" w:hAnsi="Times New Roman" w:cs="Times New Roman"/>
                <w:b/>
                <w:bCs/>
                <w:sz w:val="24"/>
                <w:szCs w:val="24"/>
                <w:lang w:val="es-ES_tradnl"/>
              </w:rPr>
              <w:t xml:space="preserve"> (¢/kWh)</w:t>
            </w:r>
            <w:r w:rsidR="7B0AE9EE" w:rsidRPr="00440325">
              <w:rPr>
                <w:rFonts w:ascii="Times New Roman" w:eastAsia="Times New Roman" w:hAnsi="Times New Roman" w:cs="Times New Roman"/>
                <w:sz w:val="24"/>
                <w:szCs w:val="24"/>
                <w:lang w:val="es-ES_tradnl"/>
              </w:rPr>
              <w:t xml:space="preserve">  </w:t>
            </w:r>
          </w:p>
        </w:tc>
        <w:tc>
          <w:tcPr>
            <w:tcW w:w="1813" w:type="dxa"/>
            <w:tcBorders>
              <w:top w:val="nil"/>
              <w:left w:val="nil"/>
              <w:bottom w:val="single" w:sz="8" w:space="0" w:color="auto"/>
              <w:right w:val="nil"/>
            </w:tcBorders>
            <w:tcMar>
              <w:left w:w="108" w:type="dxa"/>
              <w:right w:w="108" w:type="dxa"/>
            </w:tcMar>
            <w:vAlign w:val="center"/>
          </w:tcPr>
          <w:p w14:paraId="3BB91B6E" w14:textId="4B01C7D8" w:rsidR="7B0AE9EE" w:rsidRPr="00440325" w:rsidRDefault="007E4FCE" w:rsidP="7B0AE9EE">
            <w:pPr>
              <w:jc w:val="center"/>
              <w:rPr>
                <w:rFonts w:ascii="Times New Roman" w:eastAsia="Times New Roman" w:hAnsi="Times New Roman" w:cs="Times New Roman"/>
                <w:b/>
                <w:bCs/>
                <w:sz w:val="24"/>
                <w:szCs w:val="24"/>
                <w:lang w:val="es-ES_tradnl"/>
              </w:rPr>
            </w:pPr>
            <w:r w:rsidRPr="00440325">
              <w:rPr>
                <w:rFonts w:ascii="Times New Roman" w:eastAsia="Times New Roman" w:hAnsi="Times New Roman" w:cs="Times New Roman"/>
                <w:b/>
                <w:bCs/>
                <w:sz w:val="24"/>
                <w:szCs w:val="24"/>
                <w:lang w:val="es-ES_tradnl"/>
              </w:rPr>
              <w:t xml:space="preserve">Tarifas promedio de suministro eléctrico por clase propuestas para 2027 </w:t>
            </w:r>
            <w:r w:rsidR="7B0AE9EE" w:rsidRPr="00440325">
              <w:rPr>
                <w:rFonts w:ascii="Times New Roman" w:eastAsia="Times New Roman" w:hAnsi="Times New Roman" w:cs="Times New Roman"/>
                <w:b/>
                <w:bCs/>
                <w:sz w:val="24"/>
                <w:szCs w:val="24"/>
                <w:lang w:val="es-ES_tradnl"/>
              </w:rPr>
              <w:t xml:space="preserve">(¢/kWh)  </w:t>
            </w:r>
          </w:p>
        </w:tc>
        <w:tc>
          <w:tcPr>
            <w:tcW w:w="1470" w:type="dxa"/>
            <w:tcBorders>
              <w:top w:val="nil"/>
              <w:left w:val="nil"/>
              <w:bottom w:val="single" w:sz="8" w:space="0" w:color="auto"/>
              <w:right w:val="nil"/>
            </w:tcBorders>
            <w:shd w:val="clear" w:color="auto" w:fill="FFFFFF" w:themeFill="background1"/>
            <w:tcMar>
              <w:left w:w="108" w:type="dxa"/>
              <w:right w:w="108" w:type="dxa"/>
            </w:tcMar>
            <w:vAlign w:val="center"/>
          </w:tcPr>
          <w:p w14:paraId="0A5F0C5C" w14:textId="51614698" w:rsidR="7B0AE9EE" w:rsidRPr="00440325" w:rsidRDefault="004829D1" w:rsidP="7B0AE9EE">
            <w:pPr>
              <w:jc w:val="center"/>
              <w:rPr>
                <w:sz w:val="24"/>
                <w:szCs w:val="24"/>
                <w:lang w:val="es-ES_tradnl"/>
              </w:rPr>
            </w:pPr>
            <w:r w:rsidRPr="00440325">
              <w:rPr>
                <w:rFonts w:ascii="Times New Roman" w:eastAsia="Times New Roman" w:hAnsi="Times New Roman" w:cs="Times New Roman"/>
                <w:b/>
                <w:bCs/>
                <w:color w:val="000000" w:themeColor="text1"/>
                <w:sz w:val="24"/>
                <w:szCs w:val="24"/>
                <w:lang w:val="es-ES_tradnl"/>
              </w:rPr>
              <w:t xml:space="preserve">Aumento total de la tarifa </w:t>
            </w:r>
            <w:r w:rsidR="7B0AE9EE" w:rsidRPr="00440325">
              <w:rPr>
                <w:rFonts w:ascii="Times New Roman" w:eastAsia="Times New Roman" w:hAnsi="Times New Roman" w:cs="Times New Roman"/>
                <w:b/>
                <w:bCs/>
                <w:color w:val="000000" w:themeColor="text1"/>
                <w:sz w:val="24"/>
                <w:szCs w:val="24"/>
                <w:lang w:val="es-ES_tradnl"/>
              </w:rPr>
              <w:t>(¢/kWh)</w:t>
            </w:r>
          </w:p>
        </w:tc>
        <w:tc>
          <w:tcPr>
            <w:tcW w:w="1455" w:type="dxa"/>
            <w:tcBorders>
              <w:top w:val="nil"/>
              <w:left w:val="nil"/>
              <w:bottom w:val="single" w:sz="8" w:space="0" w:color="auto"/>
              <w:right w:val="nil"/>
            </w:tcBorders>
            <w:shd w:val="clear" w:color="auto" w:fill="FFFFFF" w:themeFill="background1"/>
            <w:tcMar>
              <w:left w:w="108" w:type="dxa"/>
              <w:right w:w="108" w:type="dxa"/>
            </w:tcMar>
            <w:vAlign w:val="center"/>
          </w:tcPr>
          <w:p w14:paraId="65828016" w14:textId="2CCEDDCD" w:rsidR="7B0AE9EE" w:rsidRPr="00440325" w:rsidRDefault="008712F7" w:rsidP="7B0AE9EE">
            <w:pPr>
              <w:jc w:val="center"/>
              <w:rPr>
                <w:sz w:val="24"/>
                <w:szCs w:val="24"/>
                <w:lang w:val="es-ES_tradnl"/>
              </w:rPr>
            </w:pPr>
            <w:r w:rsidRPr="00440325">
              <w:rPr>
                <w:rFonts w:ascii="Times New Roman" w:eastAsia="Times New Roman" w:hAnsi="Times New Roman" w:cs="Times New Roman"/>
                <w:b/>
                <w:bCs/>
                <w:color w:val="000000" w:themeColor="text1"/>
                <w:sz w:val="24"/>
                <w:szCs w:val="24"/>
                <w:lang w:val="es-ES_tradnl"/>
              </w:rPr>
              <w:t>Aumento total de la tarifa</w:t>
            </w:r>
            <w:r w:rsidR="7B0AE9EE" w:rsidRPr="00440325">
              <w:rPr>
                <w:rFonts w:ascii="Times New Roman" w:eastAsia="Times New Roman" w:hAnsi="Times New Roman" w:cs="Times New Roman"/>
                <w:b/>
                <w:bCs/>
                <w:color w:val="000000" w:themeColor="text1"/>
                <w:sz w:val="24"/>
                <w:szCs w:val="24"/>
                <w:lang w:val="es-ES_tradnl"/>
              </w:rPr>
              <w:t xml:space="preserve"> </w:t>
            </w:r>
          </w:p>
          <w:p w14:paraId="188DDDFE" w14:textId="7D45F62B" w:rsidR="7B0AE9EE" w:rsidRPr="00440325" w:rsidRDefault="7B0AE9EE" w:rsidP="7B0AE9EE">
            <w:pPr>
              <w:jc w:val="center"/>
              <w:rPr>
                <w:sz w:val="24"/>
                <w:szCs w:val="24"/>
                <w:lang w:val="es-ES_tradnl"/>
              </w:rPr>
            </w:pPr>
            <w:r w:rsidRPr="00440325">
              <w:rPr>
                <w:rFonts w:ascii="Times New Roman" w:eastAsia="Times New Roman" w:hAnsi="Times New Roman" w:cs="Times New Roman"/>
                <w:b/>
                <w:bCs/>
                <w:color w:val="000000" w:themeColor="text1"/>
                <w:sz w:val="24"/>
                <w:szCs w:val="24"/>
                <w:lang w:val="es-ES_tradnl"/>
              </w:rPr>
              <w:t>(%)</w:t>
            </w:r>
          </w:p>
        </w:tc>
      </w:tr>
      <w:tr w:rsidR="00570904" w:rsidRPr="00440325" w14:paraId="1C6926A0" w14:textId="77777777" w:rsidTr="00406310">
        <w:trPr>
          <w:trHeight w:val="570"/>
        </w:trPr>
        <w:tc>
          <w:tcPr>
            <w:tcW w:w="1810" w:type="dxa"/>
            <w:tcBorders>
              <w:top w:val="single" w:sz="8" w:space="0" w:color="auto"/>
              <w:left w:val="nil"/>
              <w:bottom w:val="nil"/>
              <w:right w:val="nil"/>
            </w:tcBorders>
            <w:shd w:val="clear" w:color="auto" w:fill="FFFFFF" w:themeFill="background1"/>
            <w:tcMar>
              <w:left w:w="108" w:type="dxa"/>
              <w:right w:w="108" w:type="dxa"/>
            </w:tcMar>
            <w:vAlign w:val="bottom"/>
          </w:tcPr>
          <w:p w14:paraId="6119718E" w14:textId="7249B205" w:rsidR="00570904" w:rsidRPr="00440325" w:rsidRDefault="00C332F2" w:rsidP="00570904">
            <w:pPr>
              <w:rPr>
                <w:sz w:val="24"/>
                <w:szCs w:val="24"/>
                <w:lang w:val="es-ES_tradnl"/>
              </w:rPr>
            </w:pPr>
            <w:r w:rsidRPr="00440325">
              <w:rPr>
                <w:rFonts w:ascii="Times New Roman" w:eastAsia="Times New Roman" w:hAnsi="Times New Roman" w:cs="Times New Roman"/>
                <w:b/>
                <w:bCs/>
                <w:color w:val="000000" w:themeColor="text1"/>
                <w:sz w:val="24"/>
                <w:szCs w:val="24"/>
                <w:lang w:val="es-ES_tradnl"/>
              </w:rPr>
              <w:t>Residencial</w:t>
            </w:r>
          </w:p>
        </w:tc>
        <w:tc>
          <w:tcPr>
            <w:tcW w:w="1869" w:type="dxa"/>
            <w:tcBorders>
              <w:top w:val="single" w:sz="8" w:space="0" w:color="auto"/>
              <w:left w:val="nil"/>
              <w:bottom w:val="nil"/>
              <w:right w:val="nil"/>
            </w:tcBorders>
            <w:shd w:val="clear" w:color="auto" w:fill="FFFFFF" w:themeFill="background1"/>
            <w:tcMar>
              <w:left w:w="108" w:type="dxa"/>
              <w:right w:w="108" w:type="dxa"/>
            </w:tcMar>
            <w:vAlign w:val="center"/>
          </w:tcPr>
          <w:p w14:paraId="7175C00B" w14:textId="6BDDFE8A" w:rsidR="00570904" w:rsidRPr="00440325" w:rsidRDefault="00570904" w:rsidP="00570904">
            <w:pPr>
              <w:jc w:val="center"/>
              <w:rPr>
                <w:sz w:val="24"/>
                <w:szCs w:val="24"/>
                <w:lang w:val="es-ES_tradnl"/>
              </w:rPr>
            </w:pPr>
            <w:r w:rsidRPr="00440325">
              <w:rPr>
                <w:rFonts w:ascii="Times New Roman" w:hAnsi="Times New Roman" w:cs="Times New Roman"/>
                <w:sz w:val="24"/>
                <w:szCs w:val="24"/>
                <w:lang w:val="es-ES_tradnl"/>
              </w:rPr>
              <w:t>20.1</w:t>
            </w:r>
          </w:p>
        </w:tc>
        <w:tc>
          <w:tcPr>
            <w:tcW w:w="1813" w:type="dxa"/>
            <w:tcBorders>
              <w:top w:val="single" w:sz="8" w:space="0" w:color="auto"/>
              <w:left w:val="nil"/>
              <w:bottom w:val="nil"/>
              <w:right w:val="nil"/>
            </w:tcBorders>
            <w:shd w:val="clear" w:color="auto" w:fill="FFFFFF" w:themeFill="background1"/>
            <w:tcMar>
              <w:left w:w="108" w:type="dxa"/>
              <w:right w:w="108" w:type="dxa"/>
            </w:tcMar>
            <w:vAlign w:val="center"/>
          </w:tcPr>
          <w:p w14:paraId="55992AFA" w14:textId="3E7AEF2B" w:rsidR="00570904" w:rsidRPr="00440325" w:rsidRDefault="00570904" w:rsidP="00570904">
            <w:pPr>
              <w:jc w:val="center"/>
              <w:rPr>
                <w:sz w:val="24"/>
                <w:szCs w:val="24"/>
                <w:lang w:val="es-ES_tradnl"/>
              </w:rPr>
            </w:pPr>
            <w:r w:rsidRPr="00440325">
              <w:rPr>
                <w:rFonts w:ascii="Times New Roman" w:hAnsi="Times New Roman" w:cs="Times New Roman"/>
                <w:sz w:val="24"/>
                <w:szCs w:val="24"/>
                <w:lang w:val="es-ES_tradnl"/>
              </w:rPr>
              <w:t>20.8</w:t>
            </w:r>
          </w:p>
        </w:tc>
        <w:tc>
          <w:tcPr>
            <w:tcW w:w="1470" w:type="dxa"/>
            <w:tcBorders>
              <w:top w:val="single" w:sz="8" w:space="0" w:color="auto"/>
              <w:left w:val="nil"/>
              <w:bottom w:val="nil"/>
              <w:right w:val="nil"/>
            </w:tcBorders>
            <w:shd w:val="clear" w:color="auto" w:fill="FFFFFF" w:themeFill="background1"/>
            <w:tcMar>
              <w:left w:w="108" w:type="dxa"/>
              <w:right w:w="108" w:type="dxa"/>
            </w:tcMar>
            <w:vAlign w:val="center"/>
          </w:tcPr>
          <w:p w14:paraId="04C30F31" w14:textId="0D360D61" w:rsidR="00570904" w:rsidRPr="00440325" w:rsidRDefault="00570904" w:rsidP="00570904">
            <w:pPr>
              <w:jc w:val="center"/>
              <w:rPr>
                <w:sz w:val="24"/>
                <w:szCs w:val="24"/>
                <w:lang w:val="es-ES_tradnl"/>
              </w:rPr>
            </w:pPr>
            <w:r w:rsidRPr="00440325">
              <w:rPr>
                <w:rFonts w:ascii="Times New Roman" w:hAnsi="Times New Roman" w:cs="Times New Roman"/>
                <w:sz w:val="24"/>
                <w:szCs w:val="24"/>
                <w:lang w:val="es-ES_tradnl"/>
              </w:rPr>
              <w:t>0.7</w:t>
            </w:r>
          </w:p>
        </w:tc>
        <w:tc>
          <w:tcPr>
            <w:tcW w:w="1455" w:type="dxa"/>
            <w:tcBorders>
              <w:top w:val="single" w:sz="8" w:space="0" w:color="auto"/>
              <w:left w:val="nil"/>
              <w:bottom w:val="nil"/>
              <w:right w:val="nil"/>
            </w:tcBorders>
            <w:shd w:val="clear" w:color="auto" w:fill="FFFFFF" w:themeFill="background1"/>
            <w:tcMar>
              <w:left w:w="108" w:type="dxa"/>
              <w:right w:w="108" w:type="dxa"/>
            </w:tcMar>
            <w:vAlign w:val="center"/>
          </w:tcPr>
          <w:p w14:paraId="1229D416" w14:textId="6DAC0406" w:rsidR="00570904" w:rsidRPr="00440325" w:rsidRDefault="00570904" w:rsidP="00570904">
            <w:pPr>
              <w:jc w:val="center"/>
              <w:rPr>
                <w:sz w:val="24"/>
                <w:szCs w:val="24"/>
                <w:lang w:val="es-ES_tradnl"/>
              </w:rPr>
            </w:pPr>
            <w:r w:rsidRPr="00440325">
              <w:rPr>
                <w:rFonts w:ascii="Times New Roman" w:hAnsi="Times New Roman" w:cs="Times New Roman"/>
                <w:sz w:val="24"/>
                <w:szCs w:val="24"/>
                <w:lang w:val="es-ES_tradnl"/>
              </w:rPr>
              <w:t>3.6%</w:t>
            </w:r>
          </w:p>
        </w:tc>
      </w:tr>
      <w:tr w:rsidR="00570904" w:rsidRPr="00440325" w14:paraId="05690C5B" w14:textId="77777777" w:rsidTr="00406310">
        <w:trPr>
          <w:trHeight w:val="405"/>
        </w:trPr>
        <w:tc>
          <w:tcPr>
            <w:tcW w:w="1810" w:type="dxa"/>
            <w:tcBorders>
              <w:top w:val="nil"/>
              <w:left w:val="nil"/>
              <w:bottom w:val="nil"/>
              <w:right w:val="nil"/>
            </w:tcBorders>
            <w:shd w:val="clear" w:color="auto" w:fill="FFFFFF" w:themeFill="background1"/>
            <w:tcMar>
              <w:left w:w="108" w:type="dxa"/>
              <w:right w:w="108" w:type="dxa"/>
            </w:tcMar>
            <w:vAlign w:val="bottom"/>
          </w:tcPr>
          <w:p w14:paraId="108240BB" w14:textId="00800C30" w:rsidR="00570904" w:rsidRPr="00440325" w:rsidRDefault="006933FB" w:rsidP="00570904">
            <w:pPr>
              <w:rPr>
                <w:sz w:val="24"/>
                <w:szCs w:val="24"/>
                <w:lang w:val="es-ES_tradnl"/>
              </w:rPr>
            </w:pPr>
            <w:r w:rsidRPr="00440325">
              <w:rPr>
                <w:rFonts w:ascii="Times New Roman" w:eastAsia="Times New Roman" w:hAnsi="Times New Roman" w:cs="Times New Roman"/>
                <w:b/>
                <w:bCs/>
                <w:color w:val="000000" w:themeColor="text1"/>
                <w:sz w:val="24"/>
                <w:szCs w:val="24"/>
                <w:lang w:val="es-ES_tradnl"/>
              </w:rPr>
              <w:t>Comercial pequeño</w:t>
            </w:r>
          </w:p>
        </w:tc>
        <w:tc>
          <w:tcPr>
            <w:tcW w:w="1869" w:type="dxa"/>
            <w:tcBorders>
              <w:top w:val="nil"/>
              <w:left w:val="nil"/>
              <w:bottom w:val="nil"/>
              <w:right w:val="nil"/>
            </w:tcBorders>
            <w:shd w:val="clear" w:color="auto" w:fill="FFFFFF" w:themeFill="background1"/>
            <w:tcMar>
              <w:left w:w="108" w:type="dxa"/>
              <w:right w:w="108" w:type="dxa"/>
            </w:tcMar>
            <w:vAlign w:val="center"/>
          </w:tcPr>
          <w:p w14:paraId="0CE81F35" w14:textId="7B234673" w:rsidR="00570904" w:rsidRPr="00440325" w:rsidRDefault="00570904" w:rsidP="00570904">
            <w:pPr>
              <w:jc w:val="center"/>
              <w:rPr>
                <w:sz w:val="24"/>
                <w:szCs w:val="24"/>
                <w:lang w:val="es-ES_tradnl"/>
              </w:rPr>
            </w:pPr>
            <w:r w:rsidRPr="00440325">
              <w:rPr>
                <w:rFonts w:ascii="Times New Roman" w:hAnsi="Times New Roman" w:cs="Times New Roman"/>
                <w:sz w:val="24"/>
                <w:szCs w:val="24"/>
                <w:lang w:val="es-ES_tradnl"/>
              </w:rPr>
              <w:t>23.3</w:t>
            </w:r>
          </w:p>
        </w:tc>
        <w:tc>
          <w:tcPr>
            <w:tcW w:w="1813" w:type="dxa"/>
            <w:tcBorders>
              <w:top w:val="nil"/>
              <w:left w:val="nil"/>
              <w:bottom w:val="nil"/>
              <w:right w:val="nil"/>
            </w:tcBorders>
            <w:shd w:val="clear" w:color="auto" w:fill="FFFFFF" w:themeFill="background1"/>
            <w:tcMar>
              <w:left w:w="108" w:type="dxa"/>
              <w:right w:w="108" w:type="dxa"/>
            </w:tcMar>
            <w:vAlign w:val="center"/>
          </w:tcPr>
          <w:p w14:paraId="200E00DE" w14:textId="135295C1" w:rsidR="00570904" w:rsidRPr="00440325" w:rsidRDefault="00570904" w:rsidP="00570904">
            <w:pPr>
              <w:jc w:val="center"/>
              <w:rPr>
                <w:sz w:val="24"/>
                <w:szCs w:val="24"/>
                <w:lang w:val="es-ES_tradnl"/>
              </w:rPr>
            </w:pPr>
            <w:r w:rsidRPr="00440325">
              <w:rPr>
                <w:rFonts w:ascii="Times New Roman" w:hAnsi="Times New Roman" w:cs="Times New Roman"/>
                <w:sz w:val="24"/>
                <w:szCs w:val="24"/>
                <w:lang w:val="es-ES_tradnl"/>
              </w:rPr>
              <w:t>24.0</w:t>
            </w:r>
          </w:p>
        </w:tc>
        <w:tc>
          <w:tcPr>
            <w:tcW w:w="1470" w:type="dxa"/>
            <w:tcBorders>
              <w:top w:val="nil"/>
              <w:left w:val="nil"/>
              <w:bottom w:val="nil"/>
              <w:right w:val="nil"/>
            </w:tcBorders>
            <w:shd w:val="clear" w:color="auto" w:fill="FFFFFF" w:themeFill="background1"/>
            <w:tcMar>
              <w:left w:w="108" w:type="dxa"/>
              <w:right w:w="108" w:type="dxa"/>
            </w:tcMar>
            <w:vAlign w:val="center"/>
          </w:tcPr>
          <w:p w14:paraId="2D19BA4C" w14:textId="6247B6D9" w:rsidR="00570904" w:rsidRPr="00440325" w:rsidRDefault="00570904" w:rsidP="00570904">
            <w:pPr>
              <w:jc w:val="center"/>
              <w:rPr>
                <w:sz w:val="24"/>
                <w:szCs w:val="24"/>
                <w:lang w:val="es-ES_tradnl"/>
              </w:rPr>
            </w:pPr>
            <w:r w:rsidRPr="00440325">
              <w:rPr>
                <w:rFonts w:ascii="Times New Roman" w:hAnsi="Times New Roman" w:cs="Times New Roman"/>
                <w:sz w:val="24"/>
                <w:szCs w:val="24"/>
                <w:lang w:val="es-ES_tradnl"/>
              </w:rPr>
              <w:t>0.7</w:t>
            </w:r>
          </w:p>
        </w:tc>
        <w:tc>
          <w:tcPr>
            <w:tcW w:w="1455" w:type="dxa"/>
            <w:tcBorders>
              <w:top w:val="nil"/>
              <w:left w:val="nil"/>
              <w:bottom w:val="nil"/>
              <w:right w:val="nil"/>
            </w:tcBorders>
            <w:shd w:val="clear" w:color="auto" w:fill="FFFFFF" w:themeFill="background1"/>
            <w:tcMar>
              <w:left w:w="108" w:type="dxa"/>
              <w:right w:w="108" w:type="dxa"/>
            </w:tcMar>
            <w:vAlign w:val="center"/>
          </w:tcPr>
          <w:p w14:paraId="68AA6F0B" w14:textId="743E8356" w:rsidR="00570904" w:rsidRPr="00440325" w:rsidRDefault="00570904" w:rsidP="00570904">
            <w:pPr>
              <w:jc w:val="center"/>
              <w:rPr>
                <w:sz w:val="24"/>
                <w:szCs w:val="24"/>
                <w:lang w:val="es-ES_tradnl"/>
              </w:rPr>
            </w:pPr>
            <w:r w:rsidRPr="00440325">
              <w:rPr>
                <w:rFonts w:ascii="Times New Roman" w:hAnsi="Times New Roman" w:cs="Times New Roman"/>
                <w:sz w:val="24"/>
                <w:szCs w:val="24"/>
                <w:lang w:val="es-ES_tradnl"/>
              </w:rPr>
              <w:t>3.2%</w:t>
            </w:r>
          </w:p>
        </w:tc>
      </w:tr>
      <w:tr w:rsidR="00570904" w:rsidRPr="00440325" w14:paraId="5639589E" w14:textId="77777777" w:rsidTr="00406310">
        <w:trPr>
          <w:trHeight w:val="405"/>
        </w:trPr>
        <w:tc>
          <w:tcPr>
            <w:tcW w:w="1810" w:type="dxa"/>
            <w:tcBorders>
              <w:top w:val="nil"/>
              <w:left w:val="nil"/>
              <w:bottom w:val="nil"/>
              <w:right w:val="nil"/>
            </w:tcBorders>
            <w:shd w:val="clear" w:color="auto" w:fill="FFFFFF" w:themeFill="background1"/>
            <w:tcMar>
              <w:left w:w="108" w:type="dxa"/>
              <w:right w:w="108" w:type="dxa"/>
            </w:tcMar>
            <w:vAlign w:val="bottom"/>
          </w:tcPr>
          <w:p w14:paraId="6FAED0B9" w14:textId="2C32C0D8" w:rsidR="00570904" w:rsidRPr="00440325" w:rsidRDefault="00992820" w:rsidP="00570904">
            <w:pPr>
              <w:rPr>
                <w:sz w:val="24"/>
                <w:szCs w:val="24"/>
                <w:lang w:val="es-ES_tradnl"/>
              </w:rPr>
            </w:pPr>
            <w:r w:rsidRPr="00440325">
              <w:rPr>
                <w:rFonts w:ascii="Times New Roman" w:eastAsia="Times New Roman" w:hAnsi="Times New Roman" w:cs="Times New Roman"/>
                <w:b/>
                <w:bCs/>
                <w:color w:val="000000" w:themeColor="text1"/>
                <w:sz w:val="24"/>
                <w:szCs w:val="24"/>
                <w:lang w:val="es-ES_tradnl"/>
              </w:rPr>
              <w:t>Comercial e industrial mediano y grande</w:t>
            </w:r>
          </w:p>
        </w:tc>
        <w:tc>
          <w:tcPr>
            <w:tcW w:w="1869" w:type="dxa"/>
            <w:tcBorders>
              <w:top w:val="nil"/>
              <w:left w:val="nil"/>
              <w:bottom w:val="nil"/>
              <w:right w:val="nil"/>
            </w:tcBorders>
            <w:shd w:val="clear" w:color="auto" w:fill="FFFFFF" w:themeFill="background1"/>
            <w:tcMar>
              <w:left w:w="108" w:type="dxa"/>
              <w:right w:w="108" w:type="dxa"/>
            </w:tcMar>
            <w:vAlign w:val="center"/>
          </w:tcPr>
          <w:p w14:paraId="3638308E" w14:textId="1D4178A6" w:rsidR="00570904" w:rsidRPr="00440325" w:rsidRDefault="00570904" w:rsidP="00570904">
            <w:pPr>
              <w:jc w:val="center"/>
              <w:rPr>
                <w:sz w:val="24"/>
                <w:szCs w:val="24"/>
                <w:lang w:val="es-ES_tradnl"/>
              </w:rPr>
            </w:pPr>
            <w:r w:rsidRPr="00440325">
              <w:rPr>
                <w:rFonts w:ascii="Times New Roman" w:hAnsi="Times New Roman" w:cs="Times New Roman"/>
                <w:sz w:val="24"/>
                <w:szCs w:val="24"/>
                <w:lang w:val="es-ES_tradnl"/>
              </w:rPr>
              <w:t>16.4</w:t>
            </w:r>
          </w:p>
        </w:tc>
        <w:tc>
          <w:tcPr>
            <w:tcW w:w="1813" w:type="dxa"/>
            <w:tcBorders>
              <w:top w:val="nil"/>
              <w:left w:val="nil"/>
              <w:bottom w:val="nil"/>
              <w:right w:val="nil"/>
            </w:tcBorders>
            <w:shd w:val="clear" w:color="auto" w:fill="FFFFFF" w:themeFill="background1"/>
            <w:tcMar>
              <w:left w:w="108" w:type="dxa"/>
              <w:right w:w="108" w:type="dxa"/>
            </w:tcMar>
            <w:vAlign w:val="center"/>
          </w:tcPr>
          <w:p w14:paraId="23A937FE" w14:textId="73BE3C43" w:rsidR="00570904" w:rsidRPr="00440325" w:rsidRDefault="00570904" w:rsidP="00570904">
            <w:pPr>
              <w:jc w:val="center"/>
              <w:rPr>
                <w:sz w:val="24"/>
                <w:szCs w:val="24"/>
                <w:lang w:val="es-ES_tradnl"/>
              </w:rPr>
            </w:pPr>
            <w:r w:rsidRPr="00440325">
              <w:rPr>
                <w:rFonts w:ascii="Times New Roman" w:hAnsi="Times New Roman" w:cs="Times New Roman"/>
                <w:sz w:val="24"/>
                <w:szCs w:val="24"/>
                <w:lang w:val="es-ES_tradnl"/>
              </w:rPr>
              <w:t>17.0</w:t>
            </w:r>
          </w:p>
        </w:tc>
        <w:tc>
          <w:tcPr>
            <w:tcW w:w="1470" w:type="dxa"/>
            <w:tcBorders>
              <w:top w:val="nil"/>
              <w:left w:val="nil"/>
              <w:bottom w:val="nil"/>
              <w:right w:val="nil"/>
            </w:tcBorders>
            <w:shd w:val="clear" w:color="auto" w:fill="FFFFFF" w:themeFill="background1"/>
            <w:tcMar>
              <w:left w:w="108" w:type="dxa"/>
              <w:right w:w="108" w:type="dxa"/>
            </w:tcMar>
            <w:vAlign w:val="center"/>
          </w:tcPr>
          <w:p w14:paraId="64F5478B" w14:textId="641ACCE0" w:rsidR="00570904" w:rsidRPr="00440325" w:rsidRDefault="00570904" w:rsidP="00570904">
            <w:pPr>
              <w:jc w:val="center"/>
              <w:rPr>
                <w:sz w:val="24"/>
                <w:szCs w:val="24"/>
                <w:lang w:val="es-ES_tradnl"/>
              </w:rPr>
            </w:pPr>
            <w:r w:rsidRPr="00440325">
              <w:rPr>
                <w:rFonts w:ascii="Times New Roman" w:hAnsi="Times New Roman" w:cs="Times New Roman"/>
                <w:sz w:val="24"/>
                <w:szCs w:val="24"/>
                <w:lang w:val="es-ES_tradnl"/>
              </w:rPr>
              <w:t>0.7</w:t>
            </w:r>
          </w:p>
        </w:tc>
        <w:tc>
          <w:tcPr>
            <w:tcW w:w="1455" w:type="dxa"/>
            <w:tcBorders>
              <w:top w:val="nil"/>
              <w:left w:val="nil"/>
              <w:bottom w:val="nil"/>
              <w:right w:val="nil"/>
            </w:tcBorders>
            <w:shd w:val="clear" w:color="auto" w:fill="FFFFFF" w:themeFill="background1"/>
            <w:tcMar>
              <w:left w:w="108" w:type="dxa"/>
              <w:right w:w="108" w:type="dxa"/>
            </w:tcMar>
            <w:vAlign w:val="center"/>
          </w:tcPr>
          <w:p w14:paraId="7AEEF53B" w14:textId="733294FF" w:rsidR="00570904" w:rsidRPr="00440325" w:rsidRDefault="00570904" w:rsidP="00570904">
            <w:pPr>
              <w:jc w:val="center"/>
              <w:rPr>
                <w:sz w:val="24"/>
                <w:szCs w:val="24"/>
                <w:lang w:val="es-ES_tradnl"/>
              </w:rPr>
            </w:pPr>
            <w:r w:rsidRPr="00440325">
              <w:rPr>
                <w:rFonts w:ascii="Times New Roman" w:hAnsi="Times New Roman" w:cs="Times New Roman"/>
                <w:sz w:val="24"/>
                <w:szCs w:val="24"/>
                <w:lang w:val="es-ES_tradnl"/>
              </w:rPr>
              <w:t>4.0%</w:t>
            </w:r>
          </w:p>
        </w:tc>
      </w:tr>
      <w:tr w:rsidR="00570904" w:rsidRPr="00440325" w14:paraId="7F302E58" w14:textId="77777777" w:rsidTr="00406310">
        <w:trPr>
          <w:trHeight w:val="405"/>
        </w:trPr>
        <w:tc>
          <w:tcPr>
            <w:tcW w:w="1810" w:type="dxa"/>
            <w:tcBorders>
              <w:top w:val="nil"/>
              <w:left w:val="nil"/>
              <w:bottom w:val="nil"/>
              <w:right w:val="nil"/>
            </w:tcBorders>
            <w:shd w:val="clear" w:color="auto" w:fill="FFFFFF" w:themeFill="background1"/>
            <w:tcMar>
              <w:left w:w="108" w:type="dxa"/>
              <w:right w:w="108" w:type="dxa"/>
            </w:tcMar>
            <w:vAlign w:val="bottom"/>
          </w:tcPr>
          <w:p w14:paraId="441AB2A2" w14:textId="734E70F1" w:rsidR="00570904" w:rsidRPr="00440325" w:rsidRDefault="005A5C2B" w:rsidP="00570904">
            <w:pPr>
              <w:rPr>
                <w:sz w:val="24"/>
                <w:szCs w:val="24"/>
                <w:lang w:val="es-ES_tradnl"/>
              </w:rPr>
            </w:pPr>
            <w:r w:rsidRPr="00440325">
              <w:rPr>
                <w:rFonts w:ascii="Times New Roman" w:eastAsia="Times New Roman" w:hAnsi="Times New Roman" w:cs="Times New Roman"/>
                <w:b/>
                <w:bCs/>
                <w:color w:val="000000" w:themeColor="text1"/>
                <w:sz w:val="24"/>
                <w:szCs w:val="24"/>
                <w:lang w:val="es-ES_tradnl"/>
              </w:rPr>
              <w:t>Agrícola</w:t>
            </w:r>
          </w:p>
        </w:tc>
        <w:tc>
          <w:tcPr>
            <w:tcW w:w="1869" w:type="dxa"/>
            <w:tcBorders>
              <w:top w:val="nil"/>
              <w:left w:val="nil"/>
              <w:bottom w:val="nil"/>
              <w:right w:val="nil"/>
            </w:tcBorders>
            <w:shd w:val="clear" w:color="auto" w:fill="FFFFFF" w:themeFill="background1"/>
            <w:tcMar>
              <w:left w:w="108" w:type="dxa"/>
              <w:right w:w="108" w:type="dxa"/>
            </w:tcMar>
            <w:vAlign w:val="center"/>
          </w:tcPr>
          <w:p w14:paraId="05A907BF" w14:textId="768B02DA" w:rsidR="00570904" w:rsidRPr="00440325" w:rsidRDefault="00570904" w:rsidP="00570904">
            <w:pPr>
              <w:jc w:val="center"/>
              <w:rPr>
                <w:sz w:val="24"/>
                <w:szCs w:val="24"/>
                <w:lang w:val="es-ES_tradnl"/>
              </w:rPr>
            </w:pPr>
            <w:r w:rsidRPr="00440325">
              <w:rPr>
                <w:rFonts w:ascii="Times New Roman" w:hAnsi="Times New Roman" w:cs="Times New Roman"/>
                <w:sz w:val="24"/>
                <w:szCs w:val="24"/>
                <w:lang w:val="es-ES_tradnl"/>
              </w:rPr>
              <w:t>14.3</w:t>
            </w:r>
          </w:p>
        </w:tc>
        <w:tc>
          <w:tcPr>
            <w:tcW w:w="1813" w:type="dxa"/>
            <w:tcBorders>
              <w:top w:val="nil"/>
              <w:left w:val="nil"/>
              <w:bottom w:val="nil"/>
              <w:right w:val="nil"/>
            </w:tcBorders>
            <w:shd w:val="clear" w:color="auto" w:fill="FFFFFF" w:themeFill="background1"/>
            <w:tcMar>
              <w:left w:w="108" w:type="dxa"/>
              <w:right w:w="108" w:type="dxa"/>
            </w:tcMar>
            <w:vAlign w:val="center"/>
          </w:tcPr>
          <w:p w14:paraId="1D80EDF4" w14:textId="4DF96E17" w:rsidR="00570904" w:rsidRPr="00440325" w:rsidRDefault="00570904" w:rsidP="00570904">
            <w:pPr>
              <w:jc w:val="center"/>
              <w:rPr>
                <w:sz w:val="24"/>
                <w:szCs w:val="24"/>
                <w:lang w:val="es-ES_tradnl"/>
              </w:rPr>
            </w:pPr>
            <w:r w:rsidRPr="00440325">
              <w:rPr>
                <w:rFonts w:ascii="Times New Roman" w:hAnsi="Times New Roman" w:cs="Times New Roman"/>
                <w:sz w:val="24"/>
                <w:szCs w:val="24"/>
                <w:lang w:val="es-ES_tradnl"/>
              </w:rPr>
              <w:t>14.8</w:t>
            </w:r>
          </w:p>
        </w:tc>
        <w:tc>
          <w:tcPr>
            <w:tcW w:w="1470" w:type="dxa"/>
            <w:tcBorders>
              <w:top w:val="nil"/>
              <w:left w:val="nil"/>
              <w:bottom w:val="nil"/>
              <w:right w:val="nil"/>
            </w:tcBorders>
            <w:shd w:val="clear" w:color="auto" w:fill="FFFFFF" w:themeFill="background1"/>
            <w:tcMar>
              <w:left w:w="108" w:type="dxa"/>
              <w:right w:w="108" w:type="dxa"/>
            </w:tcMar>
            <w:vAlign w:val="center"/>
          </w:tcPr>
          <w:p w14:paraId="7E0D3B45" w14:textId="75013CCC" w:rsidR="00570904" w:rsidRPr="00440325" w:rsidRDefault="00570904" w:rsidP="00570904">
            <w:pPr>
              <w:jc w:val="center"/>
              <w:rPr>
                <w:sz w:val="24"/>
                <w:szCs w:val="24"/>
                <w:lang w:val="es-ES_tradnl"/>
              </w:rPr>
            </w:pPr>
            <w:r w:rsidRPr="00440325">
              <w:rPr>
                <w:rFonts w:ascii="Times New Roman" w:hAnsi="Times New Roman" w:cs="Times New Roman"/>
                <w:sz w:val="24"/>
                <w:szCs w:val="24"/>
                <w:lang w:val="es-ES_tradnl"/>
              </w:rPr>
              <w:t>0.5</w:t>
            </w:r>
          </w:p>
        </w:tc>
        <w:tc>
          <w:tcPr>
            <w:tcW w:w="1455" w:type="dxa"/>
            <w:tcBorders>
              <w:top w:val="nil"/>
              <w:left w:val="nil"/>
              <w:bottom w:val="nil"/>
              <w:right w:val="nil"/>
            </w:tcBorders>
            <w:shd w:val="clear" w:color="auto" w:fill="FFFFFF" w:themeFill="background1"/>
            <w:tcMar>
              <w:left w:w="108" w:type="dxa"/>
              <w:right w:w="108" w:type="dxa"/>
            </w:tcMar>
            <w:vAlign w:val="center"/>
          </w:tcPr>
          <w:p w14:paraId="3793FCDA" w14:textId="4B865326" w:rsidR="00570904" w:rsidRPr="00440325" w:rsidRDefault="00570904" w:rsidP="00570904">
            <w:pPr>
              <w:jc w:val="center"/>
              <w:rPr>
                <w:sz w:val="24"/>
                <w:szCs w:val="24"/>
                <w:lang w:val="es-ES_tradnl"/>
              </w:rPr>
            </w:pPr>
            <w:r w:rsidRPr="00440325">
              <w:rPr>
                <w:rFonts w:ascii="Times New Roman" w:hAnsi="Times New Roman" w:cs="Times New Roman"/>
                <w:sz w:val="24"/>
                <w:szCs w:val="24"/>
                <w:lang w:val="es-ES_tradnl"/>
              </w:rPr>
              <w:t>3.7%</w:t>
            </w:r>
          </w:p>
        </w:tc>
      </w:tr>
      <w:tr w:rsidR="00570904" w:rsidRPr="00440325" w14:paraId="26579D1F" w14:textId="77777777" w:rsidTr="00406310">
        <w:trPr>
          <w:trHeight w:val="405"/>
        </w:trPr>
        <w:tc>
          <w:tcPr>
            <w:tcW w:w="1810" w:type="dxa"/>
            <w:tcBorders>
              <w:top w:val="nil"/>
              <w:left w:val="nil"/>
              <w:bottom w:val="nil"/>
              <w:right w:val="nil"/>
            </w:tcBorders>
            <w:shd w:val="clear" w:color="auto" w:fill="FFFFFF" w:themeFill="background1"/>
            <w:tcMar>
              <w:left w:w="108" w:type="dxa"/>
              <w:right w:w="108" w:type="dxa"/>
            </w:tcMar>
            <w:vAlign w:val="bottom"/>
          </w:tcPr>
          <w:p w14:paraId="35189EA7" w14:textId="4A9B266D" w:rsidR="00570904" w:rsidRPr="00440325" w:rsidRDefault="00776FA6" w:rsidP="00570904">
            <w:pPr>
              <w:rPr>
                <w:sz w:val="24"/>
                <w:szCs w:val="24"/>
                <w:lang w:val="es-ES_tradnl"/>
              </w:rPr>
            </w:pPr>
            <w:r w:rsidRPr="00440325">
              <w:rPr>
                <w:rFonts w:ascii="Times New Roman" w:eastAsia="Times New Roman" w:hAnsi="Times New Roman" w:cs="Times New Roman"/>
                <w:b/>
                <w:bCs/>
                <w:color w:val="000000" w:themeColor="text1"/>
                <w:sz w:val="24"/>
                <w:szCs w:val="24"/>
                <w:lang w:val="es-ES_tradnl"/>
              </w:rPr>
              <w:t>Alumbrado</w:t>
            </w:r>
          </w:p>
        </w:tc>
        <w:tc>
          <w:tcPr>
            <w:tcW w:w="1869" w:type="dxa"/>
            <w:tcBorders>
              <w:top w:val="nil"/>
              <w:left w:val="nil"/>
              <w:bottom w:val="nil"/>
              <w:right w:val="nil"/>
            </w:tcBorders>
            <w:shd w:val="clear" w:color="auto" w:fill="FFFFFF" w:themeFill="background1"/>
            <w:tcMar>
              <w:left w:w="108" w:type="dxa"/>
              <w:right w:w="108" w:type="dxa"/>
            </w:tcMar>
            <w:vAlign w:val="center"/>
          </w:tcPr>
          <w:p w14:paraId="58D7243F" w14:textId="7B30A827" w:rsidR="00570904" w:rsidRPr="00440325" w:rsidRDefault="00570904" w:rsidP="00570904">
            <w:pPr>
              <w:jc w:val="center"/>
              <w:rPr>
                <w:sz w:val="24"/>
                <w:szCs w:val="24"/>
                <w:lang w:val="es-ES_tradnl"/>
              </w:rPr>
            </w:pPr>
            <w:r w:rsidRPr="00440325">
              <w:rPr>
                <w:rFonts w:ascii="Times New Roman" w:hAnsi="Times New Roman" w:cs="Times New Roman"/>
                <w:sz w:val="24"/>
                <w:szCs w:val="24"/>
                <w:lang w:val="es-ES_tradnl"/>
              </w:rPr>
              <w:t>24.7</w:t>
            </w:r>
          </w:p>
        </w:tc>
        <w:tc>
          <w:tcPr>
            <w:tcW w:w="1813" w:type="dxa"/>
            <w:tcBorders>
              <w:top w:val="nil"/>
              <w:left w:val="nil"/>
              <w:bottom w:val="nil"/>
              <w:right w:val="nil"/>
            </w:tcBorders>
            <w:shd w:val="clear" w:color="auto" w:fill="FFFFFF" w:themeFill="background1"/>
            <w:tcMar>
              <w:left w:w="108" w:type="dxa"/>
              <w:right w:w="108" w:type="dxa"/>
            </w:tcMar>
            <w:vAlign w:val="center"/>
          </w:tcPr>
          <w:p w14:paraId="11E7DDAC" w14:textId="14AFC7B9" w:rsidR="00570904" w:rsidRPr="00440325" w:rsidRDefault="00570904" w:rsidP="00570904">
            <w:pPr>
              <w:jc w:val="center"/>
              <w:rPr>
                <w:sz w:val="24"/>
                <w:szCs w:val="24"/>
                <w:lang w:val="es-ES_tradnl"/>
              </w:rPr>
            </w:pPr>
            <w:r w:rsidRPr="00440325">
              <w:rPr>
                <w:rFonts w:ascii="Times New Roman" w:hAnsi="Times New Roman" w:cs="Times New Roman"/>
                <w:sz w:val="24"/>
                <w:szCs w:val="24"/>
                <w:lang w:val="es-ES_tradnl"/>
              </w:rPr>
              <w:t>25.4</w:t>
            </w:r>
          </w:p>
        </w:tc>
        <w:tc>
          <w:tcPr>
            <w:tcW w:w="1470" w:type="dxa"/>
            <w:tcBorders>
              <w:top w:val="nil"/>
              <w:left w:val="nil"/>
              <w:bottom w:val="nil"/>
              <w:right w:val="nil"/>
            </w:tcBorders>
            <w:shd w:val="clear" w:color="auto" w:fill="FFFFFF" w:themeFill="background1"/>
            <w:tcMar>
              <w:left w:w="108" w:type="dxa"/>
              <w:right w:w="108" w:type="dxa"/>
            </w:tcMar>
            <w:vAlign w:val="center"/>
          </w:tcPr>
          <w:p w14:paraId="7A90AA1F" w14:textId="368DB8E2" w:rsidR="00570904" w:rsidRPr="00440325" w:rsidRDefault="00570904" w:rsidP="00570904">
            <w:pPr>
              <w:jc w:val="center"/>
              <w:rPr>
                <w:sz w:val="24"/>
                <w:szCs w:val="24"/>
                <w:lang w:val="es-ES_tradnl"/>
              </w:rPr>
            </w:pPr>
            <w:r w:rsidRPr="00440325">
              <w:rPr>
                <w:rFonts w:ascii="Times New Roman" w:hAnsi="Times New Roman" w:cs="Times New Roman"/>
                <w:sz w:val="24"/>
                <w:szCs w:val="24"/>
                <w:lang w:val="es-ES_tradnl"/>
              </w:rPr>
              <w:t>0.7</w:t>
            </w:r>
          </w:p>
        </w:tc>
        <w:tc>
          <w:tcPr>
            <w:tcW w:w="1455" w:type="dxa"/>
            <w:tcBorders>
              <w:top w:val="nil"/>
              <w:left w:val="nil"/>
              <w:bottom w:val="nil"/>
              <w:right w:val="nil"/>
            </w:tcBorders>
            <w:shd w:val="clear" w:color="auto" w:fill="FFFFFF" w:themeFill="background1"/>
            <w:tcMar>
              <w:left w:w="108" w:type="dxa"/>
              <w:right w:w="108" w:type="dxa"/>
            </w:tcMar>
            <w:vAlign w:val="center"/>
          </w:tcPr>
          <w:p w14:paraId="561DFD60" w14:textId="75FA842D" w:rsidR="00570904" w:rsidRPr="00440325" w:rsidRDefault="00570904" w:rsidP="00570904">
            <w:pPr>
              <w:jc w:val="center"/>
              <w:rPr>
                <w:sz w:val="24"/>
                <w:szCs w:val="24"/>
                <w:lang w:val="es-ES_tradnl"/>
              </w:rPr>
            </w:pPr>
            <w:r w:rsidRPr="00440325">
              <w:rPr>
                <w:rFonts w:ascii="Times New Roman" w:hAnsi="Times New Roman" w:cs="Times New Roman"/>
                <w:sz w:val="24"/>
                <w:szCs w:val="24"/>
                <w:lang w:val="es-ES_tradnl"/>
              </w:rPr>
              <w:t>2.9%</w:t>
            </w:r>
          </w:p>
        </w:tc>
      </w:tr>
      <w:tr w:rsidR="00570904" w:rsidRPr="00440325" w14:paraId="43667F34" w14:textId="77777777" w:rsidTr="00406310">
        <w:trPr>
          <w:trHeight w:val="405"/>
        </w:trPr>
        <w:tc>
          <w:tcPr>
            <w:tcW w:w="1810" w:type="dxa"/>
            <w:tcBorders>
              <w:top w:val="nil"/>
              <w:left w:val="nil"/>
              <w:bottom w:val="double" w:sz="6" w:space="0" w:color="auto"/>
              <w:right w:val="nil"/>
            </w:tcBorders>
            <w:shd w:val="clear" w:color="auto" w:fill="FFFFFF" w:themeFill="background1"/>
            <w:tcMar>
              <w:left w:w="108" w:type="dxa"/>
              <w:right w:w="108" w:type="dxa"/>
            </w:tcMar>
            <w:vAlign w:val="bottom"/>
          </w:tcPr>
          <w:p w14:paraId="39BA81A6" w14:textId="196B9730" w:rsidR="00570904" w:rsidRPr="00440325" w:rsidRDefault="00DE7897" w:rsidP="00570904">
            <w:pPr>
              <w:rPr>
                <w:sz w:val="24"/>
                <w:szCs w:val="24"/>
                <w:lang w:val="es-ES_tradnl"/>
              </w:rPr>
            </w:pPr>
            <w:proofErr w:type="gramStart"/>
            <w:r w:rsidRPr="00440325">
              <w:rPr>
                <w:rFonts w:ascii="Times New Roman" w:eastAsia="Times New Roman" w:hAnsi="Times New Roman" w:cs="Times New Roman"/>
                <w:b/>
                <w:bCs/>
                <w:color w:val="000000" w:themeColor="text1"/>
                <w:sz w:val="24"/>
                <w:szCs w:val="24"/>
                <w:lang w:val="es-ES_tradnl"/>
              </w:rPr>
              <w:t>Total</w:t>
            </w:r>
            <w:proofErr w:type="gramEnd"/>
            <w:r w:rsidRPr="00440325">
              <w:rPr>
                <w:rFonts w:ascii="Times New Roman" w:eastAsia="Times New Roman" w:hAnsi="Times New Roman" w:cs="Times New Roman"/>
                <w:b/>
                <w:bCs/>
                <w:color w:val="000000" w:themeColor="text1"/>
                <w:sz w:val="24"/>
                <w:szCs w:val="24"/>
                <w:lang w:val="es-ES_tradnl"/>
              </w:rPr>
              <w:t xml:space="preserve"> del sistema</w:t>
            </w:r>
          </w:p>
        </w:tc>
        <w:tc>
          <w:tcPr>
            <w:tcW w:w="1869" w:type="dxa"/>
            <w:tcBorders>
              <w:top w:val="nil"/>
              <w:left w:val="nil"/>
              <w:bottom w:val="double" w:sz="6" w:space="0" w:color="auto"/>
              <w:right w:val="nil"/>
            </w:tcBorders>
            <w:shd w:val="clear" w:color="auto" w:fill="FFFFFF" w:themeFill="background1"/>
            <w:tcMar>
              <w:left w:w="108" w:type="dxa"/>
              <w:right w:w="108" w:type="dxa"/>
            </w:tcMar>
            <w:vAlign w:val="center"/>
          </w:tcPr>
          <w:p w14:paraId="53B31600" w14:textId="26AD9687" w:rsidR="00570904" w:rsidRPr="00440325" w:rsidRDefault="00570904" w:rsidP="00570904">
            <w:pPr>
              <w:jc w:val="center"/>
              <w:rPr>
                <w:sz w:val="24"/>
                <w:szCs w:val="24"/>
                <w:lang w:val="es-ES_tradnl"/>
              </w:rPr>
            </w:pPr>
            <w:r w:rsidRPr="00440325">
              <w:rPr>
                <w:rFonts w:ascii="Times New Roman" w:hAnsi="Times New Roman" w:cs="Times New Roman"/>
                <w:sz w:val="24"/>
                <w:szCs w:val="24"/>
                <w:lang w:val="es-ES_tradnl"/>
              </w:rPr>
              <w:t>18.5</w:t>
            </w:r>
          </w:p>
        </w:tc>
        <w:tc>
          <w:tcPr>
            <w:tcW w:w="1813" w:type="dxa"/>
            <w:tcBorders>
              <w:top w:val="nil"/>
              <w:left w:val="nil"/>
              <w:bottom w:val="double" w:sz="6" w:space="0" w:color="auto"/>
              <w:right w:val="nil"/>
            </w:tcBorders>
            <w:shd w:val="clear" w:color="auto" w:fill="FFFFFF" w:themeFill="background1"/>
            <w:tcMar>
              <w:left w:w="108" w:type="dxa"/>
              <w:right w:w="108" w:type="dxa"/>
            </w:tcMar>
            <w:vAlign w:val="center"/>
          </w:tcPr>
          <w:p w14:paraId="06D78CC9" w14:textId="6C748D56" w:rsidR="00570904" w:rsidRPr="00440325" w:rsidRDefault="00570904" w:rsidP="00570904">
            <w:pPr>
              <w:jc w:val="center"/>
              <w:rPr>
                <w:sz w:val="24"/>
                <w:szCs w:val="24"/>
                <w:lang w:val="es-ES_tradnl"/>
              </w:rPr>
            </w:pPr>
            <w:r w:rsidRPr="00440325">
              <w:rPr>
                <w:rFonts w:ascii="Times New Roman" w:hAnsi="Times New Roman" w:cs="Times New Roman"/>
                <w:sz w:val="24"/>
                <w:szCs w:val="24"/>
                <w:lang w:val="es-ES_tradnl"/>
              </w:rPr>
              <w:t>19.2</w:t>
            </w:r>
          </w:p>
        </w:tc>
        <w:tc>
          <w:tcPr>
            <w:tcW w:w="1470" w:type="dxa"/>
            <w:tcBorders>
              <w:top w:val="nil"/>
              <w:left w:val="nil"/>
              <w:bottom w:val="nil"/>
              <w:right w:val="nil"/>
            </w:tcBorders>
            <w:shd w:val="clear" w:color="auto" w:fill="FFFFFF" w:themeFill="background1"/>
            <w:tcMar>
              <w:left w:w="108" w:type="dxa"/>
              <w:right w:w="108" w:type="dxa"/>
            </w:tcMar>
            <w:vAlign w:val="center"/>
          </w:tcPr>
          <w:p w14:paraId="3E7EA2F3" w14:textId="4E5F0358" w:rsidR="00570904" w:rsidRPr="00440325" w:rsidRDefault="00570904" w:rsidP="00570904">
            <w:pPr>
              <w:jc w:val="center"/>
              <w:rPr>
                <w:sz w:val="24"/>
                <w:szCs w:val="24"/>
                <w:lang w:val="es-ES_tradnl"/>
              </w:rPr>
            </w:pPr>
            <w:r w:rsidRPr="00440325">
              <w:rPr>
                <w:rFonts w:ascii="Times New Roman" w:hAnsi="Times New Roman" w:cs="Times New Roman"/>
                <w:sz w:val="24"/>
                <w:szCs w:val="24"/>
                <w:lang w:val="es-ES_tradnl"/>
              </w:rPr>
              <w:t>0.7</w:t>
            </w:r>
          </w:p>
        </w:tc>
        <w:tc>
          <w:tcPr>
            <w:tcW w:w="1455" w:type="dxa"/>
            <w:tcBorders>
              <w:top w:val="nil"/>
              <w:left w:val="nil"/>
              <w:bottom w:val="double" w:sz="6" w:space="0" w:color="auto"/>
              <w:right w:val="nil"/>
            </w:tcBorders>
            <w:shd w:val="clear" w:color="auto" w:fill="FFFFFF" w:themeFill="background1"/>
            <w:tcMar>
              <w:left w:w="108" w:type="dxa"/>
              <w:right w:w="108" w:type="dxa"/>
            </w:tcMar>
            <w:vAlign w:val="center"/>
          </w:tcPr>
          <w:p w14:paraId="726547CF" w14:textId="2E101E69" w:rsidR="00570904" w:rsidRPr="00440325" w:rsidRDefault="00570904" w:rsidP="00570904">
            <w:pPr>
              <w:jc w:val="center"/>
              <w:rPr>
                <w:sz w:val="24"/>
                <w:szCs w:val="24"/>
                <w:lang w:val="es-ES_tradnl"/>
              </w:rPr>
            </w:pPr>
            <w:r w:rsidRPr="00440325">
              <w:rPr>
                <w:rFonts w:ascii="Times New Roman" w:hAnsi="Times New Roman" w:cs="Times New Roman"/>
                <w:sz w:val="24"/>
                <w:szCs w:val="24"/>
                <w:lang w:val="es-ES_tradnl"/>
              </w:rPr>
              <w:t>3.7%</w:t>
            </w:r>
          </w:p>
        </w:tc>
      </w:tr>
      <w:tr w:rsidR="7B0AE9EE" w:rsidRPr="00227118" w14:paraId="5363286C" w14:textId="77777777" w:rsidTr="449977F3">
        <w:trPr>
          <w:trHeight w:val="390"/>
        </w:trPr>
        <w:tc>
          <w:tcPr>
            <w:tcW w:w="8417" w:type="dxa"/>
            <w:gridSpan w:val="5"/>
            <w:tcBorders>
              <w:top w:val="double" w:sz="6" w:space="0" w:color="auto"/>
              <w:left w:val="nil"/>
              <w:bottom w:val="nil"/>
              <w:right w:val="nil"/>
            </w:tcBorders>
            <w:shd w:val="clear" w:color="auto" w:fill="FFFFFF" w:themeFill="background1"/>
            <w:tcMar>
              <w:left w:w="108" w:type="dxa"/>
              <w:right w:w="108" w:type="dxa"/>
            </w:tcMar>
            <w:vAlign w:val="bottom"/>
          </w:tcPr>
          <w:p w14:paraId="2CE05778" w14:textId="085F9072" w:rsidR="7B0AE9EE" w:rsidRPr="00440325" w:rsidRDefault="34B893EC" w:rsidP="7B0AE9EE">
            <w:pPr>
              <w:rPr>
                <w:sz w:val="24"/>
                <w:szCs w:val="24"/>
                <w:lang w:val="es-ES_tradnl"/>
              </w:rPr>
            </w:pPr>
            <w:r w:rsidRPr="00440325">
              <w:rPr>
                <w:rFonts w:ascii="Times New Roman" w:eastAsia="Times New Roman" w:hAnsi="Times New Roman" w:cs="Times New Roman"/>
                <w:color w:val="000000" w:themeColor="text1"/>
                <w:sz w:val="24"/>
                <w:szCs w:val="24"/>
                <w:vertAlign w:val="superscript"/>
                <w:lang w:val="es-ES_tradnl"/>
              </w:rPr>
              <w:t xml:space="preserve"> 1</w:t>
            </w:r>
            <w:r w:rsidR="00335873" w:rsidRPr="00440325">
              <w:rPr>
                <w:rFonts w:ascii="Times New Roman" w:eastAsia="Times New Roman" w:hAnsi="Times New Roman" w:cs="Times New Roman"/>
                <w:color w:val="000000" w:themeColor="text1"/>
                <w:sz w:val="24"/>
                <w:szCs w:val="24"/>
                <w:lang w:val="es-ES_tradnl"/>
              </w:rPr>
              <w:t xml:space="preserve">Tarifas en vigor a partir del </w:t>
            </w:r>
            <w:r w:rsidR="6B137D13" w:rsidRPr="00440325">
              <w:rPr>
                <w:rFonts w:ascii="Times New Roman" w:eastAsia="Times New Roman" w:hAnsi="Times New Roman" w:cs="Times New Roman"/>
                <w:color w:val="000000" w:themeColor="text1"/>
                <w:sz w:val="24"/>
                <w:szCs w:val="24"/>
                <w:lang w:val="es-ES_tradnl"/>
              </w:rPr>
              <w:t>2</w:t>
            </w:r>
            <w:r w:rsidRPr="00440325">
              <w:rPr>
                <w:rFonts w:ascii="Times New Roman" w:eastAsia="Times New Roman" w:hAnsi="Times New Roman" w:cs="Times New Roman"/>
                <w:color w:val="000000" w:themeColor="text1"/>
                <w:sz w:val="24"/>
                <w:szCs w:val="24"/>
                <w:lang w:val="es-ES_tradnl"/>
              </w:rPr>
              <w:t>/1/2</w:t>
            </w:r>
            <w:r w:rsidR="6B137D13" w:rsidRPr="00440325">
              <w:rPr>
                <w:rFonts w:ascii="Times New Roman" w:eastAsia="Times New Roman" w:hAnsi="Times New Roman" w:cs="Times New Roman"/>
                <w:color w:val="000000" w:themeColor="text1"/>
                <w:sz w:val="24"/>
                <w:szCs w:val="24"/>
                <w:lang w:val="es-ES_tradnl"/>
              </w:rPr>
              <w:t>5</w:t>
            </w:r>
            <w:r w:rsidRPr="00440325">
              <w:rPr>
                <w:rFonts w:ascii="Times New Roman" w:eastAsia="Times New Roman" w:hAnsi="Times New Roman" w:cs="Times New Roman"/>
                <w:color w:val="000000" w:themeColor="text1"/>
                <w:sz w:val="24"/>
                <w:szCs w:val="24"/>
                <w:lang w:val="es-ES_tradnl"/>
              </w:rPr>
              <w:t xml:space="preserve"> </w:t>
            </w:r>
            <w:r w:rsidR="00D0284A" w:rsidRPr="00440325">
              <w:rPr>
                <w:rFonts w:ascii="Times New Roman" w:eastAsia="Times New Roman" w:hAnsi="Times New Roman" w:cs="Times New Roman"/>
                <w:color w:val="000000" w:themeColor="text1"/>
                <w:sz w:val="24"/>
                <w:szCs w:val="24"/>
                <w:lang w:val="es-ES_tradnl"/>
              </w:rPr>
              <w:t xml:space="preserve">conforme a la carta de notificación </w:t>
            </w:r>
            <w:proofErr w:type="spellStart"/>
            <w:r w:rsidR="00D0284A" w:rsidRPr="00440325">
              <w:rPr>
                <w:rFonts w:ascii="Times New Roman" w:eastAsia="Times New Roman" w:hAnsi="Times New Roman" w:cs="Times New Roman"/>
                <w:color w:val="000000" w:themeColor="text1"/>
                <w:sz w:val="24"/>
                <w:szCs w:val="24"/>
                <w:lang w:val="es-ES_tradnl"/>
              </w:rPr>
              <w:t>Advice</w:t>
            </w:r>
            <w:proofErr w:type="spellEnd"/>
            <w:r w:rsidR="00D0284A" w:rsidRPr="00440325">
              <w:rPr>
                <w:rFonts w:ascii="Times New Roman" w:eastAsia="Times New Roman" w:hAnsi="Times New Roman" w:cs="Times New Roman"/>
                <w:color w:val="000000" w:themeColor="text1"/>
                <w:sz w:val="24"/>
                <w:szCs w:val="24"/>
                <w:lang w:val="es-ES_tradnl"/>
              </w:rPr>
              <w:t xml:space="preserve"> </w:t>
            </w:r>
            <w:proofErr w:type="spellStart"/>
            <w:r w:rsidR="00061572" w:rsidRPr="00440325">
              <w:rPr>
                <w:rFonts w:ascii="Times New Roman" w:eastAsia="Times New Roman" w:hAnsi="Times New Roman" w:cs="Times New Roman"/>
                <w:color w:val="000000" w:themeColor="text1"/>
                <w:sz w:val="24"/>
                <w:szCs w:val="24"/>
                <w:lang w:val="es-ES_tradnl"/>
              </w:rPr>
              <w:t>Letter</w:t>
            </w:r>
            <w:proofErr w:type="spellEnd"/>
            <w:r w:rsidR="00061572" w:rsidRPr="00440325">
              <w:rPr>
                <w:rFonts w:ascii="Times New Roman" w:eastAsia="Times New Roman" w:hAnsi="Times New Roman" w:cs="Times New Roman"/>
                <w:color w:val="000000" w:themeColor="text1"/>
                <w:sz w:val="24"/>
                <w:szCs w:val="24"/>
                <w:lang w:val="es-ES_tradnl"/>
              </w:rPr>
              <w:t xml:space="preserve"> </w:t>
            </w:r>
            <w:r w:rsidRPr="00440325">
              <w:rPr>
                <w:rFonts w:ascii="Times New Roman" w:eastAsia="Times New Roman" w:hAnsi="Times New Roman" w:cs="Times New Roman"/>
                <w:color w:val="000000" w:themeColor="text1"/>
                <w:sz w:val="24"/>
                <w:szCs w:val="24"/>
                <w:lang w:val="es-ES_tradnl"/>
              </w:rPr>
              <w:t>(AL) 4</w:t>
            </w:r>
            <w:r w:rsidR="60AFB95B" w:rsidRPr="00440325">
              <w:rPr>
                <w:rFonts w:ascii="Times New Roman" w:eastAsia="Times New Roman" w:hAnsi="Times New Roman" w:cs="Times New Roman"/>
                <w:color w:val="000000" w:themeColor="text1"/>
                <w:sz w:val="24"/>
                <w:szCs w:val="24"/>
                <w:lang w:val="es-ES_tradnl"/>
              </w:rPr>
              <w:t>588</w:t>
            </w:r>
            <w:r w:rsidRPr="00440325">
              <w:rPr>
                <w:rFonts w:ascii="Times New Roman" w:eastAsia="Times New Roman" w:hAnsi="Times New Roman" w:cs="Times New Roman"/>
                <w:color w:val="000000" w:themeColor="text1"/>
                <w:sz w:val="24"/>
                <w:szCs w:val="24"/>
                <w:lang w:val="es-ES_tradnl"/>
              </w:rPr>
              <w:t>-E.</w:t>
            </w:r>
          </w:p>
          <w:p w14:paraId="464430A4" w14:textId="09E024E7" w:rsidR="7B0AE9EE" w:rsidRPr="00440325" w:rsidRDefault="34B893EC" w:rsidP="7B0AE9EE">
            <w:pPr>
              <w:rPr>
                <w:sz w:val="24"/>
                <w:szCs w:val="24"/>
                <w:lang w:val="es-ES_tradnl"/>
              </w:rPr>
            </w:pPr>
            <w:r w:rsidRPr="00440325">
              <w:rPr>
                <w:rFonts w:ascii="Times New Roman" w:eastAsia="Times New Roman" w:hAnsi="Times New Roman" w:cs="Times New Roman"/>
                <w:sz w:val="24"/>
                <w:szCs w:val="24"/>
                <w:lang w:val="es-ES_tradnl"/>
              </w:rPr>
              <w:t xml:space="preserve"> </w:t>
            </w:r>
          </w:p>
          <w:p w14:paraId="7DE2794F" w14:textId="787ACCF5" w:rsidR="7B0AE9EE" w:rsidRPr="00440325" w:rsidRDefault="7B0AE9EE" w:rsidP="00945DCD">
            <w:pPr>
              <w:rPr>
                <w:rFonts w:ascii="Times New Roman" w:eastAsia="Times New Roman" w:hAnsi="Times New Roman" w:cs="Times New Roman"/>
                <w:sz w:val="24"/>
                <w:szCs w:val="24"/>
                <w:lang w:val="es-ES_tradnl"/>
              </w:rPr>
            </w:pPr>
          </w:p>
        </w:tc>
      </w:tr>
    </w:tbl>
    <w:p w14:paraId="1CDAB0F3" w14:textId="6E4EB818" w:rsidR="00A06171" w:rsidRPr="00440325" w:rsidRDefault="00D0284A" w:rsidP="55AA1D6E">
      <w:pPr>
        <w:spacing w:after="0" w:line="240" w:lineRule="auto"/>
        <w:jc w:val="center"/>
        <w:rPr>
          <w:rFonts w:ascii="Times New Roman" w:eastAsia="Times New Roman" w:hAnsi="Times New Roman" w:cs="Times New Roman"/>
          <w:sz w:val="24"/>
          <w:szCs w:val="24"/>
          <w:u w:val="single"/>
          <w:lang w:val="es-ES_tradnl"/>
        </w:rPr>
      </w:pPr>
      <w:r w:rsidRPr="00440325">
        <w:rPr>
          <w:rFonts w:ascii="Times New Roman" w:eastAsia="Times New Roman" w:hAnsi="Times New Roman" w:cs="Times New Roman"/>
          <w:sz w:val="24"/>
          <w:szCs w:val="24"/>
          <w:u w:val="single"/>
          <w:lang w:val="es-ES_tradnl"/>
        </w:rPr>
        <w:t>Aumento total propuesto en la tarifa eléctrica</w:t>
      </w:r>
    </w:p>
    <w:tbl>
      <w:tblPr>
        <w:tblStyle w:val="TableGrid"/>
        <w:tblW w:w="0" w:type="auto"/>
        <w:tblLayout w:type="fixed"/>
        <w:tblLook w:val="06A0" w:firstRow="1" w:lastRow="0" w:firstColumn="1" w:lastColumn="0" w:noHBand="1" w:noVBand="1"/>
      </w:tblPr>
      <w:tblGrid>
        <w:gridCol w:w="1790"/>
        <w:gridCol w:w="1839"/>
        <w:gridCol w:w="1785"/>
        <w:gridCol w:w="1450"/>
        <w:gridCol w:w="1553"/>
      </w:tblGrid>
      <w:tr w:rsidR="7B0AE9EE" w:rsidRPr="00227118" w14:paraId="64C364EF" w14:textId="77777777" w:rsidTr="259E46A7">
        <w:trPr>
          <w:trHeight w:val="1605"/>
        </w:trPr>
        <w:tc>
          <w:tcPr>
            <w:tcW w:w="1790" w:type="dxa"/>
            <w:tcBorders>
              <w:top w:val="nil"/>
              <w:left w:val="nil"/>
              <w:bottom w:val="single" w:sz="8" w:space="0" w:color="auto"/>
              <w:right w:val="nil"/>
            </w:tcBorders>
            <w:shd w:val="clear" w:color="auto" w:fill="FFFFFF" w:themeFill="background1"/>
            <w:tcMar>
              <w:left w:w="108" w:type="dxa"/>
              <w:right w:w="108" w:type="dxa"/>
            </w:tcMar>
            <w:vAlign w:val="center"/>
          </w:tcPr>
          <w:p w14:paraId="600E0DA0" w14:textId="0C9B91B4" w:rsidR="7B0AE9EE" w:rsidRPr="00440325" w:rsidRDefault="00D0284A" w:rsidP="7B0AE9EE">
            <w:pPr>
              <w:rPr>
                <w:sz w:val="24"/>
                <w:szCs w:val="24"/>
                <w:lang w:val="es-ES_tradnl"/>
              </w:rPr>
            </w:pPr>
            <w:r w:rsidRPr="00440325">
              <w:rPr>
                <w:rFonts w:ascii="Times New Roman" w:eastAsia="Times New Roman" w:hAnsi="Times New Roman" w:cs="Times New Roman"/>
                <w:b/>
                <w:bCs/>
                <w:color w:val="000000" w:themeColor="text1"/>
                <w:sz w:val="24"/>
                <w:szCs w:val="24"/>
                <w:lang w:val="es-ES_tradnl"/>
              </w:rPr>
              <w:t>Clase de cliente</w:t>
            </w:r>
          </w:p>
          <w:p w14:paraId="733EEED6" w14:textId="77D03683" w:rsidR="7B0AE9EE" w:rsidRPr="00440325" w:rsidRDefault="7B0AE9EE" w:rsidP="7B0AE9EE">
            <w:pPr>
              <w:rPr>
                <w:sz w:val="24"/>
                <w:szCs w:val="24"/>
                <w:lang w:val="es-ES_tradnl"/>
              </w:rPr>
            </w:pPr>
            <w:r w:rsidRPr="00440325">
              <w:rPr>
                <w:rFonts w:ascii="Times New Roman" w:eastAsia="Times New Roman" w:hAnsi="Times New Roman" w:cs="Times New Roman"/>
                <w:sz w:val="24"/>
                <w:szCs w:val="24"/>
                <w:lang w:val="es-ES_tradnl"/>
              </w:rPr>
              <w:t xml:space="preserve"> </w:t>
            </w:r>
          </w:p>
        </w:tc>
        <w:tc>
          <w:tcPr>
            <w:tcW w:w="1839" w:type="dxa"/>
            <w:tcBorders>
              <w:top w:val="nil"/>
              <w:left w:val="nil"/>
              <w:bottom w:val="single" w:sz="8" w:space="0" w:color="auto"/>
              <w:right w:val="nil"/>
            </w:tcBorders>
            <w:tcMar>
              <w:left w:w="108" w:type="dxa"/>
              <w:right w:w="108" w:type="dxa"/>
            </w:tcMar>
            <w:vAlign w:val="center"/>
          </w:tcPr>
          <w:p w14:paraId="32C5B8DC" w14:textId="0ED77F2C" w:rsidR="7B0AE9EE" w:rsidRPr="00440325" w:rsidRDefault="0052195F" w:rsidP="7B0AE9EE">
            <w:pPr>
              <w:jc w:val="center"/>
              <w:rPr>
                <w:sz w:val="24"/>
                <w:szCs w:val="24"/>
                <w:lang w:val="es-ES_tradnl"/>
              </w:rPr>
            </w:pPr>
            <w:r w:rsidRPr="00440325">
              <w:rPr>
                <w:rFonts w:ascii="Times New Roman" w:eastAsia="Times New Roman" w:hAnsi="Times New Roman" w:cs="Times New Roman"/>
                <w:b/>
                <w:bCs/>
                <w:sz w:val="24"/>
                <w:szCs w:val="24"/>
                <w:lang w:val="es-ES_tradnl"/>
              </w:rPr>
              <w:t xml:space="preserve">Tarifas promedio actuales totales por clase en vigor a partir del </w:t>
            </w:r>
            <w:r w:rsidR="7B0AE9EE" w:rsidRPr="00440325">
              <w:rPr>
                <w:rFonts w:ascii="Times New Roman" w:eastAsia="Times New Roman" w:hAnsi="Times New Roman" w:cs="Times New Roman"/>
                <w:b/>
                <w:bCs/>
                <w:sz w:val="24"/>
                <w:szCs w:val="24"/>
                <w:lang w:val="es-ES_tradnl"/>
              </w:rPr>
              <w:t>0</w:t>
            </w:r>
            <w:r w:rsidR="009D50AD" w:rsidRPr="00440325">
              <w:rPr>
                <w:rFonts w:ascii="Times New Roman" w:eastAsia="Times New Roman" w:hAnsi="Times New Roman" w:cs="Times New Roman"/>
                <w:b/>
                <w:bCs/>
                <w:sz w:val="24"/>
                <w:szCs w:val="24"/>
                <w:lang w:val="es-ES_tradnl"/>
              </w:rPr>
              <w:t>2</w:t>
            </w:r>
            <w:r w:rsidR="7B0AE9EE" w:rsidRPr="00440325">
              <w:rPr>
                <w:rFonts w:ascii="Times New Roman" w:eastAsia="Times New Roman" w:hAnsi="Times New Roman" w:cs="Times New Roman"/>
                <w:b/>
                <w:bCs/>
                <w:sz w:val="24"/>
                <w:szCs w:val="24"/>
                <w:lang w:val="es-ES_tradnl"/>
              </w:rPr>
              <w:t>/01/2</w:t>
            </w:r>
            <w:r w:rsidR="009D50AD" w:rsidRPr="00440325">
              <w:rPr>
                <w:rFonts w:ascii="Times New Roman" w:eastAsia="Times New Roman" w:hAnsi="Times New Roman" w:cs="Times New Roman"/>
                <w:b/>
                <w:bCs/>
                <w:sz w:val="24"/>
                <w:szCs w:val="24"/>
                <w:lang w:val="es-ES_tradnl"/>
              </w:rPr>
              <w:t>5</w:t>
            </w:r>
            <w:r w:rsidR="7B0AE9EE" w:rsidRPr="00440325">
              <w:rPr>
                <w:rFonts w:ascii="Times New Roman" w:eastAsia="Times New Roman" w:hAnsi="Times New Roman" w:cs="Times New Roman"/>
                <w:b/>
                <w:bCs/>
                <w:sz w:val="24"/>
                <w:szCs w:val="24"/>
                <w:vertAlign w:val="superscript"/>
                <w:lang w:val="es-ES_tradnl"/>
              </w:rPr>
              <w:t>1</w:t>
            </w:r>
            <w:r w:rsidR="7B0AE9EE" w:rsidRPr="00440325">
              <w:rPr>
                <w:rFonts w:ascii="Times New Roman" w:eastAsia="Times New Roman" w:hAnsi="Times New Roman" w:cs="Times New Roman"/>
                <w:b/>
                <w:bCs/>
                <w:sz w:val="24"/>
                <w:szCs w:val="24"/>
                <w:lang w:val="es-ES_tradnl"/>
              </w:rPr>
              <w:t xml:space="preserve"> (¢/kWh)</w:t>
            </w:r>
            <w:r w:rsidR="7B0AE9EE" w:rsidRPr="00440325">
              <w:rPr>
                <w:rFonts w:ascii="Times New Roman" w:eastAsia="Times New Roman" w:hAnsi="Times New Roman" w:cs="Times New Roman"/>
                <w:sz w:val="24"/>
                <w:szCs w:val="24"/>
                <w:lang w:val="es-ES_tradnl"/>
              </w:rPr>
              <w:t xml:space="preserve">  </w:t>
            </w:r>
          </w:p>
        </w:tc>
        <w:tc>
          <w:tcPr>
            <w:tcW w:w="1785" w:type="dxa"/>
            <w:tcBorders>
              <w:top w:val="nil"/>
              <w:left w:val="nil"/>
              <w:bottom w:val="single" w:sz="8" w:space="0" w:color="auto"/>
              <w:right w:val="nil"/>
            </w:tcBorders>
            <w:tcMar>
              <w:left w:w="108" w:type="dxa"/>
              <w:right w:w="108" w:type="dxa"/>
            </w:tcMar>
            <w:vAlign w:val="center"/>
          </w:tcPr>
          <w:p w14:paraId="6C5EBD3F" w14:textId="6A2EFA80" w:rsidR="7B0AE9EE" w:rsidRPr="00440325" w:rsidRDefault="00617640" w:rsidP="7B0AE9EE">
            <w:pPr>
              <w:jc w:val="center"/>
              <w:rPr>
                <w:sz w:val="24"/>
                <w:szCs w:val="24"/>
                <w:lang w:val="es-ES_tradnl"/>
              </w:rPr>
            </w:pPr>
            <w:r w:rsidRPr="00440325">
              <w:rPr>
                <w:rFonts w:ascii="Times New Roman" w:eastAsia="Times New Roman" w:hAnsi="Times New Roman" w:cs="Times New Roman"/>
                <w:b/>
                <w:bCs/>
                <w:sz w:val="24"/>
                <w:szCs w:val="24"/>
                <w:lang w:val="es-ES_tradnl"/>
              </w:rPr>
              <w:t xml:space="preserve">Tarifas promedio totales por clase propuestas para </w:t>
            </w:r>
            <w:r w:rsidR="00343DBE" w:rsidRPr="00440325">
              <w:rPr>
                <w:rFonts w:ascii="Times New Roman" w:eastAsia="Times New Roman" w:hAnsi="Times New Roman" w:cs="Times New Roman"/>
                <w:b/>
                <w:bCs/>
                <w:sz w:val="24"/>
                <w:szCs w:val="24"/>
                <w:lang w:val="es-ES_tradnl"/>
              </w:rPr>
              <w:t xml:space="preserve">2027 </w:t>
            </w:r>
            <w:r w:rsidR="7B0AE9EE" w:rsidRPr="00440325">
              <w:rPr>
                <w:rFonts w:ascii="Times New Roman" w:eastAsia="Times New Roman" w:hAnsi="Times New Roman" w:cs="Times New Roman"/>
                <w:b/>
                <w:bCs/>
                <w:sz w:val="24"/>
                <w:szCs w:val="24"/>
                <w:lang w:val="es-ES_tradnl"/>
              </w:rPr>
              <w:t>(¢/kWh)</w:t>
            </w:r>
            <w:r w:rsidR="7B0AE9EE" w:rsidRPr="00440325">
              <w:rPr>
                <w:rFonts w:ascii="Times New Roman" w:eastAsia="Times New Roman" w:hAnsi="Times New Roman" w:cs="Times New Roman"/>
                <w:sz w:val="24"/>
                <w:szCs w:val="24"/>
                <w:lang w:val="es-ES_tradnl"/>
              </w:rPr>
              <w:t xml:space="preserve">  </w:t>
            </w:r>
          </w:p>
        </w:tc>
        <w:tc>
          <w:tcPr>
            <w:tcW w:w="1450" w:type="dxa"/>
            <w:tcBorders>
              <w:top w:val="nil"/>
              <w:left w:val="nil"/>
              <w:bottom w:val="single" w:sz="8" w:space="0" w:color="auto"/>
              <w:right w:val="nil"/>
            </w:tcBorders>
            <w:shd w:val="clear" w:color="auto" w:fill="FFFFFF" w:themeFill="background1"/>
            <w:tcMar>
              <w:left w:w="108" w:type="dxa"/>
              <w:right w:w="108" w:type="dxa"/>
            </w:tcMar>
            <w:vAlign w:val="center"/>
          </w:tcPr>
          <w:p w14:paraId="7419A212" w14:textId="323DE03C" w:rsidR="7B0AE9EE" w:rsidRPr="00440325" w:rsidRDefault="00430DB3" w:rsidP="7B0AE9EE">
            <w:pPr>
              <w:jc w:val="center"/>
              <w:rPr>
                <w:sz w:val="24"/>
                <w:szCs w:val="24"/>
                <w:lang w:val="es-ES_tradnl"/>
              </w:rPr>
            </w:pPr>
            <w:r w:rsidRPr="00440325">
              <w:rPr>
                <w:rFonts w:ascii="Times New Roman" w:eastAsia="Times New Roman" w:hAnsi="Times New Roman" w:cs="Times New Roman"/>
                <w:b/>
                <w:bCs/>
                <w:color w:val="000000" w:themeColor="text1"/>
                <w:sz w:val="24"/>
                <w:szCs w:val="24"/>
                <w:lang w:val="es-ES_tradnl"/>
              </w:rPr>
              <w:t>Aumento total de la tarifa</w:t>
            </w:r>
            <w:r w:rsidR="7B0AE9EE" w:rsidRPr="00440325">
              <w:rPr>
                <w:rFonts w:ascii="Times New Roman" w:eastAsia="Times New Roman" w:hAnsi="Times New Roman" w:cs="Times New Roman"/>
                <w:b/>
                <w:bCs/>
                <w:color w:val="000000" w:themeColor="text1"/>
                <w:sz w:val="24"/>
                <w:szCs w:val="24"/>
                <w:lang w:val="es-ES_tradnl"/>
              </w:rPr>
              <w:t xml:space="preserve"> (¢/kWh)</w:t>
            </w:r>
          </w:p>
        </w:tc>
        <w:tc>
          <w:tcPr>
            <w:tcW w:w="1553" w:type="dxa"/>
            <w:tcBorders>
              <w:top w:val="nil"/>
              <w:left w:val="nil"/>
              <w:bottom w:val="single" w:sz="8" w:space="0" w:color="auto"/>
              <w:right w:val="nil"/>
            </w:tcBorders>
            <w:shd w:val="clear" w:color="auto" w:fill="FFFFFF" w:themeFill="background1"/>
            <w:tcMar>
              <w:left w:w="108" w:type="dxa"/>
              <w:right w:w="108" w:type="dxa"/>
            </w:tcMar>
            <w:vAlign w:val="center"/>
          </w:tcPr>
          <w:p w14:paraId="67428541" w14:textId="2AA2B0AB" w:rsidR="7B0AE9EE" w:rsidRPr="00440325" w:rsidRDefault="00061572" w:rsidP="7B0AE9EE">
            <w:pPr>
              <w:jc w:val="center"/>
              <w:rPr>
                <w:sz w:val="24"/>
                <w:szCs w:val="24"/>
                <w:lang w:val="es-ES_tradnl"/>
              </w:rPr>
            </w:pPr>
            <w:r w:rsidRPr="00440325">
              <w:rPr>
                <w:rFonts w:ascii="Times New Roman" w:eastAsia="Times New Roman" w:hAnsi="Times New Roman" w:cs="Times New Roman"/>
                <w:b/>
                <w:bCs/>
                <w:color w:val="000000" w:themeColor="text1"/>
                <w:sz w:val="24"/>
                <w:szCs w:val="24"/>
                <w:lang w:val="es-ES_tradnl"/>
              </w:rPr>
              <w:t>Aumento porcentual de la tarifa promedio</w:t>
            </w:r>
            <w:r w:rsidR="00C07CE8">
              <w:rPr>
                <w:rFonts w:ascii="Times New Roman" w:eastAsia="Times New Roman" w:hAnsi="Times New Roman" w:cs="Times New Roman"/>
                <w:b/>
                <w:bCs/>
                <w:color w:val="000000" w:themeColor="text1"/>
                <w:sz w:val="24"/>
                <w:szCs w:val="24"/>
                <w:lang w:val="es-ES_tradnl"/>
              </w:rPr>
              <w:t xml:space="preserve"> </w:t>
            </w:r>
            <w:r w:rsidR="7B0AE9EE" w:rsidRPr="00440325">
              <w:rPr>
                <w:rFonts w:ascii="Times New Roman" w:eastAsia="Times New Roman" w:hAnsi="Times New Roman" w:cs="Times New Roman"/>
                <w:b/>
                <w:bCs/>
                <w:color w:val="000000" w:themeColor="text1"/>
                <w:sz w:val="24"/>
                <w:szCs w:val="24"/>
                <w:lang w:val="es-ES_tradnl"/>
              </w:rPr>
              <w:t>(%)</w:t>
            </w:r>
          </w:p>
        </w:tc>
      </w:tr>
      <w:tr w:rsidR="00D0284A" w:rsidRPr="00440325" w14:paraId="55C20151" w14:textId="77777777" w:rsidTr="259E46A7">
        <w:trPr>
          <w:trHeight w:val="405"/>
        </w:trPr>
        <w:tc>
          <w:tcPr>
            <w:tcW w:w="1790" w:type="dxa"/>
            <w:tcBorders>
              <w:top w:val="single" w:sz="8" w:space="0" w:color="auto"/>
              <w:left w:val="nil"/>
              <w:bottom w:val="nil"/>
              <w:right w:val="nil"/>
            </w:tcBorders>
            <w:shd w:val="clear" w:color="auto" w:fill="FFFFFF" w:themeFill="background1"/>
            <w:tcMar>
              <w:left w:w="108" w:type="dxa"/>
              <w:right w:w="108" w:type="dxa"/>
            </w:tcMar>
            <w:vAlign w:val="bottom"/>
          </w:tcPr>
          <w:p w14:paraId="66A82A7E" w14:textId="705F8250" w:rsidR="00D0284A" w:rsidRPr="00440325" w:rsidRDefault="00D0284A" w:rsidP="00D0284A">
            <w:pPr>
              <w:rPr>
                <w:sz w:val="24"/>
                <w:szCs w:val="24"/>
                <w:lang w:val="es-ES_tradnl"/>
              </w:rPr>
            </w:pPr>
            <w:r w:rsidRPr="00440325">
              <w:rPr>
                <w:rFonts w:ascii="Times New Roman" w:eastAsia="Times New Roman" w:hAnsi="Times New Roman" w:cs="Times New Roman"/>
                <w:b/>
                <w:bCs/>
                <w:color w:val="000000" w:themeColor="text1"/>
                <w:sz w:val="24"/>
                <w:szCs w:val="24"/>
                <w:lang w:val="es-ES_tradnl"/>
              </w:rPr>
              <w:t>Residencial</w:t>
            </w:r>
          </w:p>
        </w:tc>
        <w:tc>
          <w:tcPr>
            <w:tcW w:w="1839" w:type="dxa"/>
            <w:tcBorders>
              <w:top w:val="single" w:sz="8" w:space="0" w:color="auto"/>
              <w:left w:val="nil"/>
              <w:bottom w:val="nil"/>
              <w:right w:val="nil"/>
            </w:tcBorders>
            <w:shd w:val="clear" w:color="auto" w:fill="FFFFFF" w:themeFill="background1"/>
            <w:tcMar>
              <w:left w:w="108" w:type="dxa"/>
              <w:right w:w="108" w:type="dxa"/>
            </w:tcMar>
            <w:vAlign w:val="center"/>
          </w:tcPr>
          <w:p w14:paraId="0C08D2BF" w14:textId="07981BD7" w:rsidR="00D0284A" w:rsidRPr="00440325" w:rsidRDefault="00D0284A" w:rsidP="00D0284A">
            <w:pPr>
              <w:jc w:val="center"/>
              <w:rPr>
                <w:sz w:val="24"/>
                <w:szCs w:val="24"/>
                <w:lang w:val="es-ES_tradnl"/>
              </w:rPr>
            </w:pPr>
            <w:r w:rsidRPr="00440325">
              <w:rPr>
                <w:rFonts w:ascii="Times New Roman" w:hAnsi="Times New Roman" w:cs="Times New Roman"/>
                <w:sz w:val="24"/>
                <w:szCs w:val="24"/>
                <w:lang w:val="es-ES_tradnl"/>
              </w:rPr>
              <w:t>35.9</w:t>
            </w:r>
          </w:p>
        </w:tc>
        <w:tc>
          <w:tcPr>
            <w:tcW w:w="1785" w:type="dxa"/>
            <w:tcBorders>
              <w:top w:val="single" w:sz="8" w:space="0" w:color="auto"/>
              <w:left w:val="nil"/>
              <w:bottom w:val="nil"/>
              <w:right w:val="nil"/>
            </w:tcBorders>
            <w:shd w:val="clear" w:color="auto" w:fill="FFFFFF" w:themeFill="background1"/>
            <w:tcMar>
              <w:left w:w="108" w:type="dxa"/>
              <w:right w:w="108" w:type="dxa"/>
            </w:tcMar>
            <w:vAlign w:val="center"/>
          </w:tcPr>
          <w:p w14:paraId="6478EF30" w14:textId="7170B449" w:rsidR="00D0284A" w:rsidRPr="00440325" w:rsidRDefault="00D0284A" w:rsidP="00D0284A">
            <w:pPr>
              <w:jc w:val="center"/>
              <w:rPr>
                <w:sz w:val="24"/>
                <w:szCs w:val="24"/>
                <w:lang w:val="es-ES_tradnl"/>
              </w:rPr>
            </w:pPr>
            <w:r w:rsidRPr="00440325">
              <w:rPr>
                <w:rFonts w:ascii="Times New Roman" w:hAnsi="Times New Roman" w:cs="Times New Roman"/>
                <w:sz w:val="24"/>
                <w:szCs w:val="24"/>
                <w:lang w:val="es-ES_tradnl"/>
              </w:rPr>
              <w:t>36.6</w:t>
            </w:r>
          </w:p>
        </w:tc>
        <w:tc>
          <w:tcPr>
            <w:tcW w:w="1450" w:type="dxa"/>
            <w:tcBorders>
              <w:top w:val="single" w:sz="8" w:space="0" w:color="auto"/>
              <w:left w:val="nil"/>
              <w:bottom w:val="nil"/>
              <w:right w:val="nil"/>
            </w:tcBorders>
            <w:shd w:val="clear" w:color="auto" w:fill="FFFFFF" w:themeFill="background1"/>
            <w:tcMar>
              <w:left w:w="108" w:type="dxa"/>
              <w:right w:w="108" w:type="dxa"/>
            </w:tcMar>
            <w:vAlign w:val="center"/>
          </w:tcPr>
          <w:p w14:paraId="058EB277" w14:textId="0BC142AB" w:rsidR="00D0284A" w:rsidRPr="00440325" w:rsidRDefault="00D0284A" w:rsidP="00D0284A">
            <w:pPr>
              <w:jc w:val="center"/>
              <w:rPr>
                <w:sz w:val="24"/>
                <w:szCs w:val="24"/>
                <w:lang w:val="es-ES_tradnl"/>
              </w:rPr>
            </w:pPr>
            <w:r w:rsidRPr="00440325">
              <w:rPr>
                <w:rFonts w:ascii="Times New Roman" w:hAnsi="Times New Roman" w:cs="Times New Roman"/>
                <w:sz w:val="24"/>
                <w:szCs w:val="24"/>
                <w:lang w:val="es-ES_tradnl"/>
              </w:rPr>
              <w:t>0.7</w:t>
            </w:r>
          </w:p>
        </w:tc>
        <w:tc>
          <w:tcPr>
            <w:tcW w:w="1553" w:type="dxa"/>
            <w:tcBorders>
              <w:top w:val="single" w:sz="8" w:space="0" w:color="auto"/>
              <w:left w:val="nil"/>
              <w:bottom w:val="nil"/>
              <w:right w:val="nil"/>
            </w:tcBorders>
            <w:shd w:val="clear" w:color="auto" w:fill="FFFFFF" w:themeFill="background1"/>
            <w:tcMar>
              <w:left w:w="108" w:type="dxa"/>
              <w:right w:w="108" w:type="dxa"/>
            </w:tcMar>
            <w:vAlign w:val="center"/>
          </w:tcPr>
          <w:p w14:paraId="2F78CBAC" w14:textId="10274E33" w:rsidR="00D0284A" w:rsidRPr="00440325" w:rsidRDefault="00D0284A" w:rsidP="00D0284A">
            <w:pPr>
              <w:jc w:val="center"/>
              <w:rPr>
                <w:sz w:val="24"/>
                <w:szCs w:val="24"/>
                <w:lang w:val="es-ES_tradnl"/>
              </w:rPr>
            </w:pPr>
            <w:r w:rsidRPr="00440325">
              <w:rPr>
                <w:rFonts w:ascii="Times New Roman" w:hAnsi="Times New Roman" w:cs="Times New Roman"/>
                <w:sz w:val="24"/>
                <w:szCs w:val="24"/>
                <w:lang w:val="es-ES_tradnl"/>
              </w:rPr>
              <w:t>2.0%</w:t>
            </w:r>
          </w:p>
        </w:tc>
      </w:tr>
      <w:tr w:rsidR="00D0284A" w:rsidRPr="00440325" w14:paraId="3A723A17" w14:textId="77777777" w:rsidTr="259E46A7">
        <w:trPr>
          <w:trHeight w:val="405"/>
        </w:trPr>
        <w:tc>
          <w:tcPr>
            <w:tcW w:w="1790" w:type="dxa"/>
            <w:tcBorders>
              <w:top w:val="nil"/>
              <w:left w:val="nil"/>
              <w:bottom w:val="nil"/>
              <w:right w:val="nil"/>
            </w:tcBorders>
            <w:shd w:val="clear" w:color="auto" w:fill="FFFFFF" w:themeFill="background1"/>
            <w:tcMar>
              <w:left w:w="108" w:type="dxa"/>
              <w:right w:w="108" w:type="dxa"/>
            </w:tcMar>
            <w:vAlign w:val="bottom"/>
          </w:tcPr>
          <w:p w14:paraId="5C4D5B99" w14:textId="641D63F8" w:rsidR="00D0284A" w:rsidRPr="00440325" w:rsidRDefault="00D0284A" w:rsidP="00D0284A">
            <w:pPr>
              <w:rPr>
                <w:sz w:val="24"/>
                <w:szCs w:val="24"/>
                <w:lang w:val="es-ES_tradnl"/>
              </w:rPr>
            </w:pPr>
            <w:r w:rsidRPr="00440325">
              <w:rPr>
                <w:rFonts w:ascii="Times New Roman" w:eastAsia="Times New Roman" w:hAnsi="Times New Roman" w:cs="Times New Roman"/>
                <w:b/>
                <w:bCs/>
                <w:color w:val="000000" w:themeColor="text1"/>
                <w:sz w:val="24"/>
                <w:szCs w:val="24"/>
                <w:lang w:val="es-ES_tradnl"/>
              </w:rPr>
              <w:t>Comercial pequeño</w:t>
            </w:r>
          </w:p>
        </w:tc>
        <w:tc>
          <w:tcPr>
            <w:tcW w:w="1839" w:type="dxa"/>
            <w:tcBorders>
              <w:top w:val="nil"/>
              <w:left w:val="nil"/>
              <w:bottom w:val="nil"/>
              <w:right w:val="nil"/>
            </w:tcBorders>
            <w:shd w:val="clear" w:color="auto" w:fill="FFFFFF" w:themeFill="background1"/>
            <w:tcMar>
              <w:left w:w="108" w:type="dxa"/>
              <w:right w:w="108" w:type="dxa"/>
            </w:tcMar>
            <w:vAlign w:val="center"/>
          </w:tcPr>
          <w:p w14:paraId="18630396" w14:textId="4EEFB738" w:rsidR="00D0284A" w:rsidRPr="00440325" w:rsidRDefault="00D0284A" w:rsidP="00D0284A">
            <w:pPr>
              <w:jc w:val="center"/>
              <w:rPr>
                <w:sz w:val="24"/>
                <w:szCs w:val="24"/>
                <w:lang w:val="es-ES_tradnl"/>
              </w:rPr>
            </w:pPr>
            <w:r w:rsidRPr="00440325">
              <w:rPr>
                <w:rFonts w:ascii="Times New Roman" w:hAnsi="Times New Roman" w:cs="Times New Roman"/>
                <w:sz w:val="24"/>
                <w:szCs w:val="24"/>
                <w:lang w:val="es-ES_tradnl"/>
              </w:rPr>
              <w:t>36.7</w:t>
            </w:r>
          </w:p>
        </w:tc>
        <w:tc>
          <w:tcPr>
            <w:tcW w:w="1785" w:type="dxa"/>
            <w:tcBorders>
              <w:top w:val="nil"/>
              <w:left w:val="nil"/>
              <w:bottom w:val="nil"/>
              <w:right w:val="nil"/>
            </w:tcBorders>
            <w:shd w:val="clear" w:color="auto" w:fill="FFFFFF" w:themeFill="background1"/>
            <w:tcMar>
              <w:left w:w="108" w:type="dxa"/>
              <w:right w:w="108" w:type="dxa"/>
            </w:tcMar>
            <w:vAlign w:val="center"/>
          </w:tcPr>
          <w:p w14:paraId="7D27C52A" w14:textId="5D54BE20" w:rsidR="00D0284A" w:rsidRPr="00440325" w:rsidRDefault="00D0284A" w:rsidP="00D0284A">
            <w:pPr>
              <w:jc w:val="center"/>
              <w:rPr>
                <w:sz w:val="24"/>
                <w:szCs w:val="24"/>
                <w:lang w:val="es-ES_tradnl"/>
              </w:rPr>
            </w:pPr>
            <w:r w:rsidRPr="00440325">
              <w:rPr>
                <w:rFonts w:ascii="Times New Roman" w:hAnsi="Times New Roman" w:cs="Times New Roman"/>
                <w:sz w:val="24"/>
                <w:szCs w:val="24"/>
                <w:lang w:val="es-ES_tradnl"/>
              </w:rPr>
              <w:t>37.5</w:t>
            </w:r>
          </w:p>
        </w:tc>
        <w:tc>
          <w:tcPr>
            <w:tcW w:w="1450" w:type="dxa"/>
            <w:tcBorders>
              <w:top w:val="nil"/>
              <w:left w:val="nil"/>
              <w:bottom w:val="nil"/>
              <w:right w:val="nil"/>
            </w:tcBorders>
            <w:shd w:val="clear" w:color="auto" w:fill="FFFFFF" w:themeFill="background1"/>
            <w:tcMar>
              <w:left w:w="108" w:type="dxa"/>
              <w:right w:w="108" w:type="dxa"/>
            </w:tcMar>
            <w:vAlign w:val="center"/>
          </w:tcPr>
          <w:p w14:paraId="2A4CE3CD" w14:textId="170EC937" w:rsidR="00D0284A" w:rsidRPr="00440325" w:rsidRDefault="00D0284A" w:rsidP="00D0284A">
            <w:pPr>
              <w:jc w:val="center"/>
              <w:rPr>
                <w:sz w:val="24"/>
                <w:szCs w:val="24"/>
                <w:lang w:val="es-ES_tradnl"/>
              </w:rPr>
            </w:pPr>
            <w:r w:rsidRPr="00440325">
              <w:rPr>
                <w:rFonts w:ascii="Times New Roman" w:hAnsi="Times New Roman" w:cs="Times New Roman"/>
                <w:sz w:val="24"/>
                <w:szCs w:val="24"/>
                <w:lang w:val="es-ES_tradnl"/>
              </w:rPr>
              <w:t>0.7</w:t>
            </w:r>
          </w:p>
        </w:tc>
        <w:tc>
          <w:tcPr>
            <w:tcW w:w="1553" w:type="dxa"/>
            <w:tcBorders>
              <w:top w:val="nil"/>
              <w:left w:val="nil"/>
              <w:bottom w:val="nil"/>
              <w:right w:val="nil"/>
            </w:tcBorders>
            <w:shd w:val="clear" w:color="auto" w:fill="FFFFFF" w:themeFill="background1"/>
            <w:tcMar>
              <w:left w:w="108" w:type="dxa"/>
              <w:right w:w="108" w:type="dxa"/>
            </w:tcMar>
            <w:vAlign w:val="center"/>
          </w:tcPr>
          <w:p w14:paraId="3BA60D56" w14:textId="2D49F290" w:rsidR="00D0284A" w:rsidRPr="00440325" w:rsidRDefault="00D0284A" w:rsidP="00D0284A">
            <w:pPr>
              <w:jc w:val="center"/>
              <w:rPr>
                <w:sz w:val="24"/>
                <w:szCs w:val="24"/>
                <w:lang w:val="es-ES_tradnl"/>
              </w:rPr>
            </w:pPr>
            <w:r w:rsidRPr="00440325">
              <w:rPr>
                <w:rFonts w:ascii="Times New Roman" w:hAnsi="Times New Roman" w:cs="Times New Roman"/>
                <w:sz w:val="24"/>
                <w:szCs w:val="24"/>
                <w:lang w:val="es-ES_tradnl"/>
              </w:rPr>
              <w:t>2.0%</w:t>
            </w:r>
          </w:p>
        </w:tc>
      </w:tr>
      <w:tr w:rsidR="00D0284A" w:rsidRPr="00440325" w14:paraId="64086017" w14:textId="77777777" w:rsidTr="259E46A7">
        <w:trPr>
          <w:trHeight w:val="405"/>
        </w:trPr>
        <w:tc>
          <w:tcPr>
            <w:tcW w:w="1790" w:type="dxa"/>
            <w:tcBorders>
              <w:top w:val="nil"/>
              <w:left w:val="nil"/>
              <w:bottom w:val="nil"/>
              <w:right w:val="nil"/>
            </w:tcBorders>
            <w:shd w:val="clear" w:color="auto" w:fill="FFFFFF" w:themeFill="background1"/>
            <w:tcMar>
              <w:left w:w="108" w:type="dxa"/>
              <w:right w:w="108" w:type="dxa"/>
            </w:tcMar>
            <w:vAlign w:val="bottom"/>
          </w:tcPr>
          <w:p w14:paraId="22CAC8C5" w14:textId="15A67597" w:rsidR="00D0284A" w:rsidRPr="00440325" w:rsidRDefault="00D0284A" w:rsidP="00D0284A">
            <w:pPr>
              <w:rPr>
                <w:sz w:val="24"/>
                <w:szCs w:val="24"/>
                <w:lang w:val="es-ES_tradnl"/>
              </w:rPr>
            </w:pPr>
            <w:r w:rsidRPr="00440325">
              <w:rPr>
                <w:rFonts w:ascii="Times New Roman" w:eastAsia="Times New Roman" w:hAnsi="Times New Roman" w:cs="Times New Roman"/>
                <w:b/>
                <w:bCs/>
                <w:color w:val="000000" w:themeColor="text1"/>
                <w:sz w:val="24"/>
                <w:szCs w:val="24"/>
                <w:lang w:val="es-ES_tradnl"/>
              </w:rPr>
              <w:t>Comercial e industrial mediano y grande</w:t>
            </w:r>
          </w:p>
        </w:tc>
        <w:tc>
          <w:tcPr>
            <w:tcW w:w="1839" w:type="dxa"/>
            <w:tcBorders>
              <w:top w:val="nil"/>
              <w:left w:val="nil"/>
              <w:bottom w:val="nil"/>
              <w:right w:val="nil"/>
            </w:tcBorders>
            <w:shd w:val="clear" w:color="auto" w:fill="FFFFFF" w:themeFill="background1"/>
            <w:tcMar>
              <w:left w:w="108" w:type="dxa"/>
              <w:right w:w="108" w:type="dxa"/>
            </w:tcMar>
            <w:vAlign w:val="center"/>
          </w:tcPr>
          <w:p w14:paraId="06E44E69" w14:textId="08EB3EE8" w:rsidR="00D0284A" w:rsidRPr="00440325" w:rsidRDefault="00D0284A" w:rsidP="00D0284A">
            <w:pPr>
              <w:jc w:val="center"/>
              <w:rPr>
                <w:sz w:val="24"/>
                <w:szCs w:val="24"/>
                <w:lang w:val="es-ES_tradnl"/>
              </w:rPr>
            </w:pPr>
            <w:r w:rsidRPr="00440325">
              <w:rPr>
                <w:rFonts w:ascii="Times New Roman" w:hAnsi="Times New Roman" w:cs="Times New Roman"/>
                <w:sz w:val="24"/>
                <w:szCs w:val="24"/>
                <w:lang w:val="es-ES_tradnl"/>
              </w:rPr>
              <w:t>32.5</w:t>
            </w:r>
          </w:p>
        </w:tc>
        <w:tc>
          <w:tcPr>
            <w:tcW w:w="1785" w:type="dxa"/>
            <w:tcBorders>
              <w:top w:val="nil"/>
              <w:left w:val="nil"/>
              <w:bottom w:val="nil"/>
              <w:right w:val="nil"/>
            </w:tcBorders>
            <w:shd w:val="clear" w:color="auto" w:fill="FFFFFF" w:themeFill="background1"/>
            <w:tcMar>
              <w:left w:w="108" w:type="dxa"/>
              <w:right w:w="108" w:type="dxa"/>
            </w:tcMar>
            <w:vAlign w:val="center"/>
          </w:tcPr>
          <w:p w14:paraId="5DBCBFD1" w14:textId="43D8ED6C" w:rsidR="00D0284A" w:rsidRPr="00440325" w:rsidRDefault="00D0284A" w:rsidP="00D0284A">
            <w:pPr>
              <w:jc w:val="center"/>
              <w:rPr>
                <w:sz w:val="24"/>
                <w:szCs w:val="24"/>
                <w:lang w:val="es-ES_tradnl"/>
              </w:rPr>
            </w:pPr>
            <w:r w:rsidRPr="00440325">
              <w:rPr>
                <w:rFonts w:ascii="Times New Roman" w:hAnsi="Times New Roman" w:cs="Times New Roman"/>
                <w:sz w:val="24"/>
                <w:szCs w:val="24"/>
                <w:lang w:val="es-ES_tradnl"/>
              </w:rPr>
              <w:t>33.2</w:t>
            </w:r>
          </w:p>
        </w:tc>
        <w:tc>
          <w:tcPr>
            <w:tcW w:w="1450" w:type="dxa"/>
            <w:tcBorders>
              <w:top w:val="nil"/>
              <w:left w:val="nil"/>
              <w:bottom w:val="nil"/>
              <w:right w:val="nil"/>
            </w:tcBorders>
            <w:shd w:val="clear" w:color="auto" w:fill="FFFFFF" w:themeFill="background1"/>
            <w:tcMar>
              <w:left w:w="108" w:type="dxa"/>
              <w:right w:w="108" w:type="dxa"/>
            </w:tcMar>
            <w:vAlign w:val="center"/>
          </w:tcPr>
          <w:p w14:paraId="31F6DD4D" w14:textId="74192957" w:rsidR="00D0284A" w:rsidRPr="00440325" w:rsidRDefault="00D0284A" w:rsidP="00D0284A">
            <w:pPr>
              <w:jc w:val="center"/>
              <w:rPr>
                <w:sz w:val="24"/>
                <w:szCs w:val="24"/>
                <w:lang w:val="es-ES_tradnl"/>
              </w:rPr>
            </w:pPr>
            <w:r w:rsidRPr="00440325">
              <w:rPr>
                <w:rFonts w:ascii="Times New Roman" w:hAnsi="Times New Roman" w:cs="Times New Roman"/>
                <w:sz w:val="24"/>
                <w:szCs w:val="24"/>
                <w:lang w:val="es-ES_tradnl"/>
              </w:rPr>
              <w:t>0.7</w:t>
            </w:r>
          </w:p>
        </w:tc>
        <w:tc>
          <w:tcPr>
            <w:tcW w:w="1553" w:type="dxa"/>
            <w:tcBorders>
              <w:top w:val="nil"/>
              <w:left w:val="nil"/>
              <w:bottom w:val="nil"/>
              <w:right w:val="nil"/>
            </w:tcBorders>
            <w:shd w:val="clear" w:color="auto" w:fill="FFFFFF" w:themeFill="background1"/>
            <w:tcMar>
              <w:left w:w="108" w:type="dxa"/>
              <w:right w:w="108" w:type="dxa"/>
            </w:tcMar>
            <w:vAlign w:val="center"/>
          </w:tcPr>
          <w:p w14:paraId="27A536B9" w14:textId="0453D809" w:rsidR="00D0284A" w:rsidRPr="00440325" w:rsidRDefault="00D0284A" w:rsidP="00D0284A">
            <w:pPr>
              <w:jc w:val="center"/>
              <w:rPr>
                <w:sz w:val="24"/>
                <w:szCs w:val="24"/>
                <w:lang w:val="es-ES_tradnl"/>
              </w:rPr>
            </w:pPr>
            <w:r w:rsidRPr="00440325">
              <w:rPr>
                <w:rFonts w:ascii="Times New Roman" w:hAnsi="Times New Roman" w:cs="Times New Roman"/>
                <w:sz w:val="24"/>
                <w:szCs w:val="24"/>
                <w:lang w:val="es-ES_tradnl"/>
              </w:rPr>
              <w:t>2.0%</w:t>
            </w:r>
          </w:p>
        </w:tc>
      </w:tr>
      <w:tr w:rsidR="00D0284A" w:rsidRPr="00440325" w14:paraId="2592DBF8" w14:textId="77777777" w:rsidTr="259E46A7">
        <w:trPr>
          <w:trHeight w:val="405"/>
        </w:trPr>
        <w:tc>
          <w:tcPr>
            <w:tcW w:w="1790" w:type="dxa"/>
            <w:tcBorders>
              <w:top w:val="nil"/>
              <w:left w:val="nil"/>
              <w:bottom w:val="nil"/>
              <w:right w:val="nil"/>
            </w:tcBorders>
            <w:shd w:val="clear" w:color="auto" w:fill="FFFFFF" w:themeFill="background1"/>
            <w:tcMar>
              <w:left w:w="108" w:type="dxa"/>
              <w:right w:w="108" w:type="dxa"/>
            </w:tcMar>
            <w:vAlign w:val="bottom"/>
          </w:tcPr>
          <w:p w14:paraId="18E59D02" w14:textId="6648BABA" w:rsidR="00D0284A" w:rsidRPr="00440325" w:rsidRDefault="00D0284A" w:rsidP="00D0284A">
            <w:pPr>
              <w:rPr>
                <w:sz w:val="24"/>
                <w:szCs w:val="24"/>
                <w:lang w:val="es-ES_tradnl"/>
              </w:rPr>
            </w:pPr>
            <w:r w:rsidRPr="00440325">
              <w:rPr>
                <w:rFonts w:ascii="Times New Roman" w:eastAsia="Times New Roman" w:hAnsi="Times New Roman" w:cs="Times New Roman"/>
                <w:b/>
                <w:bCs/>
                <w:color w:val="000000" w:themeColor="text1"/>
                <w:sz w:val="24"/>
                <w:szCs w:val="24"/>
                <w:lang w:val="es-ES_tradnl"/>
              </w:rPr>
              <w:t>Agrícola</w:t>
            </w:r>
          </w:p>
        </w:tc>
        <w:tc>
          <w:tcPr>
            <w:tcW w:w="1839" w:type="dxa"/>
            <w:tcBorders>
              <w:top w:val="nil"/>
              <w:left w:val="nil"/>
              <w:bottom w:val="nil"/>
              <w:right w:val="nil"/>
            </w:tcBorders>
            <w:shd w:val="clear" w:color="auto" w:fill="FFFFFF" w:themeFill="background1"/>
            <w:tcMar>
              <w:left w:w="108" w:type="dxa"/>
              <w:right w:w="108" w:type="dxa"/>
            </w:tcMar>
            <w:vAlign w:val="center"/>
          </w:tcPr>
          <w:p w14:paraId="01D2D9DB" w14:textId="1F937443" w:rsidR="00D0284A" w:rsidRPr="00440325" w:rsidRDefault="00D0284A" w:rsidP="00D0284A">
            <w:pPr>
              <w:jc w:val="center"/>
              <w:rPr>
                <w:sz w:val="24"/>
                <w:szCs w:val="24"/>
                <w:lang w:val="es-ES_tradnl"/>
              </w:rPr>
            </w:pPr>
            <w:r w:rsidRPr="00440325">
              <w:rPr>
                <w:rFonts w:ascii="Times New Roman" w:hAnsi="Times New Roman" w:cs="Times New Roman"/>
                <w:sz w:val="24"/>
                <w:szCs w:val="24"/>
                <w:lang w:val="es-ES_tradnl"/>
              </w:rPr>
              <w:t>25.7</w:t>
            </w:r>
          </w:p>
        </w:tc>
        <w:tc>
          <w:tcPr>
            <w:tcW w:w="1785" w:type="dxa"/>
            <w:tcBorders>
              <w:top w:val="nil"/>
              <w:left w:val="nil"/>
              <w:bottom w:val="nil"/>
              <w:right w:val="nil"/>
            </w:tcBorders>
            <w:shd w:val="clear" w:color="auto" w:fill="FFFFFF" w:themeFill="background1"/>
            <w:tcMar>
              <w:left w:w="108" w:type="dxa"/>
              <w:right w:w="108" w:type="dxa"/>
            </w:tcMar>
            <w:vAlign w:val="center"/>
          </w:tcPr>
          <w:p w14:paraId="43D690D4" w14:textId="76E00182" w:rsidR="00D0284A" w:rsidRPr="00440325" w:rsidRDefault="00D0284A" w:rsidP="00D0284A">
            <w:pPr>
              <w:jc w:val="center"/>
              <w:rPr>
                <w:sz w:val="24"/>
                <w:szCs w:val="24"/>
                <w:lang w:val="es-ES_tradnl"/>
              </w:rPr>
            </w:pPr>
            <w:r w:rsidRPr="00440325">
              <w:rPr>
                <w:rFonts w:ascii="Times New Roman" w:hAnsi="Times New Roman" w:cs="Times New Roman"/>
                <w:sz w:val="24"/>
                <w:szCs w:val="24"/>
                <w:lang w:val="es-ES_tradnl"/>
              </w:rPr>
              <w:t>26.2</w:t>
            </w:r>
          </w:p>
        </w:tc>
        <w:tc>
          <w:tcPr>
            <w:tcW w:w="1450" w:type="dxa"/>
            <w:tcBorders>
              <w:top w:val="nil"/>
              <w:left w:val="nil"/>
              <w:bottom w:val="nil"/>
              <w:right w:val="nil"/>
            </w:tcBorders>
            <w:shd w:val="clear" w:color="auto" w:fill="FFFFFF" w:themeFill="background1"/>
            <w:tcMar>
              <w:left w:w="108" w:type="dxa"/>
              <w:right w:w="108" w:type="dxa"/>
            </w:tcMar>
            <w:vAlign w:val="center"/>
          </w:tcPr>
          <w:p w14:paraId="56AA757D" w14:textId="0AA6C9E5" w:rsidR="00D0284A" w:rsidRPr="00440325" w:rsidRDefault="00D0284A" w:rsidP="00D0284A">
            <w:pPr>
              <w:jc w:val="center"/>
              <w:rPr>
                <w:sz w:val="24"/>
                <w:szCs w:val="24"/>
                <w:lang w:val="es-ES_tradnl"/>
              </w:rPr>
            </w:pPr>
            <w:r w:rsidRPr="00440325">
              <w:rPr>
                <w:rFonts w:ascii="Times New Roman" w:hAnsi="Times New Roman" w:cs="Times New Roman"/>
                <w:sz w:val="24"/>
                <w:szCs w:val="24"/>
                <w:lang w:val="es-ES_tradnl"/>
              </w:rPr>
              <w:t>0.5</w:t>
            </w:r>
          </w:p>
        </w:tc>
        <w:tc>
          <w:tcPr>
            <w:tcW w:w="1553" w:type="dxa"/>
            <w:tcBorders>
              <w:top w:val="nil"/>
              <w:left w:val="nil"/>
              <w:bottom w:val="nil"/>
              <w:right w:val="nil"/>
            </w:tcBorders>
            <w:shd w:val="clear" w:color="auto" w:fill="FFFFFF" w:themeFill="background1"/>
            <w:tcMar>
              <w:left w:w="108" w:type="dxa"/>
              <w:right w:w="108" w:type="dxa"/>
            </w:tcMar>
            <w:vAlign w:val="center"/>
          </w:tcPr>
          <w:p w14:paraId="788596CD" w14:textId="3B9C1ECC" w:rsidR="00D0284A" w:rsidRPr="00440325" w:rsidRDefault="00D0284A" w:rsidP="00D0284A">
            <w:pPr>
              <w:jc w:val="center"/>
              <w:rPr>
                <w:sz w:val="24"/>
                <w:szCs w:val="24"/>
                <w:lang w:val="es-ES_tradnl"/>
              </w:rPr>
            </w:pPr>
            <w:r w:rsidRPr="00440325">
              <w:rPr>
                <w:rFonts w:ascii="Times New Roman" w:hAnsi="Times New Roman" w:cs="Times New Roman"/>
                <w:sz w:val="24"/>
                <w:szCs w:val="24"/>
                <w:lang w:val="es-ES_tradnl"/>
              </w:rPr>
              <w:t>2.0%</w:t>
            </w:r>
          </w:p>
        </w:tc>
      </w:tr>
      <w:tr w:rsidR="00D0284A" w:rsidRPr="00440325" w14:paraId="576B2B2E" w14:textId="77777777" w:rsidTr="259E46A7">
        <w:trPr>
          <w:trHeight w:val="405"/>
        </w:trPr>
        <w:tc>
          <w:tcPr>
            <w:tcW w:w="1790" w:type="dxa"/>
            <w:tcBorders>
              <w:top w:val="nil"/>
              <w:left w:val="nil"/>
              <w:bottom w:val="nil"/>
              <w:right w:val="nil"/>
            </w:tcBorders>
            <w:shd w:val="clear" w:color="auto" w:fill="FFFFFF" w:themeFill="background1"/>
            <w:tcMar>
              <w:left w:w="108" w:type="dxa"/>
              <w:right w:w="108" w:type="dxa"/>
            </w:tcMar>
            <w:vAlign w:val="bottom"/>
          </w:tcPr>
          <w:p w14:paraId="7CA4ED4A" w14:textId="4EC63EE8" w:rsidR="00D0284A" w:rsidRPr="00440325" w:rsidRDefault="00D0284A" w:rsidP="00D0284A">
            <w:pPr>
              <w:rPr>
                <w:sz w:val="24"/>
                <w:szCs w:val="24"/>
                <w:lang w:val="es-ES_tradnl"/>
              </w:rPr>
            </w:pPr>
            <w:r w:rsidRPr="00440325">
              <w:rPr>
                <w:rFonts w:ascii="Times New Roman" w:eastAsia="Times New Roman" w:hAnsi="Times New Roman" w:cs="Times New Roman"/>
                <w:b/>
                <w:bCs/>
                <w:color w:val="000000" w:themeColor="text1"/>
                <w:sz w:val="24"/>
                <w:szCs w:val="24"/>
                <w:lang w:val="es-ES_tradnl"/>
              </w:rPr>
              <w:t>Alumbrado</w:t>
            </w:r>
          </w:p>
        </w:tc>
        <w:tc>
          <w:tcPr>
            <w:tcW w:w="1839" w:type="dxa"/>
            <w:tcBorders>
              <w:top w:val="nil"/>
              <w:left w:val="nil"/>
              <w:bottom w:val="nil"/>
              <w:right w:val="nil"/>
            </w:tcBorders>
            <w:shd w:val="clear" w:color="auto" w:fill="FFFFFF" w:themeFill="background1"/>
            <w:tcMar>
              <w:left w:w="108" w:type="dxa"/>
              <w:right w:w="108" w:type="dxa"/>
            </w:tcMar>
            <w:vAlign w:val="center"/>
          </w:tcPr>
          <w:p w14:paraId="4C9DD05A" w14:textId="6F565252" w:rsidR="00D0284A" w:rsidRPr="00440325" w:rsidRDefault="00D0284A" w:rsidP="00D0284A">
            <w:pPr>
              <w:jc w:val="center"/>
              <w:rPr>
                <w:sz w:val="24"/>
                <w:szCs w:val="24"/>
                <w:lang w:val="es-ES_tradnl"/>
              </w:rPr>
            </w:pPr>
            <w:r w:rsidRPr="00440325">
              <w:rPr>
                <w:rFonts w:ascii="Times New Roman" w:hAnsi="Times New Roman" w:cs="Times New Roman"/>
                <w:sz w:val="24"/>
                <w:szCs w:val="24"/>
                <w:lang w:val="es-ES_tradnl"/>
              </w:rPr>
              <w:t>35.1</w:t>
            </w:r>
          </w:p>
        </w:tc>
        <w:tc>
          <w:tcPr>
            <w:tcW w:w="1785" w:type="dxa"/>
            <w:tcBorders>
              <w:top w:val="nil"/>
              <w:left w:val="nil"/>
              <w:bottom w:val="nil"/>
              <w:right w:val="nil"/>
            </w:tcBorders>
            <w:shd w:val="clear" w:color="auto" w:fill="FFFFFF" w:themeFill="background1"/>
            <w:tcMar>
              <w:left w:w="108" w:type="dxa"/>
              <w:right w:w="108" w:type="dxa"/>
            </w:tcMar>
            <w:vAlign w:val="center"/>
          </w:tcPr>
          <w:p w14:paraId="442E7559" w14:textId="5DA1084D" w:rsidR="00D0284A" w:rsidRPr="00440325" w:rsidRDefault="00D0284A" w:rsidP="00D0284A">
            <w:pPr>
              <w:jc w:val="center"/>
              <w:rPr>
                <w:sz w:val="24"/>
                <w:szCs w:val="24"/>
                <w:lang w:val="es-ES_tradnl"/>
              </w:rPr>
            </w:pPr>
            <w:r w:rsidRPr="00440325">
              <w:rPr>
                <w:rFonts w:ascii="Times New Roman" w:hAnsi="Times New Roman" w:cs="Times New Roman"/>
                <w:sz w:val="24"/>
                <w:szCs w:val="24"/>
                <w:lang w:val="es-ES_tradnl"/>
              </w:rPr>
              <w:t>35.8</w:t>
            </w:r>
          </w:p>
        </w:tc>
        <w:tc>
          <w:tcPr>
            <w:tcW w:w="1450" w:type="dxa"/>
            <w:tcBorders>
              <w:top w:val="nil"/>
              <w:left w:val="nil"/>
              <w:bottom w:val="nil"/>
              <w:right w:val="nil"/>
            </w:tcBorders>
            <w:shd w:val="clear" w:color="auto" w:fill="FFFFFF" w:themeFill="background1"/>
            <w:tcMar>
              <w:left w:w="108" w:type="dxa"/>
              <w:right w:w="108" w:type="dxa"/>
            </w:tcMar>
            <w:vAlign w:val="center"/>
          </w:tcPr>
          <w:p w14:paraId="0713A28A" w14:textId="05C85D33" w:rsidR="00D0284A" w:rsidRPr="00440325" w:rsidRDefault="00D0284A" w:rsidP="00D0284A">
            <w:pPr>
              <w:jc w:val="center"/>
              <w:rPr>
                <w:sz w:val="24"/>
                <w:szCs w:val="24"/>
                <w:lang w:val="es-ES_tradnl"/>
              </w:rPr>
            </w:pPr>
            <w:r w:rsidRPr="00440325">
              <w:rPr>
                <w:rFonts w:ascii="Times New Roman" w:hAnsi="Times New Roman" w:cs="Times New Roman"/>
                <w:sz w:val="24"/>
                <w:szCs w:val="24"/>
                <w:lang w:val="es-ES_tradnl"/>
              </w:rPr>
              <w:t>0.7</w:t>
            </w:r>
          </w:p>
        </w:tc>
        <w:tc>
          <w:tcPr>
            <w:tcW w:w="1553" w:type="dxa"/>
            <w:tcBorders>
              <w:top w:val="nil"/>
              <w:left w:val="nil"/>
              <w:bottom w:val="nil"/>
              <w:right w:val="nil"/>
            </w:tcBorders>
            <w:shd w:val="clear" w:color="auto" w:fill="FFFFFF" w:themeFill="background1"/>
            <w:tcMar>
              <w:left w:w="108" w:type="dxa"/>
              <w:right w:w="108" w:type="dxa"/>
            </w:tcMar>
            <w:vAlign w:val="center"/>
          </w:tcPr>
          <w:p w14:paraId="55490EFD" w14:textId="72AC1E3A" w:rsidR="00D0284A" w:rsidRPr="00440325" w:rsidRDefault="00D0284A" w:rsidP="00D0284A">
            <w:pPr>
              <w:jc w:val="center"/>
              <w:rPr>
                <w:sz w:val="24"/>
                <w:szCs w:val="24"/>
                <w:lang w:val="es-ES_tradnl"/>
              </w:rPr>
            </w:pPr>
            <w:r w:rsidRPr="00440325">
              <w:rPr>
                <w:rFonts w:ascii="Times New Roman" w:hAnsi="Times New Roman" w:cs="Times New Roman"/>
                <w:sz w:val="24"/>
                <w:szCs w:val="24"/>
                <w:lang w:val="es-ES_tradnl"/>
              </w:rPr>
              <w:t>2.0%</w:t>
            </w:r>
          </w:p>
        </w:tc>
      </w:tr>
      <w:tr w:rsidR="00D0284A" w:rsidRPr="00440325" w14:paraId="15AE1ECF" w14:textId="77777777" w:rsidTr="259E46A7">
        <w:trPr>
          <w:trHeight w:val="405"/>
        </w:trPr>
        <w:tc>
          <w:tcPr>
            <w:tcW w:w="1790" w:type="dxa"/>
            <w:tcBorders>
              <w:top w:val="nil"/>
              <w:left w:val="nil"/>
              <w:bottom w:val="double" w:sz="6" w:space="0" w:color="auto"/>
              <w:right w:val="nil"/>
            </w:tcBorders>
            <w:shd w:val="clear" w:color="auto" w:fill="FFFFFF" w:themeFill="background1"/>
            <w:tcMar>
              <w:left w:w="108" w:type="dxa"/>
              <w:right w:w="108" w:type="dxa"/>
            </w:tcMar>
            <w:vAlign w:val="bottom"/>
          </w:tcPr>
          <w:p w14:paraId="2E9F6214" w14:textId="0366F4A3" w:rsidR="00D0284A" w:rsidRPr="00440325" w:rsidRDefault="00D0284A" w:rsidP="00D0284A">
            <w:pPr>
              <w:rPr>
                <w:sz w:val="24"/>
                <w:szCs w:val="24"/>
                <w:lang w:val="es-ES_tradnl"/>
              </w:rPr>
            </w:pPr>
            <w:proofErr w:type="gramStart"/>
            <w:r w:rsidRPr="00440325">
              <w:rPr>
                <w:rFonts w:ascii="Times New Roman" w:eastAsia="Times New Roman" w:hAnsi="Times New Roman" w:cs="Times New Roman"/>
                <w:b/>
                <w:bCs/>
                <w:color w:val="000000" w:themeColor="text1"/>
                <w:sz w:val="24"/>
                <w:szCs w:val="24"/>
                <w:lang w:val="es-ES_tradnl"/>
              </w:rPr>
              <w:lastRenderedPageBreak/>
              <w:t>Total</w:t>
            </w:r>
            <w:proofErr w:type="gramEnd"/>
            <w:r w:rsidRPr="00440325">
              <w:rPr>
                <w:rFonts w:ascii="Times New Roman" w:eastAsia="Times New Roman" w:hAnsi="Times New Roman" w:cs="Times New Roman"/>
                <w:b/>
                <w:bCs/>
                <w:color w:val="000000" w:themeColor="text1"/>
                <w:sz w:val="24"/>
                <w:szCs w:val="24"/>
                <w:lang w:val="es-ES_tradnl"/>
              </w:rPr>
              <w:t xml:space="preserve"> del sistema</w:t>
            </w:r>
          </w:p>
        </w:tc>
        <w:tc>
          <w:tcPr>
            <w:tcW w:w="1839" w:type="dxa"/>
            <w:tcBorders>
              <w:top w:val="nil"/>
              <w:left w:val="nil"/>
              <w:bottom w:val="double" w:sz="6" w:space="0" w:color="auto"/>
              <w:right w:val="nil"/>
            </w:tcBorders>
            <w:shd w:val="clear" w:color="auto" w:fill="FFFFFF" w:themeFill="background1"/>
            <w:tcMar>
              <w:left w:w="108" w:type="dxa"/>
              <w:right w:w="108" w:type="dxa"/>
            </w:tcMar>
            <w:vAlign w:val="center"/>
          </w:tcPr>
          <w:p w14:paraId="6DEA8E92" w14:textId="501099D2" w:rsidR="00D0284A" w:rsidRPr="00440325" w:rsidRDefault="00D0284A" w:rsidP="00D0284A">
            <w:pPr>
              <w:jc w:val="center"/>
              <w:rPr>
                <w:sz w:val="24"/>
                <w:szCs w:val="24"/>
                <w:lang w:val="es-ES_tradnl"/>
              </w:rPr>
            </w:pPr>
            <w:r w:rsidRPr="00440325">
              <w:rPr>
                <w:rFonts w:ascii="Times New Roman" w:hAnsi="Times New Roman" w:cs="Times New Roman"/>
                <w:sz w:val="24"/>
                <w:szCs w:val="24"/>
                <w:lang w:val="es-ES_tradnl"/>
              </w:rPr>
              <w:t>34.0</w:t>
            </w:r>
          </w:p>
        </w:tc>
        <w:tc>
          <w:tcPr>
            <w:tcW w:w="1785" w:type="dxa"/>
            <w:tcBorders>
              <w:top w:val="nil"/>
              <w:left w:val="nil"/>
              <w:bottom w:val="double" w:sz="6" w:space="0" w:color="auto"/>
              <w:right w:val="nil"/>
            </w:tcBorders>
            <w:shd w:val="clear" w:color="auto" w:fill="FFFFFF" w:themeFill="background1"/>
            <w:tcMar>
              <w:left w:w="108" w:type="dxa"/>
              <w:right w:w="108" w:type="dxa"/>
            </w:tcMar>
            <w:vAlign w:val="center"/>
          </w:tcPr>
          <w:p w14:paraId="1F7F6A64" w14:textId="27E9E5C8" w:rsidR="00D0284A" w:rsidRPr="00440325" w:rsidRDefault="00D0284A" w:rsidP="00D0284A">
            <w:pPr>
              <w:jc w:val="center"/>
              <w:rPr>
                <w:sz w:val="24"/>
                <w:szCs w:val="24"/>
                <w:lang w:val="es-ES_tradnl"/>
              </w:rPr>
            </w:pPr>
            <w:r w:rsidRPr="00440325">
              <w:rPr>
                <w:rFonts w:ascii="Times New Roman" w:hAnsi="Times New Roman" w:cs="Times New Roman"/>
                <w:sz w:val="24"/>
                <w:szCs w:val="24"/>
                <w:lang w:val="es-ES_tradnl"/>
              </w:rPr>
              <w:t>34.7</w:t>
            </w:r>
          </w:p>
        </w:tc>
        <w:tc>
          <w:tcPr>
            <w:tcW w:w="1450" w:type="dxa"/>
            <w:tcBorders>
              <w:top w:val="nil"/>
              <w:left w:val="nil"/>
              <w:bottom w:val="nil"/>
              <w:right w:val="nil"/>
            </w:tcBorders>
            <w:shd w:val="clear" w:color="auto" w:fill="FFFFFF" w:themeFill="background1"/>
            <w:tcMar>
              <w:left w:w="108" w:type="dxa"/>
              <w:right w:w="108" w:type="dxa"/>
            </w:tcMar>
            <w:vAlign w:val="center"/>
          </w:tcPr>
          <w:p w14:paraId="0809EB9F" w14:textId="5320F0FD" w:rsidR="00D0284A" w:rsidRPr="00440325" w:rsidRDefault="00D0284A" w:rsidP="00D0284A">
            <w:pPr>
              <w:jc w:val="center"/>
              <w:rPr>
                <w:sz w:val="24"/>
                <w:szCs w:val="24"/>
                <w:lang w:val="es-ES_tradnl"/>
              </w:rPr>
            </w:pPr>
            <w:r w:rsidRPr="00440325">
              <w:rPr>
                <w:rFonts w:ascii="Times New Roman" w:hAnsi="Times New Roman" w:cs="Times New Roman"/>
                <w:sz w:val="24"/>
                <w:szCs w:val="24"/>
                <w:lang w:val="es-ES_tradnl"/>
              </w:rPr>
              <w:t>0.7</w:t>
            </w:r>
          </w:p>
        </w:tc>
        <w:tc>
          <w:tcPr>
            <w:tcW w:w="1553" w:type="dxa"/>
            <w:tcBorders>
              <w:top w:val="nil"/>
              <w:left w:val="nil"/>
              <w:bottom w:val="double" w:sz="6" w:space="0" w:color="auto"/>
              <w:right w:val="nil"/>
            </w:tcBorders>
            <w:shd w:val="clear" w:color="auto" w:fill="FFFFFF" w:themeFill="background1"/>
            <w:tcMar>
              <w:left w:w="108" w:type="dxa"/>
              <w:right w:w="108" w:type="dxa"/>
            </w:tcMar>
            <w:vAlign w:val="center"/>
          </w:tcPr>
          <w:p w14:paraId="1DCBC77E" w14:textId="31C9F0C1" w:rsidR="00D0284A" w:rsidRPr="00440325" w:rsidRDefault="00D0284A" w:rsidP="00D0284A">
            <w:pPr>
              <w:jc w:val="center"/>
              <w:rPr>
                <w:sz w:val="24"/>
                <w:szCs w:val="24"/>
                <w:lang w:val="es-ES_tradnl"/>
              </w:rPr>
            </w:pPr>
            <w:r w:rsidRPr="00440325">
              <w:rPr>
                <w:rFonts w:ascii="Times New Roman" w:hAnsi="Times New Roman" w:cs="Times New Roman"/>
                <w:sz w:val="24"/>
                <w:szCs w:val="24"/>
                <w:lang w:val="es-ES_tradnl"/>
              </w:rPr>
              <w:t>2.0%</w:t>
            </w:r>
          </w:p>
        </w:tc>
      </w:tr>
      <w:tr w:rsidR="7B0AE9EE" w:rsidRPr="00227118" w14:paraId="43BC3103" w14:textId="77777777" w:rsidTr="259E46A7">
        <w:trPr>
          <w:trHeight w:val="390"/>
        </w:trPr>
        <w:tc>
          <w:tcPr>
            <w:tcW w:w="8417" w:type="dxa"/>
            <w:gridSpan w:val="5"/>
            <w:tcBorders>
              <w:top w:val="double" w:sz="6" w:space="0" w:color="auto"/>
              <w:left w:val="nil"/>
              <w:bottom w:val="nil"/>
              <w:right w:val="nil"/>
            </w:tcBorders>
            <w:shd w:val="clear" w:color="auto" w:fill="FFFFFF" w:themeFill="background1"/>
            <w:tcMar>
              <w:left w:w="108" w:type="dxa"/>
              <w:right w:w="108" w:type="dxa"/>
            </w:tcMar>
            <w:vAlign w:val="bottom"/>
          </w:tcPr>
          <w:p w14:paraId="4464F38D" w14:textId="455C7CD1" w:rsidR="7B0AE9EE" w:rsidRPr="00440325" w:rsidRDefault="4C3B2565" w:rsidP="7B0AE9EE">
            <w:pPr>
              <w:rPr>
                <w:sz w:val="24"/>
                <w:szCs w:val="24"/>
                <w:lang w:val="es-ES_tradnl"/>
              </w:rPr>
            </w:pPr>
            <w:r w:rsidRPr="00440325">
              <w:rPr>
                <w:rFonts w:ascii="Times New Roman" w:eastAsia="Times New Roman" w:hAnsi="Times New Roman" w:cs="Times New Roman"/>
                <w:color w:val="000000" w:themeColor="text1"/>
                <w:sz w:val="24"/>
                <w:szCs w:val="24"/>
                <w:vertAlign w:val="superscript"/>
                <w:lang w:val="es-ES_tradnl"/>
              </w:rPr>
              <w:t>1</w:t>
            </w:r>
            <w:r w:rsidR="00061572" w:rsidRPr="00440325">
              <w:rPr>
                <w:rFonts w:ascii="Times New Roman" w:eastAsia="Times New Roman" w:hAnsi="Times New Roman" w:cs="Times New Roman"/>
                <w:color w:val="000000" w:themeColor="text1"/>
                <w:sz w:val="24"/>
                <w:szCs w:val="24"/>
                <w:lang w:val="es-ES_tradnl"/>
              </w:rPr>
              <w:t xml:space="preserve">Tarifas en vigor a partir del 2/1/25 conforme a la carta de notificación </w:t>
            </w:r>
            <w:proofErr w:type="spellStart"/>
            <w:r w:rsidRPr="00440325">
              <w:rPr>
                <w:rFonts w:ascii="Times New Roman" w:eastAsia="Times New Roman" w:hAnsi="Times New Roman" w:cs="Times New Roman"/>
                <w:color w:val="000000" w:themeColor="text1"/>
                <w:sz w:val="24"/>
                <w:szCs w:val="24"/>
                <w:lang w:val="es-ES_tradnl"/>
              </w:rPr>
              <w:t>Advice</w:t>
            </w:r>
            <w:proofErr w:type="spellEnd"/>
            <w:r w:rsidRPr="00440325">
              <w:rPr>
                <w:rFonts w:ascii="Times New Roman" w:eastAsia="Times New Roman" w:hAnsi="Times New Roman" w:cs="Times New Roman"/>
                <w:color w:val="000000" w:themeColor="text1"/>
                <w:sz w:val="24"/>
                <w:szCs w:val="24"/>
                <w:lang w:val="es-ES_tradnl"/>
              </w:rPr>
              <w:t xml:space="preserve"> </w:t>
            </w:r>
            <w:proofErr w:type="spellStart"/>
            <w:r w:rsidRPr="00440325">
              <w:rPr>
                <w:rFonts w:ascii="Times New Roman" w:eastAsia="Times New Roman" w:hAnsi="Times New Roman" w:cs="Times New Roman"/>
                <w:color w:val="000000" w:themeColor="text1"/>
                <w:sz w:val="24"/>
                <w:szCs w:val="24"/>
                <w:lang w:val="es-ES_tradnl"/>
              </w:rPr>
              <w:t>Letter</w:t>
            </w:r>
            <w:proofErr w:type="spellEnd"/>
            <w:r w:rsidRPr="00440325">
              <w:rPr>
                <w:rFonts w:ascii="Times New Roman" w:eastAsia="Times New Roman" w:hAnsi="Times New Roman" w:cs="Times New Roman"/>
                <w:color w:val="000000" w:themeColor="text1"/>
                <w:sz w:val="24"/>
                <w:szCs w:val="24"/>
                <w:lang w:val="es-ES_tradnl"/>
              </w:rPr>
              <w:t xml:space="preserve"> (AL) 4</w:t>
            </w:r>
            <w:r w:rsidR="1AE9D2CA" w:rsidRPr="00440325">
              <w:rPr>
                <w:rFonts w:ascii="Times New Roman" w:eastAsia="Times New Roman" w:hAnsi="Times New Roman" w:cs="Times New Roman"/>
                <w:color w:val="000000" w:themeColor="text1"/>
                <w:sz w:val="24"/>
                <w:szCs w:val="24"/>
                <w:lang w:val="es-ES_tradnl"/>
              </w:rPr>
              <w:t>588</w:t>
            </w:r>
            <w:r w:rsidRPr="00440325">
              <w:rPr>
                <w:rFonts w:ascii="Times New Roman" w:eastAsia="Times New Roman" w:hAnsi="Times New Roman" w:cs="Times New Roman"/>
                <w:color w:val="000000" w:themeColor="text1"/>
                <w:sz w:val="24"/>
                <w:szCs w:val="24"/>
                <w:lang w:val="es-ES_tradnl"/>
              </w:rPr>
              <w:t>-E.</w:t>
            </w:r>
          </w:p>
        </w:tc>
      </w:tr>
    </w:tbl>
    <w:p w14:paraId="06DDE685" w14:textId="5FE04160" w:rsidR="00A06171" w:rsidRPr="00440325" w:rsidRDefault="6BBB8513" w:rsidP="7B0AE9EE">
      <w:pPr>
        <w:spacing w:after="0" w:line="240" w:lineRule="auto"/>
        <w:rPr>
          <w:rFonts w:ascii="Times New Roman" w:eastAsia="Times New Roman" w:hAnsi="Times New Roman" w:cs="Times New Roman"/>
          <w:sz w:val="24"/>
          <w:szCs w:val="24"/>
          <w:lang w:val="es-ES_tradnl"/>
        </w:rPr>
      </w:pPr>
      <w:r w:rsidRPr="00440325">
        <w:rPr>
          <w:rFonts w:ascii="Times New Roman" w:eastAsia="Times New Roman" w:hAnsi="Times New Roman" w:cs="Times New Roman"/>
          <w:sz w:val="24"/>
          <w:szCs w:val="24"/>
          <w:lang w:val="es-ES_tradnl"/>
        </w:rPr>
        <w:t xml:space="preserve"> </w:t>
      </w:r>
    </w:p>
    <w:p w14:paraId="1EB8F847" w14:textId="06FBFB0C" w:rsidR="00A36A37" w:rsidRPr="00440325" w:rsidRDefault="006967D2" w:rsidP="00A36A37">
      <w:pPr>
        <w:spacing w:after="0" w:line="240" w:lineRule="auto"/>
        <w:rPr>
          <w:rFonts w:ascii="Times New Roman" w:eastAsia="Times New Roman" w:hAnsi="Times New Roman" w:cs="Times New Roman"/>
          <w:b/>
          <w:bCs/>
          <w:sz w:val="24"/>
          <w:szCs w:val="24"/>
          <w:lang w:val="es-ES_tradnl"/>
        </w:rPr>
      </w:pPr>
      <w:r w:rsidRPr="00440325">
        <w:rPr>
          <w:rFonts w:ascii="Times New Roman" w:eastAsia="Times New Roman" w:hAnsi="Times New Roman" w:cs="Times New Roman"/>
          <w:b/>
          <w:bCs/>
          <w:sz w:val="24"/>
          <w:szCs w:val="24"/>
          <w:lang w:val="es-ES_tradnl"/>
        </w:rPr>
        <w:t xml:space="preserve">¿Cómo podría esto afectar mis tarifas mensuales de </w:t>
      </w:r>
      <w:r w:rsidR="00A36A37" w:rsidRPr="00440325">
        <w:rPr>
          <w:rFonts w:ascii="Times New Roman" w:eastAsia="Times New Roman" w:hAnsi="Times New Roman" w:cs="Times New Roman"/>
          <w:b/>
          <w:bCs/>
          <w:sz w:val="24"/>
          <w:szCs w:val="24"/>
          <w:lang w:val="es-ES_tradnl"/>
        </w:rPr>
        <w:t xml:space="preserve">gas? </w:t>
      </w:r>
    </w:p>
    <w:p w14:paraId="39198526" w14:textId="5DA43748" w:rsidR="00A36A37" w:rsidRPr="00440325" w:rsidRDefault="000963DF" w:rsidP="00A36A37">
      <w:pPr>
        <w:spacing w:after="0" w:line="240" w:lineRule="auto"/>
        <w:rPr>
          <w:rFonts w:ascii="Times New Roman" w:eastAsia="Times New Roman" w:hAnsi="Times New Roman" w:cs="Times New Roman"/>
          <w:sz w:val="24"/>
          <w:szCs w:val="24"/>
          <w:lang w:val="es-ES_tradnl"/>
        </w:rPr>
      </w:pPr>
      <w:r w:rsidRPr="00440325">
        <w:rPr>
          <w:rFonts w:ascii="Times New Roman" w:eastAsia="Times New Roman" w:hAnsi="Times New Roman" w:cs="Times New Roman"/>
          <w:sz w:val="24"/>
          <w:szCs w:val="24"/>
          <w:lang w:val="es-ES_tradnl"/>
        </w:rPr>
        <w:t xml:space="preserve">Si la CPUC aprueba la petición tarifaria de </w:t>
      </w:r>
      <w:r w:rsidR="00A36A37" w:rsidRPr="00440325">
        <w:rPr>
          <w:rFonts w:ascii="Times New Roman" w:eastAsia="Times New Roman" w:hAnsi="Times New Roman" w:cs="Times New Roman"/>
          <w:sz w:val="24"/>
          <w:szCs w:val="24"/>
          <w:lang w:val="es-ES_tradnl"/>
        </w:rPr>
        <w:t xml:space="preserve">SDG&amp;E, </w:t>
      </w:r>
      <w:r w:rsidR="009D588F" w:rsidRPr="00440325">
        <w:rPr>
          <w:rFonts w:ascii="Times New Roman" w:eastAsia="Times New Roman" w:hAnsi="Times New Roman" w:cs="Times New Roman"/>
          <w:sz w:val="24"/>
          <w:szCs w:val="24"/>
          <w:lang w:val="es-ES_tradnl"/>
        </w:rPr>
        <w:t>la factura mensual residencial típica con un consumo de 24 termias al mes aumentaría aproximadamente $2.51 o 3.8% al mes en 2027, en comparación con la estimación para 2025. Las facturas de los clientes individuales pueden variar.</w:t>
      </w:r>
    </w:p>
    <w:p w14:paraId="7C55F66D" w14:textId="77777777" w:rsidR="00A36A37" w:rsidRPr="00440325" w:rsidRDefault="00A36A37" w:rsidP="7B0AE9EE">
      <w:pPr>
        <w:spacing w:after="0" w:line="240" w:lineRule="auto"/>
        <w:rPr>
          <w:rFonts w:ascii="Times New Roman" w:eastAsia="Times New Roman" w:hAnsi="Times New Roman" w:cs="Times New Roman"/>
          <w:sz w:val="24"/>
          <w:szCs w:val="24"/>
          <w:lang w:val="es-ES_tradnl"/>
        </w:rPr>
      </w:pPr>
    </w:p>
    <w:p w14:paraId="4E0DA0EA" w14:textId="77777777" w:rsidR="00345208" w:rsidRPr="00440325" w:rsidRDefault="00345208" w:rsidP="7B0AE9EE">
      <w:pPr>
        <w:spacing w:after="0" w:line="240" w:lineRule="auto"/>
        <w:rPr>
          <w:sz w:val="24"/>
          <w:szCs w:val="24"/>
          <w:lang w:val="es-ES_tradnl"/>
        </w:rPr>
      </w:pPr>
    </w:p>
    <w:p w14:paraId="4F74A064" w14:textId="77777777" w:rsidR="00345208" w:rsidRPr="00440325" w:rsidRDefault="00345208" w:rsidP="7B0AE9EE">
      <w:pPr>
        <w:spacing w:after="0" w:line="240" w:lineRule="auto"/>
        <w:rPr>
          <w:sz w:val="24"/>
          <w:szCs w:val="24"/>
          <w:lang w:val="es-ES_tradnl"/>
        </w:rPr>
      </w:pPr>
    </w:p>
    <w:p w14:paraId="33188855" w14:textId="5CCCE28A" w:rsidR="00CF0CBF" w:rsidRPr="00440325" w:rsidRDefault="0098293D" w:rsidP="00CF0CBF">
      <w:pPr>
        <w:spacing w:after="0" w:line="240" w:lineRule="auto"/>
        <w:jc w:val="center"/>
        <w:rPr>
          <w:rFonts w:ascii="Times New Roman" w:eastAsia="Times New Roman" w:hAnsi="Times New Roman" w:cs="Times New Roman"/>
          <w:sz w:val="24"/>
          <w:szCs w:val="24"/>
          <w:u w:val="single"/>
          <w:lang w:val="es-ES_tradnl"/>
        </w:rPr>
      </w:pPr>
      <w:r w:rsidRPr="00440325">
        <w:rPr>
          <w:rFonts w:ascii="Times New Roman" w:eastAsia="Times New Roman" w:hAnsi="Times New Roman" w:cs="Times New Roman"/>
          <w:sz w:val="24"/>
          <w:szCs w:val="24"/>
          <w:u w:val="single"/>
          <w:lang w:val="es-ES_tradnl"/>
        </w:rPr>
        <w:t>Aumento propuesto de la tarifa de gas</w:t>
      </w:r>
    </w:p>
    <w:p w14:paraId="4F32F726" w14:textId="77777777" w:rsidR="00CF0CBF" w:rsidRPr="00440325" w:rsidRDefault="00CF0CBF" w:rsidP="00CF0CBF">
      <w:pPr>
        <w:spacing w:after="0" w:line="240" w:lineRule="auto"/>
        <w:rPr>
          <w:sz w:val="24"/>
          <w:szCs w:val="24"/>
          <w:lang w:val="es-ES_tradnl"/>
        </w:rPr>
      </w:pPr>
      <w:r w:rsidRPr="00440325">
        <w:rPr>
          <w:rFonts w:ascii="Times New Roman" w:eastAsia="Times New Roman" w:hAnsi="Times New Roman" w:cs="Times New Roman"/>
          <w:b/>
          <w:bCs/>
          <w:sz w:val="24"/>
          <w:szCs w:val="24"/>
          <w:lang w:val="es-ES_tradnl"/>
        </w:rPr>
        <w:t xml:space="preserve"> </w:t>
      </w:r>
    </w:p>
    <w:tbl>
      <w:tblPr>
        <w:tblStyle w:val="TableGrid"/>
        <w:tblW w:w="0" w:type="auto"/>
        <w:tblLook w:val="06A0" w:firstRow="1" w:lastRow="0" w:firstColumn="1" w:lastColumn="0" w:noHBand="1" w:noVBand="1"/>
      </w:tblPr>
      <w:tblGrid>
        <w:gridCol w:w="3064"/>
        <w:gridCol w:w="1243"/>
        <w:gridCol w:w="1346"/>
        <w:gridCol w:w="1362"/>
        <w:gridCol w:w="1461"/>
      </w:tblGrid>
      <w:tr w:rsidR="00CF0CBF" w:rsidRPr="00227118" w14:paraId="3D31585B" w14:textId="77777777" w:rsidTr="00A46482">
        <w:trPr>
          <w:trHeight w:val="300"/>
        </w:trPr>
        <w:tc>
          <w:tcPr>
            <w:tcW w:w="3064" w:type="dxa"/>
            <w:tcBorders>
              <w:top w:val="nil"/>
              <w:left w:val="nil"/>
              <w:bottom w:val="single" w:sz="8" w:space="0" w:color="auto"/>
              <w:right w:val="nil"/>
            </w:tcBorders>
            <w:shd w:val="clear" w:color="auto" w:fill="FFFFFF" w:themeFill="background1"/>
            <w:tcMar>
              <w:left w:w="108" w:type="dxa"/>
              <w:right w:w="108" w:type="dxa"/>
            </w:tcMar>
            <w:vAlign w:val="center"/>
          </w:tcPr>
          <w:p w14:paraId="71405793" w14:textId="49926480" w:rsidR="00CF0CBF" w:rsidRPr="00440325" w:rsidRDefault="0098293D" w:rsidP="00A46482">
            <w:pPr>
              <w:rPr>
                <w:sz w:val="24"/>
                <w:szCs w:val="24"/>
                <w:lang w:val="es-ES_tradnl"/>
              </w:rPr>
            </w:pPr>
            <w:r w:rsidRPr="00440325">
              <w:rPr>
                <w:rFonts w:ascii="Times New Roman" w:eastAsia="Times New Roman" w:hAnsi="Times New Roman" w:cs="Times New Roman"/>
                <w:b/>
                <w:bCs/>
                <w:color w:val="000000" w:themeColor="text1"/>
                <w:sz w:val="24"/>
                <w:szCs w:val="24"/>
                <w:lang w:val="es-ES_tradnl"/>
              </w:rPr>
              <w:t>Clase de cliente</w:t>
            </w:r>
          </w:p>
        </w:tc>
        <w:tc>
          <w:tcPr>
            <w:tcW w:w="1229" w:type="dxa"/>
            <w:tcBorders>
              <w:top w:val="nil"/>
              <w:left w:val="nil"/>
              <w:bottom w:val="single" w:sz="8" w:space="0" w:color="auto"/>
              <w:right w:val="nil"/>
            </w:tcBorders>
            <w:tcMar>
              <w:left w:w="108" w:type="dxa"/>
              <w:right w:w="108" w:type="dxa"/>
            </w:tcMar>
            <w:vAlign w:val="center"/>
          </w:tcPr>
          <w:p w14:paraId="4C6C9C63" w14:textId="048AE52E" w:rsidR="00CF0CBF" w:rsidRPr="00440325" w:rsidRDefault="0098293D" w:rsidP="00A46482">
            <w:pPr>
              <w:jc w:val="center"/>
              <w:rPr>
                <w:sz w:val="24"/>
                <w:szCs w:val="24"/>
                <w:lang w:val="es-ES_tradnl"/>
              </w:rPr>
            </w:pPr>
            <w:r w:rsidRPr="00440325">
              <w:rPr>
                <w:rFonts w:ascii="Times New Roman" w:eastAsia="Times New Roman" w:hAnsi="Times New Roman" w:cs="Times New Roman"/>
                <w:b/>
                <w:bCs/>
                <w:sz w:val="24"/>
                <w:szCs w:val="24"/>
                <w:lang w:val="es-ES_tradnl"/>
              </w:rPr>
              <w:t>Ta</w:t>
            </w:r>
            <w:r w:rsidR="0041607D">
              <w:rPr>
                <w:rFonts w:ascii="Times New Roman" w:eastAsia="Times New Roman" w:hAnsi="Times New Roman" w:cs="Times New Roman"/>
                <w:b/>
                <w:bCs/>
                <w:sz w:val="24"/>
                <w:szCs w:val="24"/>
                <w:lang w:val="es-ES_tradnl"/>
              </w:rPr>
              <w:t>rif</w:t>
            </w:r>
            <w:r w:rsidRPr="00440325">
              <w:rPr>
                <w:rFonts w:ascii="Times New Roman" w:eastAsia="Times New Roman" w:hAnsi="Times New Roman" w:cs="Times New Roman"/>
                <w:b/>
                <w:bCs/>
                <w:sz w:val="24"/>
                <w:szCs w:val="24"/>
                <w:lang w:val="es-ES_tradnl"/>
              </w:rPr>
              <w:t xml:space="preserve">as promedio actuales en vigor a partir del </w:t>
            </w:r>
            <w:r w:rsidR="00CF0CBF" w:rsidRPr="00440325">
              <w:rPr>
                <w:rFonts w:ascii="Times New Roman" w:eastAsia="Times New Roman" w:hAnsi="Times New Roman" w:cs="Times New Roman"/>
                <w:b/>
                <w:bCs/>
                <w:sz w:val="24"/>
                <w:szCs w:val="24"/>
                <w:lang w:val="es-ES_tradnl"/>
              </w:rPr>
              <w:t>03/10/25</w:t>
            </w:r>
            <w:r w:rsidR="00CF0CBF" w:rsidRPr="00440325">
              <w:rPr>
                <w:rFonts w:ascii="Times New Roman" w:eastAsia="Times New Roman" w:hAnsi="Times New Roman" w:cs="Times New Roman"/>
                <w:b/>
                <w:bCs/>
                <w:sz w:val="24"/>
                <w:szCs w:val="24"/>
                <w:vertAlign w:val="superscript"/>
                <w:lang w:val="es-ES_tradnl"/>
              </w:rPr>
              <w:t xml:space="preserve">1 </w:t>
            </w:r>
            <w:r w:rsidR="00CF0CBF" w:rsidRPr="00440325">
              <w:rPr>
                <w:rFonts w:ascii="Times New Roman" w:eastAsia="Times New Roman" w:hAnsi="Times New Roman" w:cs="Times New Roman"/>
                <w:b/>
                <w:bCs/>
                <w:sz w:val="24"/>
                <w:szCs w:val="24"/>
                <w:lang w:val="es-ES_tradnl"/>
              </w:rPr>
              <w:t>(¢/t</w:t>
            </w:r>
            <w:r w:rsidR="00C07CE8">
              <w:rPr>
                <w:rFonts w:ascii="Times New Roman" w:eastAsia="Times New Roman" w:hAnsi="Times New Roman" w:cs="Times New Roman"/>
                <w:b/>
                <w:bCs/>
                <w:sz w:val="24"/>
                <w:szCs w:val="24"/>
                <w:lang w:val="es-ES_tradnl"/>
              </w:rPr>
              <w:t>ermia</w:t>
            </w:r>
            <w:r w:rsidR="00CF0CBF" w:rsidRPr="00440325">
              <w:rPr>
                <w:rFonts w:ascii="Times New Roman" w:eastAsia="Times New Roman" w:hAnsi="Times New Roman" w:cs="Times New Roman"/>
                <w:b/>
                <w:bCs/>
                <w:sz w:val="24"/>
                <w:szCs w:val="24"/>
                <w:lang w:val="es-ES_tradnl"/>
              </w:rPr>
              <w:t>)</w:t>
            </w:r>
            <w:r w:rsidR="00CF0CBF" w:rsidRPr="00440325">
              <w:rPr>
                <w:rFonts w:ascii="Times New Roman" w:eastAsia="Times New Roman" w:hAnsi="Times New Roman" w:cs="Times New Roman"/>
                <w:sz w:val="24"/>
                <w:szCs w:val="24"/>
                <w:lang w:val="es-ES_tradnl"/>
              </w:rPr>
              <w:t xml:space="preserve"> </w:t>
            </w:r>
          </w:p>
        </w:tc>
        <w:tc>
          <w:tcPr>
            <w:tcW w:w="1346" w:type="dxa"/>
            <w:tcBorders>
              <w:top w:val="nil"/>
              <w:left w:val="nil"/>
              <w:bottom w:val="single" w:sz="8" w:space="0" w:color="auto"/>
              <w:right w:val="nil"/>
            </w:tcBorders>
            <w:tcMar>
              <w:left w:w="108" w:type="dxa"/>
              <w:right w:w="108" w:type="dxa"/>
            </w:tcMar>
            <w:vAlign w:val="center"/>
          </w:tcPr>
          <w:p w14:paraId="7DB850B6" w14:textId="56C35D68" w:rsidR="00CF0CBF" w:rsidRPr="00440325" w:rsidRDefault="00FD0798" w:rsidP="00A46482">
            <w:pPr>
              <w:jc w:val="center"/>
              <w:rPr>
                <w:sz w:val="24"/>
                <w:szCs w:val="24"/>
                <w:lang w:val="es-ES_tradnl"/>
              </w:rPr>
            </w:pPr>
            <w:r w:rsidRPr="00440325">
              <w:rPr>
                <w:rFonts w:ascii="Times New Roman" w:eastAsia="Times New Roman" w:hAnsi="Times New Roman" w:cs="Times New Roman"/>
                <w:b/>
                <w:bCs/>
                <w:sz w:val="24"/>
                <w:szCs w:val="24"/>
                <w:lang w:val="es-ES_tradnl"/>
              </w:rPr>
              <w:t>Ta</w:t>
            </w:r>
            <w:r w:rsidR="0041607D">
              <w:rPr>
                <w:rFonts w:ascii="Times New Roman" w:eastAsia="Times New Roman" w:hAnsi="Times New Roman" w:cs="Times New Roman"/>
                <w:b/>
                <w:bCs/>
                <w:sz w:val="24"/>
                <w:szCs w:val="24"/>
                <w:lang w:val="es-ES_tradnl"/>
              </w:rPr>
              <w:t>rif</w:t>
            </w:r>
            <w:r w:rsidRPr="00440325">
              <w:rPr>
                <w:rFonts w:ascii="Times New Roman" w:eastAsia="Times New Roman" w:hAnsi="Times New Roman" w:cs="Times New Roman"/>
                <w:b/>
                <w:bCs/>
                <w:sz w:val="24"/>
                <w:szCs w:val="24"/>
                <w:lang w:val="es-ES_tradnl"/>
              </w:rPr>
              <w:t xml:space="preserve">as promedio propuestas para 2027 </w:t>
            </w:r>
            <w:r w:rsidR="00CF0CBF" w:rsidRPr="00440325">
              <w:rPr>
                <w:rFonts w:ascii="Times New Roman" w:eastAsia="Times New Roman" w:hAnsi="Times New Roman" w:cs="Times New Roman"/>
                <w:b/>
                <w:bCs/>
                <w:sz w:val="24"/>
                <w:szCs w:val="24"/>
                <w:lang w:val="es-ES_tradnl"/>
              </w:rPr>
              <w:t>(¢/t</w:t>
            </w:r>
            <w:r w:rsidR="00C07CE8">
              <w:rPr>
                <w:rFonts w:ascii="Times New Roman" w:eastAsia="Times New Roman" w:hAnsi="Times New Roman" w:cs="Times New Roman"/>
                <w:b/>
                <w:bCs/>
                <w:sz w:val="24"/>
                <w:szCs w:val="24"/>
                <w:lang w:val="es-ES_tradnl"/>
              </w:rPr>
              <w:t>ermia</w:t>
            </w:r>
            <w:r w:rsidR="00CF0CBF" w:rsidRPr="00440325">
              <w:rPr>
                <w:rFonts w:ascii="Times New Roman" w:eastAsia="Times New Roman" w:hAnsi="Times New Roman" w:cs="Times New Roman"/>
                <w:b/>
                <w:bCs/>
                <w:sz w:val="24"/>
                <w:szCs w:val="24"/>
                <w:lang w:val="es-ES_tradnl"/>
              </w:rPr>
              <w:t>)</w:t>
            </w:r>
            <w:r w:rsidR="00CF0CBF" w:rsidRPr="00440325">
              <w:rPr>
                <w:rFonts w:ascii="Times New Roman" w:eastAsia="Times New Roman" w:hAnsi="Times New Roman" w:cs="Times New Roman"/>
                <w:sz w:val="24"/>
                <w:szCs w:val="24"/>
                <w:lang w:val="es-ES_tradnl"/>
              </w:rPr>
              <w:t xml:space="preserve"> </w:t>
            </w:r>
          </w:p>
        </w:tc>
        <w:tc>
          <w:tcPr>
            <w:tcW w:w="1362" w:type="dxa"/>
            <w:tcBorders>
              <w:top w:val="nil"/>
              <w:left w:val="nil"/>
              <w:bottom w:val="single" w:sz="8" w:space="0" w:color="auto"/>
              <w:right w:val="nil"/>
            </w:tcBorders>
            <w:shd w:val="clear" w:color="auto" w:fill="FFFFFF" w:themeFill="background1"/>
            <w:tcMar>
              <w:left w:w="108" w:type="dxa"/>
              <w:right w:w="108" w:type="dxa"/>
            </w:tcMar>
            <w:vAlign w:val="center"/>
          </w:tcPr>
          <w:p w14:paraId="22FD52A6" w14:textId="6D53FF23" w:rsidR="00CF0CBF" w:rsidRPr="00440325" w:rsidRDefault="00D94A96" w:rsidP="00A46482">
            <w:pPr>
              <w:jc w:val="center"/>
              <w:rPr>
                <w:sz w:val="24"/>
                <w:szCs w:val="24"/>
                <w:lang w:val="es-ES_tradnl"/>
              </w:rPr>
            </w:pPr>
            <w:r w:rsidRPr="00440325">
              <w:rPr>
                <w:rFonts w:ascii="Times New Roman" w:eastAsia="Times New Roman" w:hAnsi="Times New Roman" w:cs="Times New Roman"/>
                <w:b/>
                <w:bCs/>
                <w:color w:val="000000" w:themeColor="text1"/>
                <w:sz w:val="24"/>
                <w:szCs w:val="24"/>
                <w:lang w:val="es-ES_tradnl"/>
              </w:rPr>
              <w:t>Aumento total en la tarifa promedio</w:t>
            </w:r>
            <w:r w:rsidR="00CF0CBF" w:rsidRPr="00440325">
              <w:rPr>
                <w:rFonts w:ascii="Times New Roman" w:eastAsia="Times New Roman" w:hAnsi="Times New Roman" w:cs="Times New Roman"/>
                <w:b/>
                <w:bCs/>
                <w:color w:val="000000" w:themeColor="text1"/>
                <w:sz w:val="24"/>
                <w:szCs w:val="24"/>
                <w:lang w:val="es-ES_tradnl"/>
              </w:rPr>
              <w:t xml:space="preserve"> (¢/t</w:t>
            </w:r>
            <w:r w:rsidR="00C07CE8">
              <w:rPr>
                <w:rFonts w:ascii="Times New Roman" w:eastAsia="Times New Roman" w:hAnsi="Times New Roman" w:cs="Times New Roman"/>
                <w:b/>
                <w:bCs/>
                <w:color w:val="000000" w:themeColor="text1"/>
                <w:sz w:val="24"/>
                <w:szCs w:val="24"/>
                <w:lang w:val="es-ES_tradnl"/>
              </w:rPr>
              <w:t>ermia</w:t>
            </w:r>
            <w:r w:rsidR="00CF0CBF" w:rsidRPr="00440325">
              <w:rPr>
                <w:rFonts w:ascii="Times New Roman" w:eastAsia="Times New Roman" w:hAnsi="Times New Roman" w:cs="Times New Roman"/>
                <w:b/>
                <w:bCs/>
                <w:color w:val="000000" w:themeColor="text1"/>
                <w:sz w:val="24"/>
                <w:szCs w:val="24"/>
                <w:lang w:val="es-ES_tradnl"/>
              </w:rPr>
              <w:t>)</w:t>
            </w:r>
            <w:r w:rsidR="00CF0CBF" w:rsidRPr="00440325">
              <w:rPr>
                <w:rFonts w:ascii="Times New Roman" w:eastAsia="Times New Roman" w:hAnsi="Times New Roman" w:cs="Times New Roman"/>
                <w:color w:val="000000" w:themeColor="text1"/>
                <w:sz w:val="24"/>
                <w:szCs w:val="24"/>
                <w:lang w:val="es-ES_tradnl"/>
              </w:rPr>
              <w:t xml:space="preserve"> </w:t>
            </w:r>
          </w:p>
        </w:tc>
        <w:tc>
          <w:tcPr>
            <w:tcW w:w="1461" w:type="dxa"/>
            <w:tcBorders>
              <w:top w:val="nil"/>
              <w:left w:val="nil"/>
              <w:bottom w:val="single" w:sz="8" w:space="0" w:color="auto"/>
              <w:right w:val="nil"/>
            </w:tcBorders>
            <w:shd w:val="clear" w:color="auto" w:fill="FFFFFF" w:themeFill="background1"/>
            <w:tcMar>
              <w:left w:w="108" w:type="dxa"/>
              <w:right w:w="108" w:type="dxa"/>
            </w:tcMar>
            <w:vAlign w:val="center"/>
          </w:tcPr>
          <w:p w14:paraId="6B587FF2" w14:textId="00E0FD21" w:rsidR="00CF0CBF" w:rsidRPr="00440325" w:rsidRDefault="00D94A96" w:rsidP="00A46482">
            <w:pPr>
              <w:jc w:val="center"/>
              <w:rPr>
                <w:rFonts w:ascii="Times New Roman" w:eastAsia="Times New Roman" w:hAnsi="Times New Roman" w:cs="Times New Roman"/>
                <w:b/>
                <w:bCs/>
                <w:color w:val="000000" w:themeColor="text1"/>
                <w:sz w:val="24"/>
                <w:szCs w:val="24"/>
                <w:lang w:val="es-ES_tradnl"/>
              </w:rPr>
            </w:pPr>
            <w:r w:rsidRPr="00440325">
              <w:rPr>
                <w:rFonts w:ascii="Times New Roman" w:eastAsia="Times New Roman" w:hAnsi="Times New Roman" w:cs="Times New Roman"/>
                <w:b/>
                <w:bCs/>
                <w:color w:val="000000" w:themeColor="text1"/>
                <w:sz w:val="24"/>
                <w:szCs w:val="24"/>
                <w:lang w:val="es-ES_tradnl"/>
              </w:rPr>
              <w:t xml:space="preserve">Aumento porcentual en la tarifa promedio </w:t>
            </w:r>
            <w:r w:rsidR="00CF0CBF" w:rsidRPr="00440325">
              <w:rPr>
                <w:rFonts w:ascii="Times New Roman" w:eastAsia="Times New Roman" w:hAnsi="Times New Roman" w:cs="Times New Roman"/>
                <w:b/>
                <w:bCs/>
                <w:color w:val="000000" w:themeColor="text1"/>
                <w:sz w:val="24"/>
                <w:szCs w:val="24"/>
                <w:lang w:val="es-ES_tradnl"/>
              </w:rPr>
              <w:t>(%)</w:t>
            </w:r>
          </w:p>
        </w:tc>
      </w:tr>
      <w:tr w:rsidR="00570904" w:rsidRPr="00440325" w14:paraId="1DD92190" w14:textId="77777777" w:rsidTr="00A46482">
        <w:trPr>
          <w:trHeight w:val="300"/>
        </w:trPr>
        <w:tc>
          <w:tcPr>
            <w:tcW w:w="3064" w:type="dxa"/>
            <w:tcBorders>
              <w:top w:val="single" w:sz="8" w:space="0" w:color="auto"/>
              <w:left w:val="nil"/>
              <w:bottom w:val="nil"/>
              <w:right w:val="nil"/>
            </w:tcBorders>
            <w:shd w:val="clear" w:color="auto" w:fill="FFFFFF" w:themeFill="background1"/>
            <w:tcMar>
              <w:left w:w="108" w:type="dxa"/>
              <w:right w:w="108" w:type="dxa"/>
            </w:tcMar>
            <w:vAlign w:val="bottom"/>
          </w:tcPr>
          <w:p w14:paraId="29177533" w14:textId="2CD0EBDA" w:rsidR="00570904" w:rsidRPr="00440325" w:rsidRDefault="00622EA5" w:rsidP="00570904">
            <w:pPr>
              <w:rPr>
                <w:sz w:val="24"/>
                <w:szCs w:val="24"/>
                <w:lang w:val="es-ES_tradnl"/>
              </w:rPr>
            </w:pPr>
            <w:r w:rsidRPr="00440325">
              <w:rPr>
                <w:rFonts w:ascii="Times New Roman" w:eastAsia="Times New Roman" w:hAnsi="Times New Roman" w:cs="Times New Roman"/>
                <w:b/>
                <w:bCs/>
                <w:color w:val="000000" w:themeColor="text1"/>
                <w:sz w:val="24"/>
                <w:szCs w:val="24"/>
                <w:lang w:val="es-ES_tradnl"/>
              </w:rPr>
              <w:t>Residencial (principal)</w:t>
            </w:r>
          </w:p>
        </w:tc>
        <w:tc>
          <w:tcPr>
            <w:tcW w:w="1229" w:type="dxa"/>
            <w:tcBorders>
              <w:top w:val="single" w:sz="8" w:space="0" w:color="auto"/>
              <w:left w:val="nil"/>
              <w:bottom w:val="nil"/>
              <w:right w:val="nil"/>
            </w:tcBorders>
            <w:shd w:val="clear" w:color="auto" w:fill="FFFFFF" w:themeFill="background1"/>
            <w:tcMar>
              <w:left w:w="108" w:type="dxa"/>
              <w:right w:w="108" w:type="dxa"/>
            </w:tcMar>
            <w:vAlign w:val="bottom"/>
          </w:tcPr>
          <w:p w14:paraId="03F7ECB7" w14:textId="1DA031D9" w:rsidR="00570904" w:rsidRPr="00440325" w:rsidRDefault="00570904" w:rsidP="00570904">
            <w:pPr>
              <w:jc w:val="center"/>
              <w:rPr>
                <w:rFonts w:ascii="Times New Roman" w:hAnsi="Times New Roman" w:cs="Times New Roman"/>
                <w:sz w:val="24"/>
                <w:szCs w:val="24"/>
                <w:lang w:val="es-ES_tradnl"/>
              </w:rPr>
            </w:pPr>
            <w:r w:rsidRPr="00440325">
              <w:rPr>
                <w:rFonts w:ascii="Times New Roman" w:hAnsi="Times New Roman" w:cs="Times New Roman"/>
                <w:sz w:val="24"/>
                <w:szCs w:val="24"/>
                <w:lang w:val="es-ES_tradnl"/>
              </w:rPr>
              <w:t>213.7</w:t>
            </w:r>
          </w:p>
        </w:tc>
        <w:tc>
          <w:tcPr>
            <w:tcW w:w="1346" w:type="dxa"/>
            <w:tcBorders>
              <w:top w:val="single" w:sz="8" w:space="0" w:color="auto"/>
              <w:left w:val="nil"/>
              <w:bottom w:val="nil"/>
              <w:right w:val="nil"/>
            </w:tcBorders>
            <w:shd w:val="clear" w:color="auto" w:fill="FFFFFF" w:themeFill="background1"/>
            <w:tcMar>
              <w:left w:w="108" w:type="dxa"/>
              <w:right w:w="108" w:type="dxa"/>
            </w:tcMar>
            <w:vAlign w:val="bottom"/>
          </w:tcPr>
          <w:p w14:paraId="5940CB05" w14:textId="25A52082" w:rsidR="00570904" w:rsidRPr="00440325" w:rsidRDefault="00570904" w:rsidP="00570904">
            <w:pPr>
              <w:jc w:val="center"/>
              <w:rPr>
                <w:rFonts w:ascii="Times New Roman" w:hAnsi="Times New Roman" w:cs="Times New Roman"/>
                <w:sz w:val="24"/>
                <w:szCs w:val="24"/>
                <w:lang w:val="es-ES_tradnl"/>
              </w:rPr>
            </w:pPr>
            <w:r w:rsidRPr="00440325">
              <w:rPr>
                <w:rFonts w:ascii="Times New Roman" w:hAnsi="Times New Roman" w:cs="Times New Roman"/>
                <w:sz w:val="24"/>
                <w:szCs w:val="24"/>
                <w:lang w:val="es-ES_tradnl"/>
              </w:rPr>
              <w:t>224.2</w:t>
            </w:r>
          </w:p>
        </w:tc>
        <w:tc>
          <w:tcPr>
            <w:tcW w:w="1362" w:type="dxa"/>
            <w:tcBorders>
              <w:top w:val="single" w:sz="8" w:space="0" w:color="auto"/>
              <w:left w:val="nil"/>
              <w:bottom w:val="nil"/>
              <w:right w:val="nil"/>
            </w:tcBorders>
            <w:shd w:val="clear" w:color="auto" w:fill="FFFFFF" w:themeFill="background1"/>
            <w:tcMar>
              <w:left w:w="108" w:type="dxa"/>
              <w:right w:w="108" w:type="dxa"/>
            </w:tcMar>
            <w:vAlign w:val="bottom"/>
          </w:tcPr>
          <w:p w14:paraId="25B974E8" w14:textId="4ADCEA6D" w:rsidR="00570904" w:rsidRPr="00440325" w:rsidRDefault="00570904" w:rsidP="00570904">
            <w:pPr>
              <w:jc w:val="center"/>
              <w:rPr>
                <w:rFonts w:ascii="Times New Roman" w:hAnsi="Times New Roman" w:cs="Times New Roman"/>
                <w:sz w:val="24"/>
                <w:szCs w:val="24"/>
                <w:lang w:val="es-ES_tradnl"/>
              </w:rPr>
            </w:pPr>
            <w:r w:rsidRPr="00440325">
              <w:rPr>
                <w:rFonts w:ascii="Times New Roman" w:hAnsi="Times New Roman" w:cs="Times New Roman"/>
                <w:sz w:val="24"/>
                <w:szCs w:val="24"/>
                <w:lang w:val="es-ES_tradnl"/>
              </w:rPr>
              <w:t>10.4</w:t>
            </w:r>
          </w:p>
        </w:tc>
        <w:tc>
          <w:tcPr>
            <w:tcW w:w="1461" w:type="dxa"/>
            <w:tcBorders>
              <w:top w:val="single" w:sz="8" w:space="0" w:color="auto"/>
              <w:left w:val="nil"/>
              <w:bottom w:val="nil"/>
              <w:right w:val="nil"/>
            </w:tcBorders>
            <w:shd w:val="clear" w:color="auto" w:fill="FFFFFF" w:themeFill="background1"/>
            <w:tcMar>
              <w:left w:w="108" w:type="dxa"/>
              <w:right w:w="108" w:type="dxa"/>
            </w:tcMar>
            <w:vAlign w:val="bottom"/>
          </w:tcPr>
          <w:p w14:paraId="56C6A5F2" w14:textId="181A3137" w:rsidR="00570904" w:rsidRPr="00440325" w:rsidRDefault="00570904" w:rsidP="00570904">
            <w:pPr>
              <w:jc w:val="center"/>
              <w:rPr>
                <w:rFonts w:ascii="Times New Roman" w:hAnsi="Times New Roman" w:cs="Times New Roman"/>
                <w:sz w:val="24"/>
                <w:szCs w:val="24"/>
                <w:lang w:val="es-ES_tradnl"/>
              </w:rPr>
            </w:pPr>
            <w:r w:rsidRPr="00440325">
              <w:rPr>
                <w:rFonts w:ascii="Times New Roman" w:hAnsi="Times New Roman" w:cs="Times New Roman"/>
                <w:sz w:val="24"/>
                <w:szCs w:val="24"/>
                <w:lang w:val="es-ES_tradnl"/>
              </w:rPr>
              <w:t>4.9%</w:t>
            </w:r>
          </w:p>
        </w:tc>
      </w:tr>
      <w:tr w:rsidR="00570904" w:rsidRPr="00440325" w14:paraId="03E8F9A1" w14:textId="77777777" w:rsidTr="00A46482">
        <w:trPr>
          <w:trHeight w:val="300"/>
        </w:trPr>
        <w:tc>
          <w:tcPr>
            <w:tcW w:w="3064" w:type="dxa"/>
            <w:tcBorders>
              <w:top w:val="nil"/>
              <w:left w:val="nil"/>
              <w:bottom w:val="nil"/>
              <w:right w:val="nil"/>
            </w:tcBorders>
            <w:shd w:val="clear" w:color="auto" w:fill="FFFFFF" w:themeFill="background1"/>
            <w:tcMar>
              <w:left w:w="108" w:type="dxa"/>
              <w:right w:w="108" w:type="dxa"/>
            </w:tcMar>
            <w:vAlign w:val="bottom"/>
          </w:tcPr>
          <w:p w14:paraId="2DE95353" w14:textId="0EAC9A40" w:rsidR="00570904" w:rsidRPr="00440325" w:rsidRDefault="00502801" w:rsidP="00570904">
            <w:pPr>
              <w:rPr>
                <w:sz w:val="24"/>
                <w:szCs w:val="24"/>
                <w:lang w:val="es-ES_tradnl"/>
              </w:rPr>
            </w:pPr>
            <w:r w:rsidRPr="00440325">
              <w:rPr>
                <w:rFonts w:ascii="Times New Roman" w:eastAsia="Times New Roman" w:hAnsi="Times New Roman" w:cs="Times New Roman"/>
                <w:b/>
                <w:bCs/>
                <w:color w:val="000000" w:themeColor="text1"/>
                <w:sz w:val="24"/>
                <w:szCs w:val="24"/>
                <w:lang w:val="es-ES_tradnl"/>
              </w:rPr>
              <w:t>Comercial e industrial (principal)</w:t>
            </w:r>
          </w:p>
        </w:tc>
        <w:tc>
          <w:tcPr>
            <w:tcW w:w="1229" w:type="dxa"/>
            <w:tcBorders>
              <w:top w:val="nil"/>
              <w:left w:val="nil"/>
              <w:bottom w:val="nil"/>
              <w:right w:val="nil"/>
            </w:tcBorders>
            <w:shd w:val="clear" w:color="auto" w:fill="FFFFFF" w:themeFill="background1"/>
            <w:tcMar>
              <w:left w:w="108" w:type="dxa"/>
              <w:right w:w="108" w:type="dxa"/>
            </w:tcMar>
            <w:vAlign w:val="bottom"/>
          </w:tcPr>
          <w:p w14:paraId="6B2E71F7" w14:textId="3FDEC7BF" w:rsidR="00570904" w:rsidRPr="00440325" w:rsidRDefault="00570904" w:rsidP="00570904">
            <w:pPr>
              <w:jc w:val="center"/>
              <w:rPr>
                <w:rFonts w:ascii="Times New Roman" w:hAnsi="Times New Roman" w:cs="Times New Roman"/>
                <w:sz w:val="24"/>
                <w:szCs w:val="24"/>
                <w:lang w:val="es-ES_tradnl"/>
              </w:rPr>
            </w:pPr>
            <w:r w:rsidRPr="00440325">
              <w:rPr>
                <w:rFonts w:ascii="Times New Roman" w:hAnsi="Times New Roman" w:cs="Times New Roman"/>
                <w:sz w:val="24"/>
                <w:szCs w:val="24"/>
                <w:lang w:val="es-ES_tradnl"/>
              </w:rPr>
              <w:t>94.3</w:t>
            </w:r>
          </w:p>
        </w:tc>
        <w:tc>
          <w:tcPr>
            <w:tcW w:w="1346" w:type="dxa"/>
            <w:tcBorders>
              <w:top w:val="nil"/>
              <w:left w:val="nil"/>
              <w:bottom w:val="nil"/>
              <w:right w:val="nil"/>
            </w:tcBorders>
            <w:shd w:val="clear" w:color="auto" w:fill="FFFFFF" w:themeFill="background1"/>
            <w:tcMar>
              <w:left w:w="108" w:type="dxa"/>
              <w:right w:w="108" w:type="dxa"/>
            </w:tcMar>
            <w:vAlign w:val="bottom"/>
          </w:tcPr>
          <w:p w14:paraId="6FD6F043" w14:textId="60A1D023" w:rsidR="00570904" w:rsidRPr="00440325" w:rsidRDefault="00570904" w:rsidP="00570904">
            <w:pPr>
              <w:jc w:val="center"/>
              <w:rPr>
                <w:rFonts w:ascii="Times New Roman" w:hAnsi="Times New Roman" w:cs="Times New Roman"/>
                <w:sz w:val="24"/>
                <w:szCs w:val="24"/>
                <w:lang w:val="es-ES_tradnl"/>
              </w:rPr>
            </w:pPr>
            <w:r w:rsidRPr="00440325">
              <w:rPr>
                <w:rFonts w:ascii="Times New Roman" w:hAnsi="Times New Roman" w:cs="Times New Roman"/>
                <w:sz w:val="24"/>
                <w:szCs w:val="24"/>
                <w:lang w:val="es-ES_tradnl"/>
              </w:rPr>
              <w:t>97.2</w:t>
            </w:r>
          </w:p>
        </w:tc>
        <w:tc>
          <w:tcPr>
            <w:tcW w:w="1362" w:type="dxa"/>
            <w:tcBorders>
              <w:top w:val="nil"/>
              <w:left w:val="nil"/>
              <w:bottom w:val="nil"/>
              <w:right w:val="nil"/>
            </w:tcBorders>
            <w:shd w:val="clear" w:color="auto" w:fill="FFFFFF" w:themeFill="background1"/>
            <w:tcMar>
              <w:left w:w="108" w:type="dxa"/>
              <w:right w:w="108" w:type="dxa"/>
            </w:tcMar>
            <w:vAlign w:val="bottom"/>
          </w:tcPr>
          <w:p w14:paraId="23CC2AF6" w14:textId="3ABAC22E" w:rsidR="00570904" w:rsidRPr="00440325" w:rsidRDefault="00570904" w:rsidP="00570904">
            <w:pPr>
              <w:jc w:val="center"/>
              <w:rPr>
                <w:rFonts w:ascii="Times New Roman" w:hAnsi="Times New Roman" w:cs="Times New Roman"/>
                <w:sz w:val="24"/>
                <w:szCs w:val="24"/>
                <w:lang w:val="es-ES_tradnl"/>
              </w:rPr>
            </w:pPr>
            <w:r w:rsidRPr="00440325">
              <w:rPr>
                <w:rFonts w:ascii="Times New Roman" w:hAnsi="Times New Roman" w:cs="Times New Roman"/>
                <w:sz w:val="24"/>
                <w:szCs w:val="24"/>
                <w:lang w:val="es-ES_tradnl"/>
              </w:rPr>
              <w:t>2.9</w:t>
            </w:r>
          </w:p>
        </w:tc>
        <w:tc>
          <w:tcPr>
            <w:tcW w:w="1461" w:type="dxa"/>
            <w:tcBorders>
              <w:top w:val="nil"/>
              <w:left w:val="nil"/>
              <w:bottom w:val="nil"/>
              <w:right w:val="nil"/>
            </w:tcBorders>
            <w:shd w:val="clear" w:color="auto" w:fill="FFFFFF" w:themeFill="background1"/>
            <w:tcMar>
              <w:left w:w="108" w:type="dxa"/>
              <w:right w:w="108" w:type="dxa"/>
            </w:tcMar>
            <w:vAlign w:val="bottom"/>
          </w:tcPr>
          <w:p w14:paraId="6A98D324" w14:textId="29B83508" w:rsidR="00570904" w:rsidRPr="00440325" w:rsidRDefault="00570904" w:rsidP="00570904">
            <w:pPr>
              <w:jc w:val="center"/>
              <w:rPr>
                <w:rFonts w:ascii="Times New Roman" w:hAnsi="Times New Roman" w:cs="Times New Roman"/>
                <w:sz w:val="24"/>
                <w:szCs w:val="24"/>
                <w:lang w:val="es-ES_tradnl"/>
              </w:rPr>
            </w:pPr>
            <w:r w:rsidRPr="00440325">
              <w:rPr>
                <w:rFonts w:ascii="Times New Roman" w:hAnsi="Times New Roman" w:cs="Times New Roman"/>
                <w:sz w:val="24"/>
                <w:szCs w:val="24"/>
                <w:lang w:val="es-ES_tradnl"/>
              </w:rPr>
              <w:t>3.1%</w:t>
            </w:r>
          </w:p>
        </w:tc>
      </w:tr>
      <w:tr w:rsidR="00570904" w:rsidRPr="00440325" w14:paraId="71C8D4D0" w14:textId="77777777" w:rsidTr="00A46482">
        <w:trPr>
          <w:trHeight w:val="300"/>
        </w:trPr>
        <w:tc>
          <w:tcPr>
            <w:tcW w:w="3064" w:type="dxa"/>
            <w:tcBorders>
              <w:top w:val="nil"/>
              <w:left w:val="nil"/>
              <w:bottom w:val="nil"/>
              <w:right w:val="nil"/>
            </w:tcBorders>
            <w:shd w:val="clear" w:color="auto" w:fill="FFFFFF" w:themeFill="background1"/>
            <w:tcMar>
              <w:left w:w="108" w:type="dxa"/>
              <w:right w:w="108" w:type="dxa"/>
            </w:tcMar>
            <w:vAlign w:val="bottom"/>
          </w:tcPr>
          <w:p w14:paraId="1BBD3808" w14:textId="3660C54B" w:rsidR="00570904" w:rsidRPr="00440325" w:rsidRDefault="00502801" w:rsidP="00570904">
            <w:pPr>
              <w:spacing w:line="257" w:lineRule="auto"/>
              <w:rPr>
                <w:sz w:val="24"/>
                <w:szCs w:val="24"/>
                <w:lang w:val="es-ES_tradnl"/>
              </w:rPr>
            </w:pPr>
            <w:r w:rsidRPr="00440325">
              <w:rPr>
                <w:rFonts w:ascii="Times New Roman" w:eastAsia="Times New Roman" w:hAnsi="Times New Roman" w:cs="Times New Roman"/>
                <w:b/>
                <w:bCs/>
                <w:color w:val="000000" w:themeColor="text1"/>
                <w:sz w:val="24"/>
                <w:szCs w:val="24"/>
                <w:lang w:val="es-ES_tradnl"/>
              </w:rPr>
              <w:t>Comercial e industrial (no principal)</w:t>
            </w:r>
          </w:p>
        </w:tc>
        <w:tc>
          <w:tcPr>
            <w:tcW w:w="1229" w:type="dxa"/>
            <w:tcBorders>
              <w:top w:val="nil"/>
              <w:left w:val="nil"/>
              <w:bottom w:val="nil"/>
              <w:right w:val="nil"/>
            </w:tcBorders>
            <w:shd w:val="clear" w:color="auto" w:fill="FFFFFF" w:themeFill="background1"/>
            <w:tcMar>
              <w:left w:w="108" w:type="dxa"/>
              <w:right w:w="108" w:type="dxa"/>
            </w:tcMar>
            <w:vAlign w:val="center"/>
          </w:tcPr>
          <w:p w14:paraId="451B5AA1" w14:textId="1AD730FA" w:rsidR="00570904" w:rsidRPr="00440325" w:rsidRDefault="00570904" w:rsidP="00570904">
            <w:pPr>
              <w:jc w:val="center"/>
              <w:rPr>
                <w:rFonts w:ascii="Times New Roman" w:hAnsi="Times New Roman" w:cs="Times New Roman"/>
                <w:sz w:val="24"/>
                <w:szCs w:val="24"/>
                <w:lang w:val="es-ES_tradnl"/>
              </w:rPr>
            </w:pPr>
            <w:r w:rsidRPr="00440325">
              <w:rPr>
                <w:rFonts w:ascii="Times New Roman" w:hAnsi="Times New Roman" w:cs="Times New Roman"/>
                <w:sz w:val="24"/>
                <w:szCs w:val="24"/>
                <w:lang w:val="es-ES_tradnl"/>
              </w:rPr>
              <w:t>31.2</w:t>
            </w:r>
          </w:p>
        </w:tc>
        <w:tc>
          <w:tcPr>
            <w:tcW w:w="1346" w:type="dxa"/>
            <w:tcBorders>
              <w:top w:val="nil"/>
              <w:left w:val="nil"/>
              <w:bottom w:val="nil"/>
              <w:right w:val="nil"/>
            </w:tcBorders>
            <w:shd w:val="clear" w:color="auto" w:fill="FFFFFF" w:themeFill="background1"/>
            <w:tcMar>
              <w:left w:w="108" w:type="dxa"/>
              <w:right w:w="108" w:type="dxa"/>
            </w:tcMar>
            <w:vAlign w:val="center"/>
          </w:tcPr>
          <w:p w14:paraId="4570B684" w14:textId="4C7E9BB8" w:rsidR="00570904" w:rsidRPr="00440325" w:rsidRDefault="00570904" w:rsidP="00570904">
            <w:pPr>
              <w:jc w:val="center"/>
              <w:rPr>
                <w:rFonts w:ascii="Times New Roman" w:hAnsi="Times New Roman" w:cs="Times New Roman"/>
                <w:sz w:val="24"/>
                <w:szCs w:val="24"/>
                <w:lang w:val="es-ES_tradnl"/>
              </w:rPr>
            </w:pPr>
            <w:r w:rsidRPr="00440325">
              <w:rPr>
                <w:rFonts w:ascii="Times New Roman" w:hAnsi="Times New Roman" w:cs="Times New Roman"/>
                <w:sz w:val="24"/>
                <w:szCs w:val="24"/>
                <w:lang w:val="es-ES_tradnl"/>
              </w:rPr>
              <w:t>31.9</w:t>
            </w:r>
          </w:p>
        </w:tc>
        <w:tc>
          <w:tcPr>
            <w:tcW w:w="1362" w:type="dxa"/>
            <w:tcBorders>
              <w:top w:val="nil"/>
              <w:left w:val="nil"/>
              <w:bottom w:val="nil"/>
              <w:right w:val="nil"/>
            </w:tcBorders>
            <w:shd w:val="clear" w:color="auto" w:fill="FFFFFF" w:themeFill="background1"/>
            <w:tcMar>
              <w:left w:w="108" w:type="dxa"/>
              <w:right w:w="108" w:type="dxa"/>
            </w:tcMar>
            <w:vAlign w:val="center"/>
          </w:tcPr>
          <w:p w14:paraId="1016D29A" w14:textId="3028C4D3" w:rsidR="00570904" w:rsidRPr="00440325" w:rsidRDefault="00570904" w:rsidP="00570904">
            <w:pPr>
              <w:jc w:val="center"/>
              <w:rPr>
                <w:rFonts w:ascii="Times New Roman" w:hAnsi="Times New Roman" w:cs="Times New Roman"/>
                <w:sz w:val="24"/>
                <w:szCs w:val="24"/>
                <w:lang w:val="es-ES_tradnl"/>
              </w:rPr>
            </w:pPr>
            <w:r w:rsidRPr="00440325">
              <w:rPr>
                <w:rFonts w:ascii="Times New Roman" w:hAnsi="Times New Roman" w:cs="Times New Roman"/>
                <w:sz w:val="24"/>
                <w:szCs w:val="24"/>
                <w:lang w:val="es-ES_tradnl"/>
              </w:rPr>
              <w:t>0.7</w:t>
            </w:r>
          </w:p>
        </w:tc>
        <w:tc>
          <w:tcPr>
            <w:tcW w:w="1461" w:type="dxa"/>
            <w:tcBorders>
              <w:top w:val="nil"/>
              <w:left w:val="nil"/>
              <w:bottom w:val="nil"/>
              <w:right w:val="nil"/>
            </w:tcBorders>
            <w:shd w:val="clear" w:color="auto" w:fill="FFFFFF" w:themeFill="background1"/>
            <w:tcMar>
              <w:left w:w="108" w:type="dxa"/>
              <w:right w:w="108" w:type="dxa"/>
            </w:tcMar>
            <w:vAlign w:val="center"/>
          </w:tcPr>
          <w:p w14:paraId="569A1FF5" w14:textId="2713AA78" w:rsidR="00570904" w:rsidRPr="00440325" w:rsidRDefault="00570904" w:rsidP="00570904">
            <w:pPr>
              <w:jc w:val="center"/>
              <w:rPr>
                <w:rFonts w:ascii="Times New Roman" w:hAnsi="Times New Roman" w:cs="Times New Roman"/>
                <w:sz w:val="24"/>
                <w:szCs w:val="24"/>
                <w:lang w:val="es-ES_tradnl"/>
              </w:rPr>
            </w:pPr>
            <w:r w:rsidRPr="00440325">
              <w:rPr>
                <w:rFonts w:ascii="Times New Roman" w:hAnsi="Times New Roman" w:cs="Times New Roman"/>
                <w:sz w:val="24"/>
                <w:szCs w:val="24"/>
                <w:lang w:val="es-ES_tradnl"/>
              </w:rPr>
              <w:t>2.1%</w:t>
            </w:r>
          </w:p>
        </w:tc>
      </w:tr>
      <w:tr w:rsidR="00570904" w:rsidRPr="00440325" w14:paraId="6A75D1B7" w14:textId="77777777" w:rsidTr="00A46482">
        <w:trPr>
          <w:trHeight w:val="300"/>
        </w:trPr>
        <w:tc>
          <w:tcPr>
            <w:tcW w:w="3064" w:type="dxa"/>
            <w:tcBorders>
              <w:top w:val="nil"/>
              <w:left w:val="nil"/>
              <w:bottom w:val="nil"/>
              <w:right w:val="nil"/>
            </w:tcBorders>
            <w:shd w:val="clear" w:color="auto" w:fill="FFFFFF" w:themeFill="background1"/>
            <w:tcMar>
              <w:left w:w="108" w:type="dxa"/>
              <w:right w:w="108" w:type="dxa"/>
            </w:tcMar>
            <w:vAlign w:val="bottom"/>
          </w:tcPr>
          <w:p w14:paraId="40993576" w14:textId="0787C3A4" w:rsidR="00570904" w:rsidRPr="00440325" w:rsidRDefault="00B074DB" w:rsidP="00570904">
            <w:pPr>
              <w:spacing w:line="257" w:lineRule="auto"/>
              <w:rPr>
                <w:sz w:val="24"/>
                <w:szCs w:val="24"/>
                <w:lang w:val="es-ES_tradnl"/>
              </w:rPr>
            </w:pPr>
            <w:r w:rsidRPr="00440325">
              <w:rPr>
                <w:rFonts w:ascii="Times New Roman" w:eastAsia="Times New Roman" w:hAnsi="Times New Roman" w:cs="Times New Roman"/>
                <w:b/>
                <w:bCs/>
                <w:color w:val="000000" w:themeColor="text1"/>
                <w:sz w:val="24"/>
                <w:szCs w:val="24"/>
                <w:lang w:val="es-ES_tradnl"/>
              </w:rPr>
              <w:t>Generación eléctrica</w:t>
            </w:r>
            <w:r w:rsidR="00570904" w:rsidRPr="00440325">
              <w:rPr>
                <w:rFonts w:ascii="Times New Roman" w:eastAsia="Times New Roman" w:hAnsi="Times New Roman" w:cs="Times New Roman"/>
                <w:b/>
                <w:bCs/>
                <w:color w:val="000000" w:themeColor="text1"/>
                <w:sz w:val="24"/>
                <w:szCs w:val="24"/>
                <w:lang w:val="es-ES_tradnl"/>
              </w:rPr>
              <w:t xml:space="preserve"> </w:t>
            </w:r>
            <w:r w:rsidRPr="00440325">
              <w:rPr>
                <w:rFonts w:ascii="Times New Roman" w:eastAsia="Times New Roman" w:hAnsi="Times New Roman" w:cs="Times New Roman"/>
                <w:b/>
                <w:bCs/>
                <w:color w:val="000000" w:themeColor="text1"/>
                <w:sz w:val="24"/>
                <w:szCs w:val="24"/>
                <w:lang w:val="es-ES_tradnl"/>
              </w:rPr>
              <w:br/>
              <w:t>Nivel de distribución</w:t>
            </w:r>
            <w:r w:rsidR="00570904" w:rsidRPr="00440325">
              <w:rPr>
                <w:rFonts w:ascii="Times New Roman" w:eastAsia="Times New Roman" w:hAnsi="Times New Roman" w:cs="Times New Roman"/>
                <w:b/>
                <w:bCs/>
                <w:color w:val="000000" w:themeColor="text1"/>
                <w:sz w:val="24"/>
                <w:szCs w:val="24"/>
                <w:lang w:val="es-ES_tradnl"/>
              </w:rPr>
              <w:t xml:space="preserve"> </w:t>
            </w:r>
            <w:r w:rsidR="009A00BD" w:rsidRPr="00440325">
              <w:rPr>
                <w:rFonts w:ascii="Times New Roman" w:eastAsia="Times New Roman" w:hAnsi="Times New Roman" w:cs="Times New Roman"/>
                <w:b/>
                <w:bCs/>
                <w:color w:val="000000" w:themeColor="text1"/>
                <w:sz w:val="24"/>
                <w:szCs w:val="24"/>
                <w:lang w:val="es-ES_tradnl"/>
              </w:rPr>
              <w:br/>
              <w:t>Etapa</w:t>
            </w:r>
            <w:r w:rsidR="00570904" w:rsidRPr="00440325">
              <w:rPr>
                <w:rFonts w:ascii="Times New Roman" w:eastAsia="Times New Roman" w:hAnsi="Times New Roman" w:cs="Times New Roman"/>
                <w:b/>
                <w:bCs/>
                <w:color w:val="000000" w:themeColor="text1"/>
                <w:sz w:val="24"/>
                <w:szCs w:val="24"/>
                <w:lang w:val="es-ES_tradnl"/>
              </w:rPr>
              <w:t xml:space="preserve"> 1</w:t>
            </w:r>
          </w:p>
        </w:tc>
        <w:tc>
          <w:tcPr>
            <w:tcW w:w="1229" w:type="dxa"/>
            <w:tcBorders>
              <w:top w:val="nil"/>
              <w:left w:val="nil"/>
              <w:bottom w:val="nil"/>
              <w:right w:val="nil"/>
            </w:tcBorders>
            <w:shd w:val="clear" w:color="auto" w:fill="FFFFFF" w:themeFill="background1"/>
            <w:tcMar>
              <w:left w:w="108" w:type="dxa"/>
              <w:right w:w="108" w:type="dxa"/>
            </w:tcMar>
            <w:vAlign w:val="center"/>
          </w:tcPr>
          <w:p w14:paraId="50A4BA1F" w14:textId="387F92F0" w:rsidR="00570904" w:rsidRPr="00440325" w:rsidRDefault="00570904" w:rsidP="00570904">
            <w:pPr>
              <w:jc w:val="center"/>
              <w:rPr>
                <w:rFonts w:ascii="Times New Roman" w:hAnsi="Times New Roman" w:cs="Times New Roman"/>
                <w:sz w:val="24"/>
                <w:szCs w:val="24"/>
                <w:lang w:val="es-ES_tradnl"/>
              </w:rPr>
            </w:pPr>
            <w:r w:rsidRPr="00440325">
              <w:rPr>
                <w:rFonts w:ascii="Times New Roman" w:hAnsi="Times New Roman" w:cs="Times New Roman"/>
                <w:sz w:val="24"/>
                <w:szCs w:val="24"/>
                <w:lang w:val="es-ES_tradnl"/>
              </w:rPr>
              <w:t>44.6</w:t>
            </w:r>
          </w:p>
        </w:tc>
        <w:tc>
          <w:tcPr>
            <w:tcW w:w="1346" w:type="dxa"/>
            <w:tcBorders>
              <w:top w:val="nil"/>
              <w:left w:val="nil"/>
              <w:bottom w:val="nil"/>
              <w:right w:val="nil"/>
            </w:tcBorders>
            <w:shd w:val="clear" w:color="auto" w:fill="FFFFFF" w:themeFill="background1"/>
            <w:tcMar>
              <w:left w:w="108" w:type="dxa"/>
              <w:right w:w="108" w:type="dxa"/>
            </w:tcMar>
            <w:vAlign w:val="center"/>
          </w:tcPr>
          <w:p w14:paraId="5A851153" w14:textId="1134D6C2" w:rsidR="00570904" w:rsidRPr="00440325" w:rsidRDefault="00570904" w:rsidP="00570904">
            <w:pPr>
              <w:jc w:val="center"/>
              <w:rPr>
                <w:rFonts w:ascii="Times New Roman" w:hAnsi="Times New Roman" w:cs="Times New Roman"/>
                <w:sz w:val="24"/>
                <w:szCs w:val="24"/>
                <w:lang w:val="es-ES_tradnl"/>
              </w:rPr>
            </w:pPr>
            <w:r w:rsidRPr="00440325">
              <w:rPr>
                <w:rFonts w:ascii="Times New Roman" w:hAnsi="Times New Roman" w:cs="Times New Roman"/>
                <w:sz w:val="24"/>
                <w:szCs w:val="24"/>
                <w:lang w:val="es-ES_tradnl"/>
              </w:rPr>
              <w:t>44.7</w:t>
            </w:r>
          </w:p>
        </w:tc>
        <w:tc>
          <w:tcPr>
            <w:tcW w:w="1362" w:type="dxa"/>
            <w:tcBorders>
              <w:top w:val="nil"/>
              <w:left w:val="nil"/>
              <w:bottom w:val="nil"/>
              <w:right w:val="nil"/>
            </w:tcBorders>
            <w:shd w:val="clear" w:color="auto" w:fill="FFFFFF" w:themeFill="background1"/>
            <w:tcMar>
              <w:left w:w="108" w:type="dxa"/>
              <w:right w:w="108" w:type="dxa"/>
            </w:tcMar>
            <w:vAlign w:val="center"/>
          </w:tcPr>
          <w:p w14:paraId="3DF683BB" w14:textId="331F9496" w:rsidR="00570904" w:rsidRPr="00440325" w:rsidRDefault="00570904" w:rsidP="00570904">
            <w:pPr>
              <w:jc w:val="center"/>
              <w:rPr>
                <w:rFonts w:ascii="Times New Roman" w:hAnsi="Times New Roman" w:cs="Times New Roman"/>
                <w:sz w:val="24"/>
                <w:szCs w:val="24"/>
                <w:lang w:val="es-ES_tradnl"/>
              </w:rPr>
            </w:pPr>
            <w:r w:rsidRPr="00440325">
              <w:rPr>
                <w:rFonts w:ascii="Times New Roman" w:hAnsi="Times New Roman" w:cs="Times New Roman"/>
                <w:sz w:val="24"/>
                <w:szCs w:val="24"/>
                <w:lang w:val="es-ES_tradnl"/>
              </w:rPr>
              <w:t>0.2</w:t>
            </w:r>
          </w:p>
        </w:tc>
        <w:tc>
          <w:tcPr>
            <w:tcW w:w="1461" w:type="dxa"/>
            <w:tcBorders>
              <w:top w:val="nil"/>
              <w:left w:val="nil"/>
              <w:bottom w:val="nil"/>
              <w:right w:val="nil"/>
            </w:tcBorders>
            <w:shd w:val="clear" w:color="auto" w:fill="FFFFFF" w:themeFill="background1"/>
            <w:tcMar>
              <w:left w:w="108" w:type="dxa"/>
              <w:right w:w="108" w:type="dxa"/>
            </w:tcMar>
            <w:vAlign w:val="center"/>
          </w:tcPr>
          <w:p w14:paraId="352869F6" w14:textId="5D941C9A" w:rsidR="00570904" w:rsidRPr="00440325" w:rsidRDefault="00570904" w:rsidP="00570904">
            <w:pPr>
              <w:jc w:val="center"/>
              <w:rPr>
                <w:rFonts w:ascii="Times New Roman" w:hAnsi="Times New Roman" w:cs="Times New Roman"/>
                <w:sz w:val="24"/>
                <w:szCs w:val="24"/>
                <w:lang w:val="es-ES_tradnl"/>
              </w:rPr>
            </w:pPr>
            <w:r w:rsidRPr="00440325">
              <w:rPr>
                <w:rFonts w:ascii="Times New Roman" w:hAnsi="Times New Roman" w:cs="Times New Roman"/>
                <w:sz w:val="24"/>
                <w:szCs w:val="24"/>
                <w:lang w:val="es-ES_tradnl"/>
              </w:rPr>
              <w:t>0.4%</w:t>
            </w:r>
          </w:p>
        </w:tc>
      </w:tr>
      <w:tr w:rsidR="00570904" w:rsidRPr="00440325" w14:paraId="287083F3" w14:textId="77777777" w:rsidTr="00A46482">
        <w:trPr>
          <w:trHeight w:val="300"/>
        </w:trPr>
        <w:tc>
          <w:tcPr>
            <w:tcW w:w="3064" w:type="dxa"/>
            <w:tcBorders>
              <w:top w:val="nil"/>
              <w:left w:val="nil"/>
              <w:bottom w:val="nil"/>
              <w:right w:val="nil"/>
            </w:tcBorders>
            <w:shd w:val="clear" w:color="auto" w:fill="FFFFFF" w:themeFill="background1"/>
            <w:tcMar>
              <w:left w:w="108" w:type="dxa"/>
              <w:right w:w="108" w:type="dxa"/>
            </w:tcMar>
            <w:vAlign w:val="bottom"/>
          </w:tcPr>
          <w:p w14:paraId="08E84D2D" w14:textId="77777777" w:rsidR="009A00BD" w:rsidRPr="00440325" w:rsidRDefault="009A00BD" w:rsidP="009A00BD">
            <w:pPr>
              <w:rPr>
                <w:rFonts w:ascii="Times New Roman" w:eastAsia="Times New Roman" w:hAnsi="Times New Roman" w:cs="Times New Roman"/>
                <w:b/>
                <w:bCs/>
                <w:color w:val="000000" w:themeColor="text1"/>
                <w:sz w:val="24"/>
                <w:szCs w:val="24"/>
                <w:lang w:val="es-ES_tradnl"/>
              </w:rPr>
            </w:pPr>
            <w:r w:rsidRPr="00440325">
              <w:rPr>
                <w:rFonts w:ascii="Times New Roman" w:eastAsia="Times New Roman" w:hAnsi="Times New Roman" w:cs="Times New Roman"/>
                <w:b/>
                <w:bCs/>
                <w:color w:val="000000" w:themeColor="text1"/>
                <w:sz w:val="24"/>
                <w:szCs w:val="24"/>
                <w:lang w:val="es-ES_tradnl"/>
              </w:rPr>
              <w:t xml:space="preserve">Generación eléctrica </w:t>
            </w:r>
          </w:p>
          <w:p w14:paraId="52E574F0" w14:textId="77777777" w:rsidR="009A00BD" w:rsidRPr="00440325" w:rsidRDefault="009A00BD" w:rsidP="009A00BD">
            <w:pPr>
              <w:rPr>
                <w:rFonts w:ascii="Times New Roman" w:eastAsia="Times New Roman" w:hAnsi="Times New Roman" w:cs="Times New Roman"/>
                <w:b/>
                <w:bCs/>
                <w:color w:val="000000" w:themeColor="text1"/>
                <w:sz w:val="24"/>
                <w:szCs w:val="24"/>
                <w:lang w:val="es-ES_tradnl"/>
              </w:rPr>
            </w:pPr>
            <w:r w:rsidRPr="00440325">
              <w:rPr>
                <w:rFonts w:ascii="Times New Roman" w:eastAsia="Times New Roman" w:hAnsi="Times New Roman" w:cs="Times New Roman"/>
                <w:b/>
                <w:bCs/>
                <w:color w:val="000000" w:themeColor="text1"/>
                <w:sz w:val="24"/>
                <w:szCs w:val="24"/>
                <w:lang w:val="es-ES_tradnl"/>
              </w:rPr>
              <w:t xml:space="preserve">Nivel de distribución </w:t>
            </w:r>
          </w:p>
          <w:p w14:paraId="44FB4108" w14:textId="47C400DD" w:rsidR="00570904" w:rsidRPr="00440325" w:rsidRDefault="009A00BD" w:rsidP="009A00BD">
            <w:pPr>
              <w:rPr>
                <w:sz w:val="24"/>
                <w:szCs w:val="24"/>
                <w:lang w:val="es-ES_tradnl"/>
              </w:rPr>
            </w:pPr>
            <w:r w:rsidRPr="00440325">
              <w:rPr>
                <w:rFonts w:ascii="Times New Roman" w:eastAsia="Times New Roman" w:hAnsi="Times New Roman" w:cs="Times New Roman"/>
                <w:b/>
                <w:bCs/>
                <w:color w:val="000000" w:themeColor="text1"/>
                <w:sz w:val="24"/>
                <w:szCs w:val="24"/>
                <w:lang w:val="es-ES_tradnl"/>
              </w:rPr>
              <w:t xml:space="preserve">Etapa </w:t>
            </w:r>
            <w:r w:rsidR="00570904" w:rsidRPr="00440325">
              <w:rPr>
                <w:rFonts w:ascii="Times New Roman" w:eastAsia="Times New Roman" w:hAnsi="Times New Roman" w:cs="Times New Roman"/>
                <w:b/>
                <w:bCs/>
                <w:color w:val="000000" w:themeColor="text1"/>
                <w:sz w:val="24"/>
                <w:szCs w:val="24"/>
                <w:lang w:val="es-ES_tradnl"/>
              </w:rPr>
              <w:t>2</w:t>
            </w:r>
          </w:p>
        </w:tc>
        <w:tc>
          <w:tcPr>
            <w:tcW w:w="1229" w:type="dxa"/>
            <w:tcBorders>
              <w:top w:val="nil"/>
              <w:left w:val="nil"/>
              <w:bottom w:val="nil"/>
              <w:right w:val="nil"/>
            </w:tcBorders>
            <w:shd w:val="clear" w:color="auto" w:fill="FFFFFF" w:themeFill="background1"/>
            <w:tcMar>
              <w:left w:w="108" w:type="dxa"/>
              <w:right w:w="108" w:type="dxa"/>
            </w:tcMar>
            <w:vAlign w:val="center"/>
          </w:tcPr>
          <w:p w14:paraId="75FAAACB" w14:textId="161A1F2F" w:rsidR="00570904" w:rsidRPr="00440325" w:rsidRDefault="00570904" w:rsidP="00570904">
            <w:pPr>
              <w:jc w:val="center"/>
              <w:rPr>
                <w:rFonts w:ascii="Times New Roman" w:hAnsi="Times New Roman" w:cs="Times New Roman"/>
                <w:sz w:val="24"/>
                <w:szCs w:val="24"/>
                <w:lang w:val="es-ES_tradnl"/>
              </w:rPr>
            </w:pPr>
            <w:r w:rsidRPr="00440325">
              <w:rPr>
                <w:rFonts w:ascii="Times New Roman" w:hAnsi="Times New Roman" w:cs="Times New Roman"/>
                <w:sz w:val="24"/>
                <w:szCs w:val="24"/>
                <w:lang w:val="es-ES_tradnl"/>
              </w:rPr>
              <w:t>33.3</w:t>
            </w:r>
          </w:p>
        </w:tc>
        <w:tc>
          <w:tcPr>
            <w:tcW w:w="1346" w:type="dxa"/>
            <w:tcBorders>
              <w:top w:val="nil"/>
              <w:left w:val="nil"/>
              <w:bottom w:val="nil"/>
              <w:right w:val="nil"/>
            </w:tcBorders>
            <w:shd w:val="clear" w:color="auto" w:fill="FFFFFF" w:themeFill="background1"/>
            <w:tcMar>
              <w:left w:w="108" w:type="dxa"/>
              <w:right w:w="108" w:type="dxa"/>
            </w:tcMar>
            <w:vAlign w:val="center"/>
          </w:tcPr>
          <w:p w14:paraId="2C771440" w14:textId="032AFC62" w:rsidR="00570904" w:rsidRPr="00440325" w:rsidRDefault="00570904" w:rsidP="00570904">
            <w:pPr>
              <w:jc w:val="center"/>
              <w:rPr>
                <w:rFonts w:ascii="Times New Roman" w:hAnsi="Times New Roman" w:cs="Times New Roman"/>
                <w:sz w:val="24"/>
                <w:szCs w:val="24"/>
                <w:lang w:val="es-ES_tradnl"/>
              </w:rPr>
            </w:pPr>
            <w:r w:rsidRPr="00440325">
              <w:rPr>
                <w:rFonts w:ascii="Times New Roman" w:hAnsi="Times New Roman" w:cs="Times New Roman"/>
                <w:sz w:val="24"/>
                <w:szCs w:val="24"/>
                <w:lang w:val="es-ES_tradnl"/>
              </w:rPr>
              <w:t>33.4</w:t>
            </w:r>
          </w:p>
        </w:tc>
        <w:tc>
          <w:tcPr>
            <w:tcW w:w="1362" w:type="dxa"/>
            <w:tcBorders>
              <w:top w:val="nil"/>
              <w:left w:val="nil"/>
              <w:bottom w:val="nil"/>
              <w:right w:val="nil"/>
            </w:tcBorders>
            <w:shd w:val="clear" w:color="auto" w:fill="FFFFFF" w:themeFill="background1"/>
            <w:tcMar>
              <w:left w:w="108" w:type="dxa"/>
              <w:right w:w="108" w:type="dxa"/>
            </w:tcMar>
            <w:vAlign w:val="center"/>
          </w:tcPr>
          <w:p w14:paraId="6F50A14E" w14:textId="2320F8D2" w:rsidR="00570904" w:rsidRPr="00440325" w:rsidRDefault="00570904" w:rsidP="00570904">
            <w:pPr>
              <w:jc w:val="center"/>
              <w:rPr>
                <w:rFonts w:ascii="Times New Roman" w:hAnsi="Times New Roman" w:cs="Times New Roman"/>
                <w:sz w:val="24"/>
                <w:szCs w:val="24"/>
                <w:lang w:val="es-ES_tradnl"/>
              </w:rPr>
            </w:pPr>
            <w:r w:rsidRPr="00440325">
              <w:rPr>
                <w:rFonts w:ascii="Times New Roman" w:hAnsi="Times New Roman" w:cs="Times New Roman"/>
                <w:sz w:val="24"/>
                <w:szCs w:val="24"/>
                <w:lang w:val="es-ES_tradnl"/>
              </w:rPr>
              <w:t>0.0</w:t>
            </w:r>
          </w:p>
        </w:tc>
        <w:tc>
          <w:tcPr>
            <w:tcW w:w="1461" w:type="dxa"/>
            <w:tcBorders>
              <w:top w:val="nil"/>
              <w:left w:val="nil"/>
              <w:bottom w:val="nil"/>
              <w:right w:val="nil"/>
            </w:tcBorders>
            <w:shd w:val="clear" w:color="auto" w:fill="FFFFFF" w:themeFill="background1"/>
            <w:tcMar>
              <w:left w:w="108" w:type="dxa"/>
              <w:right w:w="108" w:type="dxa"/>
            </w:tcMar>
            <w:vAlign w:val="center"/>
          </w:tcPr>
          <w:p w14:paraId="0349272C" w14:textId="42F65321" w:rsidR="00570904" w:rsidRPr="00440325" w:rsidRDefault="00570904" w:rsidP="00570904">
            <w:pPr>
              <w:jc w:val="center"/>
              <w:rPr>
                <w:rFonts w:ascii="Times New Roman" w:hAnsi="Times New Roman" w:cs="Times New Roman"/>
                <w:sz w:val="24"/>
                <w:szCs w:val="24"/>
                <w:lang w:val="es-ES_tradnl"/>
              </w:rPr>
            </w:pPr>
            <w:r w:rsidRPr="00440325">
              <w:rPr>
                <w:rFonts w:ascii="Times New Roman" w:hAnsi="Times New Roman" w:cs="Times New Roman"/>
                <w:sz w:val="24"/>
                <w:szCs w:val="24"/>
                <w:lang w:val="es-ES_tradnl"/>
              </w:rPr>
              <w:t>0.1%</w:t>
            </w:r>
          </w:p>
        </w:tc>
      </w:tr>
      <w:tr w:rsidR="00570904" w:rsidRPr="00440325" w14:paraId="0FDB9B99" w14:textId="77777777" w:rsidTr="00A46482">
        <w:trPr>
          <w:trHeight w:val="300"/>
        </w:trPr>
        <w:tc>
          <w:tcPr>
            <w:tcW w:w="3064" w:type="dxa"/>
            <w:tcBorders>
              <w:top w:val="nil"/>
              <w:left w:val="nil"/>
              <w:bottom w:val="nil"/>
              <w:right w:val="nil"/>
            </w:tcBorders>
            <w:shd w:val="clear" w:color="auto" w:fill="FFFFFF" w:themeFill="background1"/>
            <w:tcMar>
              <w:left w:w="108" w:type="dxa"/>
              <w:right w:w="108" w:type="dxa"/>
            </w:tcMar>
            <w:vAlign w:val="bottom"/>
          </w:tcPr>
          <w:p w14:paraId="7F82C742" w14:textId="4A0F2CCD" w:rsidR="00570904" w:rsidRPr="00440325" w:rsidRDefault="006C7BEF" w:rsidP="00570904">
            <w:pPr>
              <w:rPr>
                <w:sz w:val="24"/>
                <w:szCs w:val="24"/>
                <w:lang w:val="es-ES_tradnl"/>
              </w:rPr>
            </w:pPr>
            <w:r w:rsidRPr="00440325">
              <w:rPr>
                <w:rFonts w:ascii="Times New Roman" w:eastAsia="Times New Roman" w:hAnsi="Times New Roman" w:cs="Times New Roman"/>
                <w:b/>
                <w:bCs/>
                <w:color w:val="000000" w:themeColor="text1"/>
                <w:sz w:val="24"/>
                <w:szCs w:val="24"/>
                <w:lang w:val="es-ES_tradnl"/>
              </w:rPr>
              <w:t>Servicio de nivel de transmisión</w:t>
            </w:r>
          </w:p>
        </w:tc>
        <w:tc>
          <w:tcPr>
            <w:tcW w:w="1229" w:type="dxa"/>
            <w:tcBorders>
              <w:top w:val="nil"/>
              <w:left w:val="nil"/>
              <w:bottom w:val="nil"/>
              <w:right w:val="nil"/>
            </w:tcBorders>
            <w:shd w:val="clear" w:color="auto" w:fill="FFFFFF" w:themeFill="background1"/>
            <w:tcMar>
              <w:left w:w="108" w:type="dxa"/>
              <w:right w:w="108" w:type="dxa"/>
            </w:tcMar>
            <w:vAlign w:val="bottom"/>
          </w:tcPr>
          <w:p w14:paraId="572338D8" w14:textId="7EDFE45D" w:rsidR="00570904" w:rsidRPr="00440325" w:rsidRDefault="00570904" w:rsidP="00570904">
            <w:pPr>
              <w:jc w:val="center"/>
              <w:rPr>
                <w:rFonts w:ascii="Times New Roman" w:hAnsi="Times New Roman" w:cs="Times New Roman"/>
                <w:sz w:val="24"/>
                <w:szCs w:val="24"/>
                <w:lang w:val="es-ES_tradnl"/>
              </w:rPr>
            </w:pPr>
            <w:r w:rsidRPr="00440325">
              <w:rPr>
                <w:rFonts w:ascii="Times New Roman" w:hAnsi="Times New Roman" w:cs="Times New Roman"/>
                <w:sz w:val="24"/>
                <w:szCs w:val="24"/>
                <w:lang w:val="es-ES_tradnl"/>
              </w:rPr>
              <w:t>7.1</w:t>
            </w:r>
          </w:p>
        </w:tc>
        <w:tc>
          <w:tcPr>
            <w:tcW w:w="1346" w:type="dxa"/>
            <w:tcBorders>
              <w:top w:val="nil"/>
              <w:left w:val="nil"/>
              <w:bottom w:val="nil"/>
              <w:right w:val="nil"/>
            </w:tcBorders>
            <w:shd w:val="clear" w:color="auto" w:fill="FFFFFF" w:themeFill="background1"/>
            <w:tcMar>
              <w:left w:w="108" w:type="dxa"/>
              <w:right w:w="108" w:type="dxa"/>
            </w:tcMar>
            <w:vAlign w:val="bottom"/>
          </w:tcPr>
          <w:p w14:paraId="7D4898B2" w14:textId="6E48B9A5" w:rsidR="00570904" w:rsidRPr="00440325" w:rsidRDefault="00570904" w:rsidP="00570904">
            <w:pPr>
              <w:jc w:val="center"/>
              <w:rPr>
                <w:rFonts w:ascii="Times New Roman" w:hAnsi="Times New Roman" w:cs="Times New Roman"/>
                <w:sz w:val="24"/>
                <w:szCs w:val="24"/>
                <w:lang w:val="es-ES_tradnl"/>
              </w:rPr>
            </w:pPr>
            <w:r w:rsidRPr="00440325">
              <w:rPr>
                <w:rFonts w:ascii="Times New Roman" w:hAnsi="Times New Roman" w:cs="Times New Roman"/>
                <w:sz w:val="24"/>
                <w:szCs w:val="24"/>
                <w:lang w:val="es-ES_tradnl"/>
              </w:rPr>
              <w:t>7.1</w:t>
            </w:r>
          </w:p>
        </w:tc>
        <w:tc>
          <w:tcPr>
            <w:tcW w:w="1362" w:type="dxa"/>
            <w:tcBorders>
              <w:top w:val="nil"/>
              <w:left w:val="nil"/>
              <w:bottom w:val="nil"/>
              <w:right w:val="nil"/>
            </w:tcBorders>
            <w:shd w:val="clear" w:color="auto" w:fill="FFFFFF" w:themeFill="background1"/>
            <w:tcMar>
              <w:left w:w="108" w:type="dxa"/>
              <w:right w:w="108" w:type="dxa"/>
            </w:tcMar>
            <w:vAlign w:val="bottom"/>
          </w:tcPr>
          <w:p w14:paraId="6516E9E2" w14:textId="7706E480" w:rsidR="00570904" w:rsidRPr="00440325" w:rsidRDefault="00570904" w:rsidP="00570904">
            <w:pPr>
              <w:jc w:val="center"/>
              <w:rPr>
                <w:rFonts w:ascii="Times New Roman" w:hAnsi="Times New Roman" w:cs="Times New Roman"/>
                <w:sz w:val="24"/>
                <w:szCs w:val="24"/>
                <w:lang w:val="es-ES_tradnl"/>
              </w:rPr>
            </w:pPr>
            <w:r w:rsidRPr="00440325">
              <w:rPr>
                <w:rFonts w:ascii="Times New Roman" w:hAnsi="Times New Roman" w:cs="Times New Roman"/>
                <w:sz w:val="24"/>
                <w:szCs w:val="24"/>
                <w:lang w:val="es-ES_tradnl"/>
              </w:rPr>
              <w:t>0.0</w:t>
            </w:r>
          </w:p>
        </w:tc>
        <w:tc>
          <w:tcPr>
            <w:tcW w:w="1461" w:type="dxa"/>
            <w:tcBorders>
              <w:top w:val="nil"/>
              <w:left w:val="nil"/>
              <w:bottom w:val="nil"/>
              <w:right w:val="nil"/>
            </w:tcBorders>
            <w:shd w:val="clear" w:color="auto" w:fill="FFFFFF" w:themeFill="background1"/>
            <w:tcMar>
              <w:left w:w="108" w:type="dxa"/>
              <w:right w:w="108" w:type="dxa"/>
            </w:tcMar>
            <w:vAlign w:val="bottom"/>
          </w:tcPr>
          <w:p w14:paraId="3B1781CE" w14:textId="5E79028D" w:rsidR="00570904" w:rsidRPr="00440325" w:rsidRDefault="00570904" w:rsidP="00570904">
            <w:pPr>
              <w:jc w:val="center"/>
              <w:rPr>
                <w:rFonts w:ascii="Times New Roman" w:hAnsi="Times New Roman" w:cs="Times New Roman"/>
                <w:sz w:val="24"/>
                <w:szCs w:val="24"/>
                <w:lang w:val="es-ES_tradnl"/>
              </w:rPr>
            </w:pPr>
            <w:r w:rsidRPr="00440325">
              <w:rPr>
                <w:rFonts w:ascii="Times New Roman" w:hAnsi="Times New Roman" w:cs="Times New Roman"/>
                <w:sz w:val="24"/>
                <w:szCs w:val="24"/>
                <w:lang w:val="es-ES_tradnl"/>
              </w:rPr>
              <w:t>0.1%</w:t>
            </w:r>
          </w:p>
        </w:tc>
      </w:tr>
      <w:tr w:rsidR="00570904" w:rsidRPr="00440325" w14:paraId="2A6FEC3C" w14:textId="77777777" w:rsidTr="00A46482">
        <w:trPr>
          <w:trHeight w:val="300"/>
        </w:trPr>
        <w:tc>
          <w:tcPr>
            <w:tcW w:w="3064" w:type="dxa"/>
            <w:tcBorders>
              <w:top w:val="nil"/>
              <w:left w:val="nil"/>
              <w:bottom w:val="double" w:sz="6" w:space="0" w:color="auto"/>
              <w:right w:val="nil"/>
            </w:tcBorders>
            <w:shd w:val="clear" w:color="auto" w:fill="FFFFFF" w:themeFill="background1"/>
            <w:tcMar>
              <w:left w:w="108" w:type="dxa"/>
              <w:right w:w="108" w:type="dxa"/>
            </w:tcMar>
            <w:vAlign w:val="bottom"/>
          </w:tcPr>
          <w:p w14:paraId="76ECF54D" w14:textId="23A3302E" w:rsidR="00570904" w:rsidRPr="00440325" w:rsidRDefault="00570904" w:rsidP="00570904">
            <w:pPr>
              <w:rPr>
                <w:sz w:val="24"/>
                <w:szCs w:val="24"/>
                <w:lang w:val="es-ES_tradnl"/>
              </w:rPr>
            </w:pPr>
            <w:proofErr w:type="gramStart"/>
            <w:r w:rsidRPr="00440325">
              <w:rPr>
                <w:rFonts w:ascii="Times New Roman" w:eastAsia="Times New Roman" w:hAnsi="Times New Roman" w:cs="Times New Roman"/>
                <w:b/>
                <w:bCs/>
                <w:color w:val="000000" w:themeColor="text1"/>
                <w:sz w:val="24"/>
                <w:szCs w:val="24"/>
                <w:lang w:val="es-ES_tradnl"/>
              </w:rPr>
              <w:t>Total</w:t>
            </w:r>
            <w:proofErr w:type="gramEnd"/>
            <w:r w:rsidR="006C7BEF" w:rsidRPr="00440325">
              <w:rPr>
                <w:rFonts w:ascii="Times New Roman" w:eastAsia="Times New Roman" w:hAnsi="Times New Roman" w:cs="Times New Roman"/>
                <w:b/>
                <w:bCs/>
                <w:color w:val="000000" w:themeColor="text1"/>
                <w:sz w:val="24"/>
                <w:szCs w:val="24"/>
                <w:lang w:val="es-ES_tradnl"/>
              </w:rPr>
              <w:t xml:space="preserve"> del sistema</w:t>
            </w:r>
          </w:p>
        </w:tc>
        <w:tc>
          <w:tcPr>
            <w:tcW w:w="1229" w:type="dxa"/>
            <w:tcBorders>
              <w:top w:val="nil"/>
              <w:left w:val="nil"/>
              <w:bottom w:val="double" w:sz="6" w:space="0" w:color="auto"/>
              <w:right w:val="nil"/>
            </w:tcBorders>
            <w:shd w:val="clear" w:color="auto" w:fill="FFFFFF" w:themeFill="background1"/>
            <w:tcMar>
              <w:left w:w="108" w:type="dxa"/>
              <w:right w:w="108" w:type="dxa"/>
            </w:tcMar>
            <w:vAlign w:val="bottom"/>
          </w:tcPr>
          <w:p w14:paraId="7B8B7811" w14:textId="6363C565" w:rsidR="00570904" w:rsidRPr="00440325" w:rsidRDefault="00570904" w:rsidP="00570904">
            <w:pPr>
              <w:jc w:val="center"/>
              <w:rPr>
                <w:rFonts w:ascii="Times New Roman" w:hAnsi="Times New Roman" w:cs="Times New Roman"/>
                <w:sz w:val="24"/>
                <w:szCs w:val="24"/>
                <w:lang w:val="es-ES_tradnl"/>
              </w:rPr>
            </w:pPr>
            <w:r w:rsidRPr="00440325">
              <w:rPr>
                <w:rFonts w:ascii="Times New Roman" w:hAnsi="Times New Roman" w:cs="Times New Roman"/>
                <w:sz w:val="24"/>
                <w:szCs w:val="24"/>
                <w:lang w:val="es-ES_tradnl"/>
              </w:rPr>
              <w:t>98.8</w:t>
            </w:r>
          </w:p>
        </w:tc>
        <w:tc>
          <w:tcPr>
            <w:tcW w:w="1346" w:type="dxa"/>
            <w:tcBorders>
              <w:top w:val="nil"/>
              <w:left w:val="nil"/>
              <w:bottom w:val="double" w:sz="6" w:space="0" w:color="auto"/>
              <w:right w:val="nil"/>
            </w:tcBorders>
            <w:shd w:val="clear" w:color="auto" w:fill="FFFFFF" w:themeFill="background1"/>
            <w:tcMar>
              <w:left w:w="108" w:type="dxa"/>
              <w:right w:w="108" w:type="dxa"/>
            </w:tcMar>
            <w:vAlign w:val="bottom"/>
          </w:tcPr>
          <w:p w14:paraId="308A1000" w14:textId="05989C4C" w:rsidR="00570904" w:rsidRPr="00440325" w:rsidRDefault="00570904" w:rsidP="00570904">
            <w:pPr>
              <w:jc w:val="center"/>
              <w:rPr>
                <w:rFonts w:ascii="Times New Roman" w:hAnsi="Times New Roman" w:cs="Times New Roman"/>
                <w:sz w:val="24"/>
                <w:szCs w:val="24"/>
                <w:lang w:val="es-ES_tradnl"/>
              </w:rPr>
            </w:pPr>
            <w:r w:rsidRPr="00440325">
              <w:rPr>
                <w:rFonts w:ascii="Times New Roman" w:hAnsi="Times New Roman" w:cs="Times New Roman"/>
                <w:sz w:val="24"/>
                <w:szCs w:val="24"/>
                <w:lang w:val="es-ES_tradnl"/>
              </w:rPr>
              <w:t>102.9</w:t>
            </w:r>
          </w:p>
        </w:tc>
        <w:tc>
          <w:tcPr>
            <w:tcW w:w="1362" w:type="dxa"/>
            <w:tcBorders>
              <w:top w:val="nil"/>
              <w:left w:val="nil"/>
              <w:bottom w:val="nil"/>
              <w:right w:val="nil"/>
            </w:tcBorders>
            <w:shd w:val="clear" w:color="auto" w:fill="FFFFFF" w:themeFill="background1"/>
            <w:tcMar>
              <w:left w:w="108" w:type="dxa"/>
              <w:right w:w="108" w:type="dxa"/>
            </w:tcMar>
            <w:vAlign w:val="bottom"/>
          </w:tcPr>
          <w:p w14:paraId="3B94922A" w14:textId="4AB0B29A" w:rsidR="00570904" w:rsidRPr="00440325" w:rsidRDefault="00570904" w:rsidP="00570904">
            <w:pPr>
              <w:jc w:val="center"/>
              <w:rPr>
                <w:rFonts w:ascii="Times New Roman" w:hAnsi="Times New Roman" w:cs="Times New Roman"/>
                <w:sz w:val="24"/>
                <w:szCs w:val="24"/>
                <w:lang w:val="es-ES_tradnl"/>
              </w:rPr>
            </w:pPr>
            <w:r w:rsidRPr="00440325">
              <w:rPr>
                <w:rFonts w:ascii="Times New Roman" w:hAnsi="Times New Roman" w:cs="Times New Roman"/>
                <w:sz w:val="24"/>
                <w:szCs w:val="24"/>
                <w:lang w:val="es-ES_tradnl"/>
              </w:rPr>
              <w:t>4.1</w:t>
            </w:r>
          </w:p>
        </w:tc>
        <w:tc>
          <w:tcPr>
            <w:tcW w:w="1461" w:type="dxa"/>
            <w:tcBorders>
              <w:top w:val="nil"/>
              <w:left w:val="nil"/>
              <w:bottom w:val="double" w:sz="6" w:space="0" w:color="auto"/>
              <w:right w:val="nil"/>
            </w:tcBorders>
            <w:shd w:val="clear" w:color="auto" w:fill="FFFFFF" w:themeFill="background1"/>
            <w:tcMar>
              <w:left w:w="108" w:type="dxa"/>
              <w:right w:w="108" w:type="dxa"/>
            </w:tcMar>
            <w:vAlign w:val="bottom"/>
          </w:tcPr>
          <w:p w14:paraId="4DB817A5" w14:textId="77C0911D" w:rsidR="00570904" w:rsidRPr="00440325" w:rsidRDefault="00570904" w:rsidP="00570904">
            <w:pPr>
              <w:jc w:val="center"/>
              <w:rPr>
                <w:rFonts w:ascii="Times New Roman" w:hAnsi="Times New Roman" w:cs="Times New Roman"/>
                <w:sz w:val="24"/>
                <w:szCs w:val="24"/>
                <w:lang w:val="es-ES_tradnl"/>
              </w:rPr>
            </w:pPr>
            <w:r w:rsidRPr="00440325">
              <w:rPr>
                <w:rFonts w:ascii="Times New Roman" w:hAnsi="Times New Roman" w:cs="Times New Roman"/>
                <w:sz w:val="24"/>
                <w:szCs w:val="24"/>
                <w:lang w:val="es-ES_tradnl"/>
              </w:rPr>
              <w:t>4.2%</w:t>
            </w:r>
          </w:p>
        </w:tc>
      </w:tr>
      <w:tr w:rsidR="00CF0CBF" w:rsidRPr="00227118" w14:paraId="34DE9FA0" w14:textId="77777777" w:rsidTr="00A46482">
        <w:trPr>
          <w:trHeight w:val="300"/>
        </w:trPr>
        <w:tc>
          <w:tcPr>
            <w:tcW w:w="8462" w:type="dxa"/>
            <w:gridSpan w:val="5"/>
            <w:tcBorders>
              <w:top w:val="double" w:sz="6" w:space="0" w:color="auto"/>
              <w:left w:val="nil"/>
              <w:bottom w:val="nil"/>
              <w:right w:val="nil"/>
            </w:tcBorders>
            <w:shd w:val="clear" w:color="auto" w:fill="FFFFFF" w:themeFill="background1"/>
            <w:tcMar>
              <w:left w:w="108" w:type="dxa"/>
              <w:right w:w="108" w:type="dxa"/>
            </w:tcMar>
            <w:vAlign w:val="bottom"/>
          </w:tcPr>
          <w:p w14:paraId="22C684BA" w14:textId="78A67831" w:rsidR="00CF0CBF" w:rsidRPr="00440325" w:rsidRDefault="00CF0CBF" w:rsidP="00A46482">
            <w:pPr>
              <w:rPr>
                <w:rFonts w:ascii="Times New Roman" w:eastAsia="Times New Roman" w:hAnsi="Times New Roman" w:cs="Times New Roman"/>
                <w:color w:val="000000" w:themeColor="text1"/>
                <w:sz w:val="24"/>
                <w:szCs w:val="24"/>
                <w:lang w:val="es-ES_tradnl"/>
              </w:rPr>
            </w:pPr>
            <w:r w:rsidRPr="00440325">
              <w:rPr>
                <w:rFonts w:ascii="Times New Roman" w:eastAsia="Times New Roman" w:hAnsi="Times New Roman" w:cs="Times New Roman"/>
                <w:color w:val="000000" w:themeColor="text1"/>
                <w:sz w:val="24"/>
                <w:szCs w:val="24"/>
                <w:vertAlign w:val="superscript"/>
                <w:lang w:val="es-ES_tradnl"/>
              </w:rPr>
              <w:t>1</w:t>
            </w:r>
            <w:r w:rsidRPr="00440325">
              <w:rPr>
                <w:rFonts w:ascii="Times New Roman" w:eastAsia="Times New Roman" w:hAnsi="Times New Roman" w:cs="Times New Roman"/>
                <w:color w:val="000000" w:themeColor="text1"/>
                <w:sz w:val="24"/>
                <w:szCs w:val="24"/>
                <w:lang w:val="es-ES_tradnl"/>
              </w:rPr>
              <w:t xml:space="preserve"> </w:t>
            </w:r>
            <w:proofErr w:type="gramStart"/>
            <w:r w:rsidR="006C7BEF" w:rsidRPr="00440325">
              <w:rPr>
                <w:rFonts w:ascii="Times New Roman" w:eastAsia="Times New Roman" w:hAnsi="Times New Roman" w:cs="Times New Roman"/>
                <w:color w:val="000000" w:themeColor="text1"/>
                <w:sz w:val="24"/>
                <w:szCs w:val="24"/>
                <w:lang w:val="es-ES_tradnl"/>
              </w:rPr>
              <w:t>Tarifas</w:t>
            </w:r>
            <w:proofErr w:type="gramEnd"/>
            <w:r w:rsidR="006C7BEF" w:rsidRPr="00440325">
              <w:rPr>
                <w:rFonts w:ascii="Times New Roman" w:eastAsia="Times New Roman" w:hAnsi="Times New Roman" w:cs="Times New Roman"/>
                <w:color w:val="000000" w:themeColor="text1"/>
                <w:sz w:val="24"/>
                <w:szCs w:val="24"/>
                <w:lang w:val="es-ES_tradnl"/>
              </w:rPr>
              <w:t xml:space="preserve"> en vigor a partir del</w:t>
            </w:r>
            <w:r w:rsidRPr="00440325">
              <w:rPr>
                <w:rFonts w:ascii="Times New Roman" w:eastAsia="Times New Roman" w:hAnsi="Times New Roman" w:cs="Times New Roman"/>
                <w:color w:val="000000" w:themeColor="text1"/>
                <w:sz w:val="24"/>
                <w:szCs w:val="24"/>
                <w:lang w:val="es-ES_tradnl"/>
              </w:rPr>
              <w:t xml:space="preserve"> 3/10/25 </w:t>
            </w:r>
            <w:r w:rsidR="006C7BEF" w:rsidRPr="00440325">
              <w:rPr>
                <w:rFonts w:ascii="Times New Roman" w:eastAsia="Times New Roman" w:hAnsi="Times New Roman" w:cs="Times New Roman"/>
                <w:color w:val="000000" w:themeColor="text1"/>
                <w:sz w:val="24"/>
                <w:szCs w:val="24"/>
                <w:lang w:val="es-ES_tradnl"/>
              </w:rPr>
              <w:t>conforme a la carta de notificación</w:t>
            </w:r>
            <w:r w:rsidRPr="00440325">
              <w:rPr>
                <w:rFonts w:ascii="Times New Roman" w:eastAsia="Times New Roman" w:hAnsi="Times New Roman" w:cs="Times New Roman"/>
                <w:color w:val="000000" w:themeColor="text1"/>
                <w:sz w:val="24"/>
                <w:szCs w:val="24"/>
                <w:lang w:val="es-ES_tradnl"/>
              </w:rPr>
              <w:t xml:space="preserve"> </w:t>
            </w:r>
            <w:proofErr w:type="spellStart"/>
            <w:r w:rsidRPr="00440325">
              <w:rPr>
                <w:rFonts w:ascii="Times New Roman" w:eastAsia="Times New Roman" w:hAnsi="Times New Roman" w:cs="Times New Roman"/>
                <w:color w:val="000000" w:themeColor="text1"/>
                <w:sz w:val="24"/>
                <w:szCs w:val="24"/>
                <w:lang w:val="es-ES_tradnl"/>
              </w:rPr>
              <w:t>Advice</w:t>
            </w:r>
            <w:proofErr w:type="spellEnd"/>
            <w:r w:rsidRPr="00440325">
              <w:rPr>
                <w:rFonts w:ascii="Times New Roman" w:eastAsia="Times New Roman" w:hAnsi="Times New Roman" w:cs="Times New Roman"/>
                <w:color w:val="000000" w:themeColor="text1"/>
                <w:sz w:val="24"/>
                <w:szCs w:val="24"/>
                <w:lang w:val="es-ES_tradnl"/>
              </w:rPr>
              <w:t xml:space="preserve"> </w:t>
            </w:r>
            <w:proofErr w:type="spellStart"/>
            <w:r w:rsidRPr="00440325">
              <w:rPr>
                <w:rFonts w:ascii="Times New Roman" w:eastAsia="Times New Roman" w:hAnsi="Times New Roman" w:cs="Times New Roman"/>
                <w:color w:val="000000" w:themeColor="text1"/>
                <w:sz w:val="24"/>
                <w:szCs w:val="24"/>
                <w:lang w:val="es-ES_tradnl"/>
              </w:rPr>
              <w:t>Letter</w:t>
            </w:r>
            <w:proofErr w:type="spellEnd"/>
            <w:r w:rsidRPr="00440325">
              <w:rPr>
                <w:rFonts w:ascii="Times New Roman" w:eastAsia="Times New Roman" w:hAnsi="Times New Roman" w:cs="Times New Roman"/>
                <w:color w:val="000000" w:themeColor="text1"/>
                <w:sz w:val="24"/>
                <w:szCs w:val="24"/>
                <w:lang w:val="es-ES_tradnl"/>
              </w:rPr>
              <w:t xml:space="preserve"> (AL) 3408-G.</w:t>
            </w:r>
          </w:p>
        </w:tc>
      </w:tr>
    </w:tbl>
    <w:p w14:paraId="5B9E7E9C" w14:textId="77777777" w:rsidR="00CF0CBF" w:rsidRPr="00440325" w:rsidRDefault="00CF0CBF" w:rsidP="00CF0CBF">
      <w:pPr>
        <w:spacing w:after="240" w:line="240" w:lineRule="auto"/>
        <w:rPr>
          <w:rFonts w:ascii="Times New Roman" w:hAnsi="Times New Roman" w:cs="Times New Roman"/>
          <w:b/>
          <w:bCs/>
          <w:sz w:val="24"/>
          <w:szCs w:val="24"/>
          <w:lang w:val="es-ES_tradnl"/>
        </w:rPr>
      </w:pPr>
    </w:p>
    <w:p w14:paraId="7D656D89" w14:textId="20698170" w:rsidR="003844D4" w:rsidRPr="00440325" w:rsidRDefault="00BD099B" w:rsidP="7B0AE9EE">
      <w:pPr>
        <w:spacing w:after="0" w:line="240" w:lineRule="auto"/>
        <w:rPr>
          <w:rFonts w:ascii="Times New Roman" w:hAnsi="Times New Roman" w:cs="Times New Roman"/>
          <w:sz w:val="24"/>
          <w:szCs w:val="24"/>
          <w:lang w:val="es-ES_tradnl"/>
        </w:rPr>
      </w:pPr>
      <w:r w:rsidRPr="00440325">
        <w:rPr>
          <w:rFonts w:ascii="Times New Roman" w:hAnsi="Times New Roman" w:cs="Times New Roman"/>
          <w:b/>
          <w:bCs/>
          <w:color w:val="000000"/>
          <w:sz w:val="24"/>
          <w:szCs w:val="24"/>
          <w:lang w:val="es-ES_tradnl"/>
        </w:rPr>
        <w:t>¿Cómo funciona el resto de este proceso</w:t>
      </w:r>
      <w:r w:rsidR="003844D4" w:rsidRPr="00440325">
        <w:rPr>
          <w:rFonts w:ascii="Times New Roman" w:hAnsi="Times New Roman" w:cs="Times New Roman"/>
          <w:b/>
          <w:bCs/>
          <w:color w:val="000000" w:themeColor="text1"/>
          <w:sz w:val="24"/>
          <w:szCs w:val="24"/>
          <w:lang w:val="es-ES_tradnl"/>
        </w:rPr>
        <w:t xml:space="preserve">? </w:t>
      </w:r>
    </w:p>
    <w:p w14:paraId="3EED5CD0" w14:textId="0D39F95B" w:rsidR="004275E6" w:rsidRPr="00440325" w:rsidRDefault="00CD4D0D" w:rsidP="002A790E">
      <w:pPr>
        <w:pStyle w:val="NormalWeb"/>
        <w:rPr>
          <w:rFonts w:ascii="Times New Roman" w:hAnsi="Times New Roman" w:cs="Times New Roman"/>
          <w:sz w:val="24"/>
          <w:szCs w:val="24"/>
          <w:lang w:val="es-ES_tradnl"/>
        </w:rPr>
      </w:pPr>
      <w:r w:rsidRPr="00440325">
        <w:rPr>
          <w:rFonts w:ascii="Times New Roman" w:hAnsi="Times New Roman" w:cs="Times New Roman"/>
          <w:color w:val="000000"/>
          <w:sz w:val="24"/>
          <w:szCs w:val="24"/>
          <w:lang w:val="es-ES_tradnl"/>
        </w:rPr>
        <w:t>El Juez de Derecho Administrativo asignado de la CPUC</w:t>
      </w:r>
      <w:r w:rsidRPr="00440325">
        <w:rPr>
          <w:rFonts w:ascii="Times New Roman" w:hAnsi="Times New Roman" w:cs="Times New Roman"/>
          <w:color w:val="000000" w:themeColor="text1"/>
          <w:sz w:val="24"/>
          <w:szCs w:val="24"/>
          <w:lang w:val="es-ES_tradnl"/>
        </w:rPr>
        <w:t xml:space="preserve"> </w:t>
      </w:r>
      <w:r w:rsidR="00586463" w:rsidRPr="00440325">
        <w:rPr>
          <w:rFonts w:ascii="Times New Roman" w:hAnsi="Times New Roman" w:cs="Times New Roman"/>
          <w:color w:val="000000" w:themeColor="text1"/>
          <w:sz w:val="24"/>
          <w:szCs w:val="24"/>
          <w:lang w:val="es-ES_tradnl"/>
        </w:rPr>
        <w:t xml:space="preserve">considerará las </w:t>
      </w:r>
      <w:r w:rsidR="009C0C1C" w:rsidRPr="00440325">
        <w:rPr>
          <w:rFonts w:ascii="Times New Roman" w:hAnsi="Times New Roman" w:cs="Times New Roman"/>
          <w:color w:val="000000"/>
          <w:sz w:val="24"/>
          <w:szCs w:val="24"/>
          <w:lang w:val="es-ES_tradnl"/>
        </w:rPr>
        <w:t>propuestas y pruebas presentadas durante el proceso formal de las audiencias</w:t>
      </w:r>
      <w:r w:rsidR="004275E6" w:rsidRPr="00440325">
        <w:rPr>
          <w:rFonts w:ascii="Times New Roman" w:hAnsi="Times New Roman" w:cs="Times New Roman"/>
          <w:color w:val="000000" w:themeColor="text1"/>
          <w:sz w:val="24"/>
          <w:szCs w:val="24"/>
          <w:lang w:val="es-ES_tradnl"/>
        </w:rPr>
        <w:t xml:space="preserve">. </w:t>
      </w:r>
      <w:r w:rsidR="00A96475" w:rsidRPr="00440325">
        <w:rPr>
          <w:rFonts w:ascii="Times New Roman" w:hAnsi="Times New Roman" w:cs="Times New Roman"/>
          <w:color w:val="000000"/>
          <w:sz w:val="24"/>
          <w:szCs w:val="24"/>
          <w:lang w:val="es-ES_tradnl"/>
        </w:rPr>
        <w:t xml:space="preserve">El Juez de Derecho Administrativo emitirá </w:t>
      </w:r>
      <w:r w:rsidR="008C5A9B" w:rsidRPr="00440325">
        <w:rPr>
          <w:rFonts w:ascii="Times New Roman" w:hAnsi="Times New Roman" w:cs="Times New Roman"/>
          <w:color w:val="000000"/>
          <w:sz w:val="24"/>
          <w:szCs w:val="24"/>
          <w:lang w:val="es-ES_tradnl"/>
        </w:rPr>
        <w:t xml:space="preserve">una propuesta de decisión que tal vez adopte la solicitud de SDG&amp;E, la modifique o la deniegue. Cualquier Comisionado de la CPUC puede proponer una decisión alterna con un </w:t>
      </w:r>
      <w:r w:rsidR="008C5A9B" w:rsidRPr="00440325">
        <w:rPr>
          <w:rFonts w:ascii="Times New Roman" w:hAnsi="Times New Roman" w:cs="Times New Roman"/>
          <w:color w:val="000000"/>
          <w:sz w:val="24"/>
          <w:szCs w:val="24"/>
          <w:lang w:val="es-ES_tradnl"/>
        </w:rPr>
        <w:lastRenderedPageBreak/>
        <w:t>resultado distinto. La decisión propuesta y cualquier decisión alterna serán sometidas a la discusión y votación de los Comisionados de la CPUC en una Reunión de Votación pública de la CPUC</w:t>
      </w:r>
      <w:r w:rsidR="004275E6" w:rsidRPr="00440325">
        <w:rPr>
          <w:rFonts w:ascii="Times New Roman" w:hAnsi="Times New Roman" w:cs="Times New Roman"/>
          <w:color w:val="000000" w:themeColor="text1"/>
          <w:sz w:val="24"/>
          <w:szCs w:val="24"/>
          <w:lang w:val="es-ES_tradnl"/>
        </w:rPr>
        <w:t xml:space="preserve">. </w:t>
      </w:r>
    </w:p>
    <w:p w14:paraId="1556E433" w14:textId="77777777" w:rsidR="002A790E" w:rsidRPr="00440325" w:rsidRDefault="002A790E" w:rsidP="002A790E">
      <w:pPr>
        <w:pStyle w:val="NormalWeb"/>
        <w:rPr>
          <w:rFonts w:ascii="Times New Roman" w:hAnsi="Times New Roman" w:cs="Times New Roman"/>
          <w:color w:val="000000"/>
          <w:sz w:val="24"/>
          <w:szCs w:val="24"/>
          <w:lang w:val="es-ES_tradnl"/>
        </w:rPr>
      </w:pPr>
    </w:p>
    <w:p w14:paraId="1C66DBB0" w14:textId="5C1BD8E7" w:rsidR="00240032" w:rsidRPr="00440325" w:rsidRDefault="00F561A4" w:rsidP="00240032">
      <w:pPr>
        <w:spacing w:after="0" w:line="240" w:lineRule="auto"/>
        <w:rPr>
          <w:rFonts w:ascii="Times New Roman" w:hAnsi="Times New Roman" w:cs="Times New Roman"/>
          <w:b/>
          <w:bCs/>
          <w:sz w:val="24"/>
          <w:szCs w:val="24"/>
          <w:lang w:val="es-ES_tradnl"/>
        </w:rPr>
      </w:pPr>
      <w:r w:rsidRPr="00440325">
        <w:rPr>
          <w:rFonts w:ascii="Times New Roman" w:hAnsi="Times New Roman" w:cs="Times New Roman"/>
          <w:b/>
          <w:bCs/>
          <w:sz w:val="24"/>
          <w:szCs w:val="24"/>
          <w:lang w:val="es-ES_tradnl"/>
        </w:rPr>
        <w:t xml:space="preserve">Contacte a la </w:t>
      </w:r>
      <w:r w:rsidR="00240032" w:rsidRPr="00440325">
        <w:rPr>
          <w:rFonts w:ascii="Times New Roman" w:hAnsi="Times New Roman" w:cs="Times New Roman"/>
          <w:b/>
          <w:bCs/>
          <w:sz w:val="24"/>
          <w:szCs w:val="24"/>
          <w:lang w:val="es-ES_tradnl"/>
        </w:rPr>
        <w:t>CPUC</w:t>
      </w:r>
    </w:p>
    <w:p w14:paraId="330E7A52" w14:textId="146011F8" w:rsidR="004275E6" w:rsidRPr="00440325" w:rsidRDefault="00A01F63" w:rsidP="002A790E">
      <w:pPr>
        <w:pStyle w:val="NormalWeb"/>
        <w:rPr>
          <w:rFonts w:ascii="Times New Roman" w:hAnsi="Times New Roman" w:cs="Times New Roman"/>
          <w:color w:val="000000"/>
          <w:sz w:val="24"/>
          <w:szCs w:val="24"/>
          <w:lang w:val="es-ES_tradnl"/>
        </w:rPr>
      </w:pPr>
      <w:r w:rsidRPr="00440325">
        <w:rPr>
          <w:rFonts w:ascii="Times New Roman" w:hAnsi="Times New Roman" w:cs="Times New Roman"/>
          <w:color w:val="000000"/>
          <w:sz w:val="24"/>
          <w:szCs w:val="24"/>
          <w:lang w:val="es-ES_tradnl"/>
        </w:rPr>
        <w:t xml:space="preserve">Las partes en el procedimiento, entre las cuales se incluye la Oficina de Defensores Públicos, podrán examinar la solicitud de </w:t>
      </w:r>
      <w:r w:rsidRPr="00440325">
        <w:rPr>
          <w:rFonts w:ascii="Times New Roman" w:hAnsi="Times New Roman" w:cs="Times New Roman"/>
          <w:sz w:val="24"/>
          <w:szCs w:val="24"/>
          <w:lang w:val="es-ES_tradnl"/>
        </w:rPr>
        <w:t>SDG&amp;E</w:t>
      </w:r>
      <w:r w:rsidRPr="00440325">
        <w:rPr>
          <w:rFonts w:ascii="Times New Roman" w:hAnsi="Times New Roman" w:cs="Times New Roman"/>
          <w:color w:val="000000"/>
          <w:sz w:val="24"/>
          <w:szCs w:val="24"/>
          <w:lang w:val="es-ES_tradnl"/>
        </w:rPr>
        <w:t xml:space="preserve">. La Oficina de Defensores Públicos es un defensor independiente de los consumidores dentro de la CPUC que representa a los clientes para obtener la tarifa más baja posible por un servicio acorde con niveles de servicio confiables y seguros. Para más información, llame al </w:t>
      </w:r>
      <w:r w:rsidR="004275E6" w:rsidRPr="00440325">
        <w:rPr>
          <w:rFonts w:ascii="Times New Roman" w:hAnsi="Times New Roman" w:cs="Times New Roman"/>
          <w:b/>
          <w:bCs/>
          <w:color w:val="000000"/>
          <w:sz w:val="24"/>
          <w:szCs w:val="24"/>
          <w:lang w:val="es-ES_tradnl"/>
        </w:rPr>
        <w:t>1-415-703-1584</w:t>
      </w:r>
      <w:r w:rsidR="004275E6" w:rsidRPr="00440325">
        <w:rPr>
          <w:rFonts w:ascii="Times New Roman" w:hAnsi="Times New Roman" w:cs="Times New Roman"/>
          <w:color w:val="000000"/>
          <w:sz w:val="24"/>
          <w:szCs w:val="24"/>
          <w:lang w:val="es-ES_tradnl"/>
        </w:rPr>
        <w:t xml:space="preserve">, </w:t>
      </w:r>
      <w:r w:rsidR="00CB29C3" w:rsidRPr="00440325">
        <w:rPr>
          <w:rFonts w:ascii="Times New Roman" w:hAnsi="Times New Roman" w:cs="Times New Roman"/>
          <w:color w:val="000000"/>
          <w:sz w:val="24"/>
          <w:szCs w:val="24"/>
          <w:lang w:val="es-ES_tradnl"/>
        </w:rPr>
        <w:t xml:space="preserve">envíe un mensaje de correo electrónico a </w:t>
      </w:r>
      <w:hyperlink r:id="rId11" w:history="1">
        <w:r w:rsidR="004275E6" w:rsidRPr="00440325">
          <w:rPr>
            <w:rStyle w:val="Hyperlink"/>
            <w:rFonts w:ascii="Times New Roman" w:hAnsi="Times New Roman" w:cs="Times New Roman"/>
            <w:sz w:val="24"/>
            <w:szCs w:val="24"/>
            <w:lang w:val="es-ES_tradnl"/>
          </w:rPr>
          <w:t>PublicAdvocatesOffice@cpuc.ca.gov</w:t>
        </w:r>
      </w:hyperlink>
      <w:r w:rsidR="009723BF" w:rsidRPr="00440325">
        <w:rPr>
          <w:rFonts w:ascii="Times New Roman" w:hAnsi="Times New Roman" w:cs="Times New Roman"/>
          <w:color w:val="000000"/>
          <w:sz w:val="24"/>
          <w:szCs w:val="24"/>
          <w:lang w:val="es-ES_tradnl"/>
        </w:rPr>
        <w:t xml:space="preserve"> o</w:t>
      </w:r>
      <w:r w:rsidR="004275E6" w:rsidRPr="00440325">
        <w:rPr>
          <w:rFonts w:ascii="Times New Roman" w:hAnsi="Times New Roman" w:cs="Times New Roman"/>
          <w:color w:val="000000"/>
          <w:sz w:val="24"/>
          <w:szCs w:val="24"/>
          <w:lang w:val="es-ES_tradnl"/>
        </w:rPr>
        <w:t xml:space="preserve"> visit</w:t>
      </w:r>
      <w:r w:rsidR="008635A9" w:rsidRPr="00440325">
        <w:rPr>
          <w:rFonts w:ascii="Times New Roman" w:hAnsi="Times New Roman" w:cs="Times New Roman"/>
          <w:color w:val="000000"/>
          <w:sz w:val="24"/>
          <w:szCs w:val="24"/>
          <w:lang w:val="es-ES_tradnl"/>
        </w:rPr>
        <w:t>e</w:t>
      </w:r>
      <w:r w:rsidR="004275E6" w:rsidRPr="00440325">
        <w:rPr>
          <w:rFonts w:ascii="Times New Roman" w:hAnsi="Times New Roman" w:cs="Times New Roman"/>
          <w:color w:val="000000"/>
          <w:sz w:val="24"/>
          <w:szCs w:val="24"/>
          <w:lang w:val="es-ES_tradnl"/>
        </w:rPr>
        <w:t xml:space="preserve"> </w:t>
      </w:r>
      <w:r w:rsidR="004275E6" w:rsidRPr="00440325">
        <w:rPr>
          <w:rFonts w:ascii="Times New Roman" w:hAnsi="Times New Roman" w:cs="Times New Roman"/>
          <w:b/>
          <w:bCs/>
          <w:color w:val="000000"/>
          <w:sz w:val="24"/>
          <w:szCs w:val="24"/>
          <w:lang w:val="es-ES_tradnl"/>
        </w:rPr>
        <w:t>PublicAdvocates.cpuc.ca.gov</w:t>
      </w:r>
      <w:r w:rsidR="004275E6" w:rsidRPr="00440325">
        <w:rPr>
          <w:rFonts w:ascii="Times New Roman" w:hAnsi="Times New Roman" w:cs="Times New Roman"/>
          <w:color w:val="000000"/>
          <w:sz w:val="24"/>
          <w:szCs w:val="24"/>
          <w:lang w:val="es-ES_tradnl"/>
        </w:rPr>
        <w:t>.</w:t>
      </w:r>
    </w:p>
    <w:p w14:paraId="79617BCB" w14:textId="77777777" w:rsidR="002A790E" w:rsidRPr="00440325" w:rsidRDefault="002A790E" w:rsidP="002A790E">
      <w:pPr>
        <w:pStyle w:val="xmsonormal"/>
        <w:rPr>
          <w:rFonts w:ascii="Times New Roman" w:hAnsi="Times New Roman" w:cs="Times New Roman"/>
          <w:color w:val="000000"/>
          <w:sz w:val="24"/>
          <w:szCs w:val="24"/>
          <w:lang w:val="es-ES_tradnl"/>
        </w:rPr>
      </w:pPr>
    </w:p>
    <w:p w14:paraId="45EEEBB1" w14:textId="77FBC276" w:rsidR="00240032" w:rsidRPr="00440325" w:rsidRDefault="008635A9" w:rsidP="00406310">
      <w:pPr>
        <w:spacing w:after="0" w:line="240" w:lineRule="auto"/>
        <w:rPr>
          <w:rFonts w:ascii="Times New Roman" w:hAnsi="Times New Roman" w:cs="Times New Roman"/>
          <w:color w:val="000000"/>
          <w:sz w:val="24"/>
          <w:szCs w:val="24"/>
          <w:lang w:val="es-ES_tradnl"/>
        </w:rPr>
      </w:pPr>
      <w:r w:rsidRPr="00440325">
        <w:rPr>
          <w:rFonts w:ascii="Times New Roman" w:hAnsi="Times New Roman" w:cs="Times New Roman"/>
          <w:color w:val="000000"/>
          <w:sz w:val="24"/>
          <w:szCs w:val="24"/>
          <w:lang w:val="es-ES_tradnl"/>
        </w:rPr>
        <w:t>V</w:t>
      </w:r>
      <w:r w:rsidR="00240032" w:rsidRPr="00440325">
        <w:rPr>
          <w:rFonts w:ascii="Times New Roman" w:hAnsi="Times New Roman" w:cs="Times New Roman"/>
          <w:color w:val="000000"/>
          <w:sz w:val="24"/>
          <w:szCs w:val="24"/>
          <w:lang w:val="es-ES_tradnl"/>
        </w:rPr>
        <w:t>isit</w:t>
      </w:r>
      <w:r w:rsidRPr="00440325">
        <w:rPr>
          <w:rFonts w:ascii="Times New Roman" w:hAnsi="Times New Roman" w:cs="Times New Roman"/>
          <w:color w:val="000000"/>
          <w:sz w:val="24"/>
          <w:szCs w:val="24"/>
          <w:lang w:val="es-ES_tradnl"/>
        </w:rPr>
        <w:t>e</w:t>
      </w:r>
      <w:r w:rsidR="00240032" w:rsidRPr="00440325">
        <w:rPr>
          <w:rFonts w:ascii="Times New Roman" w:hAnsi="Times New Roman" w:cs="Times New Roman"/>
          <w:color w:val="000000"/>
          <w:sz w:val="24"/>
          <w:szCs w:val="24"/>
          <w:lang w:val="es-ES_tradnl"/>
        </w:rPr>
        <w:t xml:space="preserve"> </w:t>
      </w:r>
      <w:r w:rsidR="00240032" w:rsidRPr="00440325">
        <w:rPr>
          <w:rFonts w:ascii="Times New Roman" w:hAnsi="Times New Roman" w:cs="Times New Roman"/>
          <w:b/>
          <w:bCs/>
          <w:sz w:val="24"/>
          <w:szCs w:val="24"/>
          <w:lang w:val="es-ES_tradnl"/>
        </w:rPr>
        <w:t>apps.cpuc.ca.gov/c/</w:t>
      </w:r>
      <w:r w:rsidR="00240032" w:rsidRPr="00440325">
        <w:rPr>
          <w:rFonts w:ascii="Times New Roman" w:hAnsi="Times New Roman" w:cs="Times New Roman"/>
          <w:b/>
          <w:bCs/>
          <w:color w:val="000000"/>
          <w:sz w:val="24"/>
          <w:szCs w:val="24"/>
          <w:lang w:val="es-ES_tradnl"/>
        </w:rPr>
        <w:t>A2205</w:t>
      </w:r>
      <w:r w:rsidR="00240032" w:rsidRPr="00440325">
        <w:rPr>
          <w:rFonts w:ascii="Times New Roman" w:hAnsi="Times New Roman" w:cs="Times New Roman"/>
          <w:b/>
          <w:bCs/>
          <w:sz w:val="24"/>
          <w:szCs w:val="24"/>
          <w:lang w:val="es-ES_tradnl"/>
        </w:rPr>
        <w:t>016</w:t>
      </w:r>
      <w:r w:rsidR="00C959EC" w:rsidRPr="00440325">
        <w:rPr>
          <w:rFonts w:ascii="Times New Roman" w:hAnsi="Times New Roman" w:cs="Times New Roman"/>
          <w:b/>
          <w:bCs/>
          <w:sz w:val="24"/>
          <w:szCs w:val="24"/>
          <w:lang w:val="es-ES_tradnl"/>
        </w:rPr>
        <w:t xml:space="preserve"> </w:t>
      </w:r>
      <w:r w:rsidR="00F67C07" w:rsidRPr="00440325">
        <w:rPr>
          <w:rFonts w:ascii="Times New Roman" w:hAnsi="Times New Roman" w:cs="Times New Roman"/>
          <w:color w:val="000000" w:themeColor="text1"/>
          <w:sz w:val="24"/>
          <w:szCs w:val="24"/>
          <w:lang w:val="es-ES_tradnl"/>
        </w:rPr>
        <w:t xml:space="preserve">para enviar </w:t>
      </w:r>
      <w:r w:rsidR="000A70C8" w:rsidRPr="00440325">
        <w:rPr>
          <w:rFonts w:ascii="Times New Roman" w:hAnsi="Times New Roman" w:cs="Times New Roman"/>
          <w:color w:val="000000"/>
          <w:sz w:val="24"/>
          <w:szCs w:val="24"/>
          <w:lang w:val="es-ES_tradnl"/>
        </w:rPr>
        <w:t>un comentario acerca de este procedimiento en la Ficha del Expediente de la CPUC. Aquí también puede ver documentos y otros comentarios públicos relacionados con este procedimiento</w:t>
      </w:r>
      <w:r w:rsidR="00240032" w:rsidRPr="00440325">
        <w:rPr>
          <w:rFonts w:ascii="Times New Roman" w:hAnsi="Times New Roman" w:cs="Times New Roman"/>
          <w:color w:val="000000" w:themeColor="text1"/>
          <w:sz w:val="24"/>
          <w:szCs w:val="24"/>
          <w:lang w:val="es-ES_tradnl"/>
        </w:rPr>
        <w:t>.</w:t>
      </w:r>
    </w:p>
    <w:p w14:paraId="4FC26DF8" w14:textId="77777777" w:rsidR="000B686D" w:rsidRPr="00440325" w:rsidRDefault="000B686D" w:rsidP="00240032">
      <w:pPr>
        <w:spacing w:after="0" w:line="240" w:lineRule="auto"/>
        <w:rPr>
          <w:rFonts w:ascii="Times New Roman" w:eastAsia="Calibri" w:hAnsi="Times New Roman" w:cs="Times New Roman"/>
          <w:sz w:val="24"/>
          <w:szCs w:val="24"/>
          <w:lang w:val="es-ES_tradnl"/>
        </w:rPr>
      </w:pPr>
    </w:p>
    <w:p w14:paraId="73CC41B1" w14:textId="7D63360D" w:rsidR="00240032" w:rsidRPr="00440325" w:rsidRDefault="00195D8F" w:rsidP="00240032">
      <w:pPr>
        <w:spacing w:after="0" w:line="240" w:lineRule="auto"/>
        <w:rPr>
          <w:rFonts w:ascii="Times New Roman" w:hAnsi="Times New Roman" w:cs="Times New Roman"/>
          <w:sz w:val="24"/>
          <w:szCs w:val="24"/>
          <w:lang w:val="es-ES_tradnl"/>
        </w:rPr>
      </w:pPr>
      <w:r w:rsidRPr="00440325">
        <w:rPr>
          <w:rFonts w:ascii="Times New Roman" w:eastAsia="Calibri" w:hAnsi="Times New Roman" w:cs="Times New Roman"/>
          <w:sz w:val="24"/>
          <w:szCs w:val="24"/>
          <w:lang w:val="es-ES_tradnl"/>
        </w:rPr>
        <w:t>Si tiene preguntas acerca de los procesos de la CPUC, puede comunicarse a la Oficina del Asesor Público de la CPUC</w:t>
      </w:r>
      <w:r w:rsidR="00240032" w:rsidRPr="00440325">
        <w:rPr>
          <w:rFonts w:ascii="Times New Roman" w:eastAsia="Calibri" w:hAnsi="Times New Roman" w:cs="Times New Roman"/>
          <w:sz w:val="24"/>
          <w:szCs w:val="24"/>
          <w:lang w:val="es-ES_tradnl"/>
        </w:rPr>
        <w:t>:</w:t>
      </w:r>
    </w:p>
    <w:p w14:paraId="7E0123CD" w14:textId="17EB7112" w:rsidR="00240032" w:rsidRPr="00440325" w:rsidRDefault="00D56FFD" w:rsidP="00240032">
      <w:pPr>
        <w:spacing w:after="0" w:line="240" w:lineRule="auto"/>
        <w:ind w:left="720"/>
        <w:rPr>
          <w:rFonts w:ascii="Times New Roman" w:hAnsi="Times New Roman" w:cs="Times New Roman"/>
          <w:sz w:val="24"/>
          <w:szCs w:val="24"/>
          <w:lang w:val="es-ES_tradnl"/>
        </w:rPr>
      </w:pPr>
      <w:r w:rsidRPr="00440325">
        <w:rPr>
          <w:rFonts w:ascii="Times New Roman" w:eastAsia="Calibri" w:hAnsi="Times New Roman" w:cs="Times New Roman"/>
          <w:sz w:val="24"/>
          <w:szCs w:val="24"/>
          <w:lang w:val="es-ES_tradnl"/>
        </w:rPr>
        <w:t>Llamando al</w:t>
      </w:r>
      <w:r w:rsidR="00240032" w:rsidRPr="00440325">
        <w:rPr>
          <w:rFonts w:ascii="Times New Roman" w:eastAsia="Calibri" w:hAnsi="Times New Roman" w:cs="Times New Roman"/>
          <w:sz w:val="24"/>
          <w:szCs w:val="24"/>
          <w:lang w:val="es-ES_tradnl"/>
        </w:rPr>
        <w:t xml:space="preserve">: </w:t>
      </w:r>
      <w:r w:rsidR="00240032" w:rsidRPr="00440325">
        <w:rPr>
          <w:rFonts w:ascii="Times New Roman" w:eastAsia="Calibri" w:hAnsi="Times New Roman" w:cs="Times New Roman"/>
          <w:b/>
          <w:bCs/>
          <w:sz w:val="24"/>
          <w:szCs w:val="24"/>
          <w:lang w:val="es-ES_tradnl"/>
        </w:rPr>
        <w:t xml:space="preserve">1-866-849-8390 </w:t>
      </w:r>
      <w:r w:rsidR="00240032" w:rsidRPr="00440325">
        <w:rPr>
          <w:rFonts w:ascii="Times New Roman" w:eastAsia="Calibri" w:hAnsi="Times New Roman" w:cs="Times New Roman"/>
          <w:sz w:val="24"/>
          <w:szCs w:val="24"/>
          <w:lang w:val="es-ES_tradnl"/>
        </w:rPr>
        <w:t>(</w:t>
      </w:r>
      <w:r w:rsidRPr="00440325">
        <w:rPr>
          <w:rFonts w:ascii="Times New Roman" w:eastAsia="Calibri" w:hAnsi="Times New Roman" w:cs="Times New Roman"/>
          <w:sz w:val="24"/>
          <w:szCs w:val="24"/>
          <w:lang w:val="es-ES_tradnl"/>
        </w:rPr>
        <w:t>sin costo</w:t>
      </w:r>
      <w:r w:rsidR="00240032" w:rsidRPr="00440325">
        <w:rPr>
          <w:rFonts w:ascii="Times New Roman" w:eastAsia="Calibri" w:hAnsi="Times New Roman" w:cs="Times New Roman"/>
          <w:sz w:val="24"/>
          <w:szCs w:val="24"/>
          <w:lang w:val="es-ES_tradnl"/>
        </w:rPr>
        <w:t>) o</w:t>
      </w:r>
      <w:r w:rsidRPr="00440325">
        <w:rPr>
          <w:rFonts w:ascii="Times New Roman" w:eastAsia="Calibri" w:hAnsi="Times New Roman" w:cs="Times New Roman"/>
          <w:sz w:val="24"/>
          <w:szCs w:val="24"/>
          <w:lang w:val="es-ES_tradnl"/>
        </w:rPr>
        <w:t xml:space="preserve"> al</w:t>
      </w:r>
      <w:r w:rsidR="00240032" w:rsidRPr="00440325">
        <w:rPr>
          <w:rFonts w:ascii="Times New Roman" w:eastAsia="Calibri" w:hAnsi="Times New Roman" w:cs="Times New Roman"/>
          <w:sz w:val="24"/>
          <w:szCs w:val="24"/>
          <w:lang w:val="es-ES_tradnl"/>
        </w:rPr>
        <w:t xml:space="preserve"> </w:t>
      </w:r>
      <w:r w:rsidR="00240032" w:rsidRPr="00440325">
        <w:rPr>
          <w:rFonts w:ascii="Times New Roman" w:eastAsia="Calibri" w:hAnsi="Times New Roman" w:cs="Times New Roman"/>
          <w:b/>
          <w:bCs/>
          <w:sz w:val="24"/>
          <w:szCs w:val="24"/>
          <w:lang w:val="es-ES_tradnl"/>
        </w:rPr>
        <w:t>1-415-703-2074</w:t>
      </w:r>
    </w:p>
    <w:p w14:paraId="0CC75D19" w14:textId="29AA496D" w:rsidR="00240032" w:rsidRPr="00440325" w:rsidRDefault="002D366B" w:rsidP="00240032">
      <w:pPr>
        <w:spacing w:after="0" w:line="240" w:lineRule="auto"/>
        <w:ind w:left="720"/>
        <w:rPr>
          <w:rFonts w:ascii="Times New Roman" w:hAnsi="Times New Roman" w:cs="Times New Roman"/>
          <w:sz w:val="24"/>
          <w:szCs w:val="24"/>
          <w:lang w:val="es-ES_tradnl"/>
        </w:rPr>
      </w:pPr>
      <w:r w:rsidRPr="00440325">
        <w:rPr>
          <w:rFonts w:ascii="Times New Roman" w:eastAsia="Calibri" w:hAnsi="Times New Roman" w:cs="Times New Roman"/>
          <w:sz w:val="24"/>
          <w:szCs w:val="24"/>
          <w:lang w:val="es-ES_tradnl"/>
        </w:rPr>
        <w:t>Enviando un mensaje de correo electrónico a</w:t>
      </w:r>
      <w:r w:rsidR="00240032" w:rsidRPr="00440325">
        <w:rPr>
          <w:rFonts w:ascii="Times New Roman" w:eastAsia="Calibri" w:hAnsi="Times New Roman" w:cs="Times New Roman"/>
          <w:sz w:val="24"/>
          <w:szCs w:val="24"/>
          <w:lang w:val="es-ES_tradnl"/>
        </w:rPr>
        <w:t>:</w:t>
      </w:r>
      <w:r w:rsidRPr="00440325">
        <w:rPr>
          <w:rFonts w:ascii="Times New Roman" w:eastAsia="Calibri" w:hAnsi="Times New Roman" w:cs="Times New Roman"/>
          <w:sz w:val="24"/>
          <w:szCs w:val="24"/>
          <w:lang w:val="es-ES_tradnl"/>
        </w:rPr>
        <w:t xml:space="preserve"> </w:t>
      </w:r>
      <w:r w:rsidR="00240032" w:rsidRPr="00440325">
        <w:rPr>
          <w:rFonts w:ascii="Times New Roman" w:hAnsi="Times New Roman" w:cs="Times New Roman"/>
          <w:sz w:val="24"/>
          <w:szCs w:val="24"/>
          <w:lang w:val="es-ES_tradnl"/>
        </w:rPr>
        <w:t>Public.Advisor@cpuc.ca.gov</w:t>
      </w:r>
      <w:r w:rsidR="00240032" w:rsidRPr="00440325">
        <w:rPr>
          <w:rFonts w:ascii="Times New Roman" w:eastAsia="Calibri" w:hAnsi="Times New Roman" w:cs="Times New Roman"/>
          <w:b/>
          <w:bCs/>
          <w:sz w:val="24"/>
          <w:szCs w:val="24"/>
          <w:lang w:val="es-ES_tradnl"/>
        </w:rPr>
        <w:t xml:space="preserve"> </w:t>
      </w:r>
    </w:p>
    <w:p w14:paraId="574B31AB" w14:textId="35DEBC6D" w:rsidR="00240032" w:rsidRPr="00227118" w:rsidRDefault="002D366B" w:rsidP="00240032">
      <w:pPr>
        <w:spacing w:after="0" w:line="240" w:lineRule="auto"/>
        <w:ind w:left="720"/>
        <w:rPr>
          <w:rFonts w:ascii="Times New Roman" w:hAnsi="Times New Roman" w:cs="Times New Roman"/>
          <w:sz w:val="24"/>
          <w:szCs w:val="24"/>
        </w:rPr>
      </w:pPr>
      <w:proofErr w:type="spellStart"/>
      <w:r w:rsidRPr="00227118">
        <w:rPr>
          <w:rFonts w:ascii="Times New Roman" w:eastAsia="Calibri" w:hAnsi="Times New Roman" w:cs="Times New Roman"/>
          <w:sz w:val="24"/>
          <w:szCs w:val="24"/>
        </w:rPr>
        <w:t>Escribiendo</w:t>
      </w:r>
      <w:proofErr w:type="spellEnd"/>
      <w:r w:rsidRPr="00227118">
        <w:rPr>
          <w:rFonts w:ascii="Times New Roman" w:eastAsia="Calibri" w:hAnsi="Times New Roman" w:cs="Times New Roman"/>
          <w:sz w:val="24"/>
          <w:szCs w:val="24"/>
        </w:rPr>
        <w:t xml:space="preserve"> a</w:t>
      </w:r>
      <w:r w:rsidR="000B686D" w:rsidRPr="00227118">
        <w:rPr>
          <w:rFonts w:ascii="Times New Roman" w:eastAsia="Calibri" w:hAnsi="Times New Roman" w:cs="Times New Roman"/>
          <w:sz w:val="24"/>
          <w:szCs w:val="24"/>
        </w:rPr>
        <w:t>: CPUC</w:t>
      </w:r>
      <w:r w:rsidR="00240032" w:rsidRPr="00227118">
        <w:rPr>
          <w:rFonts w:ascii="Times New Roman" w:eastAsia="Calibri" w:hAnsi="Times New Roman" w:cs="Times New Roman"/>
          <w:sz w:val="24"/>
          <w:szCs w:val="24"/>
        </w:rPr>
        <w:t xml:space="preserve"> Public Advisor’s Office</w:t>
      </w:r>
    </w:p>
    <w:p w14:paraId="7ABD3FB0" w14:textId="77777777" w:rsidR="00240032" w:rsidRPr="00440325" w:rsidRDefault="00240032" w:rsidP="002D366B">
      <w:pPr>
        <w:spacing w:after="0" w:line="240" w:lineRule="auto"/>
        <w:ind w:left="1440" w:firstLine="720"/>
        <w:rPr>
          <w:rFonts w:ascii="Times New Roman" w:hAnsi="Times New Roman" w:cs="Times New Roman"/>
          <w:sz w:val="24"/>
          <w:szCs w:val="24"/>
          <w:lang w:val="es-ES_tradnl"/>
        </w:rPr>
      </w:pPr>
      <w:r w:rsidRPr="00440325">
        <w:rPr>
          <w:rFonts w:ascii="Times New Roman" w:eastAsia="Calibri" w:hAnsi="Times New Roman" w:cs="Times New Roman"/>
          <w:sz w:val="24"/>
          <w:szCs w:val="24"/>
          <w:lang w:val="es-ES_tradnl"/>
        </w:rPr>
        <w:t xml:space="preserve">505 </w:t>
      </w:r>
      <w:proofErr w:type="gramStart"/>
      <w:r w:rsidRPr="00440325">
        <w:rPr>
          <w:rFonts w:ascii="Times New Roman" w:eastAsia="Calibri" w:hAnsi="Times New Roman" w:cs="Times New Roman"/>
          <w:sz w:val="24"/>
          <w:szCs w:val="24"/>
          <w:lang w:val="es-ES_tradnl"/>
        </w:rPr>
        <w:t>Van</w:t>
      </w:r>
      <w:proofErr w:type="gramEnd"/>
      <w:r w:rsidRPr="00440325">
        <w:rPr>
          <w:rFonts w:ascii="Times New Roman" w:eastAsia="Calibri" w:hAnsi="Times New Roman" w:cs="Times New Roman"/>
          <w:sz w:val="24"/>
          <w:szCs w:val="24"/>
          <w:lang w:val="es-ES_tradnl"/>
        </w:rPr>
        <w:t xml:space="preserve"> Ness Avenue</w:t>
      </w:r>
    </w:p>
    <w:p w14:paraId="49414995" w14:textId="77777777" w:rsidR="00240032" w:rsidRPr="00440325" w:rsidRDefault="00240032" w:rsidP="002D366B">
      <w:pPr>
        <w:spacing w:after="0" w:line="240" w:lineRule="auto"/>
        <w:ind w:left="1440" w:firstLine="720"/>
        <w:rPr>
          <w:rFonts w:ascii="Times New Roman" w:hAnsi="Times New Roman" w:cs="Times New Roman"/>
          <w:sz w:val="24"/>
          <w:szCs w:val="24"/>
          <w:lang w:val="es-ES_tradnl"/>
        </w:rPr>
      </w:pPr>
      <w:r w:rsidRPr="00440325">
        <w:rPr>
          <w:rFonts w:ascii="Times New Roman" w:eastAsia="Calibri" w:hAnsi="Times New Roman" w:cs="Times New Roman"/>
          <w:sz w:val="24"/>
          <w:szCs w:val="24"/>
          <w:lang w:val="es-ES_tradnl"/>
        </w:rPr>
        <w:t>San Francisco, CA 94102</w:t>
      </w:r>
    </w:p>
    <w:p w14:paraId="68B0C2B3" w14:textId="77777777" w:rsidR="00240032" w:rsidRPr="00440325" w:rsidRDefault="00240032" w:rsidP="00240032">
      <w:pPr>
        <w:spacing w:after="0" w:line="240" w:lineRule="auto"/>
        <w:rPr>
          <w:rFonts w:ascii="Times New Roman" w:eastAsia="Calibri" w:hAnsi="Times New Roman" w:cs="Times New Roman"/>
          <w:sz w:val="24"/>
          <w:szCs w:val="24"/>
          <w:lang w:val="es-ES_tradnl"/>
        </w:rPr>
      </w:pPr>
    </w:p>
    <w:p w14:paraId="6A75EC52" w14:textId="276763C0" w:rsidR="00AA7B01" w:rsidRPr="00440325" w:rsidRDefault="007C0F6F" w:rsidP="00240032">
      <w:pPr>
        <w:spacing w:after="0" w:line="240" w:lineRule="auto"/>
        <w:rPr>
          <w:rFonts w:ascii="Times New Roman" w:hAnsi="Times New Roman" w:cs="Times New Roman"/>
          <w:b/>
          <w:bCs/>
          <w:sz w:val="24"/>
          <w:szCs w:val="24"/>
          <w:lang w:val="es-ES_tradnl"/>
        </w:rPr>
      </w:pPr>
      <w:r w:rsidRPr="00440325">
        <w:rPr>
          <w:rFonts w:ascii="Times New Roman" w:hAnsi="Times New Roman" w:cs="Times New Roman"/>
          <w:color w:val="000000"/>
          <w:sz w:val="24"/>
          <w:szCs w:val="24"/>
          <w:lang w:val="es-ES_tradnl" w:bidi="en-US"/>
        </w:rPr>
        <w:t>Por favor, haga referencia a la solicitud</w:t>
      </w:r>
      <w:r w:rsidRPr="00440325">
        <w:rPr>
          <w:rFonts w:ascii="Times New Roman" w:eastAsia="Calibri" w:hAnsi="Times New Roman" w:cs="Times New Roman"/>
          <w:b/>
          <w:bCs/>
          <w:sz w:val="24"/>
          <w:szCs w:val="24"/>
          <w:lang w:val="es-ES_tradnl"/>
        </w:rPr>
        <w:t xml:space="preserve"> </w:t>
      </w:r>
      <w:r w:rsidR="00240032" w:rsidRPr="00440325">
        <w:rPr>
          <w:rFonts w:ascii="Times New Roman" w:eastAsia="Calibri" w:hAnsi="Times New Roman" w:cs="Times New Roman"/>
          <w:b/>
          <w:bCs/>
          <w:sz w:val="24"/>
          <w:szCs w:val="24"/>
          <w:lang w:val="es-ES_tradnl"/>
        </w:rPr>
        <w:t xml:space="preserve">GRC 2023 </w:t>
      </w:r>
      <w:proofErr w:type="spellStart"/>
      <w:r w:rsidR="00240032" w:rsidRPr="00440325">
        <w:rPr>
          <w:rFonts w:ascii="Times New Roman" w:eastAsia="Calibri" w:hAnsi="Times New Roman" w:cs="Times New Roman"/>
          <w:b/>
          <w:bCs/>
          <w:sz w:val="24"/>
          <w:szCs w:val="24"/>
          <w:lang w:val="es-ES_tradnl"/>
        </w:rPr>
        <w:t>Wildfire</w:t>
      </w:r>
      <w:proofErr w:type="spellEnd"/>
      <w:r w:rsidR="00240032" w:rsidRPr="00440325">
        <w:rPr>
          <w:rFonts w:ascii="Times New Roman" w:eastAsia="Calibri" w:hAnsi="Times New Roman" w:cs="Times New Roman"/>
          <w:b/>
          <w:bCs/>
          <w:sz w:val="24"/>
          <w:szCs w:val="24"/>
          <w:lang w:val="es-ES_tradnl"/>
        </w:rPr>
        <w:t xml:space="preserve"> </w:t>
      </w:r>
      <w:proofErr w:type="spellStart"/>
      <w:r w:rsidR="00240032" w:rsidRPr="00440325">
        <w:rPr>
          <w:rFonts w:ascii="Times New Roman" w:eastAsia="Calibri" w:hAnsi="Times New Roman" w:cs="Times New Roman"/>
          <w:b/>
          <w:bCs/>
          <w:sz w:val="24"/>
          <w:szCs w:val="24"/>
          <w:lang w:val="es-ES_tradnl"/>
        </w:rPr>
        <w:t>Cost</w:t>
      </w:r>
      <w:proofErr w:type="spellEnd"/>
      <w:r w:rsidR="00240032" w:rsidRPr="00440325">
        <w:rPr>
          <w:rFonts w:ascii="Times New Roman" w:eastAsia="Calibri" w:hAnsi="Times New Roman" w:cs="Times New Roman"/>
          <w:b/>
          <w:bCs/>
          <w:sz w:val="24"/>
          <w:szCs w:val="24"/>
          <w:lang w:val="es-ES_tradnl"/>
        </w:rPr>
        <w:t xml:space="preserve"> </w:t>
      </w:r>
      <w:proofErr w:type="spellStart"/>
      <w:r w:rsidR="00240032" w:rsidRPr="00440325">
        <w:rPr>
          <w:rFonts w:ascii="Times New Roman" w:eastAsia="Calibri" w:hAnsi="Times New Roman" w:cs="Times New Roman"/>
          <w:b/>
          <w:bCs/>
          <w:sz w:val="24"/>
          <w:szCs w:val="24"/>
          <w:lang w:val="es-ES_tradnl"/>
        </w:rPr>
        <w:t>Application</w:t>
      </w:r>
      <w:proofErr w:type="spellEnd"/>
      <w:r w:rsidR="00240032" w:rsidRPr="00440325">
        <w:rPr>
          <w:rFonts w:ascii="Times New Roman" w:eastAsia="Calibri" w:hAnsi="Times New Roman" w:cs="Times New Roman"/>
          <w:b/>
          <w:bCs/>
          <w:sz w:val="24"/>
          <w:szCs w:val="24"/>
          <w:lang w:val="es-ES_tradnl"/>
        </w:rPr>
        <w:t xml:space="preserve"> A.22-05-</w:t>
      </w:r>
      <w:r w:rsidR="00240032" w:rsidRPr="00440325">
        <w:rPr>
          <w:rFonts w:ascii="Times New Roman" w:hAnsi="Times New Roman" w:cs="Times New Roman"/>
          <w:b/>
          <w:bCs/>
          <w:sz w:val="24"/>
          <w:szCs w:val="24"/>
          <w:lang w:val="es-ES_tradnl"/>
        </w:rPr>
        <w:t>016</w:t>
      </w:r>
      <w:r w:rsidR="00240032" w:rsidRPr="00440325">
        <w:rPr>
          <w:rFonts w:ascii="Times New Roman" w:eastAsia="Calibri" w:hAnsi="Times New Roman" w:cs="Times New Roman"/>
          <w:b/>
          <w:bCs/>
          <w:sz w:val="24"/>
          <w:szCs w:val="24"/>
          <w:lang w:val="es-ES_tradnl"/>
        </w:rPr>
        <w:t xml:space="preserve"> </w:t>
      </w:r>
      <w:r w:rsidRPr="00440325">
        <w:rPr>
          <w:rFonts w:ascii="Times New Roman" w:eastAsia="Calibri" w:hAnsi="Times New Roman" w:cs="Times New Roman"/>
          <w:b/>
          <w:bCs/>
          <w:sz w:val="24"/>
          <w:szCs w:val="24"/>
          <w:lang w:val="es-ES_tradnl"/>
        </w:rPr>
        <w:t xml:space="preserve">de SDG&amp;E </w:t>
      </w:r>
      <w:r w:rsidR="003A7CDB" w:rsidRPr="00440325">
        <w:rPr>
          <w:rFonts w:ascii="Times New Roman" w:hAnsi="Times New Roman" w:cs="Times New Roman"/>
          <w:bCs/>
          <w:color w:val="000000"/>
          <w:sz w:val="24"/>
          <w:szCs w:val="24"/>
          <w:lang w:val="es-ES_tradnl" w:bidi="en-US"/>
        </w:rPr>
        <w:t>en cualesquiera comunicaciones que sostenga con la CPUC en relación con este asunto</w:t>
      </w:r>
      <w:r w:rsidR="00240032" w:rsidRPr="00440325">
        <w:rPr>
          <w:rFonts w:ascii="Times New Roman" w:eastAsia="Calibri" w:hAnsi="Times New Roman" w:cs="Times New Roman"/>
          <w:sz w:val="24"/>
          <w:szCs w:val="24"/>
          <w:lang w:val="es-ES_tradnl"/>
        </w:rPr>
        <w:t>.</w:t>
      </w:r>
    </w:p>
    <w:p w14:paraId="15D7D99C" w14:textId="77777777" w:rsidR="00240032" w:rsidRPr="00440325" w:rsidRDefault="00240032" w:rsidP="002A790E">
      <w:pPr>
        <w:spacing w:after="0" w:line="240" w:lineRule="auto"/>
        <w:rPr>
          <w:rFonts w:ascii="Times New Roman" w:hAnsi="Times New Roman" w:cs="Times New Roman"/>
          <w:b/>
          <w:bCs/>
          <w:sz w:val="24"/>
          <w:szCs w:val="24"/>
          <w:lang w:val="es-ES_tradnl"/>
        </w:rPr>
      </w:pPr>
    </w:p>
    <w:p w14:paraId="3F9DB950" w14:textId="77777777" w:rsidR="00240032" w:rsidRPr="00440325" w:rsidRDefault="00240032" w:rsidP="002A790E">
      <w:pPr>
        <w:spacing w:after="0" w:line="240" w:lineRule="auto"/>
        <w:rPr>
          <w:rFonts w:ascii="Times New Roman" w:hAnsi="Times New Roman" w:cs="Times New Roman"/>
          <w:b/>
          <w:bCs/>
          <w:sz w:val="24"/>
          <w:szCs w:val="24"/>
          <w:lang w:val="es-ES_tradnl"/>
        </w:rPr>
      </w:pPr>
    </w:p>
    <w:p w14:paraId="231D73F6" w14:textId="6614559C" w:rsidR="4E5FCC20" w:rsidRPr="00440325" w:rsidRDefault="006D0D2C" w:rsidP="002A790E">
      <w:pPr>
        <w:spacing w:after="0" w:line="240" w:lineRule="auto"/>
        <w:rPr>
          <w:rFonts w:ascii="Times New Roman" w:hAnsi="Times New Roman" w:cs="Times New Roman"/>
          <w:b/>
          <w:bCs/>
          <w:sz w:val="24"/>
          <w:szCs w:val="24"/>
          <w:lang w:val="es-ES_tradnl"/>
        </w:rPr>
      </w:pPr>
      <w:r w:rsidRPr="00440325">
        <w:rPr>
          <w:rFonts w:ascii="Times New Roman" w:hAnsi="Times New Roman" w:cs="Times New Roman"/>
          <w:b/>
          <w:bCs/>
          <w:sz w:val="24"/>
          <w:szCs w:val="24"/>
          <w:lang w:val="es-ES_tradnl"/>
        </w:rPr>
        <w:t>¿Dónde puedo obtener más información</w:t>
      </w:r>
      <w:r w:rsidR="4E5FCC20" w:rsidRPr="00440325">
        <w:rPr>
          <w:rFonts w:ascii="Times New Roman" w:hAnsi="Times New Roman" w:cs="Times New Roman"/>
          <w:b/>
          <w:bCs/>
          <w:sz w:val="24"/>
          <w:szCs w:val="24"/>
          <w:lang w:val="es-ES_tradnl"/>
        </w:rPr>
        <w:t xml:space="preserve">? </w:t>
      </w:r>
    </w:p>
    <w:p w14:paraId="285B96DA" w14:textId="5D58AA92" w:rsidR="00240032" w:rsidRPr="00440325" w:rsidRDefault="00090DC9" w:rsidP="00240032">
      <w:pPr>
        <w:spacing w:after="0" w:line="240" w:lineRule="auto"/>
        <w:rPr>
          <w:rFonts w:ascii="Times New Roman" w:hAnsi="Times New Roman" w:cs="Times New Roman"/>
          <w:sz w:val="24"/>
          <w:szCs w:val="24"/>
          <w:lang w:val="es-ES_tradnl"/>
        </w:rPr>
      </w:pPr>
      <w:r w:rsidRPr="00440325">
        <w:rPr>
          <w:rFonts w:ascii="Times New Roman" w:hAnsi="Times New Roman" w:cs="Times New Roman"/>
          <w:sz w:val="24"/>
          <w:szCs w:val="24"/>
          <w:lang w:val="es-ES_tradnl"/>
        </w:rPr>
        <w:t xml:space="preserve">Si tiene preguntas sobre la solicitud de SDG&amp;E, puede ponerse en contacto con ellos utilizando </w:t>
      </w:r>
      <w:r w:rsidR="003F2A0E">
        <w:rPr>
          <w:rFonts w:ascii="Times New Roman" w:hAnsi="Times New Roman" w:cs="Times New Roman"/>
          <w:sz w:val="24"/>
          <w:szCs w:val="24"/>
          <w:lang w:val="es-ES_tradnl"/>
        </w:rPr>
        <w:t>los métodos</w:t>
      </w:r>
      <w:r w:rsidRPr="00440325">
        <w:rPr>
          <w:rFonts w:ascii="Times New Roman" w:hAnsi="Times New Roman" w:cs="Times New Roman"/>
          <w:sz w:val="24"/>
          <w:szCs w:val="24"/>
          <w:lang w:val="es-ES_tradnl"/>
        </w:rPr>
        <w:t xml:space="preserve"> que se indica</w:t>
      </w:r>
      <w:r w:rsidR="003F2A0E">
        <w:rPr>
          <w:rFonts w:ascii="Times New Roman" w:hAnsi="Times New Roman" w:cs="Times New Roman"/>
          <w:sz w:val="24"/>
          <w:szCs w:val="24"/>
          <w:lang w:val="es-ES_tradnl"/>
        </w:rPr>
        <w:t>n</w:t>
      </w:r>
      <w:r w:rsidRPr="00440325">
        <w:rPr>
          <w:rFonts w:ascii="Times New Roman" w:hAnsi="Times New Roman" w:cs="Times New Roman"/>
          <w:sz w:val="24"/>
          <w:szCs w:val="24"/>
          <w:lang w:val="es-ES_tradnl"/>
        </w:rPr>
        <w:t xml:space="preserve"> a continuación</w:t>
      </w:r>
      <w:r w:rsidR="00240032" w:rsidRPr="00440325">
        <w:rPr>
          <w:rFonts w:ascii="Times New Roman" w:hAnsi="Times New Roman" w:cs="Times New Roman"/>
          <w:sz w:val="24"/>
          <w:szCs w:val="24"/>
          <w:lang w:val="es-ES_tradnl"/>
        </w:rPr>
        <w:t>.</w:t>
      </w:r>
    </w:p>
    <w:p w14:paraId="1EF0DABA" w14:textId="77777777" w:rsidR="00240032" w:rsidRPr="00440325" w:rsidRDefault="00240032" w:rsidP="002A790E">
      <w:pPr>
        <w:spacing w:after="0" w:line="240" w:lineRule="auto"/>
        <w:rPr>
          <w:rFonts w:ascii="Times New Roman" w:hAnsi="Times New Roman" w:cs="Times New Roman"/>
          <w:sz w:val="24"/>
          <w:szCs w:val="24"/>
          <w:lang w:val="es-ES_tradnl"/>
        </w:rPr>
      </w:pPr>
    </w:p>
    <w:p w14:paraId="29B062C7" w14:textId="5573CCC5" w:rsidR="4E5FCC20" w:rsidRPr="00440325" w:rsidRDefault="4E5FCC20" w:rsidP="002A790E">
      <w:pPr>
        <w:spacing w:after="0" w:line="240" w:lineRule="auto"/>
        <w:rPr>
          <w:rFonts w:ascii="Times New Roman" w:hAnsi="Times New Roman" w:cs="Times New Roman"/>
          <w:b/>
          <w:bCs/>
          <w:sz w:val="24"/>
          <w:szCs w:val="24"/>
          <w:lang w:val="es-ES_tradnl"/>
        </w:rPr>
      </w:pPr>
      <w:r w:rsidRPr="00440325">
        <w:rPr>
          <w:rFonts w:ascii="Times New Roman" w:hAnsi="Times New Roman" w:cs="Times New Roman"/>
          <w:b/>
          <w:bCs/>
          <w:sz w:val="24"/>
          <w:szCs w:val="24"/>
          <w:lang w:val="es-ES_tradnl"/>
        </w:rPr>
        <w:t>Contact</w:t>
      </w:r>
      <w:r w:rsidR="00E34F89" w:rsidRPr="00440325">
        <w:rPr>
          <w:rFonts w:ascii="Times New Roman" w:hAnsi="Times New Roman" w:cs="Times New Roman"/>
          <w:b/>
          <w:bCs/>
          <w:sz w:val="24"/>
          <w:szCs w:val="24"/>
          <w:lang w:val="es-ES_tradnl"/>
        </w:rPr>
        <w:t>e a</w:t>
      </w:r>
      <w:r w:rsidRPr="00440325">
        <w:rPr>
          <w:rFonts w:ascii="Times New Roman" w:hAnsi="Times New Roman" w:cs="Times New Roman"/>
          <w:b/>
          <w:bCs/>
          <w:sz w:val="24"/>
          <w:szCs w:val="24"/>
          <w:lang w:val="es-ES_tradnl"/>
        </w:rPr>
        <w:t xml:space="preserve"> </w:t>
      </w:r>
      <w:r w:rsidR="007D3B37" w:rsidRPr="00440325">
        <w:rPr>
          <w:rFonts w:ascii="Times New Roman" w:hAnsi="Times New Roman" w:cs="Times New Roman"/>
          <w:b/>
          <w:bCs/>
          <w:sz w:val="24"/>
          <w:szCs w:val="24"/>
          <w:lang w:val="es-ES_tradnl"/>
        </w:rPr>
        <w:t>SDG&amp;E</w:t>
      </w:r>
    </w:p>
    <w:p w14:paraId="1F12B1C5" w14:textId="649E825A" w:rsidR="2CB045C7" w:rsidRPr="00440325" w:rsidRDefault="00B666B8" w:rsidP="002A790E">
      <w:pPr>
        <w:spacing w:after="0" w:line="240" w:lineRule="auto"/>
        <w:ind w:left="720"/>
        <w:rPr>
          <w:rFonts w:ascii="Times New Roman" w:hAnsi="Times New Roman" w:cs="Times New Roman"/>
          <w:sz w:val="24"/>
          <w:szCs w:val="24"/>
          <w:lang w:val="es-ES_tradnl"/>
        </w:rPr>
      </w:pPr>
      <w:r w:rsidRPr="00440325">
        <w:rPr>
          <w:rFonts w:ascii="Times New Roman" w:hAnsi="Times New Roman" w:cs="Times New Roman"/>
          <w:sz w:val="24"/>
          <w:szCs w:val="24"/>
          <w:lang w:val="es-ES_tradnl"/>
        </w:rPr>
        <w:t>Enviando un mensaje de correo electrónico a</w:t>
      </w:r>
      <w:r w:rsidR="2CB045C7" w:rsidRPr="00440325">
        <w:rPr>
          <w:rFonts w:ascii="Times New Roman" w:hAnsi="Times New Roman" w:cs="Times New Roman"/>
          <w:sz w:val="24"/>
          <w:szCs w:val="24"/>
          <w:lang w:val="es-ES_tradnl"/>
        </w:rPr>
        <w:t>:</w:t>
      </w:r>
      <w:r w:rsidR="00EC3E4A" w:rsidRPr="00440325">
        <w:rPr>
          <w:sz w:val="24"/>
          <w:szCs w:val="24"/>
          <w:lang w:val="es-ES_tradnl"/>
        </w:rPr>
        <w:t xml:space="preserve"> </w:t>
      </w:r>
      <w:r w:rsidR="46990D2B" w:rsidRPr="00440325">
        <w:rPr>
          <w:rFonts w:ascii="Times New Roman" w:eastAsia="Times New Roman" w:hAnsi="Times New Roman" w:cs="Times New Roman"/>
          <w:sz w:val="24"/>
          <w:szCs w:val="24"/>
          <w:lang w:val="es-ES_tradnl"/>
        </w:rPr>
        <w:t>kbarlow@sdge</w:t>
      </w:r>
      <w:r w:rsidR="00EC3E4A" w:rsidRPr="00440325">
        <w:rPr>
          <w:rFonts w:ascii="Times New Roman" w:eastAsia="Times New Roman" w:hAnsi="Times New Roman" w:cs="Times New Roman"/>
          <w:sz w:val="24"/>
          <w:szCs w:val="24"/>
          <w:lang w:val="es-ES_tradnl"/>
        </w:rPr>
        <w:t>.com</w:t>
      </w:r>
      <w:r w:rsidR="2CB045C7" w:rsidRPr="00440325">
        <w:rPr>
          <w:rFonts w:ascii="Times New Roman" w:eastAsia="Times New Roman" w:hAnsi="Times New Roman" w:cs="Times New Roman"/>
          <w:sz w:val="24"/>
          <w:szCs w:val="24"/>
          <w:lang w:val="es-ES_tradnl"/>
        </w:rPr>
        <w:t xml:space="preserve"> </w:t>
      </w:r>
    </w:p>
    <w:p w14:paraId="71101523" w14:textId="588F3F8E" w:rsidR="77B9011C" w:rsidRPr="00440325" w:rsidRDefault="00B666B8" w:rsidP="002A790E">
      <w:pPr>
        <w:spacing w:after="0" w:line="240" w:lineRule="auto"/>
        <w:ind w:left="720"/>
        <w:rPr>
          <w:rFonts w:ascii="Times New Roman" w:hAnsi="Times New Roman" w:cs="Times New Roman"/>
          <w:sz w:val="24"/>
          <w:szCs w:val="24"/>
          <w:lang w:val="es-ES_tradnl"/>
        </w:rPr>
      </w:pPr>
      <w:r w:rsidRPr="00440325">
        <w:rPr>
          <w:rFonts w:ascii="Times New Roman" w:hAnsi="Times New Roman" w:cs="Times New Roman"/>
          <w:sz w:val="24"/>
          <w:szCs w:val="24"/>
          <w:lang w:val="es-ES_tradnl"/>
        </w:rPr>
        <w:t>Escribiendo a</w:t>
      </w:r>
      <w:r w:rsidR="77B9011C" w:rsidRPr="00440325">
        <w:rPr>
          <w:rFonts w:ascii="Times New Roman" w:hAnsi="Times New Roman" w:cs="Times New Roman"/>
          <w:sz w:val="24"/>
          <w:szCs w:val="24"/>
          <w:lang w:val="es-ES_tradnl"/>
        </w:rPr>
        <w:t xml:space="preserve">: </w:t>
      </w:r>
      <w:proofErr w:type="spellStart"/>
      <w:r w:rsidR="413F2F2E" w:rsidRPr="00440325">
        <w:rPr>
          <w:rFonts w:ascii="Times New Roman" w:hAnsi="Times New Roman" w:cs="Times New Roman"/>
          <w:sz w:val="24"/>
          <w:szCs w:val="24"/>
          <w:lang w:val="es-ES_tradnl"/>
        </w:rPr>
        <w:t>Kaitlin</w:t>
      </w:r>
      <w:proofErr w:type="spellEnd"/>
      <w:r w:rsidR="413F2F2E" w:rsidRPr="00440325">
        <w:rPr>
          <w:rFonts w:ascii="Times New Roman" w:hAnsi="Times New Roman" w:cs="Times New Roman"/>
          <w:sz w:val="24"/>
          <w:szCs w:val="24"/>
          <w:lang w:val="es-ES_tradnl"/>
        </w:rPr>
        <w:t xml:space="preserve"> Barlow</w:t>
      </w:r>
      <w:r w:rsidR="00EC3E4A" w:rsidRPr="00440325">
        <w:rPr>
          <w:rFonts w:ascii="Times New Roman" w:hAnsi="Times New Roman" w:cs="Times New Roman"/>
          <w:sz w:val="24"/>
          <w:szCs w:val="24"/>
          <w:lang w:val="es-ES_tradnl"/>
        </w:rPr>
        <w:t xml:space="preserve"> 8330 Century Park </w:t>
      </w:r>
      <w:proofErr w:type="spellStart"/>
      <w:r w:rsidR="00EC3E4A" w:rsidRPr="00440325">
        <w:rPr>
          <w:rFonts w:ascii="Times New Roman" w:hAnsi="Times New Roman" w:cs="Times New Roman"/>
          <w:sz w:val="24"/>
          <w:szCs w:val="24"/>
          <w:lang w:val="es-ES_tradnl"/>
        </w:rPr>
        <w:t>Court</w:t>
      </w:r>
      <w:proofErr w:type="spellEnd"/>
      <w:r w:rsidR="00EC3E4A" w:rsidRPr="00440325">
        <w:rPr>
          <w:rFonts w:ascii="Times New Roman" w:hAnsi="Times New Roman" w:cs="Times New Roman"/>
          <w:sz w:val="24"/>
          <w:szCs w:val="24"/>
          <w:lang w:val="es-ES_tradnl"/>
        </w:rPr>
        <w:t>, CP31E, San Diego, CA 92123</w:t>
      </w:r>
    </w:p>
    <w:p w14:paraId="35A07EA6" w14:textId="77777777" w:rsidR="00240032" w:rsidRPr="00440325" w:rsidRDefault="00240032" w:rsidP="00240032">
      <w:pPr>
        <w:spacing w:after="0" w:line="240" w:lineRule="auto"/>
        <w:rPr>
          <w:rFonts w:ascii="Times New Roman" w:hAnsi="Times New Roman" w:cs="Times New Roman"/>
          <w:sz w:val="24"/>
          <w:szCs w:val="24"/>
          <w:lang w:val="es-ES_tradnl"/>
        </w:rPr>
      </w:pPr>
    </w:p>
    <w:p w14:paraId="1685AB89" w14:textId="55694C1A" w:rsidR="00F72708" w:rsidRPr="00440325" w:rsidRDefault="00440325" w:rsidP="00406310">
      <w:pPr>
        <w:spacing w:after="0" w:line="240" w:lineRule="auto"/>
        <w:rPr>
          <w:rStyle w:val="Hyperlink"/>
          <w:rFonts w:ascii="Times New Roman" w:hAnsi="Times New Roman" w:cs="Times New Roman"/>
          <w:sz w:val="24"/>
          <w:szCs w:val="24"/>
          <w:lang w:val="es-ES_tradnl"/>
        </w:rPr>
      </w:pPr>
      <w:r w:rsidRPr="00440325">
        <w:rPr>
          <w:rFonts w:ascii="Times New Roman" w:hAnsi="Times New Roman" w:cs="Times New Roman"/>
          <w:sz w:val="24"/>
          <w:szCs w:val="24"/>
          <w:lang w:val="es-ES_tradnl"/>
        </w:rPr>
        <w:t xml:space="preserve">Una copia de la Solicitud y cualquier documento relacionado también pueden examinarse en </w:t>
      </w:r>
      <w:hyperlink r:id="rId12" w:history="1">
        <w:r w:rsidR="007D3B37" w:rsidRPr="00440325">
          <w:rPr>
            <w:rStyle w:val="Hyperlink"/>
            <w:rFonts w:ascii="Times New Roman" w:hAnsi="Times New Roman" w:cs="Times New Roman"/>
            <w:sz w:val="24"/>
            <w:szCs w:val="24"/>
            <w:lang w:val="es-ES_tradnl"/>
          </w:rPr>
          <w:t>http://www.sdge.com/proceedings</w:t>
        </w:r>
      </w:hyperlink>
      <w:r w:rsidR="007D3B37" w:rsidRPr="00440325">
        <w:rPr>
          <w:rStyle w:val="Hyperlink"/>
          <w:rFonts w:ascii="Times New Roman" w:hAnsi="Times New Roman" w:cs="Times New Roman"/>
          <w:sz w:val="24"/>
          <w:szCs w:val="24"/>
          <w:lang w:val="es-ES_tradnl"/>
        </w:rPr>
        <w:t xml:space="preserve"> </w:t>
      </w:r>
    </w:p>
    <w:p w14:paraId="5DF0C260" w14:textId="77777777" w:rsidR="007D3B37" w:rsidRPr="00440325" w:rsidRDefault="007D3B37" w:rsidP="007D3B37">
      <w:pPr>
        <w:spacing w:after="0" w:line="240" w:lineRule="auto"/>
        <w:ind w:left="720"/>
        <w:rPr>
          <w:rFonts w:ascii="Times New Roman" w:hAnsi="Times New Roman" w:cs="Times New Roman"/>
          <w:b/>
          <w:bCs/>
          <w:sz w:val="24"/>
          <w:szCs w:val="24"/>
          <w:lang w:val="es-ES_tradnl"/>
        </w:rPr>
      </w:pPr>
    </w:p>
    <w:p w14:paraId="52845A56" w14:textId="7DA94E76" w:rsidR="4E5FCC20" w:rsidRPr="00440325" w:rsidRDefault="4E5FCC20" w:rsidP="002A790E">
      <w:pPr>
        <w:spacing w:after="0" w:line="240" w:lineRule="auto"/>
        <w:rPr>
          <w:rFonts w:ascii="Times New Roman" w:eastAsia="Calibri" w:hAnsi="Times New Roman" w:cs="Times New Roman"/>
          <w:sz w:val="24"/>
          <w:szCs w:val="24"/>
          <w:lang w:val="es-ES_tradnl"/>
        </w:rPr>
      </w:pPr>
    </w:p>
    <w:p w14:paraId="5E6F4B7F" w14:textId="48F9E6FF" w:rsidR="77F120CB" w:rsidRPr="00440325" w:rsidRDefault="77F120CB" w:rsidP="002A790E">
      <w:pPr>
        <w:spacing w:after="0" w:line="240" w:lineRule="auto"/>
        <w:rPr>
          <w:rFonts w:ascii="Times New Roman" w:hAnsi="Times New Roman" w:cs="Times New Roman"/>
          <w:b/>
          <w:bCs/>
          <w:sz w:val="24"/>
          <w:szCs w:val="24"/>
          <w:lang w:val="es-ES_tradnl"/>
        </w:rPr>
      </w:pPr>
    </w:p>
    <w:sectPr w:rsidR="77F120CB" w:rsidRPr="0044032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21AF6E" w14:textId="77777777" w:rsidR="004A32D9" w:rsidRDefault="004A32D9">
      <w:pPr>
        <w:spacing w:after="0" w:line="240" w:lineRule="auto"/>
      </w:pPr>
      <w:r>
        <w:separator/>
      </w:r>
    </w:p>
  </w:endnote>
  <w:endnote w:type="continuationSeparator" w:id="0">
    <w:p w14:paraId="3FD7C080" w14:textId="77777777" w:rsidR="004A32D9" w:rsidRDefault="004A32D9">
      <w:pPr>
        <w:spacing w:after="0" w:line="240" w:lineRule="auto"/>
      </w:pPr>
      <w:r>
        <w:continuationSeparator/>
      </w:r>
    </w:p>
  </w:endnote>
  <w:endnote w:type="continuationNotice" w:id="1">
    <w:p w14:paraId="5F912918" w14:textId="77777777" w:rsidR="004A32D9" w:rsidRDefault="004A32D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EE9F93" w14:textId="77777777" w:rsidR="004A32D9" w:rsidRDefault="004A32D9">
      <w:pPr>
        <w:spacing w:after="0" w:line="240" w:lineRule="auto"/>
      </w:pPr>
      <w:r>
        <w:separator/>
      </w:r>
    </w:p>
  </w:footnote>
  <w:footnote w:type="continuationSeparator" w:id="0">
    <w:p w14:paraId="34412987" w14:textId="77777777" w:rsidR="004A32D9" w:rsidRDefault="004A32D9">
      <w:pPr>
        <w:spacing w:after="0" w:line="240" w:lineRule="auto"/>
      </w:pPr>
      <w:r>
        <w:continuationSeparator/>
      </w:r>
    </w:p>
  </w:footnote>
  <w:footnote w:type="continuationNotice" w:id="1">
    <w:p w14:paraId="17D88D71" w14:textId="77777777" w:rsidR="004A32D9" w:rsidRDefault="004A32D9">
      <w:pPr>
        <w:spacing w:after="0" w:line="240" w:lineRule="auto"/>
      </w:pPr>
    </w:p>
  </w:footnote>
  <w:footnote w:id="2">
    <w:p w14:paraId="3AB03408" w14:textId="1FFDD5B6" w:rsidR="00240032" w:rsidRPr="008126C8" w:rsidRDefault="00240032">
      <w:pPr>
        <w:pStyle w:val="FootnoteText"/>
        <w:rPr>
          <w:lang w:val="es-MX"/>
        </w:rPr>
      </w:pPr>
      <w:r>
        <w:rPr>
          <w:rStyle w:val="FootnoteReference"/>
        </w:rPr>
        <w:footnoteRef/>
      </w:r>
      <w:r w:rsidRPr="008126C8">
        <w:rPr>
          <w:lang w:val="es-MX"/>
        </w:rPr>
        <w:t xml:space="preserve"> </w:t>
      </w:r>
      <w:r w:rsidR="008126C8" w:rsidRPr="006B3B96">
        <w:rPr>
          <w:rFonts w:ascii="Times New Roman" w:eastAsia="Times New Roman" w:hAnsi="Times New Roman" w:cs="Times New Roman"/>
          <w:lang w:val="es-MX"/>
        </w:rPr>
        <w:t>Las inversiones de SDG&amp;E en la mitigación de incendios, de conformidad con su Plan de Mitigación de Incendios 2023-2025, han servido para reducir los riesgos de ignición, mejorar el conocimiento de la situación y mitigar los impactos de los Cortes de Energía por Seguridad Pública (PSPS).</w:t>
      </w:r>
    </w:p>
  </w:footnote>
  <w:footnote w:id="3">
    <w:p w14:paraId="0D715E4A" w14:textId="67009C34" w:rsidR="449977F3" w:rsidRPr="00336868" w:rsidRDefault="449977F3" w:rsidP="449977F3">
      <w:pPr>
        <w:pStyle w:val="FootnoteText"/>
        <w:rPr>
          <w:lang w:val="es-MX"/>
        </w:rPr>
      </w:pPr>
      <w:r w:rsidRPr="449977F3">
        <w:rPr>
          <w:rStyle w:val="FootnoteReference"/>
        </w:rPr>
        <w:footnoteRef/>
      </w:r>
      <w:r w:rsidRPr="00336868">
        <w:rPr>
          <w:lang w:val="es-MX"/>
        </w:rPr>
        <w:t xml:space="preserve"> </w:t>
      </w:r>
      <w:r w:rsidR="00336868" w:rsidRPr="00512A89">
        <w:rPr>
          <w:rFonts w:ascii="Times New Roman" w:hAnsi="Times New Roman" w:cs="Times New Roman"/>
          <w:lang w:val="es-MX"/>
        </w:rPr>
        <w:t xml:space="preserve">Los cargos por servicios no en paquete incluyen las tarifas de suministro eléctrico de SDG&amp;E más las tarifas PCIA. </w:t>
      </w:r>
      <w:r w:rsidR="00336868" w:rsidRPr="00F85E97">
        <w:rPr>
          <w:rFonts w:ascii="Times New Roman" w:hAnsi="Times New Roman" w:cs="Times New Roman"/>
          <w:lang w:val="es-MX"/>
        </w:rPr>
        <w:t xml:space="preserve">Las tarifas de generación eléctrica para los clientes </w:t>
      </w:r>
      <w:r w:rsidR="00336868">
        <w:rPr>
          <w:rFonts w:ascii="Times New Roman" w:hAnsi="Times New Roman" w:cs="Times New Roman"/>
          <w:lang w:val="es-MX"/>
        </w:rPr>
        <w:t>con</w:t>
      </w:r>
      <w:r w:rsidR="00336868" w:rsidRPr="00F85E97">
        <w:rPr>
          <w:rFonts w:ascii="Times New Roman" w:hAnsi="Times New Roman" w:cs="Times New Roman"/>
          <w:lang w:val="es-MX"/>
        </w:rPr>
        <w:t xml:space="preserve"> servicio no en paquete las establece el ESP correspondiente de cada cliente, como un </w:t>
      </w:r>
      <w:r w:rsidR="00336868">
        <w:rPr>
          <w:rFonts w:ascii="Times New Roman" w:hAnsi="Times New Roman" w:cs="Times New Roman"/>
          <w:lang w:val="es-MX"/>
        </w:rPr>
        <w:t>A</w:t>
      </w:r>
      <w:r w:rsidR="00336868" w:rsidRPr="00F85E97">
        <w:rPr>
          <w:rFonts w:ascii="Times New Roman" w:hAnsi="Times New Roman" w:cs="Times New Roman"/>
          <w:lang w:val="es-MX"/>
        </w:rPr>
        <w:t xml:space="preserve">gregador de </w:t>
      </w:r>
      <w:r w:rsidR="00336868">
        <w:rPr>
          <w:rFonts w:ascii="Times New Roman" w:hAnsi="Times New Roman" w:cs="Times New Roman"/>
          <w:lang w:val="es-MX"/>
        </w:rPr>
        <w:t>Opciones</w:t>
      </w:r>
      <w:r w:rsidR="00336868" w:rsidRPr="00F85E97">
        <w:rPr>
          <w:rFonts w:ascii="Times New Roman" w:hAnsi="Times New Roman" w:cs="Times New Roman"/>
          <w:lang w:val="es-MX"/>
        </w:rPr>
        <w:t xml:space="preserve"> </w:t>
      </w:r>
      <w:r w:rsidR="00336868">
        <w:rPr>
          <w:rFonts w:ascii="Times New Roman" w:hAnsi="Times New Roman" w:cs="Times New Roman"/>
          <w:lang w:val="es-MX"/>
        </w:rPr>
        <w:t>C</w:t>
      </w:r>
      <w:r w:rsidR="00336868" w:rsidRPr="00F85E97">
        <w:rPr>
          <w:rFonts w:ascii="Times New Roman" w:hAnsi="Times New Roman" w:cs="Times New Roman"/>
          <w:lang w:val="es-MX"/>
        </w:rPr>
        <w:t>omunitaria</w:t>
      </w:r>
      <w:r w:rsidR="00336868">
        <w:rPr>
          <w:rFonts w:ascii="Times New Roman" w:hAnsi="Times New Roman" w:cs="Times New Roman"/>
          <w:lang w:val="es-MX"/>
        </w:rPr>
        <w:t>s</w:t>
      </w:r>
      <w:r w:rsidR="00336868" w:rsidRPr="00F85E97">
        <w:rPr>
          <w:rFonts w:ascii="Times New Roman" w:hAnsi="Times New Roman" w:cs="Times New Roman"/>
          <w:lang w:val="es-MX"/>
        </w:rPr>
        <w:t xml:space="preserve"> </w:t>
      </w:r>
      <w:r w:rsidR="00336868" w:rsidRPr="00613E93">
        <w:rPr>
          <w:rFonts w:ascii="Times New Roman" w:hAnsi="Times New Roman" w:cs="Times New Roman"/>
          <w:lang w:val="es-MX"/>
        </w:rPr>
        <w:t>(</w:t>
      </w:r>
      <w:r w:rsidR="00336868" w:rsidRPr="00613E93">
        <w:rPr>
          <w:rFonts w:ascii="Times New Roman" w:hAnsi="Times New Roman" w:cs="Times New Roman"/>
          <w:i/>
          <w:iCs/>
          <w:lang w:val="es-MX"/>
        </w:rPr>
        <w:t>Community Choice Aggregator</w:t>
      </w:r>
      <w:r w:rsidR="00336868" w:rsidRPr="00613E93">
        <w:rPr>
          <w:rFonts w:ascii="Times New Roman" w:hAnsi="Times New Roman" w:cs="Times New Roman"/>
          <w:lang w:val="es-MX"/>
        </w:rPr>
        <w:t>) o un proveedor de Acceso Directo (</w:t>
      </w:r>
      <w:r w:rsidR="00336868" w:rsidRPr="00613E93">
        <w:rPr>
          <w:rFonts w:ascii="Times New Roman" w:hAnsi="Times New Roman" w:cs="Times New Roman"/>
          <w:i/>
          <w:iCs/>
          <w:lang w:val="es-MX"/>
        </w:rPr>
        <w:t>Direct Access</w:t>
      </w:r>
      <w:r w:rsidR="00336868" w:rsidRPr="00613E93">
        <w:rPr>
          <w:rFonts w:ascii="Times New Roman" w:hAnsi="Times New Roman" w:cs="Times New Roman"/>
          <w:lang w:val="es-MX"/>
        </w:rPr>
        <w:t xml:space="preserve">), </w:t>
      </w:r>
      <w:r w:rsidR="00336868" w:rsidRPr="00F85E97">
        <w:rPr>
          <w:rFonts w:ascii="Times New Roman" w:hAnsi="Times New Roman" w:cs="Times New Roman"/>
          <w:lang w:val="es-MX"/>
        </w:rPr>
        <w:t xml:space="preserve">y no se reflejan en los impactos de la factura de servicio no en paquete. El impacto real de las facturas de servicio no en paquete variará en función de una serie de factores, entre los que se incluyen el consumo, el plan de precios y el momento en que el cliente pasó a ser cliente </w:t>
      </w:r>
      <w:r w:rsidR="00347E66">
        <w:rPr>
          <w:rFonts w:ascii="Times New Roman" w:hAnsi="Times New Roman" w:cs="Times New Roman"/>
          <w:lang w:val="es-MX"/>
        </w:rPr>
        <w:t>con</w:t>
      </w:r>
      <w:r w:rsidR="00336868" w:rsidRPr="00F85E97">
        <w:rPr>
          <w:rFonts w:ascii="Times New Roman" w:hAnsi="Times New Roman" w:cs="Times New Roman"/>
          <w:lang w:val="es-MX"/>
        </w:rPr>
        <w:t xml:space="preserve"> servicio no en</w:t>
      </w:r>
      <w:r w:rsidRPr="00336868">
        <w:rPr>
          <w:rFonts w:ascii="Times New Roman" w:eastAsia="Times New Roman" w:hAnsi="Times New Roman" w:cs="Times New Roman"/>
          <w:lang w:val="es-MX"/>
        </w:rPr>
        <w:t xml:space="preserve"> </w:t>
      </w:r>
      <w:r w:rsidR="00921862" w:rsidRPr="00F85E97">
        <w:rPr>
          <w:rFonts w:ascii="Times New Roman" w:hAnsi="Times New Roman" w:cs="Times New Roman"/>
          <w:lang w:val="es-MX"/>
        </w:rPr>
        <w:t xml:space="preserve">paquete (antigüedad del ajuste por indiferencia </w:t>
      </w:r>
      <w:r w:rsidR="00921862" w:rsidRPr="003B7B52">
        <w:rPr>
          <w:rFonts w:ascii="Times New Roman" w:hAnsi="Times New Roman" w:cs="Times New Roman"/>
          <w:lang w:val="es-MX"/>
        </w:rPr>
        <w:t>de cargos eléctricos [</w:t>
      </w:r>
      <w:r w:rsidR="00921862" w:rsidRPr="003B7B52">
        <w:rPr>
          <w:rFonts w:ascii="Times New Roman" w:hAnsi="Times New Roman" w:cs="Times New Roman"/>
          <w:i/>
          <w:iCs/>
          <w:lang w:val="es-MX"/>
        </w:rPr>
        <w:t>Power Charge Indifference Adjustment</w:t>
      </w:r>
      <w:r w:rsidR="00921862" w:rsidRPr="003B7B52">
        <w:rPr>
          <w:rFonts w:ascii="Times New Roman" w:hAnsi="Times New Roman" w:cs="Times New Roman"/>
          <w:lang w:val="es-MX"/>
        </w:rPr>
        <w:t>, PCIA]).</w:t>
      </w:r>
      <w:r w:rsidRPr="00336868">
        <w:rPr>
          <w:rFonts w:ascii="Times New Roman" w:eastAsia="Times New Roman" w:hAnsi="Times New Roman" w:cs="Times New Roman"/>
          <w:lang w:val="es-MX"/>
        </w:rPr>
        <w:t xml:space="preserve">  </w:t>
      </w:r>
    </w:p>
  </w:footnote>
  <w:footnote w:id="4">
    <w:p w14:paraId="0A63FB48" w14:textId="21975827" w:rsidR="00945DCD" w:rsidRPr="006B3B96" w:rsidRDefault="00945DCD" w:rsidP="00945DCD">
      <w:pPr>
        <w:pStyle w:val="FootnoteText"/>
        <w:rPr>
          <w:lang w:val="es-MX"/>
        </w:rPr>
      </w:pPr>
      <w:r w:rsidRPr="449977F3">
        <w:rPr>
          <w:rStyle w:val="FootnoteReference"/>
        </w:rPr>
        <w:footnoteRef/>
      </w:r>
      <w:r w:rsidRPr="006B3B96">
        <w:rPr>
          <w:lang w:val="es-MX"/>
        </w:rPr>
        <w:t xml:space="preserve"> </w:t>
      </w:r>
      <w:r w:rsidR="006B3B96" w:rsidRPr="005D7D00">
        <w:rPr>
          <w:rFonts w:ascii="Times New Roman" w:hAnsi="Times New Roman" w:cs="Times New Roman"/>
          <w:lang w:val="es-MX"/>
        </w:rPr>
        <w:t>El impacto real en los servicios en paquete variará en función de una serie de factores, entre los que se incluyen el consumo y el plan de precios.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52336"/>
    <w:multiLevelType w:val="hybridMultilevel"/>
    <w:tmpl w:val="11CE8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C30478"/>
    <w:multiLevelType w:val="hybridMultilevel"/>
    <w:tmpl w:val="4B8CC61A"/>
    <w:lvl w:ilvl="0" w:tplc="6A666978">
      <w:start w:val="1"/>
      <w:numFmt w:val="bullet"/>
      <w:lvlText w:val=""/>
      <w:lvlJc w:val="left"/>
      <w:pPr>
        <w:ind w:left="720" w:hanging="360"/>
      </w:pPr>
      <w:rPr>
        <w:rFonts w:ascii="Symbol" w:hAnsi="Symbol" w:hint="default"/>
      </w:rPr>
    </w:lvl>
    <w:lvl w:ilvl="1" w:tplc="7B501F82">
      <w:start w:val="1"/>
      <w:numFmt w:val="bullet"/>
      <w:lvlText w:val="o"/>
      <w:lvlJc w:val="left"/>
      <w:pPr>
        <w:ind w:left="1440" w:hanging="360"/>
      </w:pPr>
      <w:rPr>
        <w:rFonts w:ascii="Courier New" w:hAnsi="Courier New" w:hint="default"/>
      </w:rPr>
    </w:lvl>
    <w:lvl w:ilvl="2" w:tplc="23BAE240">
      <w:start w:val="1"/>
      <w:numFmt w:val="bullet"/>
      <w:lvlText w:val=""/>
      <w:lvlJc w:val="left"/>
      <w:pPr>
        <w:ind w:left="2160" w:hanging="360"/>
      </w:pPr>
      <w:rPr>
        <w:rFonts w:ascii="Wingdings" w:hAnsi="Wingdings" w:hint="default"/>
      </w:rPr>
    </w:lvl>
    <w:lvl w:ilvl="3" w:tplc="51E41BF4">
      <w:start w:val="1"/>
      <w:numFmt w:val="bullet"/>
      <w:lvlText w:val=""/>
      <w:lvlJc w:val="left"/>
      <w:pPr>
        <w:ind w:left="2880" w:hanging="360"/>
      </w:pPr>
      <w:rPr>
        <w:rFonts w:ascii="Symbol" w:hAnsi="Symbol" w:hint="default"/>
      </w:rPr>
    </w:lvl>
    <w:lvl w:ilvl="4" w:tplc="E8FA7944">
      <w:start w:val="1"/>
      <w:numFmt w:val="bullet"/>
      <w:lvlText w:val="o"/>
      <w:lvlJc w:val="left"/>
      <w:pPr>
        <w:ind w:left="3600" w:hanging="360"/>
      </w:pPr>
      <w:rPr>
        <w:rFonts w:ascii="Courier New" w:hAnsi="Courier New" w:hint="default"/>
      </w:rPr>
    </w:lvl>
    <w:lvl w:ilvl="5" w:tplc="A906BBFE">
      <w:start w:val="1"/>
      <w:numFmt w:val="bullet"/>
      <w:lvlText w:val=""/>
      <w:lvlJc w:val="left"/>
      <w:pPr>
        <w:ind w:left="4320" w:hanging="360"/>
      </w:pPr>
      <w:rPr>
        <w:rFonts w:ascii="Wingdings" w:hAnsi="Wingdings" w:hint="default"/>
      </w:rPr>
    </w:lvl>
    <w:lvl w:ilvl="6" w:tplc="9970D774">
      <w:start w:val="1"/>
      <w:numFmt w:val="bullet"/>
      <w:lvlText w:val=""/>
      <w:lvlJc w:val="left"/>
      <w:pPr>
        <w:ind w:left="5040" w:hanging="360"/>
      </w:pPr>
      <w:rPr>
        <w:rFonts w:ascii="Symbol" w:hAnsi="Symbol" w:hint="default"/>
      </w:rPr>
    </w:lvl>
    <w:lvl w:ilvl="7" w:tplc="033C5206">
      <w:start w:val="1"/>
      <w:numFmt w:val="bullet"/>
      <w:lvlText w:val="o"/>
      <w:lvlJc w:val="left"/>
      <w:pPr>
        <w:ind w:left="5760" w:hanging="360"/>
      </w:pPr>
      <w:rPr>
        <w:rFonts w:ascii="Courier New" w:hAnsi="Courier New" w:hint="default"/>
      </w:rPr>
    </w:lvl>
    <w:lvl w:ilvl="8" w:tplc="45289B9E">
      <w:start w:val="1"/>
      <w:numFmt w:val="bullet"/>
      <w:lvlText w:val=""/>
      <w:lvlJc w:val="left"/>
      <w:pPr>
        <w:ind w:left="6480" w:hanging="360"/>
      </w:pPr>
      <w:rPr>
        <w:rFonts w:ascii="Wingdings" w:hAnsi="Wingdings" w:hint="default"/>
      </w:rPr>
    </w:lvl>
  </w:abstractNum>
  <w:num w:numId="1" w16cid:durableId="575284060">
    <w:abstractNumId w:val="1"/>
  </w:num>
  <w:num w:numId="2" w16cid:durableId="7062202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394018C"/>
    <w:rsid w:val="000144E9"/>
    <w:rsid w:val="0002035C"/>
    <w:rsid w:val="000321D7"/>
    <w:rsid w:val="00041E18"/>
    <w:rsid w:val="00047AB6"/>
    <w:rsid w:val="00061572"/>
    <w:rsid w:val="000636BC"/>
    <w:rsid w:val="0006397C"/>
    <w:rsid w:val="00067B30"/>
    <w:rsid w:val="00071CC2"/>
    <w:rsid w:val="000726BC"/>
    <w:rsid w:val="00090DC9"/>
    <w:rsid w:val="000963DF"/>
    <w:rsid w:val="000A4E95"/>
    <w:rsid w:val="000A70C8"/>
    <w:rsid w:val="000B5382"/>
    <w:rsid w:val="000B686D"/>
    <w:rsid w:val="000C1E2F"/>
    <w:rsid w:val="000C7454"/>
    <w:rsid w:val="000D3CD6"/>
    <w:rsid w:val="000E75D9"/>
    <w:rsid w:val="000F4B58"/>
    <w:rsid w:val="00102460"/>
    <w:rsid w:val="00104DE9"/>
    <w:rsid w:val="001352EB"/>
    <w:rsid w:val="00137F33"/>
    <w:rsid w:val="00140F7B"/>
    <w:rsid w:val="0014158E"/>
    <w:rsid w:val="00142039"/>
    <w:rsid w:val="0014422D"/>
    <w:rsid w:val="00147A43"/>
    <w:rsid w:val="00167E94"/>
    <w:rsid w:val="001705E7"/>
    <w:rsid w:val="00192B9D"/>
    <w:rsid w:val="00193C50"/>
    <w:rsid w:val="00195D8F"/>
    <w:rsid w:val="0019C7D0"/>
    <w:rsid w:val="001A233B"/>
    <w:rsid w:val="001D3003"/>
    <w:rsid w:val="001F0206"/>
    <w:rsid w:val="00200897"/>
    <w:rsid w:val="002011E5"/>
    <w:rsid w:val="00203D79"/>
    <w:rsid w:val="00207D13"/>
    <w:rsid w:val="002128C3"/>
    <w:rsid w:val="002150CF"/>
    <w:rsid w:val="002151D9"/>
    <w:rsid w:val="00224485"/>
    <w:rsid w:val="00227118"/>
    <w:rsid w:val="00240032"/>
    <w:rsid w:val="002406A4"/>
    <w:rsid w:val="00247841"/>
    <w:rsid w:val="00251558"/>
    <w:rsid w:val="00270C7C"/>
    <w:rsid w:val="00273FAA"/>
    <w:rsid w:val="002808E3"/>
    <w:rsid w:val="00293083"/>
    <w:rsid w:val="002954AD"/>
    <w:rsid w:val="002A790E"/>
    <w:rsid w:val="002C652B"/>
    <w:rsid w:val="002D1AF2"/>
    <w:rsid w:val="002D366B"/>
    <w:rsid w:val="002E44AC"/>
    <w:rsid w:val="002E5B38"/>
    <w:rsid w:val="002F4A5E"/>
    <w:rsid w:val="002F5BAD"/>
    <w:rsid w:val="00301D29"/>
    <w:rsid w:val="003021B0"/>
    <w:rsid w:val="003024AA"/>
    <w:rsid w:val="00317324"/>
    <w:rsid w:val="003326E4"/>
    <w:rsid w:val="00335873"/>
    <w:rsid w:val="00336868"/>
    <w:rsid w:val="00336899"/>
    <w:rsid w:val="00343DBE"/>
    <w:rsid w:val="00345208"/>
    <w:rsid w:val="003474EE"/>
    <w:rsid w:val="00347E66"/>
    <w:rsid w:val="00355300"/>
    <w:rsid w:val="0035623B"/>
    <w:rsid w:val="00365EB4"/>
    <w:rsid w:val="003737EA"/>
    <w:rsid w:val="00383B84"/>
    <w:rsid w:val="003844D4"/>
    <w:rsid w:val="003866EF"/>
    <w:rsid w:val="003A62B2"/>
    <w:rsid w:val="003A7CDB"/>
    <w:rsid w:val="003B2841"/>
    <w:rsid w:val="003B593F"/>
    <w:rsid w:val="003B6140"/>
    <w:rsid w:val="003C1661"/>
    <w:rsid w:val="003C58FE"/>
    <w:rsid w:val="003D391E"/>
    <w:rsid w:val="003E5B49"/>
    <w:rsid w:val="003F2A0E"/>
    <w:rsid w:val="003F488E"/>
    <w:rsid w:val="00406310"/>
    <w:rsid w:val="00407956"/>
    <w:rsid w:val="004128D1"/>
    <w:rsid w:val="0041607D"/>
    <w:rsid w:val="0041621A"/>
    <w:rsid w:val="00423522"/>
    <w:rsid w:val="004240A3"/>
    <w:rsid w:val="004275E6"/>
    <w:rsid w:val="00430DB3"/>
    <w:rsid w:val="00433BEA"/>
    <w:rsid w:val="00440325"/>
    <w:rsid w:val="00444CB4"/>
    <w:rsid w:val="0044523A"/>
    <w:rsid w:val="00447076"/>
    <w:rsid w:val="004515E9"/>
    <w:rsid w:val="00455487"/>
    <w:rsid w:val="004669DE"/>
    <w:rsid w:val="00473411"/>
    <w:rsid w:val="004746F5"/>
    <w:rsid w:val="004829D1"/>
    <w:rsid w:val="00485BD2"/>
    <w:rsid w:val="004927D7"/>
    <w:rsid w:val="00493953"/>
    <w:rsid w:val="004A0AD2"/>
    <w:rsid w:val="004A32D9"/>
    <w:rsid w:val="004A7492"/>
    <w:rsid w:val="004B46C9"/>
    <w:rsid w:val="004B5ABB"/>
    <w:rsid w:val="004C2920"/>
    <w:rsid w:val="004C56E6"/>
    <w:rsid w:val="004E1160"/>
    <w:rsid w:val="004E15E1"/>
    <w:rsid w:val="004F166B"/>
    <w:rsid w:val="004F17DF"/>
    <w:rsid w:val="004F4606"/>
    <w:rsid w:val="004F74FB"/>
    <w:rsid w:val="00500A32"/>
    <w:rsid w:val="00501013"/>
    <w:rsid w:val="00502801"/>
    <w:rsid w:val="00512BDC"/>
    <w:rsid w:val="0052195F"/>
    <w:rsid w:val="005221CD"/>
    <w:rsid w:val="005251B4"/>
    <w:rsid w:val="00525AA6"/>
    <w:rsid w:val="00542369"/>
    <w:rsid w:val="0055600D"/>
    <w:rsid w:val="00570904"/>
    <w:rsid w:val="00574BE1"/>
    <w:rsid w:val="00580D04"/>
    <w:rsid w:val="00586463"/>
    <w:rsid w:val="005910D7"/>
    <w:rsid w:val="00591649"/>
    <w:rsid w:val="005932BE"/>
    <w:rsid w:val="005A552C"/>
    <w:rsid w:val="005A5541"/>
    <w:rsid w:val="005A5C2B"/>
    <w:rsid w:val="005B77B7"/>
    <w:rsid w:val="005B7E39"/>
    <w:rsid w:val="005C4460"/>
    <w:rsid w:val="005D3CCE"/>
    <w:rsid w:val="005D602D"/>
    <w:rsid w:val="005E54A1"/>
    <w:rsid w:val="005E5F9B"/>
    <w:rsid w:val="00600BBA"/>
    <w:rsid w:val="006118FF"/>
    <w:rsid w:val="00615543"/>
    <w:rsid w:val="00617640"/>
    <w:rsid w:val="006219B0"/>
    <w:rsid w:val="00622EA5"/>
    <w:rsid w:val="00625AE3"/>
    <w:rsid w:val="00627CA2"/>
    <w:rsid w:val="006411CF"/>
    <w:rsid w:val="0064357C"/>
    <w:rsid w:val="006502B0"/>
    <w:rsid w:val="00662031"/>
    <w:rsid w:val="0066512C"/>
    <w:rsid w:val="006933FB"/>
    <w:rsid w:val="006967D2"/>
    <w:rsid w:val="00696A2D"/>
    <w:rsid w:val="006A2C21"/>
    <w:rsid w:val="006B3B96"/>
    <w:rsid w:val="006C1C1D"/>
    <w:rsid w:val="006C79B5"/>
    <w:rsid w:val="006C7BEF"/>
    <w:rsid w:val="006C7C57"/>
    <w:rsid w:val="006D0D2C"/>
    <w:rsid w:val="006D7C39"/>
    <w:rsid w:val="006F44B8"/>
    <w:rsid w:val="00703078"/>
    <w:rsid w:val="00703647"/>
    <w:rsid w:val="00706078"/>
    <w:rsid w:val="00714812"/>
    <w:rsid w:val="00743897"/>
    <w:rsid w:val="00746773"/>
    <w:rsid w:val="00746F67"/>
    <w:rsid w:val="007506B4"/>
    <w:rsid w:val="007627EA"/>
    <w:rsid w:val="00764720"/>
    <w:rsid w:val="00767786"/>
    <w:rsid w:val="00776FA6"/>
    <w:rsid w:val="0078779D"/>
    <w:rsid w:val="00790EEC"/>
    <w:rsid w:val="00795B77"/>
    <w:rsid w:val="0079663B"/>
    <w:rsid w:val="007A5D82"/>
    <w:rsid w:val="007B06E8"/>
    <w:rsid w:val="007B0F68"/>
    <w:rsid w:val="007C0F6F"/>
    <w:rsid w:val="007D3B37"/>
    <w:rsid w:val="007E1DEB"/>
    <w:rsid w:val="007E4FCE"/>
    <w:rsid w:val="007F3F12"/>
    <w:rsid w:val="00807F24"/>
    <w:rsid w:val="008126C8"/>
    <w:rsid w:val="00826879"/>
    <w:rsid w:val="00827C0C"/>
    <w:rsid w:val="00844F71"/>
    <w:rsid w:val="008635A9"/>
    <w:rsid w:val="008656A5"/>
    <w:rsid w:val="00866F4C"/>
    <w:rsid w:val="008712F7"/>
    <w:rsid w:val="008723B9"/>
    <w:rsid w:val="00876793"/>
    <w:rsid w:val="00877DCF"/>
    <w:rsid w:val="00887E84"/>
    <w:rsid w:val="008916CE"/>
    <w:rsid w:val="00893BC8"/>
    <w:rsid w:val="008A0799"/>
    <w:rsid w:val="008A135C"/>
    <w:rsid w:val="008AFE75"/>
    <w:rsid w:val="008B1EEB"/>
    <w:rsid w:val="008C5A9B"/>
    <w:rsid w:val="008D220B"/>
    <w:rsid w:val="008D296B"/>
    <w:rsid w:val="008D5CE0"/>
    <w:rsid w:val="008E2202"/>
    <w:rsid w:val="008E363A"/>
    <w:rsid w:val="008F01CA"/>
    <w:rsid w:val="00903A31"/>
    <w:rsid w:val="00904CC1"/>
    <w:rsid w:val="00907D42"/>
    <w:rsid w:val="00921862"/>
    <w:rsid w:val="00926EB2"/>
    <w:rsid w:val="0092704A"/>
    <w:rsid w:val="0093430A"/>
    <w:rsid w:val="00935316"/>
    <w:rsid w:val="00945DCD"/>
    <w:rsid w:val="00955D8B"/>
    <w:rsid w:val="00960FB8"/>
    <w:rsid w:val="009723BF"/>
    <w:rsid w:val="0097404D"/>
    <w:rsid w:val="00974F68"/>
    <w:rsid w:val="00977E32"/>
    <w:rsid w:val="0098293D"/>
    <w:rsid w:val="009918B0"/>
    <w:rsid w:val="00992820"/>
    <w:rsid w:val="009954A1"/>
    <w:rsid w:val="009A00BD"/>
    <w:rsid w:val="009A323C"/>
    <w:rsid w:val="009A5E30"/>
    <w:rsid w:val="009A6EB9"/>
    <w:rsid w:val="009C041A"/>
    <w:rsid w:val="009C0C1C"/>
    <w:rsid w:val="009D42FC"/>
    <w:rsid w:val="009D50AD"/>
    <w:rsid w:val="009D5669"/>
    <w:rsid w:val="009D588F"/>
    <w:rsid w:val="009D6BC4"/>
    <w:rsid w:val="009E15AB"/>
    <w:rsid w:val="009E628E"/>
    <w:rsid w:val="009F3BF0"/>
    <w:rsid w:val="00A01F63"/>
    <w:rsid w:val="00A032AC"/>
    <w:rsid w:val="00A06171"/>
    <w:rsid w:val="00A14B67"/>
    <w:rsid w:val="00A206A7"/>
    <w:rsid w:val="00A21E2B"/>
    <w:rsid w:val="00A270DB"/>
    <w:rsid w:val="00A3180C"/>
    <w:rsid w:val="00A36A37"/>
    <w:rsid w:val="00A46482"/>
    <w:rsid w:val="00A47FE0"/>
    <w:rsid w:val="00A52C65"/>
    <w:rsid w:val="00A57B74"/>
    <w:rsid w:val="00A80F35"/>
    <w:rsid w:val="00A818AA"/>
    <w:rsid w:val="00A9149C"/>
    <w:rsid w:val="00A96475"/>
    <w:rsid w:val="00AA380E"/>
    <w:rsid w:val="00AA3F77"/>
    <w:rsid w:val="00AA7B01"/>
    <w:rsid w:val="00AB2549"/>
    <w:rsid w:val="00AB5240"/>
    <w:rsid w:val="00AD015B"/>
    <w:rsid w:val="00AF291D"/>
    <w:rsid w:val="00B074DB"/>
    <w:rsid w:val="00B13835"/>
    <w:rsid w:val="00B14BC0"/>
    <w:rsid w:val="00B2179F"/>
    <w:rsid w:val="00B21C00"/>
    <w:rsid w:val="00B306F6"/>
    <w:rsid w:val="00B37266"/>
    <w:rsid w:val="00B4350F"/>
    <w:rsid w:val="00B4637B"/>
    <w:rsid w:val="00B50CD3"/>
    <w:rsid w:val="00B54B61"/>
    <w:rsid w:val="00B652F8"/>
    <w:rsid w:val="00B666B8"/>
    <w:rsid w:val="00B704D5"/>
    <w:rsid w:val="00B924A9"/>
    <w:rsid w:val="00BA0E3D"/>
    <w:rsid w:val="00BA4F29"/>
    <w:rsid w:val="00BB2636"/>
    <w:rsid w:val="00BB3CA8"/>
    <w:rsid w:val="00BB3CAE"/>
    <w:rsid w:val="00BC0FEC"/>
    <w:rsid w:val="00BC4501"/>
    <w:rsid w:val="00BC4D52"/>
    <w:rsid w:val="00BD099B"/>
    <w:rsid w:val="00BD59D5"/>
    <w:rsid w:val="00BF3F3D"/>
    <w:rsid w:val="00BF6DBA"/>
    <w:rsid w:val="00C00A10"/>
    <w:rsid w:val="00C07CE8"/>
    <w:rsid w:val="00C17370"/>
    <w:rsid w:val="00C332F2"/>
    <w:rsid w:val="00C36371"/>
    <w:rsid w:val="00C41E1E"/>
    <w:rsid w:val="00C472CF"/>
    <w:rsid w:val="00C544BA"/>
    <w:rsid w:val="00C72220"/>
    <w:rsid w:val="00C765AB"/>
    <w:rsid w:val="00C76956"/>
    <w:rsid w:val="00C87338"/>
    <w:rsid w:val="00C900FD"/>
    <w:rsid w:val="00C94633"/>
    <w:rsid w:val="00C959EC"/>
    <w:rsid w:val="00CA248A"/>
    <w:rsid w:val="00CA29A9"/>
    <w:rsid w:val="00CA4FEF"/>
    <w:rsid w:val="00CB29C3"/>
    <w:rsid w:val="00CB7DAB"/>
    <w:rsid w:val="00CC38C1"/>
    <w:rsid w:val="00CC3B99"/>
    <w:rsid w:val="00CC64FF"/>
    <w:rsid w:val="00CD4D0D"/>
    <w:rsid w:val="00CF0CBF"/>
    <w:rsid w:val="00D0284A"/>
    <w:rsid w:val="00D0287B"/>
    <w:rsid w:val="00D07F5C"/>
    <w:rsid w:val="00D1077A"/>
    <w:rsid w:val="00D12AEB"/>
    <w:rsid w:val="00D248E7"/>
    <w:rsid w:val="00D277A4"/>
    <w:rsid w:val="00D303D4"/>
    <w:rsid w:val="00D43033"/>
    <w:rsid w:val="00D56FFD"/>
    <w:rsid w:val="00D605E6"/>
    <w:rsid w:val="00D62CA4"/>
    <w:rsid w:val="00D70DA4"/>
    <w:rsid w:val="00D72336"/>
    <w:rsid w:val="00D837C5"/>
    <w:rsid w:val="00D91268"/>
    <w:rsid w:val="00D94340"/>
    <w:rsid w:val="00D945F1"/>
    <w:rsid w:val="00D94A96"/>
    <w:rsid w:val="00DA3F11"/>
    <w:rsid w:val="00DB7212"/>
    <w:rsid w:val="00DC6DC5"/>
    <w:rsid w:val="00DE4FCB"/>
    <w:rsid w:val="00DE7897"/>
    <w:rsid w:val="00E10F65"/>
    <w:rsid w:val="00E16513"/>
    <w:rsid w:val="00E17130"/>
    <w:rsid w:val="00E34F89"/>
    <w:rsid w:val="00E464DE"/>
    <w:rsid w:val="00E475A9"/>
    <w:rsid w:val="00E52809"/>
    <w:rsid w:val="00E6089A"/>
    <w:rsid w:val="00E608EE"/>
    <w:rsid w:val="00E74011"/>
    <w:rsid w:val="00E81690"/>
    <w:rsid w:val="00E87A1F"/>
    <w:rsid w:val="00EA3C13"/>
    <w:rsid w:val="00EB0861"/>
    <w:rsid w:val="00EC3E4A"/>
    <w:rsid w:val="00EC5124"/>
    <w:rsid w:val="00EC562E"/>
    <w:rsid w:val="00ED44A1"/>
    <w:rsid w:val="00F1343C"/>
    <w:rsid w:val="00F23E66"/>
    <w:rsid w:val="00F26565"/>
    <w:rsid w:val="00F42DF5"/>
    <w:rsid w:val="00F561A4"/>
    <w:rsid w:val="00F638A0"/>
    <w:rsid w:val="00F67C07"/>
    <w:rsid w:val="00F72708"/>
    <w:rsid w:val="00F81F2C"/>
    <w:rsid w:val="00F9222C"/>
    <w:rsid w:val="00F931A0"/>
    <w:rsid w:val="00FB2763"/>
    <w:rsid w:val="00FB41B2"/>
    <w:rsid w:val="00FB6775"/>
    <w:rsid w:val="00FC39E0"/>
    <w:rsid w:val="00FC4B4B"/>
    <w:rsid w:val="00FD0798"/>
    <w:rsid w:val="00FD6232"/>
    <w:rsid w:val="00FE711C"/>
    <w:rsid w:val="00FF06B3"/>
    <w:rsid w:val="00FF3391"/>
    <w:rsid w:val="01282EC4"/>
    <w:rsid w:val="01A3B0A1"/>
    <w:rsid w:val="0200E402"/>
    <w:rsid w:val="0221FC48"/>
    <w:rsid w:val="02240415"/>
    <w:rsid w:val="024373FA"/>
    <w:rsid w:val="0251E20E"/>
    <w:rsid w:val="025B82CE"/>
    <w:rsid w:val="033A56A5"/>
    <w:rsid w:val="03A5B7B1"/>
    <w:rsid w:val="0421E644"/>
    <w:rsid w:val="04258FDE"/>
    <w:rsid w:val="0460819A"/>
    <w:rsid w:val="049E1B7A"/>
    <w:rsid w:val="04BB41CF"/>
    <w:rsid w:val="04BD2DC6"/>
    <w:rsid w:val="053F43E3"/>
    <w:rsid w:val="0544D7A3"/>
    <w:rsid w:val="05BB9313"/>
    <w:rsid w:val="05E843A7"/>
    <w:rsid w:val="05F3FDCF"/>
    <w:rsid w:val="0667D6F1"/>
    <w:rsid w:val="067C8D4A"/>
    <w:rsid w:val="06923BE4"/>
    <w:rsid w:val="06E5E88C"/>
    <w:rsid w:val="080E189C"/>
    <w:rsid w:val="082882BC"/>
    <w:rsid w:val="08D0546C"/>
    <w:rsid w:val="098C22E3"/>
    <w:rsid w:val="0994DD4E"/>
    <w:rsid w:val="09AAA287"/>
    <w:rsid w:val="09C6701F"/>
    <w:rsid w:val="09CF6C4C"/>
    <w:rsid w:val="09E82887"/>
    <w:rsid w:val="0A1EF1BA"/>
    <w:rsid w:val="0AC9F0F7"/>
    <w:rsid w:val="0ADC2D1A"/>
    <w:rsid w:val="0B3120DB"/>
    <w:rsid w:val="0B32EAA5"/>
    <w:rsid w:val="0BDBF462"/>
    <w:rsid w:val="0BE48420"/>
    <w:rsid w:val="0C0E8046"/>
    <w:rsid w:val="0C6EBB1B"/>
    <w:rsid w:val="0C7E9234"/>
    <w:rsid w:val="0CD15D85"/>
    <w:rsid w:val="0D0A6C6D"/>
    <w:rsid w:val="0D0CD438"/>
    <w:rsid w:val="0D34A6D6"/>
    <w:rsid w:val="0D3715FA"/>
    <w:rsid w:val="0DB518BF"/>
    <w:rsid w:val="0DC20190"/>
    <w:rsid w:val="0DC8C6A9"/>
    <w:rsid w:val="0DE8A394"/>
    <w:rsid w:val="0F3400A8"/>
    <w:rsid w:val="0F9AAACD"/>
    <w:rsid w:val="108282C5"/>
    <w:rsid w:val="10C00072"/>
    <w:rsid w:val="10DCAE2B"/>
    <w:rsid w:val="110CC04A"/>
    <w:rsid w:val="1157FE87"/>
    <w:rsid w:val="11FEA313"/>
    <w:rsid w:val="1220837D"/>
    <w:rsid w:val="122CDE4F"/>
    <w:rsid w:val="125F5DC9"/>
    <w:rsid w:val="12652352"/>
    <w:rsid w:val="12753F9D"/>
    <w:rsid w:val="129A4073"/>
    <w:rsid w:val="12A772E1"/>
    <w:rsid w:val="12E76165"/>
    <w:rsid w:val="1312EC3F"/>
    <w:rsid w:val="132FE97A"/>
    <w:rsid w:val="13334E8F"/>
    <w:rsid w:val="1350F123"/>
    <w:rsid w:val="137396A3"/>
    <w:rsid w:val="1385B11E"/>
    <w:rsid w:val="13C33409"/>
    <w:rsid w:val="13C5F43A"/>
    <w:rsid w:val="146715F5"/>
    <w:rsid w:val="14719E30"/>
    <w:rsid w:val="1500AD82"/>
    <w:rsid w:val="15A5C776"/>
    <w:rsid w:val="15BD6FE9"/>
    <w:rsid w:val="16193A13"/>
    <w:rsid w:val="16723B4A"/>
    <w:rsid w:val="16FF98CD"/>
    <w:rsid w:val="17113005"/>
    <w:rsid w:val="17DB79B7"/>
    <w:rsid w:val="17E64436"/>
    <w:rsid w:val="185E3FB8"/>
    <w:rsid w:val="186661D9"/>
    <w:rsid w:val="1874749D"/>
    <w:rsid w:val="18E442AA"/>
    <w:rsid w:val="18EB8087"/>
    <w:rsid w:val="195C28C3"/>
    <w:rsid w:val="1985876A"/>
    <w:rsid w:val="1A471BD7"/>
    <w:rsid w:val="1A788503"/>
    <w:rsid w:val="1AE9D2CA"/>
    <w:rsid w:val="1B71A055"/>
    <w:rsid w:val="1B82EE5E"/>
    <w:rsid w:val="1C7B075C"/>
    <w:rsid w:val="1D75B338"/>
    <w:rsid w:val="1DA2379B"/>
    <w:rsid w:val="1DDE3282"/>
    <w:rsid w:val="1DE7F808"/>
    <w:rsid w:val="1E352D65"/>
    <w:rsid w:val="1F184B80"/>
    <w:rsid w:val="1F480775"/>
    <w:rsid w:val="1FD1C10C"/>
    <w:rsid w:val="204313A6"/>
    <w:rsid w:val="204D34B0"/>
    <w:rsid w:val="20A5DD7F"/>
    <w:rsid w:val="20BBCE9F"/>
    <w:rsid w:val="2155C606"/>
    <w:rsid w:val="216AD76A"/>
    <w:rsid w:val="21B36906"/>
    <w:rsid w:val="22028209"/>
    <w:rsid w:val="22327727"/>
    <w:rsid w:val="22BA39EC"/>
    <w:rsid w:val="22F2EE51"/>
    <w:rsid w:val="233BEA76"/>
    <w:rsid w:val="23615921"/>
    <w:rsid w:val="23AB83A3"/>
    <w:rsid w:val="23F75264"/>
    <w:rsid w:val="242C1A71"/>
    <w:rsid w:val="244C126B"/>
    <w:rsid w:val="248A2092"/>
    <w:rsid w:val="24C432AA"/>
    <w:rsid w:val="2586D8FC"/>
    <w:rsid w:val="259E46A7"/>
    <w:rsid w:val="25EBD56D"/>
    <w:rsid w:val="2642C1A1"/>
    <w:rsid w:val="2652FAEA"/>
    <w:rsid w:val="2655DF69"/>
    <w:rsid w:val="26BB11EB"/>
    <w:rsid w:val="272E4F72"/>
    <w:rsid w:val="27421E72"/>
    <w:rsid w:val="27452761"/>
    <w:rsid w:val="27658C8D"/>
    <w:rsid w:val="276A25D8"/>
    <w:rsid w:val="2799A473"/>
    <w:rsid w:val="27AF118C"/>
    <w:rsid w:val="280FBFF5"/>
    <w:rsid w:val="28617264"/>
    <w:rsid w:val="2866DB1A"/>
    <w:rsid w:val="2914FCF7"/>
    <w:rsid w:val="296A30A5"/>
    <w:rsid w:val="29825401"/>
    <w:rsid w:val="2A047267"/>
    <w:rsid w:val="2A293B48"/>
    <w:rsid w:val="2A75F4DB"/>
    <w:rsid w:val="2AFC796B"/>
    <w:rsid w:val="2B0FF7A8"/>
    <w:rsid w:val="2BAFBBA6"/>
    <w:rsid w:val="2BDC06DC"/>
    <w:rsid w:val="2C1D8274"/>
    <w:rsid w:val="2C2625ED"/>
    <w:rsid w:val="2C475E02"/>
    <w:rsid w:val="2C495338"/>
    <w:rsid w:val="2C9C81B2"/>
    <w:rsid w:val="2CB045C7"/>
    <w:rsid w:val="2CE89210"/>
    <w:rsid w:val="2D2C4134"/>
    <w:rsid w:val="2D2E2A45"/>
    <w:rsid w:val="2D2F1DFA"/>
    <w:rsid w:val="2DA38BC7"/>
    <w:rsid w:val="2DC9053F"/>
    <w:rsid w:val="2DF7EF22"/>
    <w:rsid w:val="2DFE28FC"/>
    <w:rsid w:val="2E16AC03"/>
    <w:rsid w:val="2E61B07B"/>
    <w:rsid w:val="2F6B17A8"/>
    <w:rsid w:val="2FB75138"/>
    <w:rsid w:val="2FBA51E5"/>
    <w:rsid w:val="307C4AF2"/>
    <w:rsid w:val="3080B62E"/>
    <w:rsid w:val="308D5806"/>
    <w:rsid w:val="30B07131"/>
    <w:rsid w:val="31064844"/>
    <w:rsid w:val="3132079C"/>
    <w:rsid w:val="314CA55D"/>
    <w:rsid w:val="3177D5A5"/>
    <w:rsid w:val="3197E3EF"/>
    <w:rsid w:val="319E20AB"/>
    <w:rsid w:val="321558FF"/>
    <w:rsid w:val="322CE1B2"/>
    <w:rsid w:val="32360F64"/>
    <w:rsid w:val="32D9438A"/>
    <w:rsid w:val="32F4332B"/>
    <w:rsid w:val="330221DF"/>
    <w:rsid w:val="3317ECD0"/>
    <w:rsid w:val="331E6A66"/>
    <w:rsid w:val="333CE6EC"/>
    <w:rsid w:val="33444710"/>
    <w:rsid w:val="339B1FDF"/>
    <w:rsid w:val="33D1D8A6"/>
    <w:rsid w:val="342E6081"/>
    <w:rsid w:val="346A12BC"/>
    <w:rsid w:val="34B893EC"/>
    <w:rsid w:val="34D81FC4"/>
    <w:rsid w:val="350B2BC7"/>
    <w:rsid w:val="35589F3A"/>
    <w:rsid w:val="35A5911B"/>
    <w:rsid w:val="35B9D5AF"/>
    <w:rsid w:val="3727DD72"/>
    <w:rsid w:val="375D9964"/>
    <w:rsid w:val="37D20B4B"/>
    <w:rsid w:val="37D7DC8C"/>
    <w:rsid w:val="37E5F109"/>
    <w:rsid w:val="37F5D52A"/>
    <w:rsid w:val="37FA4BB1"/>
    <w:rsid w:val="3813E04F"/>
    <w:rsid w:val="38549ECD"/>
    <w:rsid w:val="38C97414"/>
    <w:rsid w:val="38CFA1C3"/>
    <w:rsid w:val="3905F0F6"/>
    <w:rsid w:val="39226DA1"/>
    <w:rsid w:val="3929C9D0"/>
    <w:rsid w:val="39B6B629"/>
    <w:rsid w:val="3A151B7E"/>
    <w:rsid w:val="3A1537EF"/>
    <w:rsid w:val="3B4F501B"/>
    <w:rsid w:val="3BD4BBD6"/>
    <w:rsid w:val="3BEA1D50"/>
    <w:rsid w:val="3C017B4A"/>
    <w:rsid w:val="3C053A97"/>
    <w:rsid w:val="3C1B3435"/>
    <w:rsid w:val="3C41737B"/>
    <w:rsid w:val="3C4FFF26"/>
    <w:rsid w:val="3C99AC56"/>
    <w:rsid w:val="3C9F86BE"/>
    <w:rsid w:val="3D1B411F"/>
    <w:rsid w:val="3D42C5C4"/>
    <w:rsid w:val="3DE03003"/>
    <w:rsid w:val="3DE6EC2E"/>
    <w:rsid w:val="3E493124"/>
    <w:rsid w:val="3E4E208B"/>
    <w:rsid w:val="3EA14229"/>
    <w:rsid w:val="3F42A1ED"/>
    <w:rsid w:val="3F5387C7"/>
    <w:rsid w:val="3FBFBBED"/>
    <w:rsid w:val="400D6E45"/>
    <w:rsid w:val="402363A1"/>
    <w:rsid w:val="4085C6A4"/>
    <w:rsid w:val="4097C4BB"/>
    <w:rsid w:val="40C9B3EF"/>
    <w:rsid w:val="40F02299"/>
    <w:rsid w:val="410935A2"/>
    <w:rsid w:val="413F2F2E"/>
    <w:rsid w:val="414B2479"/>
    <w:rsid w:val="414F2243"/>
    <w:rsid w:val="41D85B3E"/>
    <w:rsid w:val="420A443F"/>
    <w:rsid w:val="4242A7D1"/>
    <w:rsid w:val="424652BA"/>
    <w:rsid w:val="428F37B6"/>
    <w:rsid w:val="42A64904"/>
    <w:rsid w:val="42BD4492"/>
    <w:rsid w:val="4309E010"/>
    <w:rsid w:val="4314C5B6"/>
    <w:rsid w:val="43558CDB"/>
    <w:rsid w:val="438FC6DC"/>
    <w:rsid w:val="4394018C"/>
    <w:rsid w:val="44662F1A"/>
    <w:rsid w:val="449977F3"/>
    <w:rsid w:val="44A7CDB2"/>
    <w:rsid w:val="44F1C620"/>
    <w:rsid w:val="45274580"/>
    <w:rsid w:val="452C9A2D"/>
    <w:rsid w:val="4557C5D8"/>
    <w:rsid w:val="45D71E04"/>
    <w:rsid w:val="45FAD157"/>
    <w:rsid w:val="46757A21"/>
    <w:rsid w:val="46951ECD"/>
    <w:rsid w:val="46990D2B"/>
    <w:rsid w:val="4760C57B"/>
    <w:rsid w:val="4798B7D8"/>
    <w:rsid w:val="47E7E1A8"/>
    <w:rsid w:val="47FA8FBC"/>
    <w:rsid w:val="4825769E"/>
    <w:rsid w:val="482E0216"/>
    <w:rsid w:val="48447E93"/>
    <w:rsid w:val="48B33E81"/>
    <w:rsid w:val="48B56341"/>
    <w:rsid w:val="495FFC7B"/>
    <w:rsid w:val="4970CB15"/>
    <w:rsid w:val="4989854D"/>
    <w:rsid w:val="4A26F8EC"/>
    <w:rsid w:val="4A6964D2"/>
    <w:rsid w:val="4B56B9D0"/>
    <w:rsid w:val="4B874651"/>
    <w:rsid w:val="4B8C0923"/>
    <w:rsid w:val="4C2B2F13"/>
    <w:rsid w:val="4C3B2565"/>
    <w:rsid w:val="4CD4FF1C"/>
    <w:rsid w:val="4DA7B8A5"/>
    <w:rsid w:val="4DFD9937"/>
    <w:rsid w:val="4E1C284F"/>
    <w:rsid w:val="4E5FCC20"/>
    <w:rsid w:val="4E85A9DB"/>
    <w:rsid w:val="4F0E862B"/>
    <w:rsid w:val="4F1B8560"/>
    <w:rsid w:val="50072BEB"/>
    <w:rsid w:val="501FA727"/>
    <w:rsid w:val="509B05DD"/>
    <w:rsid w:val="50B6E2A3"/>
    <w:rsid w:val="50CB59A0"/>
    <w:rsid w:val="50D5D34D"/>
    <w:rsid w:val="510DD929"/>
    <w:rsid w:val="510F0300"/>
    <w:rsid w:val="51171C4B"/>
    <w:rsid w:val="513C0E04"/>
    <w:rsid w:val="5161E5EF"/>
    <w:rsid w:val="516DA0D1"/>
    <w:rsid w:val="51A48996"/>
    <w:rsid w:val="51C4848F"/>
    <w:rsid w:val="51F98276"/>
    <w:rsid w:val="5221B589"/>
    <w:rsid w:val="52229645"/>
    <w:rsid w:val="52D1D590"/>
    <w:rsid w:val="52F6F7BE"/>
    <w:rsid w:val="530E7F5E"/>
    <w:rsid w:val="534C2D2B"/>
    <w:rsid w:val="534D6B12"/>
    <w:rsid w:val="5379A169"/>
    <w:rsid w:val="53ADA92A"/>
    <w:rsid w:val="53C3241D"/>
    <w:rsid w:val="542CAB82"/>
    <w:rsid w:val="546CC1E5"/>
    <w:rsid w:val="5530F00B"/>
    <w:rsid w:val="555CE9C5"/>
    <w:rsid w:val="55AA1D6E"/>
    <w:rsid w:val="55CA46DA"/>
    <w:rsid w:val="56322AB4"/>
    <w:rsid w:val="563DFF1C"/>
    <w:rsid w:val="563E6717"/>
    <w:rsid w:val="5669CEE8"/>
    <w:rsid w:val="56BAC0C0"/>
    <w:rsid w:val="58079D19"/>
    <w:rsid w:val="58583078"/>
    <w:rsid w:val="58DFA3A0"/>
    <w:rsid w:val="596D81FA"/>
    <w:rsid w:val="59B8EEB3"/>
    <w:rsid w:val="59EDC020"/>
    <w:rsid w:val="5A5EA7E8"/>
    <w:rsid w:val="5A7216F7"/>
    <w:rsid w:val="5AE017DA"/>
    <w:rsid w:val="5B0C3EB8"/>
    <w:rsid w:val="5B2CC4D3"/>
    <w:rsid w:val="5B2F00A5"/>
    <w:rsid w:val="5C2061AE"/>
    <w:rsid w:val="5C2F43AC"/>
    <w:rsid w:val="5C932350"/>
    <w:rsid w:val="5CB58B23"/>
    <w:rsid w:val="5CBC9AE9"/>
    <w:rsid w:val="5D068F75"/>
    <w:rsid w:val="5D12EB1A"/>
    <w:rsid w:val="5D496435"/>
    <w:rsid w:val="5D6CD6FD"/>
    <w:rsid w:val="5DBBBCDE"/>
    <w:rsid w:val="5E0BC6A3"/>
    <w:rsid w:val="5E184902"/>
    <w:rsid w:val="5E5C790D"/>
    <w:rsid w:val="5EB57CC5"/>
    <w:rsid w:val="5EBB39FF"/>
    <w:rsid w:val="5F2CE29C"/>
    <w:rsid w:val="5F41F8E8"/>
    <w:rsid w:val="5FB3F594"/>
    <w:rsid w:val="5FDDC825"/>
    <w:rsid w:val="6063C956"/>
    <w:rsid w:val="60A33D95"/>
    <w:rsid w:val="60AFB95B"/>
    <w:rsid w:val="60F3273A"/>
    <w:rsid w:val="60FFB266"/>
    <w:rsid w:val="6158AEE5"/>
    <w:rsid w:val="61615C25"/>
    <w:rsid w:val="61AFBD0B"/>
    <w:rsid w:val="61C341DF"/>
    <w:rsid w:val="622E4D6E"/>
    <w:rsid w:val="62A814DA"/>
    <w:rsid w:val="62F0EDF2"/>
    <w:rsid w:val="63EB3AEE"/>
    <w:rsid w:val="64038301"/>
    <w:rsid w:val="641DF9AE"/>
    <w:rsid w:val="6464FEAD"/>
    <w:rsid w:val="64C5A149"/>
    <w:rsid w:val="64C69FB8"/>
    <w:rsid w:val="6570E7A1"/>
    <w:rsid w:val="65C4C715"/>
    <w:rsid w:val="65E5EBDC"/>
    <w:rsid w:val="66177531"/>
    <w:rsid w:val="66214A20"/>
    <w:rsid w:val="665163BE"/>
    <w:rsid w:val="66C01FC3"/>
    <w:rsid w:val="66F91AFA"/>
    <w:rsid w:val="66FDBB40"/>
    <w:rsid w:val="67047A50"/>
    <w:rsid w:val="67552B2C"/>
    <w:rsid w:val="67B8AE0B"/>
    <w:rsid w:val="681FF6F6"/>
    <w:rsid w:val="689B2D78"/>
    <w:rsid w:val="6978C892"/>
    <w:rsid w:val="6979869B"/>
    <w:rsid w:val="69C43ED3"/>
    <w:rsid w:val="69E2592F"/>
    <w:rsid w:val="6A0EF506"/>
    <w:rsid w:val="6A397526"/>
    <w:rsid w:val="6A47F465"/>
    <w:rsid w:val="6B137D13"/>
    <w:rsid w:val="6B168A5F"/>
    <w:rsid w:val="6BBB8513"/>
    <w:rsid w:val="6BCC0B25"/>
    <w:rsid w:val="6BD589ED"/>
    <w:rsid w:val="6C11DB7D"/>
    <w:rsid w:val="6C9CF8CD"/>
    <w:rsid w:val="6DAEFDBC"/>
    <w:rsid w:val="6DBCDC8D"/>
    <w:rsid w:val="6DED1CA8"/>
    <w:rsid w:val="6E975A60"/>
    <w:rsid w:val="6F17FF9C"/>
    <w:rsid w:val="6F5698BC"/>
    <w:rsid w:val="70700F20"/>
    <w:rsid w:val="70BDDAA1"/>
    <w:rsid w:val="70E97218"/>
    <w:rsid w:val="714BEA56"/>
    <w:rsid w:val="718C7AD5"/>
    <w:rsid w:val="71AD3BB6"/>
    <w:rsid w:val="71F297F3"/>
    <w:rsid w:val="72259C0D"/>
    <w:rsid w:val="722B46A7"/>
    <w:rsid w:val="725D56A9"/>
    <w:rsid w:val="726F3A26"/>
    <w:rsid w:val="72D3634B"/>
    <w:rsid w:val="72D9D262"/>
    <w:rsid w:val="73738E7D"/>
    <w:rsid w:val="74238B2C"/>
    <w:rsid w:val="7445DA39"/>
    <w:rsid w:val="758BAECC"/>
    <w:rsid w:val="75EBF52B"/>
    <w:rsid w:val="761279F2"/>
    <w:rsid w:val="761CCC2A"/>
    <w:rsid w:val="7649663E"/>
    <w:rsid w:val="7674C440"/>
    <w:rsid w:val="7686B77B"/>
    <w:rsid w:val="769E27F6"/>
    <w:rsid w:val="76A8ECA4"/>
    <w:rsid w:val="76EAAE2E"/>
    <w:rsid w:val="7780F6DE"/>
    <w:rsid w:val="77820B78"/>
    <w:rsid w:val="779ED073"/>
    <w:rsid w:val="77B9011C"/>
    <w:rsid w:val="77C5FD8B"/>
    <w:rsid w:val="77F120CB"/>
    <w:rsid w:val="782DBB3A"/>
    <w:rsid w:val="78480696"/>
    <w:rsid w:val="78520CDD"/>
    <w:rsid w:val="78911EFD"/>
    <w:rsid w:val="78F2054E"/>
    <w:rsid w:val="7951BC13"/>
    <w:rsid w:val="796E191A"/>
    <w:rsid w:val="7981A5C3"/>
    <w:rsid w:val="79BBB7A4"/>
    <w:rsid w:val="79CDD3F8"/>
    <w:rsid w:val="79CEF56E"/>
    <w:rsid w:val="7A860ED4"/>
    <w:rsid w:val="7AA554D6"/>
    <w:rsid w:val="7AFA5DAA"/>
    <w:rsid w:val="7B0AE9EE"/>
    <w:rsid w:val="7B135BC0"/>
    <w:rsid w:val="7B1D5A40"/>
    <w:rsid w:val="7B460CC9"/>
    <w:rsid w:val="7BAE22E7"/>
    <w:rsid w:val="7BBE78D9"/>
    <w:rsid w:val="7BCE21F8"/>
    <w:rsid w:val="7C171BEB"/>
    <w:rsid w:val="7CE5B210"/>
    <w:rsid w:val="7CE6D37D"/>
    <w:rsid w:val="7D98DBED"/>
    <w:rsid w:val="7D9B9333"/>
    <w:rsid w:val="7D9F81E8"/>
    <w:rsid w:val="7E97F8D1"/>
    <w:rsid w:val="7EE49820"/>
    <w:rsid w:val="7EF39A78"/>
    <w:rsid w:val="7F2BC5DF"/>
    <w:rsid w:val="7F613878"/>
    <w:rsid w:val="7F9DCFB2"/>
    <w:rsid w:val="7FAE902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94018C"/>
  <w15:chartTrackingRefBased/>
  <w15:docId w15:val="{381F8055-2232-4AAB-B05F-9DEB8A44AE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F5496" w:themeColor="accent1" w:themeShade="BF"/>
      <w:sz w:val="26"/>
      <w:szCs w:val="26"/>
    </w:rPr>
  </w:style>
  <w:style w:type="character" w:styleId="CommentReference">
    <w:name w:val="annotation reference"/>
    <w:basedOn w:val="DefaultParagraphFont"/>
    <w:uiPriority w:val="99"/>
    <w:semiHidden/>
    <w:unhideWhenUsed/>
    <w:rsid w:val="00CC64FF"/>
    <w:rPr>
      <w:sz w:val="16"/>
      <w:szCs w:val="16"/>
    </w:rPr>
  </w:style>
  <w:style w:type="paragraph" w:styleId="CommentText">
    <w:name w:val="annotation text"/>
    <w:basedOn w:val="Normal"/>
    <w:link w:val="CommentTextChar"/>
    <w:uiPriority w:val="99"/>
    <w:unhideWhenUsed/>
    <w:rsid w:val="00CC64FF"/>
    <w:pPr>
      <w:spacing w:line="240" w:lineRule="auto"/>
    </w:pPr>
    <w:rPr>
      <w:sz w:val="20"/>
      <w:szCs w:val="20"/>
    </w:rPr>
  </w:style>
  <w:style w:type="character" w:customStyle="1" w:styleId="CommentTextChar">
    <w:name w:val="Comment Text Char"/>
    <w:basedOn w:val="DefaultParagraphFont"/>
    <w:link w:val="CommentText"/>
    <w:uiPriority w:val="99"/>
    <w:rsid w:val="00CC64FF"/>
    <w:rPr>
      <w:sz w:val="20"/>
      <w:szCs w:val="20"/>
    </w:rPr>
  </w:style>
  <w:style w:type="paragraph" w:styleId="CommentSubject">
    <w:name w:val="annotation subject"/>
    <w:basedOn w:val="CommentText"/>
    <w:next w:val="CommentText"/>
    <w:link w:val="CommentSubjectChar"/>
    <w:uiPriority w:val="99"/>
    <w:semiHidden/>
    <w:unhideWhenUsed/>
    <w:rsid w:val="00CC64FF"/>
    <w:rPr>
      <w:b/>
      <w:bCs/>
    </w:rPr>
  </w:style>
  <w:style w:type="character" w:customStyle="1" w:styleId="CommentSubjectChar">
    <w:name w:val="Comment Subject Char"/>
    <w:basedOn w:val="CommentTextChar"/>
    <w:link w:val="CommentSubject"/>
    <w:uiPriority w:val="99"/>
    <w:semiHidden/>
    <w:rsid w:val="00CC64FF"/>
    <w:rPr>
      <w:b/>
      <w:bCs/>
      <w:sz w:val="20"/>
      <w:szCs w:val="20"/>
    </w:rPr>
  </w:style>
  <w:style w:type="paragraph" w:styleId="BalloonText">
    <w:name w:val="Balloon Text"/>
    <w:basedOn w:val="Normal"/>
    <w:link w:val="BalloonTextChar"/>
    <w:uiPriority w:val="99"/>
    <w:semiHidden/>
    <w:unhideWhenUsed/>
    <w:rsid w:val="00CC64FF"/>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C64FF"/>
    <w:rPr>
      <w:rFonts w:ascii="Times New Roman" w:hAnsi="Times New Roman" w:cs="Times New Roman"/>
      <w:sz w:val="18"/>
      <w:szCs w:val="18"/>
    </w:rPr>
  </w:style>
  <w:style w:type="character" w:styleId="UnresolvedMention">
    <w:name w:val="Unresolved Mention"/>
    <w:basedOn w:val="DefaultParagraphFont"/>
    <w:uiPriority w:val="99"/>
    <w:unhideWhenUsed/>
    <w:rsid w:val="002954AD"/>
    <w:rPr>
      <w:color w:val="605E5C"/>
      <w:shd w:val="clear" w:color="auto" w:fill="E1DFDD"/>
    </w:rPr>
  </w:style>
  <w:style w:type="paragraph" w:customStyle="1" w:styleId="xmsonormal">
    <w:name w:val="x_msonormal"/>
    <w:basedOn w:val="Normal"/>
    <w:rsid w:val="003844D4"/>
    <w:pPr>
      <w:spacing w:after="0" w:line="240" w:lineRule="auto"/>
    </w:pPr>
    <w:rPr>
      <w:rFonts w:ascii="Calibri" w:hAnsi="Calibri" w:cs="Calibri"/>
    </w:rPr>
  </w:style>
  <w:style w:type="paragraph" w:styleId="NormalWeb">
    <w:name w:val="Normal (Web)"/>
    <w:basedOn w:val="Normal"/>
    <w:uiPriority w:val="99"/>
    <w:semiHidden/>
    <w:unhideWhenUsed/>
    <w:rsid w:val="003844D4"/>
    <w:pPr>
      <w:spacing w:after="0" w:line="240" w:lineRule="auto"/>
    </w:pPr>
    <w:rPr>
      <w:rFonts w:ascii="Calibri" w:hAnsi="Calibri" w:cs="Calibri"/>
    </w:rPr>
  </w:style>
  <w:style w:type="paragraph" w:customStyle="1" w:styleId="TableCaption">
    <w:name w:val="Table Caption"/>
    <w:basedOn w:val="Normal"/>
    <w:next w:val="Normal"/>
    <w:uiPriority w:val="99"/>
    <w:rsid w:val="00600BBA"/>
    <w:pPr>
      <w:keepNext/>
      <w:keepLines/>
      <w:spacing w:before="440" w:after="440" w:line="240" w:lineRule="atLeast"/>
      <w:jc w:val="center"/>
    </w:pPr>
    <w:rPr>
      <w:rFonts w:ascii="Arial" w:eastAsia="Times New Roman" w:hAnsi="Arial" w:cs="Arial"/>
      <w:b/>
      <w:bCs/>
      <w:caps/>
      <w:sz w:val="20"/>
      <w:szCs w:val="20"/>
    </w:rPr>
  </w:style>
  <w:style w:type="character" w:styleId="Mention">
    <w:name w:val="Mention"/>
    <w:basedOn w:val="DefaultParagraphFont"/>
    <w:uiPriority w:val="99"/>
    <w:unhideWhenUsed/>
    <w:rsid w:val="00904CC1"/>
    <w:rPr>
      <w:color w:val="2B579A"/>
      <w:shd w:val="clear" w:color="auto" w:fill="E1DFDD"/>
    </w:rPr>
  </w:style>
  <w:style w:type="paragraph" w:styleId="Revision">
    <w:name w:val="Revision"/>
    <w:hidden/>
    <w:uiPriority w:val="99"/>
    <w:semiHidden/>
    <w:rsid w:val="00C87338"/>
    <w:pPr>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otnoteReference">
    <w:name w:val="footnote reference"/>
    <w:basedOn w:val="DefaultParagraphFont"/>
    <w:uiPriority w:val="99"/>
    <w:semiHidden/>
    <w:unhideWhenUsed/>
    <w:rPr>
      <w:vertAlign w:val="superscript"/>
    </w:rPr>
  </w:style>
  <w:style w:type="character" w:customStyle="1" w:styleId="FootnoteTextChar">
    <w:name w:val="Footnote Text Char"/>
    <w:basedOn w:val="DefaultParagraphFont"/>
    <w:link w:val="FootnoteText"/>
    <w:uiPriority w:val="99"/>
    <w:semiHidden/>
    <w:rPr>
      <w:sz w:val="20"/>
      <w:szCs w:val="20"/>
    </w:rPr>
  </w:style>
  <w:style w:type="paragraph" w:styleId="FootnoteText">
    <w:name w:val="footnote text"/>
    <w:basedOn w:val="Normal"/>
    <w:link w:val="FootnoteTextChar"/>
    <w:uiPriority w:val="99"/>
    <w:semiHidden/>
    <w:unhideWhenUsed/>
    <w:pPr>
      <w:spacing w:after="0" w:line="240" w:lineRule="auto"/>
    </w:pPr>
    <w:rPr>
      <w:sz w:val="20"/>
      <w:szCs w:val="20"/>
    </w:rPr>
  </w:style>
  <w:style w:type="paragraph" w:styleId="Header">
    <w:name w:val="header"/>
    <w:basedOn w:val="Normal"/>
    <w:link w:val="HeaderChar"/>
    <w:uiPriority w:val="99"/>
    <w:semiHidden/>
    <w:unhideWhenUsed/>
    <w:rsid w:val="00047AB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47AB6"/>
  </w:style>
  <w:style w:type="paragraph" w:styleId="Footer">
    <w:name w:val="footer"/>
    <w:basedOn w:val="Normal"/>
    <w:link w:val="FooterChar"/>
    <w:uiPriority w:val="99"/>
    <w:semiHidden/>
    <w:unhideWhenUsed/>
    <w:rsid w:val="00047AB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47A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38500">
      <w:bodyDiv w:val="1"/>
      <w:marLeft w:val="0"/>
      <w:marRight w:val="0"/>
      <w:marTop w:val="0"/>
      <w:marBottom w:val="0"/>
      <w:divBdr>
        <w:top w:val="none" w:sz="0" w:space="0" w:color="auto"/>
        <w:left w:val="none" w:sz="0" w:space="0" w:color="auto"/>
        <w:bottom w:val="none" w:sz="0" w:space="0" w:color="auto"/>
        <w:right w:val="none" w:sz="0" w:space="0" w:color="auto"/>
      </w:divBdr>
    </w:div>
    <w:div w:id="46220333">
      <w:bodyDiv w:val="1"/>
      <w:marLeft w:val="0"/>
      <w:marRight w:val="0"/>
      <w:marTop w:val="0"/>
      <w:marBottom w:val="0"/>
      <w:divBdr>
        <w:top w:val="none" w:sz="0" w:space="0" w:color="auto"/>
        <w:left w:val="none" w:sz="0" w:space="0" w:color="auto"/>
        <w:bottom w:val="none" w:sz="0" w:space="0" w:color="auto"/>
        <w:right w:val="none" w:sz="0" w:space="0" w:color="auto"/>
      </w:divBdr>
    </w:div>
    <w:div w:id="117649071">
      <w:bodyDiv w:val="1"/>
      <w:marLeft w:val="0"/>
      <w:marRight w:val="0"/>
      <w:marTop w:val="0"/>
      <w:marBottom w:val="0"/>
      <w:divBdr>
        <w:top w:val="none" w:sz="0" w:space="0" w:color="auto"/>
        <w:left w:val="none" w:sz="0" w:space="0" w:color="auto"/>
        <w:bottom w:val="none" w:sz="0" w:space="0" w:color="auto"/>
        <w:right w:val="none" w:sz="0" w:space="0" w:color="auto"/>
      </w:divBdr>
    </w:div>
    <w:div w:id="183441341">
      <w:bodyDiv w:val="1"/>
      <w:marLeft w:val="0"/>
      <w:marRight w:val="0"/>
      <w:marTop w:val="0"/>
      <w:marBottom w:val="0"/>
      <w:divBdr>
        <w:top w:val="none" w:sz="0" w:space="0" w:color="auto"/>
        <w:left w:val="none" w:sz="0" w:space="0" w:color="auto"/>
        <w:bottom w:val="none" w:sz="0" w:space="0" w:color="auto"/>
        <w:right w:val="none" w:sz="0" w:space="0" w:color="auto"/>
      </w:divBdr>
    </w:div>
    <w:div w:id="362247403">
      <w:bodyDiv w:val="1"/>
      <w:marLeft w:val="0"/>
      <w:marRight w:val="0"/>
      <w:marTop w:val="0"/>
      <w:marBottom w:val="0"/>
      <w:divBdr>
        <w:top w:val="none" w:sz="0" w:space="0" w:color="auto"/>
        <w:left w:val="none" w:sz="0" w:space="0" w:color="auto"/>
        <w:bottom w:val="none" w:sz="0" w:space="0" w:color="auto"/>
        <w:right w:val="none" w:sz="0" w:space="0" w:color="auto"/>
      </w:divBdr>
    </w:div>
    <w:div w:id="486750728">
      <w:bodyDiv w:val="1"/>
      <w:marLeft w:val="0"/>
      <w:marRight w:val="0"/>
      <w:marTop w:val="0"/>
      <w:marBottom w:val="0"/>
      <w:divBdr>
        <w:top w:val="none" w:sz="0" w:space="0" w:color="auto"/>
        <w:left w:val="none" w:sz="0" w:space="0" w:color="auto"/>
        <w:bottom w:val="none" w:sz="0" w:space="0" w:color="auto"/>
        <w:right w:val="none" w:sz="0" w:space="0" w:color="auto"/>
      </w:divBdr>
    </w:div>
    <w:div w:id="586501323">
      <w:bodyDiv w:val="1"/>
      <w:marLeft w:val="0"/>
      <w:marRight w:val="0"/>
      <w:marTop w:val="0"/>
      <w:marBottom w:val="0"/>
      <w:divBdr>
        <w:top w:val="none" w:sz="0" w:space="0" w:color="auto"/>
        <w:left w:val="none" w:sz="0" w:space="0" w:color="auto"/>
        <w:bottom w:val="none" w:sz="0" w:space="0" w:color="auto"/>
        <w:right w:val="none" w:sz="0" w:space="0" w:color="auto"/>
      </w:divBdr>
    </w:div>
    <w:div w:id="609893634">
      <w:bodyDiv w:val="1"/>
      <w:marLeft w:val="0"/>
      <w:marRight w:val="0"/>
      <w:marTop w:val="0"/>
      <w:marBottom w:val="0"/>
      <w:divBdr>
        <w:top w:val="none" w:sz="0" w:space="0" w:color="auto"/>
        <w:left w:val="none" w:sz="0" w:space="0" w:color="auto"/>
        <w:bottom w:val="none" w:sz="0" w:space="0" w:color="auto"/>
        <w:right w:val="none" w:sz="0" w:space="0" w:color="auto"/>
      </w:divBdr>
    </w:div>
    <w:div w:id="661471109">
      <w:bodyDiv w:val="1"/>
      <w:marLeft w:val="0"/>
      <w:marRight w:val="0"/>
      <w:marTop w:val="0"/>
      <w:marBottom w:val="0"/>
      <w:divBdr>
        <w:top w:val="none" w:sz="0" w:space="0" w:color="auto"/>
        <w:left w:val="none" w:sz="0" w:space="0" w:color="auto"/>
        <w:bottom w:val="none" w:sz="0" w:space="0" w:color="auto"/>
        <w:right w:val="none" w:sz="0" w:space="0" w:color="auto"/>
      </w:divBdr>
    </w:div>
    <w:div w:id="873227014">
      <w:bodyDiv w:val="1"/>
      <w:marLeft w:val="0"/>
      <w:marRight w:val="0"/>
      <w:marTop w:val="0"/>
      <w:marBottom w:val="0"/>
      <w:divBdr>
        <w:top w:val="none" w:sz="0" w:space="0" w:color="auto"/>
        <w:left w:val="none" w:sz="0" w:space="0" w:color="auto"/>
        <w:bottom w:val="none" w:sz="0" w:space="0" w:color="auto"/>
        <w:right w:val="none" w:sz="0" w:space="0" w:color="auto"/>
      </w:divBdr>
    </w:div>
    <w:div w:id="873931969">
      <w:bodyDiv w:val="1"/>
      <w:marLeft w:val="0"/>
      <w:marRight w:val="0"/>
      <w:marTop w:val="0"/>
      <w:marBottom w:val="0"/>
      <w:divBdr>
        <w:top w:val="none" w:sz="0" w:space="0" w:color="auto"/>
        <w:left w:val="none" w:sz="0" w:space="0" w:color="auto"/>
        <w:bottom w:val="none" w:sz="0" w:space="0" w:color="auto"/>
        <w:right w:val="none" w:sz="0" w:space="0" w:color="auto"/>
      </w:divBdr>
    </w:div>
    <w:div w:id="914437998">
      <w:bodyDiv w:val="1"/>
      <w:marLeft w:val="0"/>
      <w:marRight w:val="0"/>
      <w:marTop w:val="0"/>
      <w:marBottom w:val="0"/>
      <w:divBdr>
        <w:top w:val="none" w:sz="0" w:space="0" w:color="auto"/>
        <w:left w:val="none" w:sz="0" w:space="0" w:color="auto"/>
        <w:bottom w:val="none" w:sz="0" w:space="0" w:color="auto"/>
        <w:right w:val="none" w:sz="0" w:space="0" w:color="auto"/>
      </w:divBdr>
    </w:div>
    <w:div w:id="949046496">
      <w:bodyDiv w:val="1"/>
      <w:marLeft w:val="0"/>
      <w:marRight w:val="0"/>
      <w:marTop w:val="0"/>
      <w:marBottom w:val="0"/>
      <w:divBdr>
        <w:top w:val="none" w:sz="0" w:space="0" w:color="auto"/>
        <w:left w:val="none" w:sz="0" w:space="0" w:color="auto"/>
        <w:bottom w:val="none" w:sz="0" w:space="0" w:color="auto"/>
        <w:right w:val="none" w:sz="0" w:space="0" w:color="auto"/>
      </w:divBdr>
    </w:div>
    <w:div w:id="1015183648">
      <w:bodyDiv w:val="1"/>
      <w:marLeft w:val="0"/>
      <w:marRight w:val="0"/>
      <w:marTop w:val="0"/>
      <w:marBottom w:val="0"/>
      <w:divBdr>
        <w:top w:val="none" w:sz="0" w:space="0" w:color="auto"/>
        <w:left w:val="none" w:sz="0" w:space="0" w:color="auto"/>
        <w:bottom w:val="none" w:sz="0" w:space="0" w:color="auto"/>
        <w:right w:val="none" w:sz="0" w:space="0" w:color="auto"/>
      </w:divBdr>
    </w:div>
    <w:div w:id="1070883637">
      <w:bodyDiv w:val="1"/>
      <w:marLeft w:val="0"/>
      <w:marRight w:val="0"/>
      <w:marTop w:val="0"/>
      <w:marBottom w:val="0"/>
      <w:divBdr>
        <w:top w:val="none" w:sz="0" w:space="0" w:color="auto"/>
        <w:left w:val="none" w:sz="0" w:space="0" w:color="auto"/>
        <w:bottom w:val="none" w:sz="0" w:space="0" w:color="auto"/>
        <w:right w:val="none" w:sz="0" w:space="0" w:color="auto"/>
      </w:divBdr>
    </w:div>
    <w:div w:id="1082482128">
      <w:bodyDiv w:val="1"/>
      <w:marLeft w:val="0"/>
      <w:marRight w:val="0"/>
      <w:marTop w:val="0"/>
      <w:marBottom w:val="0"/>
      <w:divBdr>
        <w:top w:val="none" w:sz="0" w:space="0" w:color="auto"/>
        <w:left w:val="none" w:sz="0" w:space="0" w:color="auto"/>
        <w:bottom w:val="none" w:sz="0" w:space="0" w:color="auto"/>
        <w:right w:val="none" w:sz="0" w:space="0" w:color="auto"/>
      </w:divBdr>
    </w:div>
    <w:div w:id="1175874179">
      <w:bodyDiv w:val="1"/>
      <w:marLeft w:val="0"/>
      <w:marRight w:val="0"/>
      <w:marTop w:val="0"/>
      <w:marBottom w:val="0"/>
      <w:divBdr>
        <w:top w:val="none" w:sz="0" w:space="0" w:color="auto"/>
        <w:left w:val="none" w:sz="0" w:space="0" w:color="auto"/>
        <w:bottom w:val="none" w:sz="0" w:space="0" w:color="auto"/>
        <w:right w:val="none" w:sz="0" w:space="0" w:color="auto"/>
      </w:divBdr>
    </w:div>
    <w:div w:id="1217013623">
      <w:bodyDiv w:val="1"/>
      <w:marLeft w:val="0"/>
      <w:marRight w:val="0"/>
      <w:marTop w:val="0"/>
      <w:marBottom w:val="0"/>
      <w:divBdr>
        <w:top w:val="none" w:sz="0" w:space="0" w:color="auto"/>
        <w:left w:val="none" w:sz="0" w:space="0" w:color="auto"/>
        <w:bottom w:val="none" w:sz="0" w:space="0" w:color="auto"/>
        <w:right w:val="none" w:sz="0" w:space="0" w:color="auto"/>
      </w:divBdr>
    </w:div>
    <w:div w:id="1333068028">
      <w:bodyDiv w:val="1"/>
      <w:marLeft w:val="0"/>
      <w:marRight w:val="0"/>
      <w:marTop w:val="0"/>
      <w:marBottom w:val="0"/>
      <w:divBdr>
        <w:top w:val="none" w:sz="0" w:space="0" w:color="auto"/>
        <w:left w:val="none" w:sz="0" w:space="0" w:color="auto"/>
        <w:bottom w:val="none" w:sz="0" w:space="0" w:color="auto"/>
        <w:right w:val="none" w:sz="0" w:space="0" w:color="auto"/>
      </w:divBdr>
    </w:div>
    <w:div w:id="1519389253">
      <w:bodyDiv w:val="1"/>
      <w:marLeft w:val="0"/>
      <w:marRight w:val="0"/>
      <w:marTop w:val="0"/>
      <w:marBottom w:val="0"/>
      <w:divBdr>
        <w:top w:val="none" w:sz="0" w:space="0" w:color="auto"/>
        <w:left w:val="none" w:sz="0" w:space="0" w:color="auto"/>
        <w:bottom w:val="none" w:sz="0" w:space="0" w:color="auto"/>
        <w:right w:val="none" w:sz="0" w:space="0" w:color="auto"/>
      </w:divBdr>
    </w:div>
    <w:div w:id="1571235600">
      <w:bodyDiv w:val="1"/>
      <w:marLeft w:val="0"/>
      <w:marRight w:val="0"/>
      <w:marTop w:val="0"/>
      <w:marBottom w:val="0"/>
      <w:divBdr>
        <w:top w:val="none" w:sz="0" w:space="0" w:color="auto"/>
        <w:left w:val="none" w:sz="0" w:space="0" w:color="auto"/>
        <w:bottom w:val="none" w:sz="0" w:space="0" w:color="auto"/>
        <w:right w:val="none" w:sz="0" w:space="0" w:color="auto"/>
      </w:divBdr>
    </w:div>
    <w:div w:id="1586646504">
      <w:bodyDiv w:val="1"/>
      <w:marLeft w:val="0"/>
      <w:marRight w:val="0"/>
      <w:marTop w:val="0"/>
      <w:marBottom w:val="0"/>
      <w:divBdr>
        <w:top w:val="none" w:sz="0" w:space="0" w:color="auto"/>
        <w:left w:val="none" w:sz="0" w:space="0" w:color="auto"/>
        <w:bottom w:val="none" w:sz="0" w:space="0" w:color="auto"/>
        <w:right w:val="none" w:sz="0" w:space="0" w:color="auto"/>
      </w:divBdr>
    </w:div>
    <w:div w:id="1650556154">
      <w:bodyDiv w:val="1"/>
      <w:marLeft w:val="0"/>
      <w:marRight w:val="0"/>
      <w:marTop w:val="0"/>
      <w:marBottom w:val="0"/>
      <w:divBdr>
        <w:top w:val="none" w:sz="0" w:space="0" w:color="auto"/>
        <w:left w:val="none" w:sz="0" w:space="0" w:color="auto"/>
        <w:bottom w:val="none" w:sz="0" w:space="0" w:color="auto"/>
        <w:right w:val="none" w:sz="0" w:space="0" w:color="auto"/>
      </w:divBdr>
    </w:div>
    <w:div w:id="1829244616">
      <w:bodyDiv w:val="1"/>
      <w:marLeft w:val="0"/>
      <w:marRight w:val="0"/>
      <w:marTop w:val="0"/>
      <w:marBottom w:val="0"/>
      <w:divBdr>
        <w:top w:val="none" w:sz="0" w:space="0" w:color="auto"/>
        <w:left w:val="none" w:sz="0" w:space="0" w:color="auto"/>
        <w:bottom w:val="none" w:sz="0" w:space="0" w:color="auto"/>
        <w:right w:val="none" w:sz="0" w:space="0" w:color="auto"/>
      </w:divBdr>
    </w:div>
    <w:div w:id="2085059005">
      <w:bodyDiv w:val="1"/>
      <w:marLeft w:val="0"/>
      <w:marRight w:val="0"/>
      <w:marTop w:val="0"/>
      <w:marBottom w:val="0"/>
      <w:divBdr>
        <w:top w:val="none" w:sz="0" w:space="0" w:color="auto"/>
        <w:left w:val="none" w:sz="0" w:space="0" w:color="auto"/>
        <w:bottom w:val="none" w:sz="0" w:space="0" w:color="auto"/>
        <w:right w:val="none" w:sz="0" w:space="0" w:color="auto"/>
      </w:divBdr>
    </w:div>
    <w:div w:id="2139254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dge.com/proceeding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ublicAdvocatesOffice@cpuc.ca.gov" TargetMode="External"/><Relationship Id="rId5" Type="http://schemas.openxmlformats.org/officeDocument/2006/relationships/numbering" Target="numbering.xml"/><Relationship Id="rId15" Type="http://schemas.microsoft.com/office/2019/05/relationships/documenttasks" Target="documenttasks/documenttasks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2D1C3D65-C9CD-4348-881E-0068FAB9A5D9}">
    <t:Anchor>
      <t:Comment id="961094676"/>
    </t:Anchor>
    <t:History>
      <t:Event id="{25CBA429-C83C-4901-B331-9CF8651627A7}" time="2025-03-20T20:50:19.092Z">
        <t:Attribution userId="S::jwoldemariam@semprautilities.com::405ae86d-b924-4790-a538-0051d5e87335" userProvider="AD" userName="Woldemariam, Jonathan"/>
        <t:Anchor>
          <t:Comment id="2132732474"/>
        </t:Anchor>
        <t:Create/>
      </t:Event>
      <t:Event id="{AC4BA61B-03F6-40D8-997A-46D6BD1B73B6}" time="2025-03-20T20:50:19.092Z">
        <t:Attribution userId="S::jwoldemariam@semprautilities.com::405ae86d-b924-4790-a538-0051d5e87335" userProvider="AD" userName="Woldemariam, Jonathan"/>
        <t:Anchor>
          <t:Comment id="2132732474"/>
        </t:Anchor>
        <t:Assign userId="S::LFulton@sdge.com::637afca4-2610-454d-89e4-d9a90e9aec48" userProvider="AD" userName="Fulton, Laura M"/>
      </t:Event>
      <t:Event id="{E7AA48C7-282F-434A-8A28-F73C3ED48DFB}" time="2025-03-20T20:50:19.092Z">
        <t:Attribution userId="S::jwoldemariam@semprautilities.com::405ae86d-b924-4790-a538-0051d5e87335" userProvider="AD" userName="Woldemariam, Jonathan"/>
        <t:Anchor>
          <t:Comment id="2132732474"/>
        </t:Anchor>
        <t:SetTitle title="@Fulton, Laura M; Are we doing interim recovery proposal that you know of? I think it would be good to do so."/>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6786B9FA4370141B65974482BA8AB61" ma:contentTypeVersion="17" ma:contentTypeDescription="Create a new document." ma:contentTypeScope="" ma:versionID="a84fd6dd5cf196d50e8b41a251ec20b4">
  <xsd:schema xmlns:xsd="http://www.w3.org/2001/XMLSchema" xmlns:xs="http://www.w3.org/2001/XMLSchema" xmlns:p="http://schemas.microsoft.com/office/2006/metadata/properties" xmlns:ns2="57bc06a4-be90-4270-adeb-72dff3d90fbf" xmlns:ns3="6996a22d-2c4c-4c46-8266-62bff0c00b3b" targetNamespace="http://schemas.microsoft.com/office/2006/metadata/properties" ma:root="true" ma:fieldsID="45f279a987a21de3f2d69addb841fe8c" ns2:_="" ns3:_="">
    <xsd:import namespace="57bc06a4-be90-4270-adeb-72dff3d90fbf"/>
    <xsd:import namespace="6996a22d-2c4c-4c46-8266-62bff0c00b3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Statu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bc06a4-be90-4270-adeb-72dff3d90f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Status" ma:index="12" nillable="true" ma:displayName="Status" ma:description="Status of the document" ma:format="Dropdown" ma:internalName="Status">
      <xsd:simpleType>
        <xsd:restriction base="dms:Choice">
          <xsd:enumeration value="Approved Legal"/>
          <xsd:enumeration value="Chuck Approval Required"/>
          <xsd:enumeration value="CM Approved"/>
          <xsd:enumeration value="Complete - Ready to Post"/>
          <xsd:enumeration value="Delete"/>
          <xsd:enumeration value="Do Not Send"/>
          <xsd:enumeration value="Final"/>
          <xsd:enumeration value="In Progress"/>
          <xsd:enumeration value="Ready for CM Review"/>
          <xsd:enumeration value="Response Pending"/>
          <xsd:enumeration value="Supplemental"/>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99c8f0f-62e3-48c7-84e8-4daf5ce6c20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996a22d-2c4c-4c46-8266-62bff0c00b3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d0a87e5-e773-43ee-a32a-25f1b6bab685}" ma:internalName="TaxCatchAll" ma:showField="CatchAllData" ma:web="6996a22d-2c4c-4c46-8266-62bff0c00b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6996a22d-2c4c-4c46-8266-62bff0c00b3b" xsi:nil="true"/>
    <lcf76f155ced4ddcb4097134ff3c332f xmlns="57bc06a4-be90-4270-adeb-72dff3d90fbf">
      <Terms xmlns="http://schemas.microsoft.com/office/infopath/2007/PartnerControls"/>
    </lcf76f155ced4ddcb4097134ff3c332f>
    <Status xmlns="57bc06a4-be90-4270-adeb-72dff3d90fbf"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205F9D-DD80-473B-B7EA-11AC9C7F61A0}">
  <ds:schemaRefs>
    <ds:schemaRef ds:uri="http://schemas.microsoft.com/sharepoint/v3/contenttype/forms"/>
  </ds:schemaRefs>
</ds:datastoreItem>
</file>

<file path=customXml/itemProps2.xml><?xml version="1.0" encoding="utf-8"?>
<ds:datastoreItem xmlns:ds="http://schemas.openxmlformats.org/officeDocument/2006/customXml" ds:itemID="{4CA4A24B-D14E-4990-910A-1A29E51839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bc06a4-be90-4270-adeb-72dff3d90fbf"/>
    <ds:schemaRef ds:uri="6996a22d-2c4c-4c46-8266-62bff0c00b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4759535-634A-44B6-AA2B-9BA22428C3CC}">
  <ds:schemaRefs>
    <ds:schemaRef ds:uri="http://schemas.microsoft.com/office/2006/metadata/properties"/>
    <ds:schemaRef ds:uri="http://schemas.microsoft.com/office/infopath/2007/PartnerControls"/>
    <ds:schemaRef ds:uri="6996a22d-2c4c-4c46-8266-62bff0c00b3b"/>
    <ds:schemaRef ds:uri="57bc06a4-be90-4270-adeb-72dff3d90fbf"/>
  </ds:schemaRefs>
</ds:datastoreItem>
</file>

<file path=customXml/itemProps4.xml><?xml version="1.0" encoding="utf-8"?>
<ds:datastoreItem xmlns:ds="http://schemas.openxmlformats.org/officeDocument/2006/customXml" ds:itemID="{4D5BF578-CC5C-4AE5-B719-DBD6BEC1C1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1151</Words>
  <Characters>6171</Characters>
  <Application>Microsoft Office Word</Application>
  <DocSecurity>0</DocSecurity>
  <Lines>308</Lines>
  <Paragraphs>178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Palmeira, Monica</dc:creator>
  <cp:keywords/>
  <dc:description/>
  <cp:lastModifiedBy>Rogelio Camacho</cp:lastModifiedBy>
  <cp:revision>2</cp:revision>
  <dcterms:created xsi:type="dcterms:W3CDTF">2025-05-08T16:54:00Z</dcterms:created>
  <dcterms:modified xsi:type="dcterms:W3CDTF">2025-05-08T16:54:00Z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0x010100D6786B9FA4370141B65974482BA8AB61</vt:lpwstr>
  </property>
  <property fmtid="{D5CDD505-2E9C-101B-9397-08002B2CF9AE}" pid="3" name="MediaServiceImageTags">
    <vt:lpwstr/>
  </property>
</Properties>
</file>