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E53E" w14:textId="4906B2D8" w:rsidR="000802F0" w:rsidRPr="00F86EC7" w:rsidRDefault="00375A4E" w:rsidP="00B76A4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</w:pPr>
      <w:r w:rsidRPr="00F86EC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Éste</w:t>
      </w:r>
      <w:r w:rsidR="000802F0" w:rsidRPr="00F86EC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es un anuncio de que sus tarifas pueden cambiar. Para m</w:t>
      </w:r>
      <w:r w:rsidR="000802F0" w:rsidRPr="00F86E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/>
        </w:rPr>
        <w:t>á</w:t>
      </w:r>
      <w:r w:rsidR="000802F0" w:rsidRPr="00F86EC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s detalles </w:t>
      </w:r>
      <w:r w:rsidR="000802F0" w:rsidRPr="00F86E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/>
        </w:rPr>
        <w:t>en español</w:t>
      </w:r>
      <w:r w:rsidRPr="00F86EC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/>
        </w:rPr>
        <w:t>,</w:t>
      </w:r>
      <w:r w:rsidR="000802F0" w:rsidRPr="00F86EC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r w:rsidRPr="00F86EC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br/>
      </w:r>
      <w:r w:rsidR="000802F0" w:rsidRPr="00F86EC7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llame al </w:t>
      </w:r>
      <w:r w:rsidR="000802F0" w:rsidRPr="00F86EC7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1-800-</w:t>
      </w:r>
      <w:r w:rsidR="00CF23F5" w:rsidRPr="00F86EC7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311-7343</w:t>
      </w:r>
      <w:r w:rsidR="000802F0" w:rsidRPr="00F86EC7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.</w:t>
      </w:r>
    </w:p>
    <w:p w14:paraId="46518001" w14:textId="77777777" w:rsidR="00B76A4E" w:rsidRPr="00F86EC7" w:rsidRDefault="00B76A4E" w:rsidP="00B76A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1C9D139" w14:textId="3EFAE88C" w:rsidR="008B3559" w:rsidRPr="00F86EC7" w:rsidRDefault="00CF23F5" w:rsidP="008B3559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caps w:val="0"/>
          <w:sz w:val="24"/>
          <w:szCs w:val="24"/>
          <w:lang w:val="es-ES_tradnl"/>
        </w:rPr>
        <w:t>SAN DIEGO GAS &amp; ELECTRIC</w:t>
      </w:r>
    </w:p>
    <w:p w14:paraId="11B16B90" w14:textId="0C22935A" w:rsidR="000A492D" w:rsidRPr="00F86EC7" w:rsidRDefault="008445F8" w:rsidP="000A492D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caps w:val="0"/>
          <w:sz w:val="24"/>
          <w:szCs w:val="24"/>
          <w:lang w:val="es-ES_tradnl"/>
        </w:rPr>
        <w:t>NOTIFICACIÓN DE SOLICITUD PARA RECUPERAR COSTOS REGISTRADOS EN LA CUENTA DE BALANCE DEL PROGRAMA DE GESTIÓN DE LA INTEGRIDAD DE LA TRANSMISIÓN</w:t>
      </w:r>
      <w:r w:rsidRPr="00F86EC7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</w:r>
      <w:r w:rsidR="000A492D" w:rsidRPr="00F86EC7">
        <w:rPr>
          <w:rFonts w:ascii="Times New Roman" w:hAnsi="Times New Roman" w:cs="Times New Roman"/>
          <w:sz w:val="24"/>
          <w:szCs w:val="24"/>
          <w:lang w:val="es-ES_tradnl"/>
        </w:rPr>
        <w:t>A.</w:t>
      </w:r>
      <w:r w:rsidR="00171382" w:rsidRPr="00F86EC7">
        <w:rPr>
          <w:rFonts w:ascii="Times New Roman" w:hAnsi="Times New Roman" w:cs="Times New Roman"/>
          <w:sz w:val="24"/>
          <w:szCs w:val="24"/>
          <w:lang w:val="es-ES_tradnl"/>
        </w:rPr>
        <w:t>25</w:t>
      </w:r>
      <w:r w:rsidR="000A492D" w:rsidRPr="00F86EC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-</w:t>
      </w:r>
      <w:r w:rsidR="00324223" w:rsidRPr="00F86EC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02</w:t>
      </w:r>
      <w:r w:rsidR="000A492D" w:rsidRPr="00F86EC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-</w:t>
      </w:r>
      <w:r w:rsidR="00693539" w:rsidRPr="00F86EC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012</w:t>
      </w:r>
    </w:p>
    <w:p w14:paraId="27BE69B4" w14:textId="5E783672" w:rsidR="008656A5" w:rsidRPr="00F86EC7" w:rsidRDefault="008656A5" w:rsidP="000A492D">
      <w:pPr>
        <w:spacing w:after="0" w:line="240" w:lineRule="auto"/>
        <w:jc w:val="center"/>
        <w:rPr>
          <w:b/>
          <w:bCs/>
          <w:lang w:val="es-ES_tradnl"/>
        </w:rPr>
      </w:pPr>
    </w:p>
    <w:p w14:paraId="7940A4BD" w14:textId="75A00189" w:rsidR="0C6EBB1B" w:rsidRPr="00F86EC7" w:rsidRDefault="0016105F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estoy recibiendo este aviso?</w:t>
      </w:r>
    </w:p>
    <w:p w14:paraId="3DBEDF05" w14:textId="778A14DB" w:rsidR="718C7AD5" w:rsidRPr="00F86EC7" w:rsidRDefault="0016105F" w:rsidP="00B115A0">
      <w:pPr>
        <w:pStyle w:val="NormalWeb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</w:pPr>
      <w:r w:rsidRPr="00F86EC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El 27 de febrero de 2025</w:t>
      </w:r>
      <w:r w:rsidR="4A26F8EC"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06672E" w:rsidRPr="00F86EC7">
        <w:rPr>
          <w:rFonts w:ascii="Times New Roman" w:hAnsi="Times New Roman" w:cs="Times New Roman"/>
          <w:sz w:val="24"/>
          <w:szCs w:val="24"/>
          <w:lang w:val="es-ES_tradnl"/>
        </w:rPr>
        <w:t>San Diego Gas &amp; Electric</w:t>
      </w:r>
      <w:r w:rsidR="000A492D"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r w:rsidR="0006672E" w:rsidRPr="00F86EC7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00A492D" w:rsidRPr="00F86EC7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0A492D"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="00B115A0" w:rsidRPr="00F86EC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presentó ante la Comisión de Servicios Públicos de California (CPUC) una solicitud (A.25-02-012) para recuperar los costos registrados en la Cuenta de Balance del Programa de Gestión de la Integridad de la Transmisión (Solicitud). La Solicitud pretende recuperar un total de ingresos </w:t>
      </w:r>
      <w:r w:rsidR="007E5150" w:rsidRPr="00F86EC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no recaudados</w:t>
      </w:r>
      <w:r w:rsidR="00DB15E8" w:rsidRPr="00F86EC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 por un monto</w:t>
      </w:r>
      <w:r w:rsidR="00B115A0" w:rsidRPr="00F86EC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 de $7.4 millones</w:t>
      </w:r>
      <w:r w:rsidR="00CF23F5" w:rsidRPr="00F86EC7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10FDF2B" w14:textId="77777777" w:rsidR="008656A5" w:rsidRPr="00F86EC7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06261EF7" w14:textId="77777777" w:rsidR="00342CD2" w:rsidRDefault="00124E0D" w:rsidP="00342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está SDG&amp;E solicitando este aumento tarifario?</w:t>
      </w:r>
    </w:p>
    <w:p w14:paraId="6D919B64" w14:textId="75F47C5D" w:rsidR="00840C4C" w:rsidRPr="00342CD2" w:rsidRDefault="00BC2616" w:rsidP="00342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BC261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Esta Solicitud cubrirá la implementación del Programa de Gestión de la Integridad de la Transmisión (TIMP, por sus siglas en inglés) y la recuperación de los costos relacionados registrados en la Cuenta de Balance del TIMP (TIMPBA, por sus siglas en inglés) de 2019 a 2023. El TIMP es un programa integral que realiza evaluaciones prescriptivas de las tuberías de transmisión de gas natural según lo exigen las reglamentaciones federales, incluidas las nuevas reglamentaciones federales promulga</w:t>
      </w:r>
      <w:r w:rsidR="007018C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das</w:t>
      </w:r>
      <w:r w:rsidRPr="00BC261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 durante el periodo 2019-2023.</w:t>
      </w:r>
    </w:p>
    <w:p w14:paraId="38C6DFCC" w14:textId="6FE49DDA" w:rsidR="008656A5" w:rsidRPr="00F86EC7" w:rsidRDefault="00A4573C" w:rsidP="00A45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</w:pPr>
      <w:r w:rsidRPr="00A4573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La CPUC aprobó el TIMP con aproximadamente $84.5 millones de gastos autorizados para los años 2019-2023. SDG&amp;E solicita la recuperación de $7.4 millones en ingresos no recaudados, para gastos en los que se incurrió por encima de los niveles autorizados para el periodo comprendido entre el 1 de agosto de 2023 y el 31 de diciembre de 202</w:t>
      </w:r>
      <w:r w:rsidR="00525DFF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3</w:t>
      </w:r>
      <w:r w:rsidR="00DC5799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. </w:t>
      </w:r>
    </w:p>
    <w:p w14:paraId="6E3F3C9C" w14:textId="77777777" w:rsidR="005364F8" w:rsidRPr="00F86EC7" w:rsidRDefault="005364F8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5502800C" w14:textId="77777777" w:rsidR="00E353D3" w:rsidRPr="00F86EC7" w:rsidRDefault="009F676C" w:rsidP="00E353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¿Cómo podría afectar esto mi factura de gas mensual?</w:t>
      </w:r>
      <w:r w:rsidR="4E5FCC20"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382A40CC" w14:textId="62683436" w:rsidR="00EB3881" w:rsidRPr="00F86EC7" w:rsidRDefault="00E353D3" w:rsidP="00210B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353D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Si la CPUC aprueba la solicitud de tarifas de SDG&amp;E, la factura mensual residencial promedio para un consumo de 25 termias al mes aumentaría aproximadamente $0.02 o un 0.03% al mes durante un periodo de 12 meses, o hasta que se recuperen los costos. Las tarifas promedio propuestas que se muestran a continuación son para 2026</w:t>
      </w:r>
      <w:r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.</w:t>
      </w:r>
    </w:p>
    <w:p w14:paraId="1D453327" w14:textId="77777777" w:rsidR="008D2558" w:rsidRDefault="008D2558" w:rsidP="00210B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</w:pPr>
    </w:p>
    <w:p w14:paraId="1088C392" w14:textId="2D4A7A5E" w:rsidR="00E353D3" w:rsidRPr="00F86EC7" w:rsidRDefault="008D2558" w:rsidP="00210B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86E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Impacto de tarifas en paquete*</w:t>
      </w:r>
    </w:p>
    <w:tbl>
      <w:tblPr>
        <w:tblW w:w="8190" w:type="dxa"/>
        <w:tblLook w:val="04A0" w:firstRow="1" w:lastRow="0" w:firstColumn="1" w:lastColumn="0" w:noHBand="0" w:noVBand="1"/>
      </w:tblPr>
      <w:tblGrid>
        <w:gridCol w:w="3176"/>
        <w:gridCol w:w="1256"/>
        <w:gridCol w:w="1376"/>
        <w:gridCol w:w="1403"/>
        <w:gridCol w:w="1403"/>
      </w:tblGrid>
      <w:tr w:rsidR="00F6753C" w:rsidRPr="00F86EC7" w14:paraId="46F117E0" w14:textId="77777777" w:rsidTr="00CB549A">
        <w:trPr>
          <w:trHeight w:val="300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BCDC" w14:textId="05C0A5B3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B1AEB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4586E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12A23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A40B4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CB549A" w:rsidRPr="00F86EC7" w14:paraId="49AE4274" w14:textId="77777777" w:rsidTr="00CB549A">
        <w:trPr>
          <w:trHeight w:val="300"/>
        </w:trPr>
        <w:tc>
          <w:tcPr>
            <w:tcW w:w="31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C817" w14:textId="3391C945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</w:t>
            </w:r>
            <w:r w:rsidR="003913F8"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lasificación de clientes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1DA6B" w14:textId="28248FF4" w:rsidR="00F6753C" w:rsidRPr="00F86EC7" w:rsidRDefault="00356228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actuales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52052" w14:textId="5EC2B231" w:rsidR="00F6753C" w:rsidRPr="00F86EC7" w:rsidRDefault="00356228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propuestas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E7BF" w14:textId="4866D662" w:rsidR="00F6753C" w:rsidRPr="00F86EC7" w:rsidRDefault="00356228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Incremento </w:t>
            </w:r>
            <w:r w:rsidR="00F6753C"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% 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4AE7" w14:textId="17F2E1B8" w:rsidR="00F6753C" w:rsidRPr="00F86EC7" w:rsidRDefault="00356228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Incremento tarifario</w:t>
            </w:r>
            <w:r w:rsidR="00451232"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F6753C"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(</w:t>
            </w:r>
            <w:r w:rsidR="00312273"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e</w:t>
            </w:r>
            <w:r w:rsidR="00F6753C"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n cent</w:t>
            </w:r>
            <w:r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avo</w:t>
            </w:r>
            <w:r w:rsidR="00F6753C" w:rsidRPr="00F8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s)</w:t>
            </w:r>
          </w:p>
        </w:tc>
      </w:tr>
      <w:tr w:rsidR="005D394D" w:rsidRPr="00F86EC7" w14:paraId="3A5BFC28" w14:textId="77777777" w:rsidTr="00CB549A">
        <w:trPr>
          <w:trHeight w:val="3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415F" w14:textId="24110601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(t = t</w:t>
            </w:r>
            <w:r w:rsidR="003913F8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ermia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, </w:t>
            </w:r>
            <w:proofErr w:type="spellStart"/>
            <w:r w:rsidR="00B02D0B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d</w:t>
            </w:r>
            <w:r w:rsidR="00312273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</w:t>
            </w:r>
            <w:proofErr w:type="spellEnd"/>
            <w:r w:rsidR="00B02D0B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= </w:t>
            </w:r>
            <w:proofErr w:type="spellStart"/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de</w:t>
            </w:r>
            <w:r w:rsidR="003913F8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at</w:t>
            </w:r>
            <w:r w:rsidR="003913F8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ermia</w:t>
            </w:r>
            <w:proofErr w:type="spellEnd"/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09C33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51D55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30053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03DB3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6753C" w:rsidRPr="00F86EC7" w14:paraId="34FC6A1D" w14:textId="77777777" w:rsidTr="00CB549A">
        <w:trPr>
          <w:trHeight w:val="3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5562" w14:textId="3C201793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Residen</w:t>
            </w:r>
            <w:r w:rsidR="00356228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ial ¢/t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7C0C" w14:textId="5CCCDFA3" w:rsidR="00F6753C" w:rsidRPr="00F86EC7" w:rsidRDefault="005B59A9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273.070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C47B" w14:textId="477DBC78" w:rsidR="00F6753C" w:rsidRPr="00F86EC7" w:rsidRDefault="005B59A9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273.159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680B7" w14:textId="5ADFEEDC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lang w:val="es-ES_tradnl"/>
              </w:rPr>
              <w:t>0</w:t>
            </w:r>
            <w:r w:rsidR="00780C0A" w:rsidRPr="00F86EC7">
              <w:rPr>
                <w:rFonts w:ascii="Times New Roman" w:eastAsia="Times New Roman" w:hAnsi="Times New Roman" w:cs="Times New Roman"/>
                <w:lang w:val="es-ES_tradnl"/>
              </w:rPr>
              <w:t>.</w:t>
            </w:r>
            <w:r w:rsidR="005B59A9" w:rsidRPr="00F86EC7">
              <w:rPr>
                <w:rFonts w:ascii="Times New Roman" w:eastAsia="Times New Roman" w:hAnsi="Times New Roman" w:cs="Times New Roman"/>
                <w:lang w:val="es-ES_tradnl"/>
              </w:rPr>
              <w:t>0</w:t>
            </w:r>
            <w:r w:rsidRPr="00F86EC7">
              <w:rPr>
                <w:rFonts w:ascii="Times New Roman" w:eastAsia="Times New Roman" w:hAnsi="Times New Roman" w:cs="Times New Roman"/>
                <w:lang w:val="es-ES_tradnl"/>
              </w:rPr>
              <w:t>%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EB1B" w14:textId="4D1B5C8E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</w:t>
            </w:r>
            <w:r w:rsidR="004C5AC1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089 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</w:t>
            </w:r>
          </w:p>
        </w:tc>
      </w:tr>
      <w:tr w:rsidR="00F6753C" w:rsidRPr="00F86EC7" w14:paraId="6F682C97" w14:textId="77777777" w:rsidTr="00CB549A">
        <w:trPr>
          <w:trHeight w:val="3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FA563" w14:textId="3635399F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Comercial ¢/t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B26A" w14:textId="05BB170F" w:rsidR="00F6753C" w:rsidRPr="00F86EC7" w:rsidRDefault="004C5AC1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153.691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1521E" w14:textId="647EA62E" w:rsidR="00F6753C" w:rsidRPr="00F86EC7" w:rsidRDefault="004C5AC1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153.780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18EC" w14:textId="77777777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lang w:val="es-ES_tradnl"/>
              </w:rPr>
              <w:t>0.1%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0EF45" w14:textId="601FDDC1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</w:t>
            </w:r>
            <w:r w:rsidR="005A2ADD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089 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</w:t>
            </w:r>
          </w:p>
        </w:tc>
      </w:tr>
      <w:tr w:rsidR="00F6753C" w:rsidRPr="00F86EC7" w14:paraId="0F545525" w14:textId="77777777" w:rsidTr="00CB549A">
        <w:trPr>
          <w:trHeight w:val="3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386BC" w14:textId="32F04CB9" w:rsidR="00F6753C" w:rsidRPr="00F86EC7" w:rsidRDefault="00312273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Vehículos de gas natural 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¢/t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480BB" w14:textId="70761D2B" w:rsidR="00F6753C" w:rsidRPr="00F86EC7" w:rsidRDefault="005A2ADD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90.419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B8D1A" w14:textId="7040F2C0" w:rsidR="00F6753C" w:rsidRPr="00F86EC7" w:rsidRDefault="005A2ADD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90.506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1125D" w14:textId="2615C628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lang w:val="es-ES_tradnl"/>
              </w:rPr>
              <w:t>0.</w:t>
            </w:r>
            <w:r w:rsidR="00AA073C" w:rsidRPr="00F86EC7">
              <w:rPr>
                <w:rFonts w:ascii="Times New Roman" w:eastAsia="Times New Roman" w:hAnsi="Times New Roman" w:cs="Times New Roman"/>
                <w:lang w:val="es-ES_tradnl"/>
              </w:rPr>
              <w:t>1</w:t>
            </w:r>
            <w:r w:rsidRPr="00F86EC7">
              <w:rPr>
                <w:rFonts w:ascii="Times New Roman" w:eastAsia="Times New Roman" w:hAnsi="Times New Roman" w:cs="Times New Roman"/>
                <w:lang w:val="es-ES_tradnl"/>
              </w:rPr>
              <w:t>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2D31" w14:textId="0957B203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</w:t>
            </w:r>
            <w:r w:rsidR="00AA07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088 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</w:t>
            </w:r>
          </w:p>
        </w:tc>
      </w:tr>
      <w:tr w:rsidR="00F6753C" w:rsidRPr="00F86EC7" w14:paraId="4B10C3D9" w14:textId="77777777" w:rsidTr="00CB549A">
        <w:trPr>
          <w:trHeight w:val="3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32397" w14:textId="4DD04B80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lastRenderedPageBreak/>
              <w:t xml:space="preserve">Industrial </w:t>
            </w:r>
            <w:r w:rsidR="00312273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grande 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</w:t>
            </w:r>
            <w:r w:rsidR="00312273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servicio a nivel de 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distribu</w:t>
            </w:r>
            <w:r w:rsidR="00312273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ción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 ¢/t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925B4" w14:textId="2EAAAFD4" w:rsidR="00F6753C" w:rsidRPr="00F86EC7" w:rsidRDefault="00237224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59.198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86006" w14:textId="6DFD9876" w:rsidR="00F6753C" w:rsidRPr="00F86EC7" w:rsidRDefault="00237224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59.200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8CD20" w14:textId="77777777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lang w:val="es-ES_tradnl"/>
              </w:rPr>
              <w:t>0.0%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23B6" w14:textId="6C7B5C4A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</w:t>
            </w:r>
            <w:r w:rsidR="00237224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002 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</w:t>
            </w:r>
          </w:p>
        </w:tc>
      </w:tr>
      <w:tr w:rsidR="00F6753C" w:rsidRPr="00F86EC7" w14:paraId="7EBCAEC8" w14:textId="77777777" w:rsidTr="00CB549A">
        <w:trPr>
          <w:trHeight w:val="3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647A7" w14:textId="289389EC" w:rsidR="00F6753C" w:rsidRPr="00F86EC7" w:rsidRDefault="00312273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Industrial grande (servicio a nivel de transmisión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) ¢/t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7BA1F" w14:textId="56F8FF3B" w:rsidR="00F6753C" w:rsidRPr="00F86EC7" w:rsidRDefault="00237224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25.881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BF2AE" w14:textId="45386B8B" w:rsidR="00F6753C" w:rsidRPr="00F86EC7" w:rsidRDefault="00237224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25.882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D89F" w14:textId="77777777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lang w:val="es-ES_tradnl"/>
              </w:rPr>
              <w:t>0.0%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3CAD" w14:textId="77777777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0.001 ¢</w:t>
            </w:r>
          </w:p>
        </w:tc>
      </w:tr>
      <w:tr w:rsidR="00F6753C" w:rsidRPr="00F86EC7" w14:paraId="783EE62F" w14:textId="77777777" w:rsidTr="00CB549A">
        <w:trPr>
          <w:trHeight w:val="3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2B44" w14:textId="24062639" w:rsidR="00F6753C" w:rsidRPr="00F86EC7" w:rsidRDefault="00C47E8F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Servicio de transmisión troncal 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¢/</w:t>
            </w:r>
            <w:proofErr w:type="spellStart"/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dt</w:t>
            </w:r>
            <w:proofErr w:type="spellEnd"/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/d</w:t>
            </w:r>
            <w:r w:rsidR="00116A9D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í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a*</w:t>
            </w:r>
            <w:r w:rsidR="1F58200E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A85DF" w14:textId="0FFFCCC4" w:rsidR="00F6753C" w:rsidRPr="00F86EC7" w:rsidRDefault="00094074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73.303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C8B9" w14:textId="0CF534DF" w:rsidR="00F6753C" w:rsidRPr="00F86EC7" w:rsidRDefault="00094074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74.160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76634" w14:textId="70235A25" w:rsidR="00F6753C" w:rsidRPr="00F86EC7" w:rsidRDefault="00094074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lang w:val="es-ES_tradnl"/>
              </w:rPr>
              <w:t>1.2</w:t>
            </w:r>
            <w:r w:rsidR="00F6753C" w:rsidRPr="00F86EC7">
              <w:rPr>
                <w:rFonts w:ascii="Times New Roman" w:eastAsia="Times New Roman" w:hAnsi="Times New Roman" w:cs="Times New Roman"/>
                <w:lang w:val="es-ES_tradnl"/>
              </w:rPr>
              <w:t>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8C29E" w14:textId="34C1A213" w:rsidR="00F6753C" w:rsidRPr="00F86EC7" w:rsidRDefault="00094074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0.858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</w:tr>
      <w:tr w:rsidR="00F6753C" w:rsidRPr="00F86EC7" w14:paraId="520A96D0" w14:textId="77777777" w:rsidTr="00CB549A">
        <w:trPr>
          <w:trHeight w:val="3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A185" w14:textId="1DD1E336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proofErr w:type="gramStart"/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Total</w:t>
            </w:r>
            <w:proofErr w:type="gramEnd"/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C47E8F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del sistema 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¢/t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3C50" w14:textId="12984238" w:rsidR="00F6753C" w:rsidRPr="00F86EC7" w:rsidRDefault="00094074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112.539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CB077" w14:textId="4A3C24EB" w:rsidR="00F6753C" w:rsidRPr="00F86EC7" w:rsidRDefault="00094074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112.542</w:t>
            </w:r>
            <w:r w:rsidR="00F6753C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A922F" w14:textId="77777777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lang w:val="es-ES_tradnl"/>
              </w:rPr>
              <w:t>0.0%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DD75" w14:textId="7C7692F4" w:rsidR="00F6753C" w:rsidRPr="00F86EC7" w:rsidRDefault="00F6753C" w:rsidP="00F6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</w:t>
            </w:r>
            <w:r w:rsidR="00094074"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003 </w:t>
            </w:r>
            <w:r w:rsidRPr="00F86EC7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¢</w:t>
            </w:r>
          </w:p>
        </w:tc>
      </w:tr>
      <w:tr w:rsidR="00F6753C" w:rsidRPr="00F86EC7" w14:paraId="45E3E9B9" w14:textId="77777777" w:rsidTr="00CB549A">
        <w:trPr>
          <w:trHeight w:val="300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8413" w14:textId="66D38630" w:rsidR="00F6753C" w:rsidRPr="00F86EC7" w:rsidRDefault="00F6753C" w:rsidP="00833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B6ED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7CD7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F64F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02FF" w14:textId="77777777" w:rsidR="00F6753C" w:rsidRPr="00F86EC7" w:rsidRDefault="00F6753C" w:rsidP="00F6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3E281F" w:rsidRPr="00F86EC7" w14:paraId="23AC248A" w14:textId="77777777" w:rsidTr="00CB549A">
        <w:trPr>
          <w:trHeight w:val="300"/>
        </w:trPr>
        <w:tc>
          <w:tcPr>
            <w:tcW w:w="819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C1AA36" w14:textId="4D0EF6F7" w:rsidR="00593862" w:rsidRPr="00F86EC7" w:rsidRDefault="00593862" w:rsidP="0059386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*Las tarifas en paquete incluyen la adquisición de gas como producto básico, el transporte y el cargo adicional del Programa de Utilidad Pública (PPPS, por sus siglas en inglés) para clientes principales. El transporte y el PPPS para clientes no principales,</w:t>
            </w:r>
          </w:p>
          <w:p w14:paraId="75E31511" w14:textId="2EABD6C0" w:rsidR="003E281F" w:rsidRPr="00F86EC7" w:rsidRDefault="00593862" w:rsidP="0059386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F86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** El Servicio de Transporte Troncal son derechos que los clientes pueden adquirir para transportar gas natural a través del sistema troncal hasta el </w:t>
            </w:r>
            <w:proofErr w:type="spellStart"/>
            <w:r w:rsidRPr="00F86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Citygate</w:t>
            </w:r>
            <w:proofErr w:type="spellEnd"/>
            <w:r w:rsidRPr="00F86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F86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SoCal</w:t>
            </w:r>
            <w:proofErr w:type="spellEnd"/>
            <w:r w:rsidRPr="00F86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. Los clientes principales que compran suministros de gas natural a SDG&amp;E tienen este cargo incluido en la tarifa del gas natural como producto básico.</w:t>
            </w:r>
          </w:p>
        </w:tc>
      </w:tr>
    </w:tbl>
    <w:p w14:paraId="38192568" w14:textId="77777777" w:rsidR="00EB3881" w:rsidRPr="00F86EC7" w:rsidRDefault="00EB3881" w:rsidP="00210B8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</w:pPr>
    </w:p>
    <w:p w14:paraId="7D656D89" w14:textId="6747B4C1" w:rsidR="003844D4" w:rsidRPr="00F86EC7" w:rsidRDefault="00F26089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¿Cómo funciona el resto de este proceso?</w:t>
      </w:r>
      <w:r w:rsidR="003844D4" w:rsidRPr="00F86EC7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 </w:t>
      </w:r>
    </w:p>
    <w:p w14:paraId="3EED5CD0" w14:textId="7E9B55D2" w:rsidR="004275E6" w:rsidRPr="00F86EC7" w:rsidRDefault="0017164B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La presente solicitud se asignará a un Juez de Derecho Administrativo de la CPUC, quien considerará las propuestas y pruebas</w:t>
      </w:r>
      <w:r w:rsidRPr="00F86EC7">
        <w:rPr>
          <w:rFonts w:ascii="Times New Roman" w:eastAsia="Times New Roman" w:hAnsi="Times New Roman" w:cs="Times New Roman"/>
          <w:color w:val="FF0000"/>
          <w:sz w:val="24"/>
          <w:szCs w:val="24"/>
          <w:lang w:val="es-ES_tradnl"/>
        </w:rPr>
        <w:t xml:space="preserve"> </w:t>
      </w:r>
      <w:r w:rsidRPr="00F86EC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presentadas durante el proceso formal de las audiencias. El Juez de Derecho Administrativo emitirá una propuesta de decisión que tal vez adopte la solicitud de </w:t>
      </w:r>
      <w:r w:rsidRPr="00F86EC7"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 w:rsidRPr="00F86EC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, la modifique o la deniegue. Cualquier Comisionado de la CPUC puede proponer una decisión alterna con un resultado distinto. La decisión propuesta y cualquier decisión alterna serán sometidas a la discusión y votación de los Comisionados de la CPUC en una Reunión de Votación pública de la CPUC</w:t>
      </w:r>
      <w:r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</w:p>
    <w:p w14:paraId="1556E433" w14:textId="77777777" w:rsidR="002A790E" w:rsidRPr="00F86EC7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1AE2BD67" w14:textId="3D46D3B0" w:rsidR="00C24840" w:rsidRPr="00F86EC7" w:rsidRDefault="00C24840" w:rsidP="00C24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</w:t>
      </w:r>
      <w:r w:rsidR="00840BB3"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 a la</w:t>
      </w:r>
      <w:r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CPUC</w:t>
      </w:r>
    </w:p>
    <w:p w14:paraId="7F98DDD2" w14:textId="5D33E927" w:rsidR="00C24840" w:rsidRPr="00F86EC7" w:rsidRDefault="00DA18A9" w:rsidP="00C24840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Las partes en el procedimiento, entre las cuales se incluye la Oficina de Defensores Públicos, podrán examinar la solicitud de SDG&amp;E. La Oficina de Defensores Públicos es un defensor independiente de los consumidores dentro de la CPUC que representa a los clientes para obtener la tarifa más baja posible por un servicio acorde con niveles de servicio confiables y seguros. Para más información, llame al</w:t>
      </w:r>
      <w:r w:rsidR="00601799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C24840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1-415-703-1584, e</w:t>
      </w:r>
      <w:r w:rsidR="00601799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nvíe un mensaje de correo electrónico a</w:t>
      </w:r>
      <w:r w:rsidR="00C24840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hyperlink r:id="rId9" w:history="1">
        <w:r w:rsidR="00C24840" w:rsidRPr="00F86EC7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PublicAdvocatesOffice@cpuc.ca.gov</w:t>
        </w:r>
      </w:hyperlink>
      <w:r w:rsidR="00601799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C24840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o visit</w:t>
      </w:r>
      <w:r w:rsidR="00601799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</w:t>
      </w:r>
      <w:r w:rsidR="00C24840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hyperlink r:id="rId10" w:history="1">
        <w:r w:rsidR="00C24840" w:rsidRPr="00F86EC7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PublicAdvocates.cpuc.ca.gov.</w:t>
        </w:r>
      </w:hyperlink>
    </w:p>
    <w:p w14:paraId="24CBA704" w14:textId="77777777" w:rsidR="00C24840" w:rsidRPr="00F86EC7" w:rsidRDefault="00C24840" w:rsidP="00C24840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0788D590" w14:textId="37EFC5C5" w:rsidR="00C24840" w:rsidRPr="00F86EC7" w:rsidRDefault="006B5829" w:rsidP="00B83A65">
      <w:pPr>
        <w:pStyle w:val="NormalWeb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</w:pPr>
      <w:r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Visite</w:t>
      </w:r>
      <w:r w:rsidR="00C24840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C24840"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apps.cpuc.ca.gov/c/</w:t>
      </w:r>
      <w:r w:rsidR="00C24840" w:rsidRPr="00F86EC7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A25</w:t>
      </w:r>
      <w:r w:rsidR="00CE6CF0" w:rsidRPr="00F86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02012</w:t>
      </w:r>
      <w:r w:rsidR="00C24840" w:rsidRPr="00F86EC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B83A65" w:rsidRPr="00F86EC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para presentar un comentario sobre este procedimiento en la ficha de</w:t>
      </w:r>
      <w:r w:rsidR="00A2416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l</w:t>
      </w:r>
      <w:r w:rsidR="00B83A65" w:rsidRPr="00F86EC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 expediente de la CPUC. Aquí también puede ver documentos y otros comentarios públicos relacionados con este procedimiento</w:t>
      </w:r>
      <w:r w:rsidR="00C24840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2775B12F" w14:textId="77777777" w:rsidR="00C24840" w:rsidRPr="00F86EC7" w:rsidRDefault="00C24840" w:rsidP="00C24840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91B1091" w14:textId="4D862CEC" w:rsidR="00C24840" w:rsidRPr="00F86EC7" w:rsidRDefault="001F7B1D" w:rsidP="00C24840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Su participación al proporcionar sus opiniones sobre la petición de SDG&amp;E puede ayudar a la CPUC a tomar una decisión fundamentada</w:t>
      </w:r>
      <w:r w:rsidR="00C24840"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0F386E42" w14:textId="6E98C529" w:rsidR="00C24840" w:rsidRPr="00F86EC7" w:rsidRDefault="003F2787" w:rsidP="003F2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</w:pPr>
      <w:r w:rsidRPr="003F278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Si tiene preguntas sobre los procesos de la CPUC, puede ponerse en contacto con la Oficina del Asesor Público de la CPUC</w:t>
      </w:r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</w:p>
    <w:p w14:paraId="7D46D588" w14:textId="23994D93" w:rsidR="00C24840" w:rsidRPr="00F86EC7" w:rsidRDefault="003F2787" w:rsidP="00C24840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Enviando un mensaje de correo electrónico a</w:t>
      </w:r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C24840" w:rsidRPr="00F86EC7">
        <w:rPr>
          <w:rFonts w:ascii="Times New Roman" w:hAnsi="Times New Roman" w:cs="Times New Roman"/>
          <w:sz w:val="24"/>
          <w:szCs w:val="24"/>
          <w:lang w:val="es-ES_tradnl"/>
        </w:rPr>
        <w:t>Public.Advisor@cpuc.ca.gov</w:t>
      </w:r>
      <w:r w:rsidR="00C24840"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61AF6BED" w14:textId="3447BD49" w:rsidR="00C24840" w:rsidRPr="00F86EC7" w:rsidRDefault="003F2787" w:rsidP="00C248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Llamando al</w:t>
      </w:r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00C24840"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1-866-849-8390 </w:t>
      </w:r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(</w:t>
      </w:r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sin costo</w:t>
      </w:r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) o</w:t>
      </w:r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al</w:t>
      </w:r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C24840"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1-415-703-2074</w:t>
      </w:r>
    </w:p>
    <w:p w14:paraId="217AB547" w14:textId="6E57B436" w:rsidR="00C24840" w:rsidRPr="00F86EC7" w:rsidRDefault="003F2787" w:rsidP="00C248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lastRenderedPageBreak/>
        <w:t>Escribiendo a</w:t>
      </w:r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ab/>
        <w:t xml:space="preserve">CPUC </w:t>
      </w:r>
      <w:proofErr w:type="spellStart"/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Public</w:t>
      </w:r>
      <w:proofErr w:type="spellEnd"/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Advisor’s</w:t>
      </w:r>
      <w:proofErr w:type="spellEnd"/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Office</w:t>
      </w:r>
    </w:p>
    <w:p w14:paraId="7B891A5D" w14:textId="77777777" w:rsidR="00C24840" w:rsidRPr="00F86EC7" w:rsidRDefault="00C24840" w:rsidP="00C2484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505 </w:t>
      </w:r>
      <w:proofErr w:type="gramStart"/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Van</w:t>
      </w:r>
      <w:proofErr w:type="gramEnd"/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Ness Avenue</w:t>
      </w:r>
    </w:p>
    <w:p w14:paraId="55C55D1E" w14:textId="77777777" w:rsidR="00C24840" w:rsidRPr="00F86EC7" w:rsidRDefault="00C24840" w:rsidP="00C2484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0F922124" w14:textId="77777777" w:rsidR="00C24840" w:rsidRPr="00F86EC7" w:rsidRDefault="00C24840" w:rsidP="00C24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40E225D" w14:textId="4261C3FD" w:rsidR="00C24840" w:rsidRPr="00F86EC7" w:rsidRDefault="001B39EC" w:rsidP="00C24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Por favor, haga referencia a la solicitud </w:t>
      </w:r>
      <w:proofErr w:type="spellStart"/>
      <w:r w:rsidR="00C24840"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Application</w:t>
      </w:r>
      <w:proofErr w:type="spellEnd"/>
      <w:r w:rsidR="00C24840"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A.25-</w:t>
      </w:r>
      <w:r w:rsidR="00CE6CF0" w:rsidRPr="00F86EC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s-ES_tradnl"/>
        </w:rPr>
        <w:t>02-012</w:t>
      </w:r>
      <w:r w:rsidR="00C24840" w:rsidRPr="00F86EC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s-ES_tradnl"/>
        </w:rPr>
        <w:t xml:space="preserve"> </w:t>
      </w:r>
      <w:r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TIMP</w:t>
      </w:r>
      <w:r w:rsidR="0013081A"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de</w:t>
      </w:r>
      <w:r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13081A"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SDG&amp;E </w:t>
      </w:r>
      <w:r w:rsidR="000907FE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en cualesquiera comunicaciones que sostenga con la CPUC en relación con este asunto</w:t>
      </w:r>
      <w:r w:rsidR="00C24840"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22267D1D" w14:textId="48A52F07" w:rsidR="00C24840" w:rsidRPr="00F86EC7" w:rsidRDefault="00CE6CF0" w:rsidP="00CE6CF0">
      <w:pPr>
        <w:pStyle w:val="NormalWeb"/>
        <w:tabs>
          <w:tab w:val="left" w:pos="7584"/>
        </w:tabs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ab/>
      </w:r>
    </w:p>
    <w:p w14:paraId="70C0C4D7" w14:textId="77777777" w:rsidR="002F1D2E" w:rsidRPr="00F86EC7" w:rsidRDefault="002F1D2E" w:rsidP="002F1D2E">
      <w:pPr>
        <w:spacing w:after="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¿Dónde puedo obtener más información? </w:t>
      </w:r>
    </w:p>
    <w:p w14:paraId="715046CF" w14:textId="77777777" w:rsidR="0070048A" w:rsidRDefault="002F1D2E" w:rsidP="007004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86EC7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Contacte a </w:t>
      </w:r>
      <w:r w:rsidR="00CF23F5"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</w:p>
    <w:p w14:paraId="05B7ACD7" w14:textId="2105A9D0" w:rsidR="00451232" w:rsidRPr="0070048A" w:rsidRDefault="002E2440" w:rsidP="007004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E244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Si tiene alguna pregunta sobre la Solicitud de SDG&amp;E, póngase en contacto utilizando la información que aparece a continuación</w:t>
      </w:r>
      <w:r w:rsidR="00451232"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2DC8F356" w14:textId="57FE8724" w:rsidR="000A492D" w:rsidRPr="00F86EC7" w:rsidRDefault="00401D71" w:rsidP="007105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Paul </w:t>
      </w:r>
      <w:proofErr w:type="spellStart"/>
      <w:r w:rsidRPr="00F86EC7">
        <w:rPr>
          <w:rFonts w:ascii="Times New Roman" w:hAnsi="Times New Roman" w:cs="Times New Roman"/>
          <w:sz w:val="24"/>
          <w:szCs w:val="24"/>
          <w:lang w:val="es-ES_tradnl"/>
        </w:rPr>
        <w:t>Deang</w:t>
      </w:r>
      <w:proofErr w:type="spellEnd"/>
    </w:p>
    <w:p w14:paraId="4A9DFF8A" w14:textId="70384AB8" w:rsidR="00A629A2" w:rsidRPr="00F86EC7" w:rsidRDefault="00A629A2" w:rsidP="001E6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F86EC7">
        <w:rPr>
          <w:rFonts w:ascii="Times New Roman" w:hAnsi="Times New Roman" w:cs="Times New Roman"/>
          <w:sz w:val="24"/>
          <w:szCs w:val="24"/>
          <w:lang w:val="es-ES_tradnl"/>
        </w:rPr>
        <w:t>Regulatory</w:t>
      </w:r>
      <w:proofErr w:type="spellEnd"/>
      <w:r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 Case Manager </w:t>
      </w:r>
      <w:proofErr w:type="spellStart"/>
      <w:r w:rsidRPr="00F86EC7"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F23F5"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SDG&amp;E </w:t>
      </w:r>
    </w:p>
    <w:p w14:paraId="3DB18FA0" w14:textId="40EC2DCE" w:rsidR="00A629A2" w:rsidRPr="00F86EC7" w:rsidRDefault="00A629A2" w:rsidP="001E6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sz w:val="24"/>
          <w:szCs w:val="24"/>
          <w:lang w:val="es-ES_tradnl"/>
        </w:rPr>
        <w:tab/>
        <w:t>555 W 5</w:t>
      </w:r>
      <w:r w:rsidRPr="00F86EC7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th</w:t>
      </w:r>
      <w:r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 Street, GT14D6</w:t>
      </w:r>
    </w:p>
    <w:p w14:paraId="3FA61F89" w14:textId="1B1A38AF" w:rsidR="00A629A2" w:rsidRPr="00F86EC7" w:rsidRDefault="00A629A2" w:rsidP="001E6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Los </w:t>
      </w:r>
      <w:proofErr w:type="spellStart"/>
      <w:r w:rsidRPr="00F86EC7">
        <w:rPr>
          <w:rFonts w:ascii="Times New Roman" w:hAnsi="Times New Roman" w:cs="Times New Roman"/>
          <w:sz w:val="24"/>
          <w:szCs w:val="24"/>
          <w:lang w:val="es-ES_tradnl"/>
        </w:rPr>
        <w:t>Angeles</w:t>
      </w:r>
      <w:proofErr w:type="spellEnd"/>
      <w:r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, CA </w:t>
      </w:r>
      <w:r w:rsidR="00D30462" w:rsidRPr="00F86EC7">
        <w:rPr>
          <w:rFonts w:ascii="Times New Roman" w:hAnsi="Times New Roman" w:cs="Times New Roman"/>
          <w:sz w:val="24"/>
          <w:szCs w:val="24"/>
          <w:lang w:val="es-ES_tradnl"/>
        </w:rPr>
        <w:t>90013</w:t>
      </w:r>
    </w:p>
    <w:p w14:paraId="18C7173B" w14:textId="75CAA891" w:rsidR="00982E51" w:rsidRPr="00F86EC7" w:rsidRDefault="00982E51" w:rsidP="001E6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hAnsi="Times New Roman" w:cs="Times New Roman"/>
          <w:sz w:val="24"/>
          <w:szCs w:val="24"/>
          <w:lang w:val="es-ES_tradnl"/>
        </w:rPr>
        <w:tab/>
      </w:r>
      <w:hyperlink r:id="rId11" w:history="1">
        <w:r w:rsidRPr="00F86EC7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pdeang@socalgas.com</w:t>
        </w:r>
      </w:hyperlink>
      <w:r w:rsidRPr="00F86E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57FD5AA1" w14:textId="77777777" w:rsidR="00D30462" w:rsidRPr="00F86EC7" w:rsidRDefault="00D30462" w:rsidP="001E6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30961D3" w14:textId="19BA5220" w:rsidR="00CA6BA8" w:rsidRPr="00F86EC7" w:rsidRDefault="00F86EC7" w:rsidP="00D304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F86EC7">
        <w:rPr>
          <w:rFonts w:ascii="Times New Roman" w:eastAsia="Calibri" w:hAnsi="Times New Roman" w:cs="Times New Roman"/>
          <w:sz w:val="24"/>
          <w:szCs w:val="24"/>
          <w:lang w:val="es-ES_tradnl"/>
        </w:rPr>
        <w:t>Una copia de la Solicitud y cualesquier documentos relacionados también pueden examinarse en</w:t>
      </w:r>
      <w:r w:rsidR="00CA6BA8"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hyperlink r:id="rId12" w:history="1">
        <w:r w:rsidR="00CF23F5" w:rsidRPr="00F86EC7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https://www.sdge.com/rates-and-regulations/proceedings</w:t>
        </w:r>
      </w:hyperlink>
      <w:r w:rsidR="00CF23F5" w:rsidRPr="00F86EC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23BAE14F" w14:textId="77777777" w:rsidR="00CA6BA8" w:rsidRPr="00F86EC7" w:rsidRDefault="00CA6BA8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5E6F4B7F" w14:textId="48F9E6FF" w:rsidR="77F120CB" w:rsidRPr="00F86EC7" w:rsidRDefault="77F120C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sectPr w:rsidR="77F120CB" w:rsidRPr="00F8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4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0174F"/>
    <w:rsid w:val="00002D1E"/>
    <w:rsid w:val="00005528"/>
    <w:rsid w:val="00024A40"/>
    <w:rsid w:val="00035E7E"/>
    <w:rsid w:val="0005504F"/>
    <w:rsid w:val="000636BC"/>
    <w:rsid w:val="0006672E"/>
    <w:rsid w:val="00071CC2"/>
    <w:rsid w:val="00074D81"/>
    <w:rsid w:val="000802F0"/>
    <w:rsid w:val="00082048"/>
    <w:rsid w:val="000907FE"/>
    <w:rsid w:val="00093417"/>
    <w:rsid w:val="00094074"/>
    <w:rsid w:val="00095555"/>
    <w:rsid w:val="000A492D"/>
    <w:rsid w:val="000B7476"/>
    <w:rsid w:val="000C1E2F"/>
    <w:rsid w:val="000C2CA3"/>
    <w:rsid w:val="000D0141"/>
    <w:rsid w:val="000D57A8"/>
    <w:rsid w:val="000F0531"/>
    <w:rsid w:val="000F23AF"/>
    <w:rsid w:val="000F3DE1"/>
    <w:rsid w:val="00102460"/>
    <w:rsid w:val="00113067"/>
    <w:rsid w:val="0011594C"/>
    <w:rsid w:val="00116A9D"/>
    <w:rsid w:val="00121F0B"/>
    <w:rsid w:val="001244B3"/>
    <w:rsid w:val="00124E0D"/>
    <w:rsid w:val="0012756B"/>
    <w:rsid w:val="0013081A"/>
    <w:rsid w:val="00136392"/>
    <w:rsid w:val="00137F33"/>
    <w:rsid w:val="0014158E"/>
    <w:rsid w:val="0016105F"/>
    <w:rsid w:val="0016228F"/>
    <w:rsid w:val="00171382"/>
    <w:rsid w:val="0017164B"/>
    <w:rsid w:val="001754CD"/>
    <w:rsid w:val="00187D3B"/>
    <w:rsid w:val="00190FDB"/>
    <w:rsid w:val="00191AE3"/>
    <w:rsid w:val="00192451"/>
    <w:rsid w:val="001A233B"/>
    <w:rsid w:val="001B2C42"/>
    <w:rsid w:val="001B39EC"/>
    <w:rsid w:val="001C4BF7"/>
    <w:rsid w:val="001C5F2A"/>
    <w:rsid w:val="001D3640"/>
    <w:rsid w:val="001D5DCF"/>
    <w:rsid w:val="001D6114"/>
    <w:rsid w:val="001E3C2C"/>
    <w:rsid w:val="001E694C"/>
    <w:rsid w:val="001F7B1D"/>
    <w:rsid w:val="00201113"/>
    <w:rsid w:val="0020189A"/>
    <w:rsid w:val="00206049"/>
    <w:rsid w:val="00210B8A"/>
    <w:rsid w:val="002150CF"/>
    <w:rsid w:val="002158A9"/>
    <w:rsid w:val="002230F1"/>
    <w:rsid w:val="00224C86"/>
    <w:rsid w:val="00237224"/>
    <w:rsid w:val="002406A4"/>
    <w:rsid w:val="002529B8"/>
    <w:rsid w:val="00257C7C"/>
    <w:rsid w:val="00285DEB"/>
    <w:rsid w:val="002954AD"/>
    <w:rsid w:val="0029798D"/>
    <w:rsid w:val="002A5EBA"/>
    <w:rsid w:val="002A790E"/>
    <w:rsid w:val="002C6255"/>
    <w:rsid w:val="002C664D"/>
    <w:rsid w:val="002E2440"/>
    <w:rsid w:val="002F1D2E"/>
    <w:rsid w:val="002F25FC"/>
    <w:rsid w:val="002F365A"/>
    <w:rsid w:val="002F6FE1"/>
    <w:rsid w:val="00312273"/>
    <w:rsid w:val="00317324"/>
    <w:rsid w:val="00324223"/>
    <w:rsid w:val="00325171"/>
    <w:rsid w:val="003311B2"/>
    <w:rsid w:val="00337B05"/>
    <w:rsid w:val="00342CD2"/>
    <w:rsid w:val="003474EE"/>
    <w:rsid w:val="00350238"/>
    <w:rsid w:val="00355319"/>
    <w:rsid w:val="00356228"/>
    <w:rsid w:val="0036517C"/>
    <w:rsid w:val="003653B2"/>
    <w:rsid w:val="00375A4E"/>
    <w:rsid w:val="003844D4"/>
    <w:rsid w:val="003913F8"/>
    <w:rsid w:val="00391F8C"/>
    <w:rsid w:val="00392B6E"/>
    <w:rsid w:val="003B2DFE"/>
    <w:rsid w:val="003C1DF8"/>
    <w:rsid w:val="003C4EA4"/>
    <w:rsid w:val="003E281F"/>
    <w:rsid w:val="003E4F2F"/>
    <w:rsid w:val="003E5976"/>
    <w:rsid w:val="003F2319"/>
    <w:rsid w:val="003F2787"/>
    <w:rsid w:val="003F488E"/>
    <w:rsid w:val="003F7AB9"/>
    <w:rsid w:val="00401D71"/>
    <w:rsid w:val="0040DBB5"/>
    <w:rsid w:val="004128D1"/>
    <w:rsid w:val="00414E02"/>
    <w:rsid w:val="00417232"/>
    <w:rsid w:val="004237D2"/>
    <w:rsid w:val="00425969"/>
    <w:rsid w:val="004275E6"/>
    <w:rsid w:val="00430A67"/>
    <w:rsid w:val="004329E1"/>
    <w:rsid w:val="00451232"/>
    <w:rsid w:val="004640F5"/>
    <w:rsid w:val="00473411"/>
    <w:rsid w:val="004746F5"/>
    <w:rsid w:val="00476F97"/>
    <w:rsid w:val="00485BD2"/>
    <w:rsid w:val="00492C55"/>
    <w:rsid w:val="004A0AD2"/>
    <w:rsid w:val="004A39F8"/>
    <w:rsid w:val="004A6ED9"/>
    <w:rsid w:val="004B3A73"/>
    <w:rsid w:val="004B402B"/>
    <w:rsid w:val="004C0AEF"/>
    <w:rsid w:val="004C5AC1"/>
    <w:rsid w:val="004D7192"/>
    <w:rsid w:val="004E04B3"/>
    <w:rsid w:val="004E762A"/>
    <w:rsid w:val="004F3F59"/>
    <w:rsid w:val="005033BB"/>
    <w:rsid w:val="005079ED"/>
    <w:rsid w:val="00507E3E"/>
    <w:rsid w:val="00525DFF"/>
    <w:rsid w:val="005364F8"/>
    <w:rsid w:val="00542BED"/>
    <w:rsid w:val="00544438"/>
    <w:rsid w:val="00545771"/>
    <w:rsid w:val="0054693E"/>
    <w:rsid w:val="005517BA"/>
    <w:rsid w:val="00562504"/>
    <w:rsid w:val="00562516"/>
    <w:rsid w:val="00593862"/>
    <w:rsid w:val="005A02BB"/>
    <w:rsid w:val="005A2ADD"/>
    <w:rsid w:val="005B59A9"/>
    <w:rsid w:val="005C4391"/>
    <w:rsid w:val="005C4662"/>
    <w:rsid w:val="005C5BBD"/>
    <w:rsid w:val="005D394D"/>
    <w:rsid w:val="005D3C00"/>
    <w:rsid w:val="005E7F25"/>
    <w:rsid w:val="005F387A"/>
    <w:rsid w:val="005F6999"/>
    <w:rsid w:val="00601799"/>
    <w:rsid w:val="00615E60"/>
    <w:rsid w:val="00633400"/>
    <w:rsid w:val="00652CDE"/>
    <w:rsid w:val="00675269"/>
    <w:rsid w:val="00677FAB"/>
    <w:rsid w:val="00681A22"/>
    <w:rsid w:val="00693539"/>
    <w:rsid w:val="00696A2D"/>
    <w:rsid w:val="006B5829"/>
    <w:rsid w:val="006C3A58"/>
    <w:rsid w:val="006C79B5"/>
    <w:rsid w:val="006C7C57"/>
    <w:rsid w:val="006F5FCA"/>
    <w:rsid w:val="006F7C36"/>
    <w:rsid w:val="0070048A"/>
    <w:rsid w:val="007018C0"/>
    <w:rsid w:val="00702DD8"/>
    <w:rsid w:val="00707956"/>
    <w:rsid w:val="007105B1"/>
    <w:rsid w:val="00717F11"/>
    <w:rsid w:val="007365DC"/>
    <w:rsid w:val="00746F67"/>
    <w:rsid w:val="00753DB7"/>
    <w:rsid w:val="0076297A"/>
    <w:rsid w:val="00767786"/>
    <w:rsid w:val="00776413"/>
    <w:rsid w:val="00776602"/>
    <w:rsid w:val="00780C0A"/>
    <w:rsid w:val="00795B77"/>
    <w:rsid w:val="007A23B0"/>
    <w:rsid w:val="007A5649"/>
    <w:rsid w:val="007E5150"/>
    <w:rsid w:val="007F4CB9"/>
    <w:rsid w:val="00800FFB"/>
    <w:rsid w:val="0081065E"/>
    <w:rsid w:val="00817C9A"/>
    <w:rsid w:val="008211CA"/>
    <w:rsid w:val="00822087"/>
    <w:rsid w:val="008300F3"/>
    <w:rsid w:val="0083059D"/>
    <w:rsid w:val="00833195"/>
    <w:rsid w:val="00834D6C"/>
    <w:rsid w:val="00840BB3"/>
    <w:rsid w:val="00840C4C"/>
    <w:rsid w:val="008445F8"/>
    <w:rsid w:val="00847CA1"/>
    <w:rsid w:val="00850007"/>
    <w:rsid w:val="008656A5"/>
    <w:rsid w:val="00876793"/>
    <w:rsid w:val="008772A7"/>
    <w:rsid w:val="008805A9"/>
    <w:rsid w:val="008A1ADE"/>
    <w:rsid w:val="008A2EAA"/>
    <w:rsid w:val="008AFE75"/>
    <w:rsid w:val="008B2133"/>
    <w:rsid w:val="008B3559"/>
    <w:rsid w:val="008B5E14"/>
    <w:rsid w:val="008B711F"/>
    <w:rsid w:val="008C5019"/>
    <w:rsid w:val="008D11D0"/>
    <w:rsid w:val="008D2558"/>
    <w:rsid w:val="008D7C82"/>
    <w:rsid w:val="008E2202"/>
    <w:rsid w:val="008E2DD6"/>
    <w:rsid w:val="008E363A"/>
    <w:rsid w:val="008E4168"/>
    <w:rsid w:val="008F72FD"/>
    <w:rsid w:val="00927DDE"/>
    <w:rsid w:val="00943DC2"/>
    <w:rsid w:val="009479B4"/>
    <w:rsid w:val="00960FB8"/>
    <w:rsid w:val="00963FDF"/>
    <w:rsid w:val="009723BF"/>
    <w:rsid w:val="00975585"/>
    <w:rsid w:val="00980A86"/>
    <w:rsid w:val="009823C7"/>
    <w:rsid w:val="00982E51"/>
    <w:rsid w:val="009954A1"/>
    <w:rsid w:val="009A45D0"/>
    <w:rsid w:val="009B5D6F"/>
    <w:rsid w:val="009C5D1A"/>
    <w:rsid w:val="009E1CD4"/>
    <w:rsid w:val="009F676C"/>
    <w:rsid w:val="009F6E07"/>
    <w:rsid w:val="00A142F7"/>
    <w:rsid w:val="00A14B67"/>
    <w:rsid w:val="00A2416A"/>
    <w:rsid w:val="00A27257"/>
    <w:rsid w:val="00A33BA3"/>
    <w:rsid w:val="00A4573C"/>
    <w:rsid w:val="00A52C65"/>
    <w:rsid w:val="00A629A2"/>
    <w:rsid w:val="00A72615"/>
    <w:rsid w:val="00A74476"/>
    <w:rsid w:val="00A82CA4"/>
    <w:rsid w:val="00A96911"/>
    <w:rsid w:val="00AA073C"/>
    <w:rsid w:val="00AA1E75"/>
    <w:rsid w:val="00AA7B01"/>
    <w:rsid w:val="00AB5240"/>
    <w:rsid w:val="00AC3F79"/>
    <w:rsid w:val="00AF291D"/>
    <w:rsid w:val="00B02D0B"/>
    <w:rsid w:val="00B04332"/>
    <w:rsid w:val="00B10BF6"/>
    <w:rsid w:val="00B115A0"/>
    <w:rsid w:val="00B136B4"/>
    <w:rsid w:val="00B1582D"/>
    <w:rsid w:val="00B250C6"/>
    <w:rsid w:val="00B26E53"/>
    <w:rsid w:val="00B306F6"/>
    <w:rsid w:val="00B4350F"/>
    <w:rsid w:val="00B55411"/>
    <w:rsid w:val="00B66149"/>
    <w:rsid w:val="00B76A4E"/>
    <w:rsid w:val="00B7703A"/>
    <w:rsid w:val="00B81EBE"/>
    <w:rsid w:val="00B83A65"/>
    <w:rsid w:val="00B938F2"/>
    <w:rsid w:val="00BB23A4"/>
    <w:rsid w:val="00BB749C"/>
    <w:rsid w:val="00BC2616"/>
    <w:rsid w:val="00BC3D2C"/>
    <w:rsid w:val="00BC4D52"/>
    <w:rsid w:val="00BE1A79"/>
    <w:rsid w:val="00BE3DDC"/>
    <w:rsid w:val="00BF47B4"/>
    <w:rsid w:val="00C06806"/>
    <w:rsid w:val="00C13F78"/>
    <w:rsid w:val="00C24840"/>
    <w:rsid w:val="00C47E8F"/>
    <w:rsid w:val="00C47FD4"/>
    <w:rsid w:val="00C51544"/>
    <w:rsid w:val="00C527C4"/>
    <w:rsid w:val="00C82980"/>
    <w:rsid w:val="00C84976"/>
    <w:rsid w:val="00C92EB2"/>
    <w:rsid w:val="00C96C96"/>
    <w:rsid w:val="00CA4534"/>
    <w:rsid w:val="00CA4FEF"/>
    <w:rsid w:val="00CA6442"/>
    <w:rsid w:val="00CA6BA8"/>
    <w:rsid w:val="00CB42DB"/>
    <w:rsid w:val="00CB549A"/>
    <w:rsid w:val="00CC3B99"/>
    <w:rsid w:val="00CC64FF"/>
    <w:rsid w:val="00CD4149"/>
    <w:rsid w:val="00CD7E69"/>
    <w:rsid w:val="00CE3C04"/>
    <w:rsid w:val="00CE6CF0"/>
    <w:rsid w:val="00CF23F5"/>
    <w:rsid w:val="00D1077A"/>
    <w:rsid w:val="00D30432"/>
    <w:rsid w:val="00D30462"/>
    <w:rsid w:val="00D42C6A"/>
    <w:rsid w:val="00D54E36"/>
    <w:rsid w:val="00D55291"/>
    <w:rsid w:val="00D57F3A"/>
    <w:rsid w:val="00D80C4D"/>
    <w:rsid w:val="00D8355F"/>
    <w:rsid w:val="00D93986"/>
    <w:rsid w:val="00DA18A9"/>
    <w:rsid w:val="00DB15E8"/>
    <w:rsid w:val="00DC5799"/>
    <w:rsid w:val="00DD6DBE"/>
    <w:rsid w:val="00DE1476"/>
    <w:rsid w:val="00DE31EF"/>
    <w:rsid w:val="00DE4FCB"/>
    <w:rsid w:val="00DF0A72"/>
    <w:rsid w:val="00DF1549"/>
    <w:rsid w:val="00DF677B"/>
    <w:rsid w:val="00DF7B06"/>
    <w:rsid w:val="00E10F65"/>
    <w:rsid w:val="00E11805"/>
    <w:rsid w:val="00E126DC"/>
    <w:rsid w:val="00E14948"/>
    <w:rsid w:val="00E353D3"/>
    <w:rsid w:val="00E45900"/>
    <w:rsid w:val="00E461C0"/>
    <w:rsid w:val="00E549D1"/>
    <w:rsid w:val="00E6089A"/>
    <w:rsid w:val="00E75364"/>
    <w:rsid w:val="00EA060D"/>
    <w:rsid w:val="00EA5113"/>
    <w:rsid w:val="00EB22F2"/>
    <w:rsid w:val="00EB3881"/>
    <w:rsid w:val="00EB394B"/>
    <w:rsid w:val="00EC1C82"/>
    <w:rsid w:val="00EC41E4"/>
    <w:rsid w:val="00EE085E"/>
    <w:rsid w:val="00EE1816"/>
    <w:rsid w:val="00EF426B"/>
    <w:rsid w:val="00F0276F"/>
    <w:rsid w:val="00F111AA"/>
    <w:rsid w:val="00F26089"/>
    <w:rsid w:val="00F335B5"/>
    <w:rsid w:val="00F42DF5"/>
    <w:rsid w:val="00F42FA6"/>
    <w:rsid w:val="00F43FB3"/>
    <w:rsid w:val="00F520D4"/>
    <w:rsid w:val="00F64A75"/>
    <w:rsid w:val="00F6753C"/>
    <w:rsid w:val="00F702C3"/>
    <w:rsid w:val="00F7212B"/>
    <w:rsid w:val="00F72708"/>
    <w:rsid w:val="00F81867"/>
    <w:rsid w:val="00F86EC7"/>
    <w:rsid w:val="00F912A5"/>
    <w:rsid w:val="00F92221"/>
    <w:rsid w:val="00FA38BA"/>
    <w:rsid w:val="00FA3DE0"/>
    <w:rsid w:val="00FA5AA2"/>
    <w:rsid w:val="00FB2763"/>
    <w:rsid w:val="00FB6775"/>
    <w:rsid w:val="00FE2FED"/>
    <w:rsid w:val="01489292"/>
    <w:rsid w:val="01A3B0A1"/>
    <w:rsid w:val="02240415"/>
    <w:rsid w:val="033A56A5"/>
    <w:rsid w:val="04258FDE"/>
    <w:rsid w:val="0460819A"/>
    <w:rsid w:val="049E1B7A"/>
    <w:rsid w:val="04BB41CF"/>
    <w:rsid w:val="04BD2DC6"/>
    <w:rsid w:val="0544D7A3"/>
    <w:rsid w:val="05BB9313"/>
    <w:rsid w:val="0667D6F1"/>
    <w:rsid w:val="06923BE4"/>
    <w:rsid w:val="06E5E88C"/>
    <w:rsid w:val="080E189C"/>
    <w:rsid w:val="098C22E3"/>
    <w:rsid w:val="09AAA287"/>
    <w:rsid w:val="09C6701F"/>
    <w:rsid w:val="09CF6C4C"/>
    <w:rsid w:val="0A1EF1BA"/>
    <w:rsid w:val="0AC9F0F7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F3400A8"/>
    <w:rsid w:val="0F9AAACD"/>
    <w:rsid w:val="108282C5"/>
    <w:rsid w:val="110CC04A"/>
    <w:rsid w:val="1157FE87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1ECEA"/>
    <w:rsid w:val="16FF98CD"/>
    <w:rsid w:val="17DB79B7"/>
    <w:rsid w:val="17E64436"/>
    <w:rsid w:val="186661D9"/>
    <w:rsid w:val="1874749D"/>
    <w:rsid w:val="1985876A"/>
    <w:rsid w:val="1A471BD7"/>
    <w:rsid w:val="1A788503"/>
    <w:rsid w:val="1B71A055"/>
    <w:rsid w:val="1DA2379B"/>
    <w:rsid w:val="1F184B80"/>
    <w:rsid w:val="1F480775"/>
    <w:rsid w:val="1F58200E"/>
    <w:rsid w:val="204313A6"/>
    <w:rsid w:val="204D34B0"/>
    <w:rsid w:val="20A5DD7F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96A30A5"/>
    <w:rsid w:val="2A047267"/>
    <w:rsid w:val="2A293B48"/>
    <w:rsid w:val="2A75F4DB"/>
    <w:rsid w:val="2AFC796B"/>
    <w:rsid w:val="2BAFBBA6"/>
    <w:rsid w:val="2C495338"/>
    <w:rsid w:val="2C89C46C"/>
    <w:rsid w:val="2C9C81B2"/>
    <w:rsid w:val="2CB045C7"/>
    <w:rsid w:val="2CC5D26F"/>
    <w:rsid w:val="2CE89210"/>
    <w:rsid w:val="2D2E2A45"/>
    <w:rsid w:val="2DA38BC7"/>
    <w:rsid w:val="2DC9053F"/>
    <w:rsid w:val="2DE67C4C"/>
    <w:rsid w:val="2DFE28FC"/>
    <w:rsid w:val="2E16AC03"/>
    <w:rsid w:val="2F6B17A8"/>
    <w:rsid w:val="2FB75138"/>
    <w:rsid w:val="2FBA51E5"/>
    <w:rsid w:val="307C4AF2"/>
    <w:rsid w:val="3080B62E"/>
    <w:rsid w:val="30B07131"/>
    <w:rsid w:val="3170EA7E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D1D8A6"/>
    <w:rsid w:val="346A12BC"/>
    <w:rsid w:val="34D81FC4"/>
    <w:rsid w:val="35A5911B"/>
    <w:rsid w:val="35B9D5AF"/>
    <w:rsid w:val="375D9964"/>
    <w:rsid w:val="37D20B4B"/>
    <w:rsid w:val="37FA4BB1"/>
    <w:rsid w:val="38549ECD"/>
    <w:rsid w:val="38CFA1C3"/>
    <w:rsid w:val="39226DA1"/>
    <w:rsid w:val="3929C9D0"/>
    <w:rsid w:val="39B6B629"/>
    <w:rsid w:val="3A151B7E"/>
    <w:rsid w:val="3A1537EF"/>
    <w:rsid w:val="3B4F501B"/>
    <w:rsid w:val="3C053A97"/>
    <w:rsid w:val="3C1B3435"/>
    <w:rsid w:val="3C286A82"/>
    <w:rsid w:val="3C3C8D52"/>
    <w:rsid w:val="3C41737B"/>
    <w:rsid w:val="3C4FFF26"/>
    <w:rsid w:val="3C81DB4C"/>
    <w:rsid w:val="3CC8F898"/>
    <w:rsid w:val="3D1B411F"/>
    <w:rsid w:val="3D42C5C4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3AB9922"/>
    <w:rsid w:val="44F1C620"/>
    <w:rsid w:val="45274580"/>
    <w:rsid w:val="452C9A2D"/>
    <w:rsid w:val="4557C5D8"/>
    <w:rsid w:val="45D71E04"/>
    <w:rsid w:val="45FAD157"/>
    <w:rsid w:val="46757A21"/>
    <w:rsid w:val="4760C57B"/>
    <w:rsid w:val="4798B7D8"/>
    <w:rsid w:val="47FA8FBC"/>
    <w:rsid w:val="4825769E"/>
    <w:rsid w:val="482E0216"/>
    <w:rsid w:val="48447E93"/>
    <w:rsid w:val="495FFC7B"/>
    <w:rsid w:val="4A26F8EC"/>
    <w:rsid w:val="4A3A89AF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61E5EF"/>
    <w:rsid w:val="51A48996"/>
    <w:rsid w:val="51C4848F"/>
    <w:rsid w:val="51F98276"/>
    <w:rsid w:val="530BF8C9"/>
    <w:rsid w:val="530E7F5E"/>
    <w:rsid w:val="534D6B12"/>
    <w:rsid w:val="53ADA92A"/>
    <w:rsid w:val="53C3241D"/>
    <w:rsid w:val="55CA46DA"/>
    <w:rsid w:val="5669CEE8"/>
    <w:rsid w:val="56F84FCC"/>
    <w:rsid w:val="58DFA3A0"/>
    <w:rsid w:val="596D81FA"/>
    <w:rsid w:val="59B8EEB3"/>
    <w:rsid w:val="59EDC020"/>
    <w:rsid w:val="5A5EA7E8"/>
    <w:rsid w:val="5A7216F7"/>
    <w:rsid w:val="5AE017DA"/>
    <w:rsid w:val="5B2F00A5"/>
    <w:rsid w:val="5BD957CE"/>
    <w:rsid w:val="5C2061AE"/>
    <w:rsid w:val="5C932350"/>
    <w:rsid w:val="5CB58B23"/>
    <w:rsid w:val="5CEA1AB9"/>
    <w:rsid w:val="5D12EB1A"/>
    <w:rsid w:val="5D496435"/>
    <w:rsid w:val="5D6CD6FD"/>
    <w:rsid w:val="5D75282F"/>
    <w:rsid w:val="5E184902"/>
    <w:rsid w:val="5E5C790D"/>
    <w:rsid w:val="5F42792D"/>
    <w:rsid w:val="5FB3F594"/>
    <w:rsid w:val="6063C956"/>
    <w:rsid w:val="60A33D95"/>
    <w:rsid w:val="60FFB266"/>
    <w:rsid w:val="6158AEE5"/>
    <w:rsid w:val="61615C25"/>
    <w:rsid w:val="61C341DF"/>
    <w:rsid w:val="622E4D6E"/>
    <w:rsid w:val="63EB3AEE"/>
    <w:rsid w:val="641DF9AE"/>
    <w:rsid w:val="6464FEAD"/>
    <w:rsid w:val="64C69FB8"/>
    <w:rsid w:val="6570E7A1"/>
    <w:rsid w:val="65C4C715"/>
    <w:rsid w:val="65E5EBDC"/>
    <w:rsid w:val="66177531"/>
    <w:rsid w:val="66214A20"/>
    <w:rsid w:val="665163BE"/>
    <w:rsid w:val="66C01FC3"/>
    <w:rsid w:val="67552B2C"/>
    <w:rsid w:val="67B8AE0B"/>
    <w:rsid w:val="689B2D78"/>
    <w:rsid w:val="6979869B"/>
    <w:rsid w:val="69E2592F"/>
    <w:rsid w:val="6A397526"/>
    <w:rsid w:val="6A47F465"/>
    <w:rsid w:val="6BCC0B25"/>
    <w:rsid w:val="6BD589ED"/>
    <w:rsid w:val="6C11DB7D"/>
    <w:rsid w:val="6C5A1ED7"/>
    <w:rsid w:val="6C9CF8CD"/>
    <w:rsid w:val="6D1E86ED"/>
    <w:rsid w:val="6DAEFDBC"/>
    <w:rsid w:val="6E975A60"/>
    <w:rsid w:val="6F17FF9C"/>
    <w:rsid w:val="6F2F09E0"/>
    <w:rsid w:val="6F5698BC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4018C"/>
  <w15:chartTrackingRefBased/>
  <w15:docId w15:val="{3FF0B189-88B5-4CDB-B27A-33EA99B4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0A492D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styleId="Revision">
    <w:name w:val="Revision"/>
    <w:hidden/>
    <w:uiPriority w:val="99"/>
    <w:semiHidden/>
    <w:rsid w:val="001E3C2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A3DE0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50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5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ge.com/rates-and-regulations/proceedin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eang@socalgas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/Users/CP5/AppData/Local/Microsoft/Windows/INetCache/Content.Outlook/ZQP20VV4/publicadvocates.cpuc.ca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ublicAdvocatesOffice@cpuc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21AAE45CD1148847BFDC2AFDC230E" ma:contentTypeVersion="14" ma:contentTypeDescription="Create a new document." ma:contentTypeScope="" ma:versionID="f641e1157a4a507e8c04fda05193e208">
  <xsd:schema xmlns:xsd="http://www.w3.org/2001/XMLSchema" xmlns:xs="http://www.w3.org/2001/XMLSchema" xmlns:p="http://schemas.microsoft.com/office/2006/metadata/properties" xmlns:ns2="cf8b2057-0fa9-4780-aef2-d03054660500" xmlns:ns3="92426f80-6775-4977-8089-6c722d501a95" targetNamespace="http://schemas.microsoft.com/office/2006/metadata/properties" ma:root="true" ma:fieldsID="fb7b0b10a5e797354e955efdaa9872b5" ns2:_="" ns3:_="">
    <xsd:import namespace="cf8b2057-0fa9-4780-aef2-d03054660500"/>
    <xsd:import namespace="92426f80-6775-4977-8089-6c722d501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b2057-0fa9-4780-aef2-d03054660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26f80-6775-4977-8089-6c722d501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ef2de1-5e26-47a0-886d-5e77c213336a}" ma:internalName="TaxCatchAll" ma:showField="CatchAllData" ma:web="92426f80-6775-4977-8089-6c722d501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b2057-0fa9-4780-aef2-d03054660500">
      <Terms xmlns="http://schemas.microsoft.com/office/infopath/2007/PartnerControls"/>
    </lcf76f155ced4ddcb4097134ff3c332f>
    <TaxCatchAll xmlns="92426f80-6775-4977-8089-6c722d501a95" xsi:nil="true"/>
  </documentManagement>
</p:properties>
</file>

<file path=customXml/itemProps1.xml><?xml version="1.0" encoding="utf-8"?>
<ds:datastoreItem xmlns:ds="http://schemas.openxmlformats.org/officeDocument/2006/customXml" ds:itemID="{1116EF31-3F47-499C-BA1C-B00913AB4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8A207-B7E2-42F8-84C3-DE4A0E413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C24F0-597A-4AAF-9BF5-91030634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b2057-0fa9-4780-aef2-d03054660500"/>
    <ds:schemaRef ds:uri="92426f80-6775-4977-8089-6c722d501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3CDA2-EB83-4617-BA87-55D51965C0D5}">
  <ds:schemaRefs>
    <ds:schemaRef ds:uri="http://schemas.microsoft.com/office/2006/metadata/properties"/>
    <ds:schemaRef ds:uri="http://schemas.microsoft.com/office/infopath/2007/PartnerControls"/>
    <ds:schemaRef ds:uri="cf8b2057-0fa9-4780-aef2-d03054660500"/>
    <ds:schemaRef ds:uri="92426f80-6775-4977-8089-6c722d501a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4846</Characters>
  <Application>Microsoft Office Word</Application>
  <DocSecurity>0</DocSecurity>
  <Lines>157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Links>
    <vt:vector size="48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https://www.sdge.com/rates-and-regulations/proceedings</vt:lpwstr>
      </vt:variant>
      <vt:variant>
        <vt:lpwstr/>
      </vt:variant>
      <vt:variant>
        <vt:i4>4718628</vt:i4>
      </vt:variant>
      <vt:variant>
        <vt:i4>0</vt:i4>
      </vt:variant>
      <vt:variant>
        <vt:i4>0</vt:i4>
      </vt:variant>
      <vt:variant>
        <vt:i4>5</vt:i4>
      </vt:variant>
      <vt:variant>
        <vt:lpwstr>mailto:PublicAdvocatesOffice@cpuc.ca.gov</vt:lpwstr>
      </vt:variant>
      <vt:variant>
        <vt:lpwstr/>
      </vt:variant>
      <vt:variant>
        <vt:i4>3670081</vt:i4>
      </vt:variant>
      <vt:variant>
        <vt:i4>15</vt:i4>
      </vt:variant>
      <vt:variant>
        <vt:i4>0</vt:i4>
      </vt:variant>
      <vt:variant>
        <vt:i4>5</vt:i4>
      </vt:variant>
      <vt:variant>
        <vt:lpwstr>mailto:MSchmidt-Pines@semprautilities.com</vt:lpwstr>
      </vt:variant>
      <vt:variant>
        <vt:lpwstr/>
      </vt:variant>
      <vt:variant>
        <vt:i4>3670081</vt:i4>
      </vt:variant>
      <vt:variant>
        <vt:i4>12</vt:i4>
      </vt:variant>
      <vt:variant>
        <vt:i4>0</vt:i4>
      </vt:variant>
      <vt:variant>
        <vt:i4>5</vt:i4>
      </vt:variant>
      <vt:variant>
        <vt:lpwstr>mailto:MSchmidt-Pines@semprautilities.com</vt:lpwstr>
      </vt:variant>
      <vt:variant>
        <vt:lpwstr/>
      </vt:variant>
      <vt:variant>
        <vt:i4>7405649</vt:i4>
      </vt:variant>
      <vt:variant>
        <vt:i4>9</vt:i4>
      </vt:variant>
      <vt:variant>
        <vt:i4>0</vt:i4>
      </vt:variant>
      <vt:variant>
        <vt:i4>5</vt:i4>
      </vt:variant>
      <vt:variant>
        <vt:lpwstr>mailto:EDalton@semprautilities.com</vt:lpwstr>
      </vt:variant>
      <vt:variant>
        <vt:lpwstr/>
      </vt:variant>
      <vt:variant>
        <vt:i4>6160502</vt:i4>
      </vt:variant>
      <vt:variant>
        <vt:i4>6</vt:i4>
      </vt:variant>
      <vt:variant>
        <vt:i4>0</vt:i4>
      </vt:variant>
      <vt:variant>
        <vt:i4>5</vt:i4>
      </vt:variant>
      <vt:variant>
        <vt:lpwstr>mailto:NBoga@socalgas.com</vt:lpwstr>
      </vt:variant>
      <vt:variant>
        <vt:lpwstr/>
      </vt:variant>
      <vt:variant>
        <vt:i4>6357086</vt:i4>
      </vt:variant>
      <vt:variant>
        <vt:i4>3</vt:i4>
      </vt:variant>
      <vt:variant>
        <vt:i4>0</vt:i4>
      </vt:variant>
      <vt:variant>
        <vt:i4>5</vt:i4>
      </vt:variant>
      <vt:variant>
        <vt:lpwstr>mailto:SCherng@semprautilities.com</vt:lpwstr>
      </vt:variant>
      <vt:variant>
        <vt:lpwstr/>
      </vt:variant>
      <vt:variant>
        <vt:i4>7995465</vt:i4>
      </vt:variant>
      <vt:variant>
        <vt:i4>0</vt:i4>
      </vt:variant>
      <vt:variant>
        <vt:i4>0</vt:i4>
      </vt:variant>
      <vt:variant>
        <vt:i4>5</vt:i4>
      </vt:variant>
      <vt:variant>
        <vt:lpwstr>mailto:CTheesfeld@semprautilities.com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Microsoft Office User</cp:lastModifiedBy>
  <cp:revision>2</cp:revision>
  <dcterms:created xsi:type="dcterms:W3CDTF">2025-03-07T13:10:00Z</dcterms:created>
  <dcterms:modified xsi:type="dcterms:W3CDTF">2025-03-07T13:10:00Z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0x010100D7D21AAE45CD1148847BFDC2AFDC230E</vt:lpwstr>
  </property>
</Properties>
</file>