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AE6E" w14:textId="77777777" w:rsidR="00E437AD" w:rsidRDefault="007C5CE2">
      <w:pPr>
        <w:jc w:val="center"/>
      </w:pPr>
      <w:r>
        <w:t>174 FERC ¶ 61,138</w:t>
      </w:r>
    </w:p>
    <w:p w14:paraId="6B22B879" w14:textId="38ACD580" w:rsidR="00B9287A" w:rsidRPr="00CD0B38" w:rsidRDefault="003B3110" w:rsidP="007A07ED">
      <w:pPr>
        <w:jc w:val="center"/>
      </w:pPr>
      <w:r>
        <w:rPr>
          <w:b/>
        </w:rPr>
        <w:fldChar w:fldCharType="begin"/>
      </w:r>
      <w:r>
        <w:rPr>
          <w:b/>
        </w:rPr>
        <w:instrText xml:space="preserve"> MACROBUTTON  AcceptAllChangesInDoc </w:instrText>
      </w:r>
      <w:r>
        <w:rPr>
          <w:b/>
        </w:rPr>
        <w:fldChar w:fldCharType="end"/>
      </w:r>
      <w:r w:rsidR="00B9287A" w:rsidRPr="00CD0B38">
        <w:t>UNITED STATES OF AMERICA</w:t>
      </w:r>
    </w:p>
    <w:p w14:paraId="2E0BFBA9" w14:textId="77777777" w:rsidR="00B9287A" w:rsidRPr="00CD0B38" w:rsidRDefault="00B9287A" w:rsidP="008D7F33">
      <w:pPr>
        <w:jc w:val="center"/>
      </w:pPr>
      <w:r w:rsidRPr="00CD0B38">
        <w:t>FEDERAL ENERGY REGULATORY COMMISSION</w:t>
      </w:r>
    </w:p>
    <w:p w14:paraId="1CC2460F" w14:textId="77777777" w:rsidR="00B9287A" w:rsidRPr="00CD0B38" w:rsidRDefault="00B9287A" w:rsidP="008D7F33"/>
    <w:p w14:paraId="640661BF" w14:textId="1AE991BE" w:rsidR="00B9287A" w:rsidRPr="007A07ED" w:rsidRDefault="007A07ED" w:rsidP="007A07ED">
      <w:pPr>
        <w:widowControl/>
      </w:pPr>
      <w:r w:rsidRPr="007A07ED">
        <w:t>Before Commissioners:  Richard Glick, Chairman;</w:t>
      </w:r>
    </w:p>
    <w:p w14:paraId="0D88E125" w14:textId="35690339" w:rsidR="007A07ED" w:rsidRPr="007A07ED" w:rsidRDefault="007A07ED" w:rsidP="007A07ED">
      <w:pPr>
        <w:widowControl/>
      </w:pPr>
      <w:r w:rsidRPr="007A07ED">
        <w:t xml:space="preserve">                                        Neil Chatterjee, James P. Danly,</w:t>
      </w:r>
    </w:p>
    <w:p w14:paraId="18AD6FC9" w14:textId="50A62FD6" w:rsidR="007A07ED" w:rsidRPr="00CD0B38" w:rsidRDefault="007A07ED" w:rsidP="007A07ED">
      <w:pPr>
        <w:widowControl/>
      </w:pPr>
      <w:r w:rsidRPr="007A07ED">
        <w:t xml:space="preserve">                                        Allison Clements, and Mark C. Christie.</w:t>
      </w:r>
    </w:p>
    <w:p w14:paraId="63E0D458" w14:textId="77777777" w:rsidR="00B9287A" w:rsidRPr="00CD0B38" w:rsidRDefault="00B9287A" w:rsidP="008D7F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1"/>
        <w:gridCol w:w="1629"/>
        <w:gridCol w:w="1800"/>
      </w:tblGrid>
      <w:tr w:rsidR="00B9287A" w:rsidRPr="00CD0B38" w14:paraId="50EC9C63" w14:textId="77777777" w:rsidTr="007A07ED">
        <w:tc>
          <w:tcPr>
            <w:tcW w:w="5931" w:type="dxa"/>
            <w:shd w:val="clear" w:color="auto" w:fill="auto"/>
          </w:tcPr>
          <w:p w14:paraId="433F2CC1" w14:textId="77777777" w:rsidR="00B9287A" w:rsidRPr="00CD0B38" w:rsidRDefault="00B9287A" w:rsidP="008D7F33">
            <w:pPr>
              <w:widowControl/>
              <w:autoSpaceDE/>
              <w:autoSpaceDN/>
              <w:adjustRightInd/>
              <w:rPr>
                <w:rFonts w:eastAsiaTheme="minorHAnsi" w:cstheme="minorBidi"/>
                <w:szCs w:val="22"/>
              </w:rPr>
            </w:pPr>
            <w:r>
              <w:rPr>
                <w:rFonts w:eastAsiaTheme="minorHAnsi" w:cstheme="minorBidi"/>
                <w:szCs w:val="22"/>
              </w:rPr>
              <w:t>San Diego Gas &amp; Electric Company</w:t>
            </w:r>
          </w:p>
        </w:tc>
        <w:tc>
          <w:tcPr>
            <w:tcW w:w="1629" w:type="dxa"/>
            <w:shd w:val="clear" w:color="auto" w:fill="auto"/>
          </w:tcPr>
          <w:p w14:paraId="69A4BA75" w14:textId="483846DC" w:rsidR="00B9287A" w:rsidRPr="00CD0B38" w:rsidRDefault="007A07ED" w:rsidP="008D7F33">
            <w:pPr>
              <w:widowControl/>
              <w:autoSpaceDE/>
              <w:autoSpaceDN/>
              <w:adjustRightInd/>
              <w:rPr>
                <w:rFonts w:eastAsiaTheme="minorHAnsi" w:cstheme="minorBidi"/>
                <w:szCs w:val="22"/>
              </w:rPr>
            </w:pPr>
            <w:r>
              <w:rPr>
                <w:rFonts w:eastAsiaTheme="minorHAnsi" w:cstheme="minorBidi"/>
                <w:szCs w:val="22"/>
              </w:rPr>
              <w:t xml:space="preserve">      </w:t>
            </w:r>
            <w:r w:rsidR="00B9287A">
              <w:rPr>
                <w:rFonts w:eastAsiaTheme="minorHAnsi" w:cstheme="minorBidi"/>
                <w:szCs w:val="22"/>
              </w:rPr>
              <w:t>Docket No.</w:t>
            </w:r>
          </w:p>
        </w:tc>
        <w:tc>
          <w:tcPr>
            <w:tcW w:w="1800" w:type="dxa"/>
            <w:shd w:val="clear" w:color="auto" w:fill="auto"/>
            <w:tcMar>
              <w:left w:w="144" w:type="dxa"/>
            </w:tcMar>
          </w:tcPr>
          <w:p w14:paraId="6F920C3E" w14:textId="77777777" w:rsidR="00B9287A" w:rsidRPr="00CD0B38" w:rsidRDefault="00B9287A" w:rsidP="007A07ED">
            <w:pPr>
              <w:widowControl/>
              <w:autoSpaceDE/>
              <w:autoSpaceDN/>
              <w:adjustRightInd/>
              <w:ind w:hanging="54"/>
              <w:rPr>
                <w:rFonts w:eastAsiaTheme="minorHAnsi" w:cstheme="minorBidi"/>
                <w:szCs w:val="22"/>
              </w:rPr>
            </w:pPr>
            <w:r>
              <w:rPr>
                <w:rFonts w:eastAsiaTheme="minorHAnsi" w:cstheme="minorBidi"/>
                <w:szCs w:val="22"/>
              </w:rPr>
              <w:t>ER21-526-000</w:t>
            </w:r>
          </w:p>
        </w:tc>
      </w:tr>
    </w:tbl>
    <w:p w14:paraId="2038512B" w14:textId="77777777" w:rsidR="00B9287A" w:rsidRPr="00CD0B38" w:rsidRDefault="00B9287A" w:rsidP="008D7F33">
      <w:pPr>
        <w:jc w:val="center"/>
      </w:pPr>
    </w:p>
    <w:p w14:paraId="177EFB25" w14:textId="7D0CC29B" w:rsidR="00B9287A" w:rsidRPr="00CD0B38" w:rsidRDefault="000C60AA" w:rsidP="008D7F33">
      <w:pPr>
        <w:jc w:val="center"/>
      </w:pPr>
      <w:r>
        <w:t>ORDER ON INFORMATIONAL FILING</w:t>
      </w:r>
    </w:p>
    <w:p w14:paraId="7D7579D4" w14:textId="77777777" w:rsidR="00B9287A" w:rsidRPr="00CD0B38" w:rsidRDefault="00B9287A" w:rsidP="008D7F33">
      <w:pPr>
        <w:jc w:val="center"/>
      </w:pPr>
    </w:p>
    <w:p w14:paraId="1ECFAD7C" w14:textId="2C68F6CD" w:rsidR="00B9287A" w:rsidRDefault="007A07ED" w:rsidP="007A07ED">
      <w:pPr>
        <w:widowControl/>
        <w:jc w:val="center"/>
      </w:pPr>
      <w:r w:rsidRPr="007A07ED">
        <w:t>(Issued February 2</w:t>
      </w:r>
      <w:r w:rsidR="00EF5410">
        <w:t>3</w:t>
      </w:r>
      <w:bookmarkStart w:id="0" w:name="_GoBack"/>
      <w:bookmarkEnd w:id="0"/>
      <w:r w:rsidRPr="007A07ED">
        <w:t>, 2021)</w:t>
      </w:r>
    </w:p>
    <w:p w14:paraId="62666165" w14:textId="77777777" w:rsidR="007A07ED" w:rsidRPr="007A07ED" w:rsidRDefault="007A07ED" w:rsidP="007A07ED">
      <w:pPr>
        <w:widowControl/>
      </w:pPr>
    </w:p>
    <w:p w14:paraId="3507C2B0" w14:textId="0CB3454C" w:rsidR="000C60AA" w:rsidRDefault="000C60AA" w:rsidP="008D7F33">
      <w:pPr>
        <w:pStyle w:val="FERCparanumber"/>
      </w:pPr>
      <w:r>
        <w:t>In this order, we accept San Diego Gas &amp; Electric Company’s (SDG&amp;E) third annual informational filing (Cycle 3)</w:t>
      </w:r>
      <w:r w:rsidR="003B3110">
        <w:rPr>
          <w:rStyle w:val="FootnoteReference"/>
        </w:rPr>
        <w:footnoteReference w:id="2"/>
      </w:r>
      <w:r>
        <w:t xml:space="preserve"> made under its Fifth Transmission Owner </w:t>
      </w:r>
      <w:r w:rsidR="007A07ED">
        <w:br/>
      </w:r>
      <w:r>
        <w:t>Formula Rate (TO5 or TO5 Formula Rate), effective January 1, 2021</w:t>
      </w:r>
      <w:r w:rsidR="003B3110">
        <w:t>, as requested</w:t>
      </w:r>
      <w:r>
        <w:t>.</w:t>
      </w:r>
    </w:p>
    <w:p w14:paraId="14A175D7" w14:textId="545D3FD7" w:rsidR="00510341" w:rsidRPr="00E54598" w:rsidRDefault="00A14153" w:rsidP="00510341">
      <w:pPr>
        <w:pStyle w:val="Heading1"/>
      </w:pPr>
      <w:r>
        <w:t>Filing</w:t>
      </w:r>
    </w:p>
    <w:p w14:paraId="2A3EFBF9" w14:textId="4048F363" w:rsidR="00BD2829" w:rsidRDefault="0033174B" w:rsidP="008D7F33">
      <w:pPr>
        <w:pStyle w:val="FERCparanumber"/>
      </w:pPr>
      <w:r>
        <w:t>On December 1, 2020, SDG&amp;E filed its TO5 Cycle 3 formula rate, which includes a revised base transmission revenue requirement reflecting the following components:  (1) prior year revenue requirement for the 12-month period ending December 31, 201</w:t>
      </w:r>
      <w:r w:rsidR="0047628B">
        <w:t>9</w:t>
      </w:r>
      <w:r>
        <w:t>; (2) forecast capital addition revenue requirement for a 24-month period covering 20</w:t>
      </w:r>
      <w:r w:rsidR="0047628B">
        <w:t>20</w:t>
      </w:r>
      <w:r>
        <w:t xml:space="preserve"> and 20</w:t>
      </w:r>
      <w:r w:rsidR="0047628B">
        <w:t>21</w:t>
      </w:r>
      <w:r>
        <w:t>; (3) true-up of actual costs from January 1, 201</w:t>
      </w:r>
      <w:r w:rsidR="0047628B">
        <w:t>9</w:t>
      </w:r>
      <w:r>
        <w:t xml:space="preserve"> through December </w:t>
      </w:r>
      <w:r w:rsidR="00572D95">
        <w:t>3</w:t>
      </w:r>
      <w:r>
        <w:t>1, 201</w:t>
      </w:r>
      <w:r w:rsidR="0047628B">
        <w:t>9; and (4) interest true-up adjustment</w:t>
      </w:r>
      <w:r>
        <w:t>.</w:t>
      </w:r>
      <w:r w:rsidR="0047628B">
        <w:rPr>
          <w:rStyle w:val="FootnoteReference"/>
        </w:rPr>
        <w:footnoteReference w:id="3"/>
      </w:r>
    </w:p>
    <w:p w14:paraId="01011C13" w14:textId="2130F63C" w:rsidR="00BD2829" w:rsidRDefault="009F0B6B" w:rsidP="000B1463">
      <w:pPr>
        <w:pStyle w:val="FERCparanumber"/>
      </w:pPr>
      <w:r w:rsidRPr="00C75FB8">
        <w:t xml:space="preserve">SDG&amp;E states that </w:t>
      </w:r>
      <w:r>
        <w:t>u</w:t>
      </w:r>
      <w:r w:rsidR="00BD2829" w:rsidRPr="00DF6741">
        <w:t>nder the TO</w:t>
      </w:r>
      <w:r w:rsidR="00FD12BF" w:rsidRPr="00DF6741">
        <w:t>5</w:t>
      </w:r>
      <w:r w:rsidR="00BD2829" w:rsidRPr="00DF6741">
        <w:t xml:space="preserve"> Formula Rate, the Cycle 3 base transmission revenue requirement for wholesale customers of the California Independent System Operator Corporation (CAISO) is $</w:t>
      </w:r>
      <w:r w:rsidR="00DF6741" w:rsidRPr="00DF6741">
        <w:t>1,032</w:t>
      </w:r>
      <w:r w:rsidR="00FD12BF" w:rsidRPr="00DF6741">
        <w:t>.</w:t>
      </w:r>
      <w:r w:rsidR="00DF6741" w:rsidRPr="00DF6741">
        <w:t>7</w:t>
      </w:r>
      <w:r w:rsidR="00BD2829" w:rsidRPr="00DF6741">
        <w:t xml:space="preserve"> million</w:t>
      </w:r>
      <w:r>
        <w:t xml:space="preserve">, which reflects </w:t>
      </w:r>
      <w:r w:rsidR="00BD2829" w:rsidRPr="00C75FB8">
        <w:t>a 1</w:t>
      </w:r>
      <w:r w:rsidR="00DF6741" w:rsidRPr="00C75FB8">
        <w:t>9</w:t>
      </w:r>
      <w:r w:rsidR="00BD2829" w:rsidRPr="00C75FB8">
        <w:t>.</w:t>
      </w:r>
      <w:r w:rsidR="00DF6741" w:rsidRPr="00C75FB8">
        <w:t>3</w:t>
      </w:r>
      <w:r w:rsidR="00C5006F">
        <w:t>%</w:t>
      </w:r>
      <w:r w:rsidR="00BD2829" w:rsidRPr="00C75FB8">
        <w:t xml:space="preserve"> </w:t>
      </w:r>
      <w:r w:rsidR="00DF6741" w:rsidRPr="00C75FB8">
        <w:t>in</w:t>
      </w:r>
      <w:r w:rsidR="00BD2829" w:rsidRPr="00C75FB8">
        <w:t>crease from the Cycle 2 revenue requirement.</w:t>
      </w:r>
      <w:r w:rsidR="00DF6741" w:rsidRPr="00C75FB8">
        <w:rPr>
          <w:rStyle w:val="FootnoteReference"/>
        </w:rPr>
        <w:footnoteReference w:id="4"/>
      </w:r>
      <w:r w:rsidR="00BD2829">
        <w:t xml:space="preserve">  The Cycle 3 base transmission revenue requirement for retail end-use customers is $</w:t>
      </w:r>
      <w:r w:rsidR="00DF6741">
        <w:t>1,035.8</w:t>
      </w:r>
      <w:r w:rsidR="00BD2829">
        <w:t xml:space="preserve"> million or a </w:t>
      </w:r>
      <w:r w:rsidR="00DF6741">
        <w:t>19</w:t>
      </w:r>
      <w:r w:rsidR="00BD2829">
        <w:t>.3</w:t>
      </w:r>
      <w:r w:rsidR="00C5006F">
        <w:t>%</w:t>
      </w:r>
      <w:r w:rsidR="00BD2829">
        <w:t xml:space="preserve"> </w:t>
      </w:r>
      <w:r w:rsidR="00DF6741">
        <w:t>in</w:t>
      </w:r>
      <w:r w:rsidR="00BD2829">
        <w:t>crease for the rate effective period.</w:t>
      </w:r>
      <w:r w:rsidR="00DF6741">
        <w:rPr>
          <w:rStyle w:val="FootnoteReference"/>
        </w:rPr>
        <w:footnoteReference w:id="5"/>
      </w:r>
      <w:r w:rsidR="00BD2829">
        <w:t xml:space="preserve">  SDG&amp;E states that the changes in transmission rates are </w:t>
      </w:r>
      <w:r w:rsidR="000B1463">
        <w:t xml:space="preserve">primarily </w:t>
      </w:r>
      <w:r w:rsidR="00E347C5">
        <w:t>attributable</w:t>
      </w:r>
      <w:r w:rsidR="00BD2829">
        <w:t xml:space="preserve"> </w:t>
      </w:r>
      <w:r w:rsidR="007A07ED">
        <w:br/>
      </w:r>
      <w:r w:rsidR="00BD2829">
        <w:lastRenderedPageBreak/>
        <w:t xml:space="preserve">to </w:t>
      </w:r>
      <w:r w:rsidR="000B1463">
        <w:t>in</w:t>
      </w:r>
      <w:r w:rsidR="00BD2829">
        <w:t xml:space="preserve">crease in </w:t>
      </w:r>
      <w:r w:rsidR="00E347C5">
        <w:t xml:space="preserve">Prior Year Revenue Requirement resulting from higher </w:t>
      </w:r>
      <w:r w:rsidR="000B1463">
        <w:t>o</w:t>
      </w:r>
      <w:r w:rsidR="00BD2829">
        <w:t xml:space="preserve">peration and </w:t>
      </w:r>
      <w:r w:rsidR="000B1463">
        <w:t>m</w:t>
      </w:r>
      <w:r w:rsidR="00BD2829">
        <w:t>aintenance expenses</w:t>
      </w:r>
      <w:r w:rsidR="000B1463">
        <w:t>, depreciation expense, property and payroll taxes, and transmission rate base;</w:t>
      </w:r>
      <w:r w:rsidR="00B4239B">
        <w:t xml:space="preserve"> an</w:t>
      </w:r>
      <w:r w:rsidR="000B1463">
        <w:t xml:space="preserve"> increase in the 24-month total Weighted Forecast Plant Additions and the related Forecast Period Capital Additions Revenue Requirement</w:t>
      </w:r>
      <w:r w:rsidR="00E347C5">
        <w:t>;</w:t>
      </w:r>
      <w:r w:rsidR="000B1463">
        <w:t xml:space="preserve"> </w:t>
      </w:r>
      <w:r w:rsidR="007A07ED">
        <w:br/>
      </w:r>
      <w:r w:rsidR="000B1463">
        <w:t xml:space="preserve">and </w:t>
      </w:r>
      <w:r w:rsidR="00B4239B">
        <w:t xml:space="preserve">an </w:t>
      </w:r>
      <w:r w:rsidR="00E347C5">
        <w:t xml:space="preserve">increase in </w:t>
      </w:r>
      <w:r w:rsidR="000B1463">
        <w:t>the true-up adjustment between TO5 Cycle 3 and Cycle 2</w:t>
      </w:r>
      <w:r w:rsidR="00BD2829">
        <w:t>.</w:t>
      </w:r>
      <w:r w:rsidR="00DF6741">
        <w:rPr>
          <w:rStyle w:val="FootnoteReference"/>
        </w:rPr>
        <w:footnoteReference w:id="6"/>
      </w:r>
      <w:r w:rsidR="00BD2829">
        <w:t xml:space="preserve">  The </w:t>
      </w:r>
      <w:r w:rsidR="007A07ED">
        <w:br/>
      </w:r>
      <w:r w:rsidR="00BD2829">
        <w:t>Cycle 3 base transmission revenue requirement will remain in effect for the Rate Effective Period, which is January 1, 20</w:t>
      </w:r>
      <w:r w:rsidR="00E9185E">
        <w:t>21</w:t>
      </w:r>
      <w:r w:rsidR="00BD2829">
        <w:t xml:space="preserve"> through December 31, 20</w:t>
      </w:r>
      <w:r w:rsidR="00E9185E">
        <w:t>21</w:t>
      </w:r>
      <w:r w:rsidR="00BD2829">
        <w:t>.</w:t>
      </w:r>
      <w:r w:rsidR="00DF6741">
        <w:rPr>
          <w:rStyle w:val="FootnoteReference"/>
        </w:rPr>
        <w:footnoteReference w:id="7"/>
      </w:r>
    </w:p>
    <w:p w14:paraId="7189D950" w14:textId="41AAE698" w:rsidR="00874E95" w:rsidRDefault="00874E95" w:rsidP="00874E95">
      <w:pPr>
        <w:pStyle w:val="Heading1"/>
      </w:pPr>
      <w:bookmarkStart w:id="2" w:name="_Hlk62593455"/>
      <w:r>
        <w:t>Notice and Responsive Pleadings</w:t>
      </w:r>
    </w:p>
    <w:bookmarkEnd w:id="2"/>
    <w:p w14:paraId="7AA7C6C2" w14:textId="1BD3B4F7" w:rsidR="00874E95" w:rsidRDefault="00874E95" w:rsidP="008D7F33">
      <w:pPr>
        <w:pStyle w:val="FERCparanumber"/>
      </w:pPr>
      <w:r>
        <w:t xml:space="preserve">Notice of SDG&amp;E’s TO5 Cycle 3 Filing was published in the </w:t>
      </w:r>
      <w:r w:rsidRPr="006628B4">
        <w:rPr>
          <w:i/>
          <w:iCs/>
        </w:rPr>
        <w:t>Federal Register</w:t>
      </w:r>
      <w:r>
        <w:t>,</w:t>
      </w:r>
      <w:r w:rsidR="00E347C5">
        <w:br/>
      </w:r>
      <w:r>
        <w:t>85 Fed. Reg. 78,843 (</w:t>
      </w:r>
      <w:r w:rsidR="00DC206C">
        <w:t>Dec</w:t>
      </w:r>
      <w:r w:rsidR="000F73B6">
        <w:t>.</w:t>
      </w:r>
      <w:r w:rsidR="00DC206C">
        <w:t xml:space="preserve"> 7, </w:t>
      </w:r>
      <w:r>
        <w:t>202</w:t>
      </w:r>
      <w:r w:rsidR="006628B4">
        <w:t>0</w:t>
      </w:r>
      <w:r>
        <w:t xml:space="preserve">), with interventions </w:t>
      </w:r>
      <w:r w:rsidR="00CE2CC8">
        <w:t>or</w:t>
      </w:r>
      <w:r>
        <w:t xml:space="preserve"> protests due on or before December 22, 20</w:t>
      </w:r>
      <w:r w:rsidR="006628B4">
        <w:t>20</w:t>
      </w:r>
      <w:r>
        <w:t xml:space="preserve">.  </w:t>
      </w:r>
      <w:r w:rsidR="006628B4" w:rsidRPr="006628B4">
        <w:t>Southern California Edison Company</w:t>
      </w:r>
      <w:r w:rsidR="006628B4">
        <w:t xml:space="preserve">, </w:t>
      </w:r>
      <w:r w:rsidR="006628B4" w:rsidRPr="006628B4">
        <w:t>State Water Contractors</w:t>
      </w:r>
      <w:r w:rsidR="006628B4">
        <w:t xml:space="preserve">, </w:t>
      </w:r>
      <w:r w:rsidR="006628B4" w:rsidRPr="006628B4">
        <w:t>the City of Santa Clara, Californi</w:t>
      </w:r>
      <w:r w:rsidR="006628B4">
        <w:t xml:space="preserve">a, </w:t>
      </w:r>
      <w:r w:rsidR="006628B4" w:rsidRPr="006628B4">
        <w:t>Transmission Agency of Northern California</w:t>
      </w:r>
      <w:r w:rsidR="006628B4">
        <w:t xml:space="preserve">, and </w:t>
      </w:r>
      <w:r w:rsidR="006628B4" w:rsidRPr="00721493">
        <w:t>the</w:t>
      </w:r>
      <w:r w:rsidR="006628B4">
        <w:t xml:space="preserve"> </w:t>
      </w:r>
      <w:r w:rsidR="006628B4" w:rsidRPr="006628B4">
        <w:t>Cities of Anaheim, Azusa, Banning, Colton, Pasadena, and Riverside, California</w:t>
      </w:r>
      <w:r w:rsidR="006628B4">
        <w:t xml:space="preserve"> (Six Cities) filed timely motions to intervene.  The California Public Utilities Commission filed</w:t>
      </w:r>
      <w:r w:rsidR="00DE3189">
        <w:t xml:space="preserve"> a </w:t>
      </w:r>
      <w:r w:rsidR="00005021">
        <w:t xml:space="preserve">motion to intervene </w:t>
      </w:r>
      <w:r w:rsidR="006628B4">
        <w:t>out</w:t>
      </w:r>
      <w:r w:rsidR="00005021">
        <w:t xml:space="preserve"> </w:t>
      </w:r>
      <w:r w:rsidR="006628B4">
        <w:t>of</w:t>
      </w:r>
      <w:r w:rsidR="00005021">
        <w:t xml:space="preserve"> </w:t>
      </w:r>
      <w:r w:rsidR="006628B4">
        <w:t xml:space="preserve">time.  </w:t>
      </w:r>
      <w:r w:rsidR="00FA72EC">
        <w:t xml:space="preserve">On December 22, 2020, </w:t>
      </w:r>
      <w:r w:rsidR="006628B4">
        <w:t>Six Cities filed protest</w:t>
      </w:r>
      <w:r w:rsidR="00056DAB">
        <w:t>.  On January 6, 2021, SDG&amp;E filed an answer to Six Cities’ protest.</w:t>
      </w:r>
    </w:p>
    <w:p w14:paraId="0ADC14F0" w14:textId="32D11B85" w:rsidR="00056DAB" w:rsidRDefault="00056DAB" w:rsidP="00056DAB">
      <w:pPr>
        <w:pStyle w:val="Heading2"/>
      </w:pPr>
      <w:r>
        <w:t>Six Cities Protest</w:t>
      </w:r>
    </w:p>
    <w:p w14:paraId="0033B496" w14:textId="691FC42B" w:rsidR="00B159A7" w:rsidRDefault="00EF5FA9" w:rsidP="008D7F33">
      <w:pPr>
        <w:pStyle w:val="FERCparanumber"/>
      </w:pPr>
      <w:r>
        <w:t xml:space="preserve">Six Cities </w:t>
      </w:r>
      <w:r w:rsidR="00FC132F">
        <w:t xml:space="preserve">protests SDG&amp;E’s filing, </w:t>
      </w:r>
      <w:r w:rsidR="00BA6900">
        <w:t>asking</w:t>
      </w:r>
      <w:r w:rsidR="00FC132F">
        <w:t xml:space="preserve"> the Commission to</w:t>
      </w:r>
      <w:r w:rsidR="00CA4934">
        <w:t xml:space="preserve"> direct SDG&amp;E </w:t>
      </w:r>
      <w:r>
        <w:t>to implement the changes</w:t>
      </w:r>
      <w:r w:rsidR="00954DD1">
        <w:t xml:space="preserve"> recommended in </w:t>
      </w:r>
      <w:r w:rsidR="00FC132F">
        <w:t xml:space="preserve">an </w:t>
      </w:r>
      <w:r w:rsidR="00954DD1">
        <w:t>Audit Report</w:t>
      </w:r>
      <w:r w:rsidR="00FC132F">
        <w:t xml:space="preserve"> issued by Commission staff </w:t>
      </w:r>
      <w:r w:rsidR="007A07ED">
        <w:br/>
      </w:r>
      <w:r w:rsidR="00FC132F">
        <w:t xml:space="preserve">in Docket No. </w:t>
      </w:r>
      <w:r w:rsidR="00FC132F" w:rsidRPr="00FC132F">
        <w:t>Docket No. FA19-3-000</w:t>
      </w:r>
      <w:r w:rsidR="00FC132F">
        <w:t>, and make SDG&amp;E’s filing subject to refund</w:t>
      </w:r>
      <w:r>
        <w:t>.</w:t>
      </w:r>
      <w:r w:rsidR="00954DD1">
        <w:rPr>
          <w:rStyle w:val="FootnoteReference"/>
        </w:rPr>
        <w:footnoteReference w:id="8"/>
      </w:r>
      <w:r w:rsidR="0047660C">
        <w:t xml:space="preserve">  </w:t>
      </w:r>
      <w:r w:rsidR="003B0E4C">
        <w:t xml:space="preserve">Six Cities explains that on July 30, 2020, the Commission’s Office of Enforcement, Division of Audits and Accounting (DAA) issued a report of its findings from an audit </w:t>
      </w:r>
      <w:r w:rsidR="007A07ED">
        <w:br/>
      </w:r>
      <w:r w:rsidR="003B0E4C">
        <w:t>of SDG&amp;E for the period of January 1, 2016 through February 4, 2020 (Audit Report).  Six Cities assert</w:t>
      </w:r>
      <w:r w:rsidR="00C770A7">
        <w:t>s</w:t>
      </w:r>
      <w:r w:rsidR="003B0E4C">
        <w:t xml:space="preserve"> that the audit evaluated SDG&amp;E’s compliance with its Transmission Owner Tariff and the Commission’s accounting requirements under the Uniform System of Accounts, among other areas, and made certain findings and recommendations, along with the requirement for SDG&amp;E to submit an implementation plan to comply with the recommendations within 30 days of the Audit Report.  </w:t>
      </w:r>
      <w:r w:rsidR="00B159A7">
        <w:t xml:space="preserve">Six Cities contends that although the Commission directed SDG&amp;E to implement the changes from the Audit Report </w:t>
      </w:r>
      <w:r w:rsidR="00B159A7">
        <w:lastRenderedPageBreak/>
        <w:t xml:space="preserve">within </w:t>
      </w:r>
      <w:r w:rsidR="00AF101E">
        <w:t>30</w:t>
      </w:r>
      <w:r w:rsidR="00B159A7">
        <w:t xml:space="preserve"> days, SDG&amp;E has not followed through on implementing those changes for ratemaking purposes.</w:t>
      </w:r>
      <w:r w:rsidR="00E428CA">
        <w:rPr>
          <w:rStyle w:val="FootnoteReference"/>
        </w:rPr>
        <w:footnoteReference w:id="9"/>
      </w:r>
    </w:p>
    <w:p w14:paraId="02E13917" w14:textId="0BFDF478" w:rsidR="003B4F0E" w:rsidRDefault="0047660C" w:rsidP="008D7F33">
      <w:pPr>
        <w:pStyle w:val="FERCparanumber"/>
      </w:pPr>
      <w:r>
        <w:t>Specifically, Six Cities alleges that SDG&amp;E</w:t>
      </w:r>
      <w:r w:rsidR="00FB060F">
        <w:t>’s allocation of overhead costs to Account No. 107, Construction Work in Progress</w:t>
      </w:r>
      <w:r w:rsidR="008956AC">
        <w:t xml:space="preserve"> – Electric</w:t>
      </w:r>
      <w:r w:rsidR="00FB060F">
        <w:t>, may lead to overcharging transmission customers</w:t>
      </w:r>
      <w:r w:rsidR="00327855">
        <w:t xml:space="preserve">.  Six Cities </w:t>
      </w:r>
      <w:r w:rsidR="00DB1B25">
        <w:t>claims</w:t>
      </w:r>
      <w:r w:rsidR="00327855">
        <w:t xml:space="preserve"> that th</w:t>
      </w:r>
      <w:r w:rsidR="008956AC">
        <w:t>is</w:t>
      </w:r>
      <w:r w:rsidR="00327855">
        <w:t xml:space="preserve"> issue goes back several years,</w:t>
      </w:r>
      <w:r w:rsidR="00C5006F">
        <w:t xml:space="preserve"> and</w:t>
      </w:r>
      <w:r w:rsidR="00327855">
        <w:t xml:space="preserve"> thus prior charges were likewise premised on incorrect plant in service values.</w:t>
      </w:r>
      <w:r w:rsidR="00327855">
        <w:rPr>
          <w:rStyle w:val="FootnoteReference"/>
        </w:rPr>
        <w:footnoteReference w:id="10"/>
      </w:r>
      <w:r w:rsidR="00327855">
        <w:t xml:space="preserve">  </w:t>
      </w:r>
      <w:r w:rsidR="00DB1B25">
        <w:t xml:space="preserve">Similarly, </w:t>
      </w:r>
      <w:r w:rsidR="00327855">
        <w:t xml:space="preserve">Six Cities </w:t>
      </w:r>
      <w:r w:rsidR="00C5006F">
        <w:t xml:space="preserve">contends </w:t>
      </w:r>
      <w:r w:rsidR="00327855">
        <w:t xml:space="preserve">that </w:t>
      </w:r>
      <w:r w:rsidR="00DB1B25">
        <w:t xml:space="preserve">SDG&amp;E improperly accounted for electric vehicle charging stations in FERC Account No. 398, </w:t>
      </w:r>
      <w:r w:rsidR="00010D9A">
        <w:t xml:space="preserve">Miscellaneous Equipment, </w:t>
      </w:r>
      <w:r w:rsidR="00DB1B25">
        <w:t xml:space="preserve">when such </w:t>
      </w:r>
      <w:r w:rsidR="007A07ED">
        <w:br/>
      </w:r>
      <w:r w:rsidR="00DB1B25">
        <w:t>costs should have been recorded in Account No. 370</w:t>
      </w:r>
      <w:r w:rsidR="00010D9A">
        <w:t xml:space="preserve">, Meters, </w:t>
      </w:r>
      <w:r w:rsidR="00DB1B25">
        <w:t>or Account No. 371</w:t>
      </w:r>
      <w:r w:rsidR="00010D9A">
        <w:t>, Installations on Customers’ Premises</w:t>
      </w:r>
      <w:r w:rsidR="00DB1B25">
        <w:t>.  Six Cities state</w:t>
      </w:r>
      <w:r w:rsidR="003F3B2B">
        <w:t>s</w:t>
      </w:r>
      <w:r w:rsidR="00DB1B25">
        <w:t xml:space="preserve"> that the Commission should </w:t>
      </w:r>
      <w:r w:rsidR="007A07ED">
        <w:br/>
      </w:r>
      <w:r w:rsidR="00DB1B25">
        <w:t>direct SDG&amp;E to move these costs to the proper accounts for purposes of calculating its wholesale base transmission revenue requirement.</w:t>
      </w:r>
      <w:r w:rsidR="00DB1B25">
        <w:rPr>
          <w:rStyle w:val="FootnoteReference"/>
        </w:rPr>
        <w:footnoteReference w:id="11"/>
      </w:r>
      <w:r w:rsidR="00864354">
        <w:t xml:space="preserve">  </w:t>
      </w:r>
      <w:r w:rsidR="00081A6A">
        <w:t xml:space="preserve">Six Cities </w:t>
      </w:r>
      <w:r w:rsidR="00864354">
        <w:t xml:space="preserve">asserts </w:t>
      </w:r>
      <w:r w:rsidR="00081A6A">
        <w:t xml:space="preserve">that there may be other recommendations </w:t>
      </w:r>
      <w:r w:rsidR="00864354">
        <w:t xml:space="preserve">from the Audit Report </w:t>
      </w:r>
      <w:r w:rsidR="00081A6A">
        <w:t xml:space="preserve">that have not been implemented, resulting in an unjust and unreasonable wholesale base </w:t>
      </w:r>
      <w:r w:rsidR="003073B7">
        <w:t>transmission revenue requirement</w:t>
      </w:r>
      <w:r w:rsidR="00081A6A">
        <w:t>.</w:t>
      </w:r>
      <w:r w:rsidR="00081A6A">
        <w:rPr>
          <w:rStyle w:val="FootnoteReference"/>
        </w:rPr>
        <w:footnoteReference w:id="12"/>
      </w:r>
    </w:p>
    <w:p w14:paraId="3FD197C0" w14:textId="20A9D492" w:rsidR="00056DAB" w:rsidRDefault="00056DAB" w:rsidP="00056DAB">
      <w:pPr>
        <w:pStyle w:val="Heading2"/>
      </w:pPr>
      <w:r>
        <w:t>SDG&amp;E Answer</w:t>
      </w:r>
    </w:p>
    <w:p w14:paraId="512381A7" w14:textId="28984EBA" w:rsidR="00B132D8" w:rsidRDefault="00234151" w:rsidP="008D7F33">
      <w:pPr>
        <w:pStyle w:val="FERCparanumber"/>
      </w:pPr>
      <w:r>
        <w:t>SDG&amp;E states that Six Cities’ protest is based on a misunderstanding of the Audit</w:t>
      </w:r>
      <w:r w:rsidR="00AF101E">
        <w:t xml:space="preserve"> Report</w:t>
      </w:r>
      <w:r>
        <w:t>’s implementation timing requirements.</w:t>
      </w:r>
      <w:r w:rsidR="00AF101E">
        <w:t xml:space="preserve">  </w:t>
      </w:r>
      <w:r w:rsidR="00B132D8">
        <w:t xml:space="preserve">SDG&amp;E </w:t>
      </w:r>
      <w:r w:rsidR="00FC364B">
        <w:t>asserts</w:t>
      </w:r>
      <w:r w:rsidR="00AF101E">
        <w:t xml:space="preserve"> </w:t>
      </w:r>
      <w:r w:rsidR="00B132D8">
        <w:t xml:space="preserve">that the Audit </w:t>
      </w:r>
      <w:r w:rsidR="00AF101E">
        <w:t xml:space="preserve">Report </w:t>
      </w:r>
      <w:r w:rsidR="007A07ED">
        <w:br/>
      </w:r>
      <w:r w:rsidR="00FC364B">
        <w:t xml:space="preserve">at no point </w:t>
      </w:r>
      <w:r w:rsidR="00B132D8">
        <w:t>require</w:t>
      </w:r>
      <w:r w:rsidR="00FC364B">
        <w:t>s</w:t>
      </w:r>
      <w:r w:rsidR="00B132D8">
        <w:t xml:space="preserve"> SDG&amp;E to implement the recommendations within 30 days, but instead, direct</w:t>
      </w:r>
      <w:r w:rsidR="00FC364B">
        <w:t>s</w:t>
      </w:r>
      <w:r w:rsidR="00B132D8">
        <w:t xml:space="preserve"> SDG&amp;E to submit within 30 days its plan on how to implement the recommendations.</w:t>
      </w:r>
      <w:r w:rsidR="00B132D8">
        <w:rPr>
          <w:rStyle w:val="FootnoteReference"/>
        </w:rPr>
        <w:footnoteReference w:id="13"/>
      </w:r>
    </w:p>
    <w:p w14:paraId="349E3D06" w14:textId="06AE2EAD" w:rsidR="00BA1C21" w:rsidRDefault="00961A89" w:rsidP="008D7F33">
      <w:pPr>
        <w:pStyle w:val="FERCparanumber"/>
      </w:pPr>
      <w:r>
        <w:t>SDG&amp;E explains that regarding Construction Work in Progress</w:t>
      </w:r>
      <w:r w:rsidR="0059329B">
        <w:t>,</w:t>
      </w:r>
      <w:r w:rsidR="00006A66">
        <w:rPr>
          <w:rStyle w:val="FootnoteReference"/>
        </w:rPr>
        <w:footnoteReference w:id="14"/>
      </w:r>
      <w:r>
        <w:t xml:space="preserve"> </w:t>
      </w:r>
      <w:r w:rsidR="0059329B">
        <w:t xml:space="preserve">the Audit Report </w:t>
      </w:r>
      <w:r>
        <w:t xml:space="preserve">requires SDG&amp;E to </w:t>
      </w:r>
      <w:r w:rsidR="0059329B">
        <w:t xml:space="preserve">retain </w:t>
      </w:r>
      <w:r>
        <w:t xml:space="preserve">within 180 days an independent third-party to conduct a labor time study and submit </w:t>
      </w:r>
      <w:r w:rsidR="00006A66" w:rsidRPr="00006A66">
        <w:t>initial study results to DAA for review</w:t>
      </w:r>
      <w:r w:rsidR="0087392F">
        <w:t>.</w:t>
      </w:r>
      <w:r w:rsidR="0087392F">
        <w:rPr>
          <w:rStyle w:val="FootnoteReference"/>
        </w:rPr>
        <w:footnoteReference w:id="15"/>
      </w:r>
      <w:r w:rsidR="005848A5">
        <w:t xml:space="preserve">  SDG&amp;E states that </w:t>
      </w:r>
      <w:r w:rsidR="00BB6AB3">
        <w:t xml:space="preserve">the Audit Report recommends SDG&amp;E to </w:t>
      </w:r>
      <w:r w:rsidR="005848A5">
        <w:t>subsequently file a refund report</w:t>
      </w:r>
      <w:r w:rsidR="00BB6AB3">
        <w:t>,</w:t>
      </w:r>
      <w:r w:rsidR="005848A5">
        <w:t xml:space="preserve"> which </w:t>
      </w:r>
      <w:r w:rsidR="007A07ED">
        <w:br/>
      </w:r>
      <w:r w:rsidR="005848A5">
        <w:lastRenderedPageBreak/>
        <w:t>is dependent upon first receiving DAA</w:t>
      </w:r>
      <w:r w:rsidR="00BF659D">
        <w:t>’</w:t>
      </w:r>
      <w:r w:rsidR="005848A5">
        <w:t>s assessment of SDG&amp;E’s refund analysis.</w:t>
      </w:r>
      <w:r w:rsidR="005848A5">
        <w:rPr>
          <w:rStyle w:val="FootnoteReference"/>
        </w:rPr>
        <w:footnoteReference w:id="16"/>
      </w:r>
      <w:r w:rsidR="00BB6AB3">
        <w:t xml:space="preserve">  </w:t>
      </w:r>
      <w:r w:rsidR="00423026">
        <w:t>With regard to Six Cities’ concern on SDG&amp;E’s accounting of electric vehicle charging stations in general plant Account 398 instead of distribution Account 371, SDG&amp;E states that the Audit Report directs SDG&amp;E to submit proposed accounting entries and revise the Account 398 balance after DAA’s assessment of the proposed entries.</w:t>
      </w:r>
      <w:r w:rsidR="00423026">
        <w:rPr>
          <w:rStyle w:val="FootnoteReference"/>
        </w:rPr>
        <w:footnoteReference w:id="17"/>
      </w:r>
      <w:r w:rsidR="00423026">
        <w:t xml:space="preserve">  </w:t>
      </w:r>
      <w:r w:rsidR="00BA1C21">
        <w:t xml:space="preserve">SDG&amp;E </w:t>
      </w:r>
      <w:r w:rsidR="00BB6AB3">
        <w:t>argues</w:t>
      </w:r>
      <w:r w:rsidR="00BA1C21">
        <w:t xml:space="preserve"> that for all of the Audit Report</w:t>
      </w:r>
      <w:r w:rsidR="00BB6AB3">
        <w:t>’s</w:t>
      </w:r>
      <w:r w:rsidR="00BA1C21">
        <w:t xml:space="preserve"> recommendations involving the filing of a </w:t>
      </w:r>
      <w:r w:rsidR="007A07ED">
        <w:br/>
      </w:r>
      <w:r w:rsidR="00BA1C21">
        <w:t>refund report, SDG&amp;E must first conduct an analysis and/or provide propose</w:t>
      </w:r>
      <w:r w:rsidR="00BB6AB3">
        <w:t>d</w:t>
      </w:r>
      <w:r w:rsidR="00BA1C21">
        <w:t xml:space="preserve"> accounting entries</w:t>
      </w:r>
      <w:r w:rsidR="00BB6AB3">
        <w:t>,</w:t>
      </w:r>
      <w:r w:rsidR="00BA1C21">
        <w:t xml:space="preserve"> and DAA must then assess the analysis or proposed accounting entries before SDG&amp;E implements the Audit </w:t>
      </w:r>
      <w:r w:rsidR="00BB6AB3">
        <w:t>Report’s recommendation</w:t>
      </w:r>
      <w:r w:rsidR="00BA1C21">
        <w:t>s</w:t>
      </w:r>
      <w:r w:rsidR="00315A5A">
        <w:t>.</w:t>
      </w:r>
    </w:p>
    <w:p w14:paraId="3EDB5417" w14:textId="3877CCF6" w:rsidR="000A66CD" w:rsidRDefault="000A66CD" w:rsidP="008D7F33">
      <w:pPr>
        <w:pStyle w:val="FERCparanumber"/>
      </w:pPr>
      <w:r>
        <w:t xml:space="preserve">SDG&amp;E states that it contemplates filing the refund report associated with the Audit </w:t>
      </w:r>
      <w:r w:rsidR="00725B57">
        <w:t xml:space="preserve">Report </w:t>
      </w:r>
      <w:r>
        <w:t xml:space="preserve">by July 15, 2021, aligning the submission of refund reports with the </w:t>
      </w:r>
      <w:r w:rsidR="007C5CE2">
        <w:br/>
      </w:r>
      <w:r>
        <w:t>draft posting of SDG&amp;E’s next annual informational filing.</w:t>
      </w:r>
      <w:r w:rsidR="00234151">
        <w:t xml:space="preserve">  </w:t>
      </w:r>
      <w:bookmarkStart w:id="3" w:name="_Hlk63328464"/>
      <w:r w:rsidR="00234151">
        <w:t xml:space="preserve">SDG&amp;E </w:t>
      </w:r>
      <w:r w:rsidR="00725B57">
        <w:t>asserts</w:t>
      </w:r>
      <w:r w:rsidR="00234151">
        <w:t xml:space="preserve"> that customers will receive any required refunds, including interest, once the Audit</w:t>
      </w:r>
      <w:r w:rsidR="00C5006F">
        <w:t xml:space="preserve"> Report</w:t>
      </w:r>
      <w:r w:rsidR="00234151">
        <w:t xml:space="preserve">’s implementation is complete </w:t>
      </w:r>
      <w:bookmarkEnd w:id="3"/>
      <w:r w:rsidR="00234151">
        <w:t>and the Commission has approved the refund reports, as explicitly provided for in the Audit</w:t>
      </w:r>
      <w:r w:rsidR="00C5006F">
        <w:t xml:space="preserve"> Report</w:t>
      </w:r>
      <w:r w:rsidR="00234151">
        <w:t>.  SDG&amp;E notes that any party will have the right to participate in those proceedings.</w:t>
      </w:r>
      <w:r w:rsidR="00341278">
        <w:rPr>
          <w:rStyle w:val="FootnoteReference"/>
        </w:rPr>
        <w:footnoteReference w:id="18"/>
      </w:r>
    </w:p>
    <w:p w14:paraId="73C804CB" w14:textId="0D4E83E7" w:rsidR="00056DAB" w:rsidRDefault="00056DAB" w:rsidP="00056DAB">
      <w:pPr>
        <w:pStyle w:val="Heading1"/>
      </w:pPr>
      <w:r>
        <w:t>Procedural Matters</w:t>
      </w:r>
    </w:p>
    <w:p w14:paraId="1A5311E0" w14:textId="41AAAE03" w:rsidR="00056DAB" w:rsidRDefault="00056DAB" w:rsidP="008D7F33">
      <w:pPr>
        <w:pStyle w:val="FERCparanumber"/>
      </w:pPr>
      <w:r w:rsidRPr="00056DAB">
        <w:t>Pursuant to Rule 214 of the Commission’s Rules of Practice and Procedure,</w:t>
      </w:r>
      <w:r>
        <w:br/>
      </w:r>
      <w:r w:rsidRPr="00056DAB">
        <w:t>18 C.F.R. § 385.214 (</w:t>
      </w:r>
      <w:r w:rsidRPr="00544FE7">
        <w:t>2020</w:t>
      </w:r>
      <w:r w:rsidRPr="00056DAB">
        <w:t xml:space="preserve">), the </w:t>
      </w:r>
      <w:r>
        <w:t xml:space="preserve">timely, unopposed </w:t>
      </w:r>
      <w:r w:rsidRPr="00056DAB">
        <w:t xml:space="preserve">motions to intervene serve to </w:t>
      </w:r>
      <w:r w:rsidR="007A07ED">
        <w:br/>
      </w:r>
      <w:r w:rsidRPr="00056DAB">
        <w:t>make the entities that filed them parties to th</w:t>
      </w:r>
      <w:r>
        <w:t>e</w:t>
      </w:r>
      <w:r w:rsidRPr="00056DAB">
        <w:t xml:space="preserve"> proceeding</w:t>
      </w:r>
      <w:r>
        <w:t>s in which they were filed</w:t>
      </w:r>
      <w:r w:rsidRPr="00056DAB">
        <w:t>.</w:t>
      </w:r>
    </w:p>
    <w:p w14:paraId="77361622" w14:textId="615980AF" w:rsidR="00056DAB" w:rsidRDefault="00056DAB" w:rsidP="008D7F33">
      <w:pPr>
        <w:pStyle w:val="FERCparanumber"/>
      </w:pPr>
      <w:r w:rsidRPr="00056DAB">
        <w:t>Pursuant to Rule 214(d) of the Commission’s Rules of Practice and Procedure,</w:t>
      </w:r>
      <w:r>
        <w:br/>
      </w:r>
      <w:r w:rsidRPr="00056DAB">
        <w:t xml:space="preserve">18 C.F.R. § 385.214(d), the Commission will </w:t>
      </w:r>
      <w:r>
        <w:t xml:space="preserve">grant </w:t>
      </w:r>
      <w:r w:rsidR="006A18F8">
        <w:t>the California Public Utilities Commission</w:t>
      </w:r>
      <w:r w:rsidRPr="00056DAB">
        <w:t xml:space="preserve">’s </w:t>
      </w:r>
      <w:r w:rsidR="00C5006F">
        <w:t>motion to intervene</w:t>
      </w:r>
      <w:r w:rsidR="00676FF4">
        <w:t xml:space="preserve"> out of time</w:t>
      </w:r>
      <w:r>
        <w:t>,</w:t>
      </w:r>
      <w:r w:rsidRPr="00056DAB">
        <w:t xml:space="preserve"> given </w:t>
      </w:r>
      <w:r w:rsidR="006A18F8">
        <w:t>its</w:t>
      </w:r>
      <w:r w:rsidRPr="00056DAB">
        <w:t xml:space="preserve"> interest in the proceeding, </w:t>
      </w:r>
      <w:r w:rsidR="007A07ED">
        <w:br/>
      </w:r>
      <w:r w:rsidRPr="00056DAB">
        <w:t>the early stage of the proceeding, and the absence of undue prejudice or delay.</w:t>
      </w:r>
    </w:p>
    <w:p w14:paraId="190A074C" w14:textId="5B40D5DE" w:rsidR="00056DAB" w:rsidRDefault="00056DAB" w:rsidP="008D7F33">
      <w:pPr>
        <w:pStyle w:val="FERCparanumber"/>
      </w:pPr>
      <w:r w:rsidRPr="00056DAB">
        <w:t xml:space="preserve">Rule 213(a)(2) of the Commission’s Rules of Practice and Procedure, 18 C.F.R. </w:t>
      </w:r>
      <w:r w:rsidR="007A07ED">
        <w:br/>
      </w:r>
      <w:r w:rsidRPr="00056DAB">
        <w:t>§ 385.213(a)(2)</w:t>
      </w:r>
      <w:r w:rsidR="007A07ED">
        <w:t xml:space="preserve"> (2020)</w:t>
      </w:r>
      <w:r w:rsidRPr="00056DAB">
        <w:t xml:space="preserve">, prohibits an answer to a protest or an answer unless otherwise ordered by the decisional authority. </w:t>
      </w:r>
      <w:r w:rsidR="007D0CE1">
        <w:t xml:space="preserve"> </w:t>
      </w:r>
      <w:r w:rsidRPr="00056DAB">
        <w:t>We accept SDG&amp;E’s answer because it has provided information that assisted us in our decision-making process.</w:t>
      </w:r>
    </w:p>
    <w:p w14:paraId="5A8D0C9D" w14:textId="34F0E20A" w:rsidR="00056DAB" w:rsidRDefault="00056DAB" w:rsidP="00056DAB">
      <w:pPr>
        <w:pStyle w:val="Heading1"/>
      </w:pPr>
      <w:r>
        <w:lastRenderedPageBreak/>
        <w:t>Discussion</w:t>
      </w:r>
    </w:p>
    <w:p w14:paraId="59C313D1" w14:textId="1F80CD10" w:rsidR="00980541" w:rsidRDefault="007A195A" w:rsidP="00AB7069">
      <w:pPr>
        <w:pStyle w:val="FERCparanumber"/>
      </w:pPr>
      <w:r w:rsidRPr="007A195A">
        <w:t>We accept SDG&amp;E’s TO</w:t>
      </w:r>
      <w:r>
        <w:t>5</w:t>
      </w:r>
      <w:r w:rsidRPr="007A195A">
        <w:t xml:space="preserve"> Cycle 3 Filing, effective January 1, 20</w:t>
      </w:r>
      <w:r>
        <w:t>21</w:t>
      </w:r>
      <w:r w:rsidRPr="007A195A">
        <w:t>, as requested.  SDG&amp;E’s informational filing shows the base transmission revenue requirement in effect for the next calendar year</w:t>
      </w:r>
      <w:r w:rsidR="003B0E4C">
        <w:t>, which is subject to a true-up</w:t>
      </w:r>
      <w:r w:rsidRPr="007A195A">
        <w:t>.</w:t>
      </w:r>
      <w:r w:rsidR="00AB7069">
        <w:t xml:space="preserve">  </w:t>
      </w:r>
      <w:r w:rsidR="00980541">
        <w:t xml:space="preserve">Six Cities </w:t>
      </w:r>
      <w:r w:rsidR="00DF40D2">
        <w:t>has not demonstrated that SDG&amp;E’s proposed transmission revenue requirement is unjust and unreasonable.  Specifically, we agree with SDG&amp;E that the Audit Report does not require SDG&amp;E to implement the recommendations within 30 days, but</w:t>
      </w:r>
      <w:r w:rsidR="00903541">
        <w:t xml:space="preserve"> rather</w:t>
      </w:r>
      <w:r w:rsidR="00DF40D2">
        <w:t xml:space="preserve"> directs SDG&amp;E to submit within 30 days its plan on how to implement the recommendations</w:t>
      </w:r>
      <w:r w:rsidR="00903541">
        <w:t>.</w:t>
      </w:r>
      <w:r w:rsidR="008906CE">
        <w:rPr>
          <w:rStyle w:val="FootnoteReference"/>
        </w:rPr>
        <w:footnoteReference w:id="19"/>
      </w:r>
      <w:r w:rsidR="00903541">
        <w:t xml:space="preserve"> </w:t>
      </w:r>
      <w:r w:rsidR="00DF40D2">
        <w:t xml:space="preserve"> SDG&amp;E has followed through</w:t>
      </w:r>
      <w:r w:rsidR="00903541">
        <w:t xml:space="preserve"> with this direction</w:t>
      </w:r>
      <w:r w:rsidR="00DF40D2">
        <w:t>.</w:t>
      </w:r>
    </w:p>
    <w:p w14:paraId="754F9A86" w14:textId="5AD35442" w:rsidR="00596F51" w:rsidRPr="00874E95" w:rsidRDefault="00596F51" w:rsidP="008D7F33">
      <w:pPr>
        <w:pStyle w:val="FERCparanumber"/>
      </w:pPr>
      <w:r>
        <w:t xml:space="preserve">We note SDG&amp;E’s statement that it contemplates filing the refund report associated with the Audit Report by July 15, 2021.  </w:t>
      </w:r>
      <w:r w:rsidR="00C5006F">
        <w:t>W</w:t>
      </w:r>
      <w:r>
        <w:t xml:space="preserve">hen SDG&amp;E files the refund </w:t>
      </w:r>
      <w:r w:rsidR="007A07ED">
        <w:br/>
      </w:r>
      <w:r>
        <w:t>report with the Commission, any party, including Six Cities, will have the right to participate, and submit a protest or comments on the refund report at that time.</w:t>
      </w:r>
      <w:r w:rsidR="003B0E4C">
        <w:t xml:space="preserve">  C</w:t>
      </w:r>
      <w:r w:rsidR="003B0E4C" w:rsidRPr="003B0E4C">
        <w:t xml:space="preserve">ustomers will receive any required refunds, including interest, once the Audit </w:t>
      </w:r>
      <w:r w:rsidR="007A07ED">
        <w:br/>
      </w:r>
      <w:r w:rsidR="003B0E4C" w:rsidRPr="003B0E4C">
        <w:t>Report’s implementation is complete</w:t>
      </w:r>
      <w:r w:rsidR="003B0E4C">
        <w:t>.</w:t>
      </w:r>
    </w:p>
    <w:p w14:paraId="1378C61E" w14:textId="229EC69E" w:rsidR="00B9287A" w:rsidRPr="00CD0B38" w:rsidRDefault="00B9287A" w:rsidP="00BD2829">
      <w:pPr>
        <w:pStyle w:val="FERCparanumber"/>
        <w:numPr>
          <w:ilvl w:val="0"/>
          <w:numId w:val="0"/>
        </w:numPr>
      </w:pPr>
      <w:r w:rsidRPr="00BD2829">
        <w:rPr>
          <w:u w:val="single"/>
        </w:rPr>
        <w:t>The Commission orders</w:t>
      </w:r>
      <w:r w:rsidRPr="00CD0B38">
        <w:t>:</w:t>
      </w:r>
    </w:p>
    <w:p w14:paraId="1B5529E5" w14:textId="07A9D5EE" w:rsidR="00B9287A" w:rsidRDefault="007214A1" w:rsidP="00AD235D">
      <w:pPr>
        <w:spacing w:after="240"/>
      </w:pPr>
      <w:r>
        <w:tab/>
        <w:t>SDG&amp;E’s TO5 Cycle 3 Filing is hereby accepted for filing, to become effective January 1, 2021, as requested.</w:t>
      </w:r>
    </w:p>
    <w:p w14:paraId="2D34E420" w14:textId="78544050" w:rsidR="00B9287A" w:rsidRDefault="00B9287A" w:rsidP="008D7F33">
      <w:r w:rsidRPr="00CD0B38">
        <w:t>By the Commission.</w:t>
      </w:r>
    </w:p>
    <w:p w14:paraId="5334432F" w14:textId="17024150" w:rsidR="007A07ED" w:rsidRDefault="007A07ED" w:rsidP="008D7F33"/>
    <w:p w14:paraId="4C90485E" w14:textId="4F5BC5C5" w:rsidR="007A07ED" w:rsidRDefault="007A07ED" w:rsidP="007A07ED">
      <w:pPr>
        <w:widowControl/>
      </w:pPr>
      <w:r w:rsidRPr="007A07ED">
        <w:t>( S E A L )</w:t>
      </w:r>
    </w:p>
    <w:p w14:paraId="0EBEF14F" w14:textId="41924008" w:rsidR="007A07ED" w:rsidRDefault="007A07ED" w:rsidP="007C5CE2">
      <w:pPr>
        <w:widowControl/>
      </w:pPr>
    </w:p>
    <w:p w14:paraId="22AF5D28" w14:textId="7F448FBC" w:rsidR="007C5CE2" w:rsidRDefault="007C5CE2" w:rsidP="007C5CE2">
      <w:pPr>
        <w:widowControl/>
      </w:pPr>
    </w:p>
    <w:p w14:paraId="044B0D72" w14:textId="54762C04" w:rsidR="007C5CE2" w:rsidRDefault="007C5CE2" w:rsidP="007C5CE2">
      <w:pPr>
        <w:widowControl/>
      </w:pPr>
    </w:p>
    <w:p w14:paraId="548366AD" w14:textId="4ACF0332" w:rsidR="007C5CE2" w:rsidRDefault="007C5CE2" w:rsidP="007C5CE2">
      <w:pPr>
        <w:widowControl/>
      </w:pPr>
    </w:p>
    <w:p w14:paraId="02BA84D0" w14:textId="2DE477B3" w:rsidR="007C5CE2" w:rsidRPr="007C5CE2" w:rsidRDefault="007C5CE2" w:rsidP="007C5CE2">
      <w:pPr>
        <w:widowControl/>
        <w:ind w:firstLine="2606"/>
        <w:jc w:val="center"/>
      </w:pPr>
      <w:r w:rsidRPr="007C5CE2">
        <w:t>Nathaniel J. Davis, Sr.,</w:t>
      </w:r>
    </w:p>
    <w:p w14:paraId="3ED84A8A" w14:textId="30D0CFF7" w:rsidR="007C5CE2" w:rsidRPr="007C5CE2" w:rsidRDefault="007C5CE2" w:rsidP="007C5CE2">
      <w:pPr>
        <w:widowControl/>
        <w:ind w:firstLine="2606"/>
        <w:jc w:val="center"/>
      </w:pPr>
      <w:r w:rsidRPr="007C5CE2">
        <w:t>Deputy Secretary.</w:t>
      </w:r>
    </w:p>
    <w:p w14:paraId="40505801" w14:textId="77777777" w:rsidR="007C5CE2" w:rsidRDefault="007C5CE2" w:rsidP="007C5CE2">
      <w:pPr>
        <w:widowControl/>
      </w:pPr>
    </w:p>
    <w:p w14:paraId="7904F010" w14:textId="4D7A8408" w:rsidR="007A07ED" w:rsidRDefault="007A07ED" w:rsidP="007A07ED">
      <w:pPr>
        <w:widowControl/>
      </w:pPr>
    </w:p>
    <w:p w14:paraId="7028083C" w14:textId="4AD0E420" w:rsidR="007A07ED" w:rsidRDefault="007A07ED" w:rsidP="007A07ED">
      <w:pPr>
        <w:widowControl/>
      </w:pPr>
    </w:p>
    <w:p w14:paraId="4ACC830E" w14:textId="22CC8B5A" w:rsidR="007A07ED" w:rsidRDefault="007A07ED" w:rsidP="007A07ED">
      <w:pPr>
        <w:widowControl/>
      </w:pPr>
    </w:p>
    <w:p w14:paraId="6120605D" w14:textId="77777777" w:rsidR="00B9287A" w:rsidRPr="00CD0B38" w:rsidRDefault="00B9287A" w:rsidP="008D7F33"/>
    <w:p w14:paraId="629C853C" w14:textId="4E3C15E7" w:rsidR="002870A9" w:rsidRPr="00FD3D3B" w:rsidRDefault="00B9287A" w:rsidP="00FD3D3B">
      <w:r w:rsidRPr="00CD0B38">
        <w:tab/>
      </w:r>
      <w:r w:rsidRPr="00CD0B38">
        <w:tab/>
      </w:r>
      <w:r w:rsidRPr="00CD0B38">
        <w:tab/>
      </w:r>
      <w:r w:rsidRPr="00CD0B38">
        <w:tab/>
      </w:r>
      <w:r w:rsidRPr="00CD0B38">
        <w:tab/>
      </w:r>
      <w:r w:rsidRPr="00CD0B38">
        <w:tab/>
      </w:r>
      <w:r w:rsidRPr="00CD0B38">
        <w:tab/>
      </w:r>
    </w:p>
    <w:sectPr w:rsidR="002870A9" w:rsidRPr="00FD3D3B" w:rsidSect="00B9287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3B4C2" w14:textId="77777777" w:rsidR="00B4239B" w:rsidRDefault="00B4239B" w:rsidP="0048020B">
      <w:r>
        <w:separator/>
      </w:r>
    </w:p>
  </w:endnote>
  <w:endnote w:type="continuationSeparator" w:id="0">
    <w:p w14:paraId="3461EE6A" w14:textId="77777777" w:rsidR="00B4239B" w:rsidRDefault="00B4239B" w:rsidP="0048020B">
      <w:r>
        <w:continuationSeparator/>
      </w:r>
    </w:p>
  </w:endnote>
  <w:endnote w:type="continuationNotice" w:id="1">
    <w:p w14:paraId="33D0A2C3" w14:textId="77777777" w:rsidR="00B4239B" w:rsidRDefault="00B4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AEA9" w14:textId="77777777" w:rsidR="00FC466C" w:rsidRDefault="00FC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B1B8" w14:textId="77777777" w:rsidR="00FC466C" w:rsidRDefault="00FC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CA22" w14:textId="77777777" w:rsidR="00FC466C" w:rsidRDefault="00FC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847C2" w14:textId="77777777" w:rsidR="00B4239B" w:rsidRDefault="00B4239B" w:rsidP="0048020B">
      <w:r>
        <w:separator/>
      </w:r>
    </w:p>
  </w:footnote>
  <w:footnote w:type="continuationSeparator" w:id="0">
    <w:p w14:paraId="01BAEC5E" w14:textId="77777777" w:rsidR="00B4239B" w:rsidRDefault="00B4239B" w:rsidP="0048020B">
      <w:r>
        <w:continuationSeparator/>
      </w:r>
    </w:p>
  </w:footnote>
  <w:footnote w:type="continuationNotice" w:id="1">
    <w:p w14:paraId="5DFA19B2" w14:textId="77777777" w:rsidR="00B4239B" w:rsidRPr="00BB69A5" w:rsidRDefault="00B4239B" w:rsidP="00BB69A5">
      <w:pPr>
        <w:spacing w:line="20" w:lineRule="exact"/>
        <w:rPr>
          <w:sz w:val="2"/>
        </w:rPr>
      </w:pPr>
    </w:p>
  </w:footnote>
  <w:footnote w:id="2">
    <w:p w14:paraId="1BEAFE64" w14:textId="4D526449" w:rsidR="00B4239B" w:rsidRDefault="00B4239B" w:rsidP="003B3110">
      <w:pPr>
        <w:pStyle w:val="FootnoteText"/>
        <w:rPr>
          <w:lang w:eastAsia="ko-KR"/>
        </w:rPr>
      </w:pPr>
      <w:r>
        <w:rPr>
          <w:rStyle w:val="FootnoteReference"/>
        </w:rPr>
        <w:footnoteRef/>
      </w:r>
      <w:r>
        <w:t xml:space="preserve"> The term “Cycle,” as used in SDG&amp;E’s informational filing and this order, </w:t>
      </w:r>
      <w:r w:rsidR="007A07ED">
        <w:br/>
      </w:r>
      <w:r>
        <w:t xml:space="preserve">refers to the number of annual filings made under the formula rate in effect.  </w:t>
      </w:r>
      <w:r w:rsidRPr="006A2D50">
        <w:rPr>
          <w:i/>
          <w:iCs/>
        </w:rPr>
        <w:t>See</w:t>
      </w:r>
      <w:r>
        <w:t xml:space="preserve"> SDG&amp;E Transmittal at n.1.</w:t>
      </w:r>
    </w:p>
  </w:footnote>
  <w:footnote w:id="3">
    <w:p w14:paraId="5E96888A" w14:textId="13CA0403" w:rsidR="00B4239B" w:rsidRPr="0047628B" w:rsidRDefault="00B4239B">
      <w:pPr>
        <w:pStyle w:val="FootnoteText"/>
        <w:rPr>
          <w:lang w:eastAsia="ko-KR"/>
        </w:rPr>
      </w:pPr>
      <w:r>
        <w:rPr>
          <w:rStyle w:val="FootnoteReference"/>
        </w:rPr>
        <w:footnoteRef/>
      </w:r>
      <w:r>
        <w:t xml:space="preserve"> </w:t>
      </w:r>
      <w:r>
        <w:rPr>
          <w:rFonts w:hint="eastAsia"/>
          <w:lang w:eastAsia="ko-KR"/>
        </w:rPr>
        <w:t>S</w:t>
      </w:r>
      <w:r>
        <w:rPr>
          <w:lang w:eastAsia="ko-KR"/>
        </w:rPr>
        <w:t>DG&amp;E Transmittal at 2.</w:t>
      </w:r>
    </w:p>
  </w:footnote>
  <w:footnote w:id="4">
    <w:p w14:paraId="2F828A55" w14:textId="28750986" w:rsidR="00B4239B" w:rsidRDefault="00B4239B">
      <w:pPr>
        <w:pStyle w:val="FootnoteText"/>
        <w:rPr>
          <w:lang w:eastAsia="ko-KR"/>
        </w:rPr>
      </w:pPr>
      <w:r>
        <w:rPr>
          <w:rStyle w:val="FootnoteReference"/>
        </w:rPr>
        <w:footnoteRef/>
      </w:r>
      <w:r>
        <w:t xml:space="preserve"> </w:t>
      </w:r>
      <w:bookmarkStart w:id="1" w:name="_Hlk63083891"/>
      <w:r w:rsidRPr="006D692B">
        <w:rPr>
          <w:i/>
          <w:iCs/>
          <w:lang w:eastAsia="ko-KR"/>
        </w:rPr>
        <w:t>Id</w:t>
      </w:r>
      <w:r>
        <w:rPr>
          <w:lang w:eastAsia="ko-KR"/>
        </w:rPr>
        <w:t>.</w:t>
      </w:r>
      <w:bookmarkEnd w:id="1"/>
    </w:p>
  </w:footnote>
  <w:footnote w:id="5">
    <w:p w14:paraId="14999516" w14:textId="61224D6E" w:rsidR="00B4239B" w:rsidRDefault="00B4239B">
      <w:pPr>
        <w:pStyle w:val="FootnoteText"/>
        <w:rPr>
          <w:lang w:eastAsia="ko-KR"/>
        </w:rPr>
      </w:pPr>
      <w:r>
        <w:rPr>
          <w:rStyle w:val="FootnoteReference"/>
        </w:rPr>
        <w:footnoteRef/>
      </w:r>
      <w:r>
        <w:t xml:space="preserve"> </w:t>
      </w:r>
      <w:r w:rsidRPr="00676FF4">
        <w:rPr>
          <w:i/>
          <w:iCs/>
        </w:rPr>
        <w:t>Id</w:t>
      </w:r>
      <w:r w:rsidRPr="00676FF4">
        <w:t>.</w:t>
      </w:r>
    </w:p>
  </w:footnote>
  <w:footnote w:id="6">
    <w:p w14:paraId="6D3139CF" w14:textId="5B49C859" w:rsidR="00B4239B" w:rsidRDefault="00B4239B">
      <w:pPr>
        <w:pStyle w:val="FootnoteText"/>
        <w:rPr>
          <w:lang w:eastAsia="ko-KR"/>
        </w:rPr>
      </w:pPr>
      <w:r>
        <w:rPr>
          <w:rStyle w:val="FootnoteReference"/>
        </w:rPr>
        <w:footnoteRef/>
      </w:r>
      <w:r>
        <w:t xml:space="preserve"> </w:t>
      </w:r>
      <w:r w:rsidRPr="00676FF4">
        <w:rPr>
          <w:i/>
          <w:iCs/>
        </w:rPr>
        <w:t>Id</w:t>
      </w:r>
      <w:r w:rsidRPr="00676FF4">
        <w:t>.</w:t>
      </w:r>
      <w:r>
        <w:t xml:space="preserve"> at 3.</w:t>
      </w:r>
    </w:p>
  </w:footnote>
  <w:footnote w:id="7">
    <w:p w14:paraId="7A36076C" w14:textId="359A52A8" w:rsidR="00B4239B" w:rsidRDefault="00B4239B">
      <w:pPr>
        <w:pStyle w:val="FootnoteText"/>
        <w:rPr>
          <w:lang w:eastAsia="ko-KR"/>
        </w:rPr>
      </w:pPr>
      <w:r>
        <w:rPr>
          <w:rStyle w:val="FootnoteReference"/>
        </w:rPr>
        <w:footnoteRef/>
      </w:r>
      <w:r>
        <w:t xml:space="preserve"> </w:t>
      </w:r>
      <w:r w:rsidRPr="00676FF4">
        <w:rPr>
          <w:i/>
          <w:iCs/>
        </w:rPr>
        <w:t>Id</w:t>
      </w:r>
      <w:r w:rsidRPr="00676FF4">
        <w:t>.</w:t>
      </w:r>
      <w:r>
        <w:t xml:space="preserve"> at 1.</w:t>
      </w:r>
    </w:p>
  </w:footnote>
  <w:footnote w:id="8">
    <w:p w14:paraId="6AC631AD" w14:textId="012471E2" w:rsidR="00B4239B" w:rsidRDefault="00B4239B">
      <w:pPr>
        <w:pStyle w:val="FootnoteText"/>
        <w:rPr>
          <w:lang w:eastAsia="ko-KR"/>
        </w:rPr>
      </w:pPr>
      <w:r>
        <w:rPr>
          <w:rStyle w:val="FootnoteReference"/>
        </w:rPr>
        <w:footnoteRef/>
      </w:r>
      <w:r>
        <w:t xml:space="preserve"> </w:t>
      </w:r>
      <w:r w:rsidRPr="00406758">
        <w:rPr>
          <w:i/>
          <w:iCs/>
        </w:rPr>
        <w:t>Id</w:t>
      </w:r>
      <w:r w:rsidRPr="00406758">
        <w:t>. at 2 (</w:t>
      </w:r>
      <w:r>
        <w:t xml:space="preserve">citing </w:t>
      </w:r>
      <w:r w:rsidRPr="00406758">
        <w:t>Delegated Letter Order, Docket No. FA19-3-000 (July 30, 2020)</w:t>
      </w:r>
      <w:r>
        <w:t>)</w:t>
      </w:r>
      <w:r w:rsidRPr="00406758">
        <w:t>.</w:t>
      </w:r>
    </w:p>
  </w:footnote>
  <w:footnote w:id="9">
    <w:p w14:paraId="3C838FC5" w14:textId="1C358FC3" w:rsidR="00B4239B" w:rsidRDefault="00B4239B">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p>
  </w:footnote>
  <w:footnote w:id="10">
    <w:p w14:paraId="3E1E9EA3" w14:textId="7DE4E515" w:rsidR="00B4239B" w:rsidRDefault="00B4239B" w:rsidP="00327855">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r>
        <w:rPr>
          <w:lang w:eastAsia="ko-KR"/>
        </w:rPr>
        <w:t xml:space="preserve"> at 3.</w:t>
      </w:r>
    </w:p>
  </w:footnote>
  <w:footnote w:id="11">
    <w:p w14:paraId="727C1B15" w14:textId="05E3C00B" w:rsidR="00B4239B" w:rsidRDefault="00B4239B" w:rsidP="00DB1B25">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r>
        <w:rPr>
          <w:lang w:eastAsia="ko-KR"/>
        </w:rPr>
        <w:t xml:space="preserve"> at 3-4.</w:t>
      </w:r>
    </w:p>
  </w:footnote>
  <w:footnote w:id="12">
    <w:p w14:paraId="75CD36FF" w14:textId="168FD7F3" w:rsidR="00B4239B" w:rsidRDefault="00B4239B">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r>
        <w:rPr>
          <w:lang w:eastAsia="ko-KR"/>
        </w:rPr>
        <w:t xml:space="preserve"> at 5.</w:t>
      </w:r>
    </w:p>
  </w:footnote>
  <w:footnote w:id="13">
    <w:p w14:paraId="7471EDF1" w14:textId="0E5BBE6A" w:rsidR="00B4239B" w:rsidRDefault="00B4239B">
      <w:pPr>
        <w:pStyle w:val="FootnoteText"/>
        <w:rPr>
          <w:lang w:eastAsia="ko-KR"/>
        </w:rPr>
      </w:pPr>
      <w:r>
        <w:rPr>
          <w:rStyle w:val="FootnoteReference"/>
        </w:rPr>
        <w:footnoteRef/>
      </w:r>
      <w:r>
        <w:t xml:space="preserve"> </w:t>
      </w:r>
      <w:r>
        <w:rPr>
          <w:rFonts w:hint="eastAsia"/>
          <w:lang w:eastAsia="ko-KR"/>
        </w:rPr>
        <w:t>S</w:t>
      </w:r>
      <w:r>
        <w:rPr>
          <w:lang w:eastAsia="ko-KR"/>
        </w:rPr>
        <w:t xml:space="preserve">DG&amp;E Answer at 3 (citing </w:t>
      </w:r>
      <w:r w:rsidRPr="00EF696C">
        <w:rPr>
          <w:lang w:eastAsia="ko-KR"/>
        </w:rPr>
        <w:t>Audit</w:t>
      </w:r>
      <w:r>
        <w:rPr>
          <w:lang w:eastAsia="ko-KR"/>
        </w:rPr>
        <w:t xml:space="preserve"> Report</w:t>
      </w:r>
      <w:r w:rsidRPr="00EF696C">
        <w:rPr>
          <w:lang w:eastAsia="ko-KR"/>
        </w:rPr>
        <w:t>, App</w:t>
      </w:r>
      <w:r>
        <w:rPr>
          <w:lang w:eastAsia="ko-KR"/>
        </w:rPr>
        <w:t>.</w:t>
      </w:r>
      <w:r w:rsidRPr="00EF696C">
        <w:rPr>
          <w:lang w:eastAsia="ko-KR"/>
        </w:rPr>
        <w:t xml:space="preserve"> I</w:t>
      </w:r>
      <w:r>
        <w:rPr>
          <w:lang w:eastAsia="ko-KR"/>
        </w:rPr>
        <w:t xml:space="preserve"> at </w:t>
      </w:r>
      <w:r w:rsidRPr="00EF696C">
        <w:rPr>
          <w:lang w:eastAsia="ko-KR"/>
        </w:rPr>
        <w:t>12</w:t>
      </w:r>
      <w:r>
        <w:rPr>
          <w:lang w:eastAsia="ko-KR"/>
        </w:rPr>
        <w:t>).</w:t>
      </w:r>
    </w:p>
  </w:footnote>
  <w:footnote w:id="14">
    <w:p w14:paraId="3CD20B3D" w14:textId="42A5794E" w:rsidR="00B4239B" w:rsidRDefault="00B4239B">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r>
        <w:rPr>
          <w:lang w:eastAsia="ko-KR"/>
        </w:rPr>
        <w:t xml:space="preserve"> at 3-4 (citing Audit Report, App. I at 29-33).</w:t>
      </w:r>
    </w:p>
  </w:footnote>
  <w:footnote w:id="15">
    <w:p w14:paraId="4C7AF6DB" w14:textId="76DE0EDD" w:rsidR="00B4239B" w:rsidRDefault="00B4239B">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r>
        <w:rPr>
          <w:lang w:eastAsia="ko-KR"/>
        </w:rPr>
        <w:t xml:space="preserve"> (citing </w:t>
      </w:r>
      <w:r w:rsidRPr="0087392F">
        <w:rPr>
          <w:lang w:eastAsia="ko-KR"/>
        </w:rPr>
        <w:t>Audit</w:t>
      </w:r>
      <w:r>
        <w:rPr>
          <w:lang w:eastAsia="ko-KR"/>
        </w:rPr>
        <w:t xml:space="preserve"> Report</w:t>
      </w:r>
      <w:r w:rsidRPr="0087392F">
        <w:rPr>
          <w:lang w:eastAsia="ko-KR"/>
        </w:rPr>
        <w:t>, App</w:t>
      </w:r>
      <w:r>
        <w:rPr>
          <w:lang w:eastAsia="ko-KR"/>
        </w:rPr>
        <w:t>.</w:t>
      </w:r>
      <w:r w:rsidRPr="0087392F">
        <w:rPr>
          <w:lang w:eastAsia="ko-KR"/>
        </w:rPr>
        <w:t xml:space="preserve"> I </w:t>
      </w:r>
      <w:r>
        <w:rPr>
          <w:lang w:eastAsia="ko-KR"/>
        </w:rPr>
        <w:t xml:space="preserve">at </w:t>
      </w:r>
      <w:r w:rsidRPr="0087392F">
        <w:rPr>
          <w:lang w:eastAsia="ko-KR"/>
        </w:rPr>
        <w:t>32, Recommendation 13</w:t>
      </w:r>
      <w:r>
        <w:rPr>
          <w:lang w:eastAsia="ko-KR"/>
        </w:rPr>
        <w:t>).</w:t>
      </w:r>
    </w:p>
  </w:footnote>
  <w:footnote w:id="16">
    <w:p w14:paraId="3ED3F3AD" w14:textId="2D1F66E2" w:rsidR="00B4239B" w:rsidRDefault="00B4239B">
      <w:pPr>
        <w:pStyle w:val="FootnoteText"/>
        <w:rPr>
          <w:lang w:eastAsia="ko-KR"/>
        </w:rPr>
      </w:pPr>
      <w:r>
        <w:rPr>
          <w:rStyle w:val="FootnoteReference"/>
        </w:rPr>
        <w:footnoteRef/>
      </w:r>
      <w:r>
        <w:t xml:space="preserve"> </w:t>
      </w:r>
      <w:r w:rsidRPr="00676FF4">
        <w:rPr>
          <w:i/>
          <w:iCs/>
        </w:rPr>
        <w:t>Id</w:t>
      </w:r>
      <w:r w:rsidRPr="00676FF4">
        <w:t>.</w:t>
      </w:r>
      <w:r>
        <w:t xml:space="preserve"> at 4 (citing Audit Report, App. I at 33, Recommendations 19, 20).</w:t>
      </w:r>
    </w:p>
  </w:footnote>
  <w:footnote w:id="17">
    <w:p w14:paraId="5C54AC47" w14:textId="14EC6A58" w:rsidR="00B4239B" w:rsidRDefault="00B4239B" w:rsidP="00423026">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p>
  </w:footnote>
  <w:footnote w:id="18">
    <w:p w14:paraId="5B2FA6E1" w14:textId="5726F5DE" w:rsidR="00B4239B" w:rsidRDefault="00B4239B" w:rsidP="00341278">
      <w:pPr>
        <w:pStyle w:val="FootnoteText"/>
        <w:rPr>
          <w:lang w:eastAsia="ko-KR"/>
        </w:rPr>
      </w:pPr>
      <w:r>
        <w:rPr>
          <w:rStyle w:val="FootnoteReference"/>
        </w:rPr>
        <w:footnoteRef/>
      </w:r>
      <w:r>
        <w:t xml:space="preserve"> </w:t>
      </w:r>
      <w:r w:rsidRPr="00676FF4">
        <w:rPr>
          <w:i/>
          <w:iCs/>
          <w:lang w:eastAsia="ko-KR"/>
        </w:rPr>
        <w:t>Id</w:t>
      </w:r>
      <w:r w:rsidRPr="00676FF4">
        <w:rPr>
          <w:lang w:eastAsia="ko-KR"/>
        </w:rPr>
        <w:t>.</w:t>
      </w:r>
      <w:r>
        <w:rPr>
          <w:lang w:eastAsia="ko-KR"/>
        </w:rPr>
        <w:t xml:space="preserve"> at 5.</w:t>
      </w:r>
    </w:p>
  </w:footnote>
  <w:footnote w:id="19">
    <w:p w14:paraId="191554D1" w14:textId="4D6E7F4A" w:rsidR="00B4239B" w:rsidRDefault="00B4239B">
      <w:pPr>
        <w:pStyle w:val="FootnoteText"/>
      </w:pPr>
      <w:r>
        <w:rPr>
          <w:rStyle w:val="FootnoteReference"/>
        </w:rPr>
        <w:footnoteRef/>
      </w:r>
      <w:r>
        <w:t xml:space="preserve"> </w:t>
      </w:r>
      <w:r w:rsidRPr="00933C63">
        <w:rPr>
          <w:i/>
          <w:iCs/>
        </w:rPr>
        <w:t>See</w:t>
      </w:r>
      <w:r>
        <w:t xml:space="preserve"> SDG&amp;E Answer at 3 (citing Audit Report 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BCA5" w14:textId="77777777" w:rsidR="00B4239B" w:rsidRDefault="00B4239B"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0970F48A" w14:textId="77777777" w:rsidR="00B4239B" w:rsidRDefault="00B4239B"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37C9E" w14:textId="2861209C" w:rsidR="00B4239B" w:rsidRDefault="00B4239B" w:rsidP="00B9287A">
    <w:pPr>
      <w:pStyle w:val="Header"/>
      <w:tabs>
        <w:tab w:val="clear" w:pos="4680"/>
      </w:tabs>
      <w:spacing w:after="240"/>
    </w:pPr>
    <w:r>
      <w:t>Docket No. ER21-526-000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E733" w14:textId="77777777" w:rsidR="00B4239B" w:rsidRDefault="00B4239B"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5B6502FF"/>
    <w:multiLevelType w:val="multilevel"/>
    <w:tmpl w:val="5E6A8D5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3"/>
  </w:num>
  <w:num w:numId="14">
    <w:abstractNumId w:val="17"/>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A"/>
    <w:rsid w:val="00003340"/>
    <w:rsid w:val="00003D86"/>
    <w:rsid w:val="00005021"/>
    <w:rsid w:val="00006A66"/>
    <w:rsid w:val="0000731D"/>
    <w:rsid w:val="00010D9A"/>
    <w:rsid w:val="00010FA6"/>
    <w:rsid w:val="000118C8"/>
    <w:rsid w:val="000143AA"/>
    <w:rsid w:val="0002042F"/>
    <w:rsid w:val="00022A33"/>
    <w:rsid w:val="0002355F"/>
    <w:rsid w:val="00026815"/>
    <w:rsid w:val="000428C4"/>
    <w:rsid w:val="0004624A"/>
    <w:rsid w:val="00046739"/>
    <w:rsid w:val="000550DC"/>
    <w:rsid w:val="00055F5F"/>
    <w:rsid w:val="00056DAB"/>
    <w:rsid w:val="0006117F"/>
    <w:rsid w:val="00070857"/>
    <w:rsid w:val="000716F0"/>
    <w:rsid w:val="0007377C"/>
    <w:rsid w:val="0007636C"/>
    <w:rsid w:val="00081A6A"/>
    <w:rsid w:val="0008478C"/>
    <w:rsid w:val="00084A31"/>
    <w:rsid w:val="00086D98"/>
    <w:rsid w:val="0008778D"/>
    <w:rsid w:val="00092634"/>
    <w:rsid w:val="00097C05"/>
    <w:rsid w:val="000A3D2F"/>
    <w:rsid w:val="000A66CD"/>
    <w:rsid w:val="000A6835"/>
    <w:rsid w:val="000B1463"/>
    <w:rsid w:val="000B4124"/>
    <w:rsid w:val="000B7757"/>
    <w:rsid w:val="000B7E62"/>
    <w:rsid w:val="000C0253"/>
    <w:rsid w:val="000C1FCA"/>
    <w:rsid w:val="000C4A0B"/>
    <w:rsid w:val="000C60AA"/>
    <w:rsid w:val="000C6869"/>
    <w:rsid w:val="000D0EE6"/>
    <w:rsid w:val="000D1D4B"/>
    <w:rsid w:val="000D1FB6"/>
    <w:rsid w:val="000D739B"/>
    <w:rsid w:val="000D7DD4"/>
    <w:rsid w:val="000D7E96"/>
    <w:rsid w:val="000E0857"/>
    <w:rsid w:val="000E2BFA"/>
    <w:rsid w:val="000F0EF6"/>
    <w:rsid w:val="000F2DC1"/>
    <w:rsid w:val="000F372C"/>
    <w:rsid w:val="000F603B"/>
    <w:rsid w:val="000F6403"/>
    <w:rsid w:val="000F6C7F"/>
    <w:rsid w:val="000F73B6"/>
    <w:rsid w:val="00100E1B"/>
    <w:rsid w:val="00101107"/>
    <w:rsid w:val="00102736"/>
    <w:rsid w:val="0010290F"/>
    <w:rsid w:val="00104F76"/>
    <w:rsid w:val="00106AF3"/>
    <w:rsid w:val="00106C72"/>
    <w:rsid w:val="00120603"/>
    <w:rsid w:val="001209EF"/>
    <w:rsid w:val="00124C66"/>
    <w:rsid w:val="0012713F"/>
    <w:rsid w:val="00127478"/>
    <w:rsid w:val="001279B9"/>
    <w:rsid w:val="00130CCE"/>
    <w:rsid w:val="00132D57"/>
    <w:rsid w:val="001421AA"/>
    <w:rsid w:val="00146A50"/>
    <w:rsid w:val="001520D4"/>
    <w:rsid w:val="001549DE"/>
    <w:rsid w:val="00154C7A"/>
    <w:rsid w:val="0017696A"/>
    <w:rsid w:val="0017701D"/>
    <w:rsid w:val="0018653A"/>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0B8D"/>
    <w:rsid w:val="001E59F9"/>
    <w:rsid w:val="001E7A8F"/>
    <w:rsid w:val="001F51A0"/>
    <w:rsid w:val="001F5CC6"/>
    <w:rsid w:val="00202BC3"/>
    <w:rsid w:val="00203911"/>
    <w:rsid w:val="002072CF"/>
    <w:rsid w:val="00211765"/>
    <w:rsid w:val="002136E7"/>
    <w:rsid w:val="002206DB"/>
    <w:rsid w:val="00224859"/>
    <w:rsid w:val="00225A12"/>
    <w:rsid w:val="002261B3"/>
    <w:rsid w:val="002318B6"/>
    <w:rsid w:val="00233710"/>
    <w:rsid w:val="00233CEF"/>
    <w:rsid w:val="00233FD0"/>
    <w:rsid w:val="00234151"/>
    <w:rsid w:val="002352B0"/>
    <w:rsid w:val="002354E4"/>
    <w:rsid w:val="00240493"/>
    <w:rsid w:val="002464E8"/>
    <w:rsid w:val="00253776"/>
    <w:rsid w:val="00255417"/>
    <w:rsid w:val="00257989"/>
    <w:rsid w:val="00260517"/>
    <w:rsid w:val="00262FED"/>
    <w:rsid w:val="00267328"/>
    <w:rsid w:val="00274963"/>
    <w:rsid w:val="002817CE"/>
    <w:rsid w:val="00283AA6"/>
    <w:rsid w:val="0028432C"/>
    <w:rsid w:val="002857E2"/>
    <w:rsid w:val="002870A9"/>
    <w:rsid w:val="00290ABD"/>
    <w:rsid w:val="00296546"/>
    <w:rsid w:val="002A0B4A"/>
    <w:rsid w:val="002A34C1"/>
    <w:rsid w:val="002A5C43"/>
    <w:rsid w:val="002A729E"/>
    <w:rsid w:val="002A7FB5"/>
    <w:rsid w:val="002B35F2"/>
    <w:rsid w:val="002B6125"/>
    <w:rsid w:val="002B6A13"/>
    <w:rsid w:val="002C57E5"/>
    <w:rsid w:val="002C7704"/>
    <w:rsid w:val="002D206A"/>
    <w:rsid w:val="002D358E"/>
    <w:rsid w:val="002D65B3"/>
    <w:rsid w:val="002D7D6B"/>
    <w:rsid w:val="002E4E8A"/>
    <w:rsid w:val="002F52A9"/>
    <w:rsid w:val="00301D68"/>
    <w:rsid w:val="003031DA"/>
    <w:rsid w:val="003073B7"/>
    <w:rsid w:val="00312651"/>
    <w:rsid w:val="00313634"/>
    <w:rsid w:val="00315A5A"/>
    <w:rsid w:val="00322F05"/>
    <w:rsid w:val="00324F79"/>
    <w:rsid w:val="00327401"/>
    <w:rsid w:val="00327855"/>
    <w:rsid w:val="0033174B"/>
    <w:rsid w:val="003346EB"/>
    <w:rsid w:val="00335933"/>
    <w:rsid w:val="003370E4"/>
    <w:rsid w:val="00341278"/>
    <w:rsid w:val="003437BD"/>
    <w:rsid w:val="00343D67"/>
    <w:rsid w:val="003478CF"/>
    <w:rsid w:val="00350E98"/>
    <w:rsid w:val="00350FC8"/>
    <w:rsid w:val="003520AD"/>
    <w:rsid w:val="00356733"/>
    <w:rsid w:val="00360AA1"/>
    <w:rsid w:val="00364E6F"/>
    <w:rsid w:val="0036500A"/>
    <w:rsid w:val="00374532"/>
    <w:rsid w:val="00374868"/>
    <w:rsid w:val="00375DF4"/>
    <w:rsid w:val="00376313"/>
    <w:rsid w:val="00383004"/>
    <w:rsid w:val="003830CE"/>
    <w:rsid w:val="00385E2D"/>
    <w:rsid w:val="0039262E"/>
    <w:rsid w:val="003937F3"/>
    <w:rsid w:val="0039410D"/>
    <w:rsid w:val="003A15D6"/>
    <w:rsid w:val="003A5145"/>
    <w:rsid w:val="003B0E4C"/>
    <w:rsid w:val="003B2445"/>
    <w:rsid w:val="003B3110"/>
    <w:rsid w:val="003B4F0E"/>
    <w:rsid w:val="003B7E9A"/>
    <w:rsid w:val="003B7F05"/>
    <w:rsid w:val="003C3A1E"/>
    <w:rsid w:val="003C505B"/>
    <w:rsid w:val="003C71CF"/>
    <w:rsid w:val="003C789D"/>
    <w:rsid w:val="003D4A56"/>
    <w:rsid w:val="003D5827"/>
    <w:rsid w:val="003D7B2C"/>
    <w:rsid w:val="003E1917"/>
    <w:rsid w:val="003E259A"/>
    <w:rsid w:val="003E5211"/>
    <w:rsid w:val="003F31D2"/>
    <w:rsid w:val="003F3716"/>
    <w:rsid w:val="003F3B2B"/>
    <w:rsid w:val="003F3DC0"/>
    <w:rsid w:val="003F4845"/>
    <w:rsid w:val="003F4DBE"/>
    <w:rsid w:val="003F557E"/>
    <w:rsid w:val="003F7CC5"/>
    <w:rsid w:val="00400D68"/>
    <w:rsid w:val="00401A63"/>
    <w:rsid w:val="00406758"/>
    <w:rsid w:val="004067AD"/>
    <w:rsid w:val="00407EE0"/>
    <w:rsid w:val="00414806"/>
    <w:rsid w:val="00422B5F"/>
    <w:rsid w:val="00423026"/>
    <w:rsid w:val="00424B78"/>
    <w:rsid w:val="004335E8"/>
    <w:rsid w:val="00436A3E"/>
    <w:rsid w:val="00440D78"/>
    <w:rsid w:val="00441A2A"/>
    <w:rsid w:val="004420F6"/>
    <w:rsid w:val="0044359A"/>
    <w:rsid w:val="00444F65"/>
    <w:rsid w:val="004472E3"/>
    <w:rsid w:val="004476C6"/>
    <w:rsid w:val="0045130C"/>
    <w:rsid w:val="00453578"/>
    <w:rsid w:val="00454A58"/>
    <w:rsid w:val="00455214"/>
    <w:rsid w:val="00456D5A"/>
    <w:rsid w:val="0046133D"/>
    <w:rsid w:val="00472C9B"/>
    <w:rsid w:val="00473A5E"/>
    <w:rsid w:val="004758A9"/>
    <w:rsid w:val="00476273"/>
    <w:rsid w:val="0047628B"/>
    <w:rsid w:val="0047660C"/>
    <w:rsid w:val="00477399"/>
    <w:rsid w:val="0048020B"/>
    <w:rsid w:val="004864DA"/>
    <w:rsid w:val="004872BC"/>
    <w:rsid w:val="004874A4"/>
    <w:rsid w:val="00494355"/>
    <w:rsid w:val="00494945"/>
    <w:rsid w:val="00495E07"/>
    <w:rsid w:val="004970E4"/>
    <w:rsid w:val="00497F70"/>
    <w:rsid w:val="004A03E5"/>
    <w:rsid w:val="004A503D"/>
    <w:rsid w:val="004B141F"/>
    <w:rsid w:val="004B4A8D"/>
    <w:rsid w:val="004B642D"/>
    <w:rsid w:val="004C0E28"/>
    <w:rsid w:val="004C190E"/>
    <w:rsid w:val="004C25F0"/>
    <w:rsid w:val="004C456B"/>
    <w:rsid w:val="004C4D5F"/>
    <w:rsid w:val="004D35E8"/>
    <w:rsid w:val="004D614C"/>
    <w:rsid w:val="004E1DAE"/>
    <w:rsid w:val="004E25A6"/>
    <w:rsid w:val="004F6475"/>
    <w:rsid w:val="0050001C"/>
    <w:rsid w:val="00505F86"/>
    <w:rsid w:val="00510341"/>
    <w:rsid w:val="00513E14"/>
    <w:rsid w:val="005154C1"/>
    <w:rsid w:val="005162AB"/>
    <w:rsid w:val="00521122"/>
    <w:rsid w:val="0052351B"/>
    <w:rsid w:val="00541146"/>
    <w:rsid w:val="00542814"/>
    <w:rsid w:val="00544FE7"/>
    <w:rsid w:val="00545CC2"/>
    <w:rsid w:val="00546238"/>
    <w:rsid w:val="00547D3F"/>
    <w:rsid w:val="00552271"/>
    <w:rsid w:val="00552A11"/>
    <w:rsid w:val="005577D9"/>
    <w:rsid w:val="00557D92"/>
    <w:rsid w:val="00561DA8"/>
    <w:rsid w:val="00562CB2"/>
    <w:rsid w:val="00571D6D"/>
    <w:rsid w:val="00572D95"/>
    <w:rsid w:val="00572F46"/>
    <w:rsid w:val="00574A02"/>
    <w:rsid w:val="005755F3"/>
    <w:rsid w:val="00576A54"/>
    <w:rsid w:val="00577DC6"/>
    <w:rsid w:val="005816F4"/>
    <w:rsid w:val="00581BDF"/>
    <w:rsid w:val="005848A5"/>
    <w:rsid w:val="00585174"/>
    <w:rsid w:val="0059038C"/>
    <w:rsid w:val="005921E2"/>
    <w:rsid w:val="0059329B"/>
    <w:rsid w:val="00594E87"/>
    <w:rsid w:val="005950E5"/>
    <w:rsid w:val="00596F51"/>
    <w:rsid w:val="00597309"/>
    <w:rsid w:val="005A4CD3"/>
    <w:rsid w:val="005A6F7C"/>
    <w:rsid w:val="005B132F"/>
    <w:rsid w:val="005B18B2"/>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17A16"/>
    <w:rsid w:val="00620205"/>
    <w:rsid w:val="00622D42"/>
    <w:rsid w:val="00622F63"/>
    <w:rsid w:val="00623402"/>
    <w:rsid w:val="00624B34"/>
    <w:rsid w:val="00625B93"/>
    <w:rsid w:val="00633563"/>
    <w:rsid w:val="006361E6"/>
    <w:rsid w:val="00636271"/>
    <w:rsid w:val="00643C5A"/>
    <w:rsid w:val="006502FA"/>
    <w:rsid w:val="00653D8D"/>
    <w:rsid w:val="00655A79"/>
    <w:rsid w:val="006628B4"/>
    <w:rsid w:val="00667B22"/>
    <w:rsid w:val="006710C1"/>
    <w:rsid w:val="0067304E"/>
    <w:rsid w:val="006743C5"/>
    <w:rsid w:val="006745E5"/>
    <w:rsid w:val="00676FF4"/>
    <w:rsid w:val="00677A0E"/>
    <w:rsid w:val="00681181"/>
    <w:rsid w:val="00682099"/>
    <w:rsid w:val="00685A22"/>
    <w:rsid w:val="00694F3D"/>
    <w:rsid w:val="006A18B6"/>
    <w:rsid w:val="006A18F8"/>
    <w:rsid w:val="006A1EDC"/>
    <w:rsid w:val="006A2D50"/>
    <w:rsid w:val="006A5B0F"/>
    <w:rsid w:val="006A5ED6"/>
    <w:rsid w:val="006A5FF3"/>
    <w:rsid w:val="006B20EE"/>
    <w:rsid w:val="006B4826"/>
    <w:rsid w:val="006B5B8D"/>
    <w:rsid w:val="006C1614"/>
    <w:rsid w:val="006C1D8C"/>
    <w:rsid w:val="006C51D5"/>
    <w:rsid w:val="006D1E49"/>
    <w:rsid w:val="006D35F2"/>
    <w:rsid w:val="006D432E"/>
    <w:rsid w:val="006D5B0E"/>
    <w:rsid w:val="006D692B"/>
    <w:rsid w:val="006E4894"/>
    <w:rsid w:val="006E6044"/>
    <w:rsid w:val="006F0AFA"/>
    <w:rsid w:val="006F1B52"/>
    <w:rsid w:val="006F27A6"/>
    <w:rsid w:val="006F42DE"/>
    <w:rsid w:val="00705B33"/>
    <w:rsid w:val="0070615E"/>
    <w:rsid w:val="00706C4B"/>
    <w:rsid w:val="00710A58"/>
    <w:rsid w:val="007116AC"/>
    <w:rsid w:val="007124A2"/>
    <w:rsid w:val="007133ED"/>
    <w:rsid w:val="00721493"/>
    <w:rsid w:val="007214A1"/>
    <w:rsid w:val="007230D6"/>
    <w:rsid w:val="00723E4B"/>
    <w:rsid w:val="00724553"/>
    <w:rsid w:val="0072563F"/>
    <w:rsid w:val="00725B57"/>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928AD"/>
    <w:rsid w:val="00794724"/>
    <w:rsid w:val="007A0174"/>
    <w:rsid w:val="007A07ED"/>
    <w:rsid w:val="007A0BB2"/>
    <w:rsid w:val="007A195A"/>
    <w:rsid w:val="007A5131"/>
    <w:rsid w:val="007B4019"/>
    <w:rsid w:val="007B66A0"/>
    <w:rsid w:val="007B6E4E"/>
    <w:rsid w:val="007B71E9"/>
    <w:rsid w:val="007C1702"/>
    <w:rsid w:val="007C41D1"/>
    <w:rsid w:val="007C48C7"/>
    <w:rsid w:val="007C5CE2"/>
    <w:rsid w:val="007C69D6"/>
    <w:rsid w:val="007D0CE1"/>
    <w:rsid w:val="007D2CEB"/>
    <w:rsid w:val="007D3591"/>
    <w:rsid w:val="007D6683"/>
    <w:rsid w:val="007E6167"/>
    <w:rsid w:val="007E74C5"/>
    <w:rsid w:val="007F0E34"/>
    <w:rsid w:val="007F32C6"/>
    <w:rsid w:val="007F6368"/>
    <w:rsid w:val="007F7B7F"/>
    <w:rsid w:val="0080329B"/>
    <w:rsid w:val="008043DE"/>
    <w:rsid w:val="0080498D"/>
    <w:rsid w:val="0080606A"/>
    <w:rsid w:val="008065F0"/>
    <w:rsid w:val="00807C2F"/>
    <w:rsid w:val="008129C6"/>
    <w:rsid w:val="00812E0A"/>
    <w:rsid w:val="0081352B"/>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B22"/>
    <w:rsid w:val="00861074"/>
    <w:rsid w:val="008636FC"/>
    <w:rsid w:val="00863DB6"/>
    <w:rsid w:val="00864354"/>
    <w:rsid w:val="00871164"/>
    <w:rsid w:val="0087392F"/>
    <w:rsid w:val="00873BC6"/>
    <w:rsid w:val="00874E95"/>
    <w:rsid w:val="00874FB1"/>
    <w:rsid w:val="008771F4"/>
    <w:rsid w:val="00880902"/>
    <w:rsid w:val="00881E3C"/>
    <w:rsid w:val="0088740E"/>
    <w:rsid w:val="008906CE"/>
    <w:rsid w:val="00892A4E"/>
    <w:rsid w:val="00894A27"/>
    <w:rsid w:val="008956AC"/>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D7F33"/>
    <w:rsid w:val="008E51AF"/>
    <w:rsid w:val="008E548A"/>
    <w:rsid w:val="008E74A2"/>
    <w:rsid w:val="008F4B82"/>
    <w:rsid w:val="00903541"/>
    <w:rsid w:val="00903AC3"/>
    <w:rsid w:val="0090412E"/>
    <w:rsid w:val="00904536"/>
    <w:rsid w:val="0090478A"/>
    <w:rsid w:val="009102A7"/>
    <w:rsid w:val="00911D86"/>
    <w:rsid w:val="009144B5"/>
    <w:rsid w:val="009146F6"/>
    <w:rsid w:val="00915863"/>
    <w:rsid w:val="00916ED7"/>
    <w:rsid w:val="00926E69"/>
    <w:rsid w:val="00930EF7"/>
    <w:rsid w:val="009317B8"/>
    <w:rsid w:val="00933C63"/>
    <w:rsid w:val="009360D6"/>
    <w:rsid w:val="00936510"/>
    <w:rsid w:val="00941336"/>
    <w:rsid w:val="00945E92"/>
    <w:rsid w:val="009466EE"/>
    <w:rsid w:val="00954DD1"/>
    <w:rsid w:val="009575E1"/>
    <w:rsid w:val="00960BC7"/>
    <w:rsid w:val="00961A89"/>
    <w:rsid w:val="00962129"/>
    <w:rsid w:val="009632C9"/>
    <w:rsid w:val="00964625"/>
    <w:rsid w:val="009667EE"/>
    <w:rsid w:val="0097316B"/>
    <w:rsid w:val="0097354A"/>
    <w:rsid w:val="00974FAA"/>
    <w:rsid w:val="00977184"/>
    <w:rsid w:val="0097718F"/>
    <w:rsid w:val="009802C9"/>
    <w:rsid w:val="00980541"/>
    <w:rsid w:val="00983F30"/>
    <w:rsid w:val="00985ABF"/>
    <w:rsid w:val="00991685"/>
    <w:rsid w:val="009927FA"/>
    <w:rsid w:val="00992AAB"/>
    <w:rsid w:val="009967F2"/>
    <w:rsid w:val="00997790"/>
    <w:rsid w:val="009A1D18"/>
    <w:rsid w:val="009A66D0"/>
    <w:rsid w:val="009A6F38"/>
    <w:rsid w:val="009B01FC"/>
    <w:rsid w:val="009B1BFE"/>
    <w:rsid w:val="009B7367"/>
    <w:rsid w:val="009D3F76"/>
    <w:rsid w:val="009E0EA2"/>
    <w:rsid w:val="009E214D"/>
    <w:rsid w:val="009E28EC"/>
    <w:rsid w:val="009E4841"/>
    <w:rsid w:val="009E7983"/>
    <w:rsid w:val="009F0B6B"/>
    <w:rsid w:val="009F2E31"/>
    <w:rsid w:val="009F3F1F"/>
    <w:rsid w:val="009F4FB3"/>
    <w:rsid w:val="009F71D1"/>
    <w:rsid w:val="00A00DD6"/>
    <w:rsid w:val="00A017BA"/>
    <w:rsid w:val="00A01EFD"/>
    <w:rsid w:val="00A026DF"/>
    <w:rsid w:val="00A03A5F"/>
    <w:rsid w:val="00A04100"/>
    <w:rsid w:val="00A066DE"/>
    <w:rsid w:val="00A075C8"/>
    <w:rsid w:val="00A07BEC"/>
    <w:rsid w:val="00A10B65"/>
    <w:rsid w:val="00A14153"/>
    <w:rsid w:val="00A141E5"/>
    <w:rsid w:val="00A15581"/>
    <w:rsid w:val="00A1593F"/>
    <w:rsid w:val="00A15B57"/>
    <w:rsid w:val="00A21F92"/>
    <w:rsid w:val="00A2536F"/>
    <w:rsid w:val="00A263F4"/>
    <w:rsid w:val="00A26AF6"/>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34C1"/>
    <w:rsid w:val="00A972FF"/>
    <w:rsid w:val="00AA22FC"/>
    <w:rsid w:val="00AA3F88"/>
    <w:rsid w:val="00AB0683"/>
    <w:rsid w:val="00AB179B"/>
    <w:rsid w:val="00AB197C"/>
    <w:rsid w:val="00AB199E"/>
    <w:rsid w:val="00AB2DA9"/>
    <w:rsid w:val="00AB5052"/>
    <w:rsid w:val="00AB5560"/>
    <w:rsid w:val="00AB7069"/>
    <w:rsid w:val="00AC4690"/>
    <w:rsid w:val="00AC58FC"/>
    <w:rsid w:val="00AD235D"/>
    <w:rsid w:val="00AD48BE"/>
    <w:rsid w:val="00AD5E69"/>
    <w:rsid w:val="00AD7AA1"/>
    <w:rsid w:val="00AE7B86"/>
    <w:rsid w:val="00AF101E"/>
    <w:rsid w:val="00AF2305"/>
    <w:rsid w:val="00AF2A93"/>
    <w:rsid w:val="00AF46AA"/>
    <w:rsid w:val="00AF5D98"/>
    <w:rsid w:val="00AF7307"/>
    <w:rsid w:val="00B03A57"/>
    <w:rsid w:val="00B044C6"/>
    <w:rsid w:val="00B11D2B"/>
    <w:rsid w:val="00B11FF2"/>
    <w:rsid w:val="00B132D8"/>
    <w:rsid w:val="00B159A7"/>
    <w:rsid w:val="00B2222C"/>
    <w:rsid w:val="00B26221"/>
    <w:rsid w:val="00B27A34"/>
    <w:rsid w:val="00B34F63"/>
    <w:rsid w:val="00B35670"/>
    <w:rsid w:val="00B4012B"/>
    <w:rsid w:val="00B40EDB"/>
    <w:rsid w:val="00B4239B"/>
    <w:rsid w:val="00B43126"/>
    <w:rsid w:val="00B447CB"/>
    <w:rsid w:val="00B5275C"/>
    <w:rsid w:val="00B53A21"/>
    <w:rsid w:val="00B53B49"/>
    <w:rsid w:val="00B548FA"/>
    <w:rsid w:val="00B54A0A"/>
    <w:rsid w:val="00B56FF3"/>
    <w:rsid w:val="00B57AFD"/>
    <w:rsid w:val="00B57EA9"/>
    <w:rsid w:val="00B641F8"/>
    <w:rsid w:val="00B64399"/>
    <w:rsid w:val="00B65126"/>
    <w:rsid w:val="00B7228A"/>
    <w:rsid w:val="00B7662E"/>
    <w:rsid w:val="00B82086"/>
    <w:rsid w:val="00B91263"/>
    <w:rsid w:val="00B927E5"/>
    <w:rsid w:val="00B9287A"/>
    <w:rsid w:val="00B975F3"/>
    <w:rsid w:val="00BA1C21"/>
    <w:rsid w:val="00BA1E11"/>
    <w:rsid w:val="00BA6900"/>
    <w:rsid w:val="00BB69A5"/>
    <w:rsid w:val="00BB6AB3"/>
    <w:rsid w:val="00BC0EFB"/>
    <w:rsid w:val="00BC21EE"/>
    <w:rsid w:val="00BC65D8"/>
    <w:rsid w:val="00BD1415"/>
    <w:rsid w:val="00BD2829"/>
    <w:rsid w:val="00BD316B"/>
    <w:rsid w:val="00BD4653"/>
    <w:rsid w:val="00BD560B"/>
    <w:rsid w:val="00BD6475"/>
    <w:rsid w:val="00BE2499"/>
    <w:rsid w:val="00BE6721"/>
    <w:rsid w:val="00BE712A"/>
    <w:rsid w:val="00BE7675"/>
    <w:rsid w:val="00BF0271"/>
    <w:rsid w:val="00BF06DD"/>
    <w:rsid w:val="00BF12C4"/>
    <w:rsid w:val="00BF2C0E"/>
    <w:rsid w:val="00BF5E81"/>
    <w:rsid w:val="00BF659D"/>
    <w:rsid w:val="00BF65CA"/>
    <w:rsid w:val="00C01123"/>
    <w:rsid w:val="00C1110D"/>
    <w:rsid w:val="00C127B1"/>
    <w:rsid w:val="00C134B7"/>
    <w:rsid w:val="00C15E87"/>
    <w:rsid w:val="00C175D0"/>
    <w:rsid w:val="00C17D7D"/>
    <w:rsid w:val="00C2096B"/>
    <w:rsid w:val="00C21A8D"/>
    <w:rsid w:val="00C21E2C"/>
    <w:rsid w:val="00C22D8B"/>
    <w:rsid w:val="00C24DB0"/>
    <w:rsid w:val="00C26B1C"/>
    <w:rsid w:val="00C274AA"/>
    <w:rsid w:val="00C3426D"/>
    <w:rsid w:val="00C44ADA"/>
    <w:rsid w:val="00C46060"/>
    <w:rsid w:val="00C5006F"/>
    <w:rsid w:val="00C50711"/>
    <w:rsid w:val="00C523C6"/>
    <w:rsid w:val="00C525BA"/>
    <w:rsid w:val="00C53065"/>
    <w:rsid w:val="00C54204"/>
    <w:rsid w:val="00C555F7"/>
    <w:rsid w:val="00C56446"/>
    <w:rsid w:val="00C60863"/>
    <w:rsid w:val="00C6285D"/>
    <w:rsid w:val="00C639E3"/>
    <w:rsid w:val="00C70563"/>
    <w:rsid w:val="00C71292"/>
    <w:rsid w:val="00C71484"/>
    <w:rsid w:val="00C716CA"/>
    <w:rsid w:val="00C735A7"/>
    <w:rsid w:val="00C75FB8"/>
    <w:rsid w:val="00C76FAC"/>
    <w:rsid w:val="00C770A7"/>
    <w:rsid w:val="00C8566F"/>
    <w:rsid w:val="00C87C43"/>
    <w:rsid w:val="00C979D0"/>
    <w:rsid w:val="00CA410E"/>
    <w:rsid w:val="00CA447E"/>
    <w:rsid w:val="00CA4934"/>
    <w:rsid w:val="00CB0CDF"/>
    <w:rsid w:val="00CB0FE7"/>
    <w:rsid w:val="00CB528D"/>
    <w:rsid w:val="00CB7321"/>
    <w:rsid w:val="00CB7E0A"/>
    <w:rsid w:val="00CC421B"/>
    <w:rsid w:val="00CD1BC6"/>
    <w:rsid w:val="00CE10BD"/>
    <w:rsid w:val="00CE1F17"/>
    <w:rsid w:val="00CE2CC8"/>
    <w:rsid w:val="00CE7F13"/>
    <w:rsid w:val="00CF3FB2"/>
    <w:rsid w:val="00D004BE"/>
    <w:rsid w:val="00D00DBC"/>
    <w:rsid w:val="00D01E21"/>
    <w:rsid w:val="00D03586"/>
    <w:rsid w:val="00D05726"/>
    <w:rsid w:val="00D075C6"/>
    <w:rsid w:val="00D14FB9"/>
    <w:rsid w:val="00D213E9"/>
    <w:rsid w:val="00D30E72"/>
    <w:rsid w:val="00D3454C"/>
    <w:rsid w:val="00D37F45"/>
    <w:rsid w:val="00D4105E"/>
    <w:rsid w:val="00D42E24"/>
    <w:rsid w:val="00D46107"/>
    <w:rsid w:val="00D50854"/>
    <w:rsid w:val="00D50899"/>
    <w:rsid w:val="00D54158"/>
    <w:rsid w:val="00D60DAA"/>
    <w:rsid w:val="00D61572"/>
    <w:rsid w:val="00D63D53"/>
    <w:rsid w:val="00D72181"/>
    <w:rsid w:val="00D7396F"/>
    <w:rsid w:val="00D76A33"/>
    <w:rsid w:val="00D81AF1"/>
    <w:rsid w:val="00D843D7"/>
    <w:rsid w:val="00D84E4B"/>
    <w:rsid w:val="00D90345"/>
    <w:rsid w:val="00D92A4E"/>
    <w:rsid w:val="00D93D34"/>
    <w:rsid w:val="00D97D5E"/>
    <w:rsid w:val="00DA4017"/>
    <w:rsid w:val="00DA5B94"/>
    <w:rsid w:val="00DA72DC"/>
    <w:rsid w:val="00DB16ED"/>
    <w:rsid w:val="00DB1B25"/>
    <w:rsid w:val="00DB5C76"/>
    <w:rsid w:val="00DB71A8"/>
    <w:rsid w:val="00DC0159"/>
    <w:rsid w:val="00DC0500"/>
    <w:rsid w:val="00DC206C"/>
    <w:rsid w:val="00DC5090"/>
    <w:rsid w:val="00DC5F12"/>
    <w:rsid w:val="00DD1675"/>
    <w:rsid w:val="00DD1854"/>
    <w:rsid w:val="00DD2B27"/>
    <w:rsid w:val="00DD6D90"/>
    <w:rsid w:val="00DD776A"/>
    <w:rsid w:val="00DE261E"/>
    <w:rsid w:val="00DE3189"/>
    <w:rsid w:val="00DE7144"/>
    <w:rsid w:val="00DF3569"/>
    <w:rsid w:val="00DF40D2"/>
    <w:rsid w:val="00DF6741"/>
    <w:rsid w:val="00E1655A"/>
    <w:rsid w:val="00E216A6"/>
    <w:rsid w:val="00E2749E"/>
    <w:rsid w:val="00E31D4C"/>
    <w:rsid w:val="00E332F7"/>
    <w:rsid w:val="00E347C5"/>
    <w:rsid w:val="00E35B18"/>
    <w:rsid w:val="00E36F79"/>
    <w:rsid w:val="00E374E0"/>
    <w:rsid w:val="00E428CA"/>
    <w:rsid w:val="00E437AD"/>
    <w:rsid w:val="00E473AB"/>
    <w:rsid w:val="00E47430"/>
    <w:rsid w:val="00E4775F"/>
    <w:rsid w:val="00E50484"/>
    <w:rsid w:val="00E523F8"/>
    <w:rsid w:val="00E56645"/>
    <w:rsid w:val="00E814AC"/>
    <w:rsid w:val="00E81C52"/>
    <w:rsid w:val="00E82A7A"/>
    <w:rsid w:val="00E87F29"/>
    <w:rsid w:val="00E917E1"/>
    <w:rsid w:val="00E9185E"/>
    <w:rsid w:val="00E9253B"/>
    <w:rsid w:val="00E92C22"/>
    <w:rsid w:val="00E92F00"/>
    <w:rsid w:val="00E9758C"/>
    <w:rsid w:val="00E97592"/>
    <w:rsid w:val="00EA2A81"/>
    <w:rsid w:val="00EA35D6"/>
    <w:rsid w:val="00EA7477"/>
    <w:rsid w:val="00EA77F3"/>
    <w:rsid w:val="00EB5D6A"/>
    <w:rsid w:val="00EC3F55"/>
    <w:rsid w:val="00EC5D8C"/>
    <w:rsid w:val="00ED0125"/>
    <w:rsid w:val="00EE79C9"/>
    <w:rsid w:val="00EF5410"/>
    <w:rsid w:val="00EF5973"/>
    <w:rsid w:val="00EF5FA9"/>
    <w:rsid w:val="00EF696C"/>
    <w:rsid w:val="00EF6E86"/>
    <w:rsid w:val="00F0000F"/>
    <w:rsid w:val="00F00AF7"/>
    <w:rsid w:val="00F01066"/>
    <w:rsid w:val="00F033E6"/>
    <w:rsid w:val="00F05A05"/>
    <w:rsid w:val="00F05F9A"/>
    <w:rsid w:val="00F07694"/>
    <w:rsid w:val="00F07BDD"/>
    <w:rsid w:val="00F12D19"/>
    <w:rsid w:val="00F1412A"/>
    <w:rsid w:val="00F1588F"/>
    <w:rsid w:val="00F171EE"/>
    <w:rsid w:val="00F3385A"/>
    <w:rsid w:val="00F34A20"/>
    <w:rsid w:val="00F36E4A"/>
    <w:rsid w:val="00F36E7E"/>
    <w:rsid w:val="00F42328"/>
    <w:rsid w:val="00F42671"/>
    <w:rsid w:val="00F50CB0"/>
    <w:rsid w:val="00F54657"/>
    <w:rsid w:val="00F56DC0"/>
    <w:rsid w:val="00F60452"/>
    <w:rsid w:val="00F612C8"/>
    <w:rsid w:val="00F61DE6"/>
    <w:rsid w:val="00F66FE7"/>
    <w:rsid w:val="00F7000C"/>
    <w:rsid w:val="00F71008"/>
    <w:rsid w:val="00F75823"/>
    <w:rsid w:val="00F76E91"/>
    <w:rsid w:val="00F81978"/>
    <w:rsid w:val="00F84A29"/>
    <w:rsid w:val="00F913C1"/>
    <w:rsid w:val="00FA72A2"/>
    <w:rsid w:val="00FA72EC"/>
    <w:rsid w:val="00FB060F"/>
    <w:rsid w:val="00FB3975"/>
    <w:rsid w:val="00FB48D4"/>
    <w:rsid w:val="00FB65C9"/>
    <w:rsid w:val="00FC0871"/>
    <w:rsid w:val="00FC0EAE"/>
    <w:rsid w:val="00FC132F"/>
    <w:rsid w:val="00FC13CF"/>
    <w:rsid w:val="00FC2012"/>
    <w:rsid w:val="00FC27B2"/>
    <w:rsid w:val="00FC364B"/>
    <w:rsid w:val="00FC466C"/>
    <w:rsid w:val="00FD12BF"/>
    <w:rsid w:val="00FD3D3B"/>
    <w:rsid w:val="00FD4046"/>
    <w:rsid w:val="00FE519C"/>
    <w:rsid w:val="00FE57C2"/>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6B1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qFormat/>
    <w:rsid w:val="00B9287A"/>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nhideWhenUsed/>
    <w:qFormat/>
    <w:rsid w:val="00B9287A"/>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nhideWhenUsed/>
    <w:qFormat/>
    <w:rsid w:val="00B9287A"/>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nhideWhenUsed/>
    <w:qFormat/>
    <w:rsid w:val="00B9287A"/>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B9287A"/>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B9287A"/>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B9287A"/>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B9287A"/>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B9287A"/>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uiPriority w:val="2"/>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1"/>
    <w:unhideWhenUsed/>
    <w:rsid w:val="00A65F1E"/>
    <w:pPr>
      <w:spacing w:after="260"/>
      <w:ind w:firstLine="720"/>
    </w:pPr>
    <w:rPr>
      <w:szCs w:val="20"/>
    </w:rPr>
  </w:style>
  <w:style w:type="character" w:styleId="FootnoteReference">
    <w:name w:val="footnote reference"/>
    <w:basedOn w:val="DefaultParagraphFont"/>
    <w:uiPriority w:val="1"/>
    <w:unhideWhenUsed/>
    <w:qFormat/>
    <w:rsid w:val="00A65F1E"/>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D0CF-D0DA-4DFE-AE3B-2D32A80B7457}">
  <ds:schemaRefs>
    <ds:schemaRef ds:uri="http://schemas.microsoft.com/sharepoint/v3/contenttype/forms"/>
  </ds:schemaRefs>
</ds:datastoreItem>
</file>

<file path=customXml/itemProps2.xml><?xml version="1.0" encoding="utf-8"?>
<ds:datastoreItem xmlns:ds="http://schemas.openxmlformats.org/officeDocument/2006/customXml" ds:itemID="{C42B9955-EA04-4E13-9BF2-4A58804CFFDD}">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18ACE5C-52CF-4769-8398-55CDE3BA2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174F9-79E5-4305-9195-2BB17E65C7C2}">
  <ds:schemaRefs>
    <ds:schemaRef ds:uri="Microsoft.SharePoint.Taxonomy.ContentTypeSync"/>
  </ds:schemaRefs>
</ds:datastoreItem>
</file>

<file path=customXml/itemProps5.xml><?xml version="1.0" encoding="utf-8"?>
<ds:datastoreItem xmlns:ds="http://schemas.openxmlformats.org/officeDocument/2006/customXml" ds:itemID="{268EEB94-A8EB-4901-98AF-94AE9304F38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5</ap:Pages>
  <ap:Words>1369</ap:Words>
  <ap:Characters>7804</ap:Characters>
  <ap:Application>Microsoft Office Word</ap:Application>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9155</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2021-02-22T21:06:00.0000000Z</dcterms:created>
  <dcterms:modified xsi:type="dcterms:W3CDTF">2021-02-23T14:19:00.0000000Z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