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76FBF" w14:textId="50561127" w:rsidR="002C24F9" w:rsidRPr="00A037C0" w:rsidRDefault="00A037C0" w:rsidP="002F293A">
      <w:pPr>
        <w:jc w:val="center"/>
      </w:pPr>
      <w:bookmarkStart w:id="0" w:name="_GoBack"/>
      <w:bookmarkEnd w:id="0"/>
      <w:r>
        <w:t>154 FERC ¶ 61,</w:t>
      </w:r>
      <w:r w:rsidR="0041358C">
        <w:t>158</w:t>
      </w:r>
    </w:p>
    <w:p w14:paraId="7806F00A" w14:textId="77777777" w:rsidR="002C24F9" w:rsidRDefault="002C24F9" w:rsidP="002F293A">
      <w:pPr>
        <w:jc w:val="center"/>
        <w:outlineLvl w:val="0"/>
      </w:pPr>
      <w:r w:rsidRPr="00C10EF5">
        <w:t>UNITED</w:t>
      </w:r>
      <w:r>
        <w:t xml:space="preserve"> STATES OF AMERICA</w:t>
      </w:r>
    </w:p>
    <w:p w14:paraId="3D33A0ED" w14:textId="77777777" w:rsidR="002C24F9" w:rsidRDefault="002C24F9" w:rsidP="002F293A">
      <w:pPr>
        <w:jc w:val="center"/>
      </w:pPr>
      <w:r>
        <w:t>FEDERAL ENERGY REGULATORY COMMISSION</w:t>
      </w:r>
    </w:p>
    <w:p w14:paraId="6C3EAEDA" w14:textId="77777777" w:rsidR="00A037C0" w:rsidRDefault="00A037C0" w:rsidP="002F293A">
      <w:pPr>
        <w:jc w:val="center"/>
      </w:pPr>
    </w:p>
    <w:p w14:paraId="00B17027" w14:textId="77777777" w:rsidR="002C24F9" w:rsidRDefault="002C24F9" w:rsidP="002F293A"/>
    <w:p w14:paraId="322849A8" w14:textId="62A89E1C" w:rsidR="002C24F9" w:rsidRPr="00A037C0" w:rsidRDefault="00A037C0" w:rsidP="00A037C0">
      <w:pPr>
        <w:widowControl/>
      </w:pPr>
      <w:r w:rsidRPr="00A037C0">
        <w:t>Before Commissioners:  Norman C. Bay, Chairman;</w:t>
      </w:r>
    </w:p>
    <w:p w14:paraId="79C67A53" w14:textId="6495322A" w:rsidR="00A037C0" w:rsidRPr="00A037C0" w:rsidRDefault="00A037C0" w:rsidP="00A037C0">
      <w:pPr>
        <w:widowControl/>
      </w:pPr>
      <w:r w:rsidRPr="00A037C0">
        <w:t xml:space="preserve">                                        Cheryl A. LaFleur, Tony Clark,</w:t>
      </w:r>
    </w:p>
    <w:p w14:paraId="4AB27409" w14:textId="3B1A63FF" w:rsidR="00A037C0" w:rsidRDefault="00A037C0" w:rsidP="00A037C0">
      <w:pPr>
        <w:widowControl/>
      </w:pPr>
      <w:r w:rsidRPr="00A037C0">
        <w:t xml:space="preserve">                                        </w:t>
      </w:r>
      <w:proofErr w:type="gramStart"/>
      <w:r w:rsidRPr="00A037C0">
        <w:t>and</w:t>
      </w:r>
      <w:proofErr w:type="gramEnd"/>
      <w:r w:rsidRPr="00A037C0">
        <w:t xml:space="preserve"> Colette D. Honorable.</w:t>
      </w:r>
    </w:p>
    <w:p w14:paraId="4E9E826E" w14:textId="77777777" w:rsidR="002C24F9" w:rsidRDefault="002C24F9" w:rsidP="002F293A">
      <w:pPr>
        <w:ind w:left="1440" w:hanging="14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45"/>
        <w:gridCol w:w="355"/>
        <w:gridCol w:w="3060"/>
      </w:tblGrid>
      <w:tr w:rsidR="002C24F9" w14:paraId="1BA68456" w14:textId="77777777" w:rsidTr="00A037C0">
        <w:tc>
          <w:tcPr>
            <w:tcW w:w="5945" w:type="dxa"/>
            <w:shd w:val="clear" w:color="auto" w:fill="auto"/>
          </w:tcPr>
          <w:p w14:paraId="31FE977B" w14:textId="77777777" w:rsidR="002C24F9" w:rsidRDefault="00C43203" w:rsidP="002F293A">
            <w:r>
              <w:t>San Diego Gas &amp; Electric Company</w:t>
            </w:r>
          </w:p>
        </w:tc>
        <w:tc>
          <w:tcPr>
            <w:tcW w:w="355" w:type="dxa"/>
            <w:shd w:val="clear" w:color="auto" w:fill="auto"/>
          </w:tcPr>
          <w:p w14:paraId="0F061FEE" w14:textId="77777777" w:rsidR="002C24F9" w:rsidRDefault="002C24F9" w:rsidP="002F293A">
            <w:pPr>
              <w:tabs>
                <w:tab w:val="left" w:pos="720"/>
                <w:tab w:val="left" w:pos="1440"/>
                <w:tab w:val="left" w:pos="2880"/>
                <w:tab w:val="left" w:pos="4320"/>
                <w:tab w:val="left" w:pos="5040"/>
                <w:tab w:val="left" w:pos="5760"/>
                <w:tab w:val="left" w:pos="6480"/>
                <w:tab w:val="left" w:pos="7200"/>
              </w:tabs>
              <w:jc w:val="right"/>
            </w:pPr>
          </w:p>
        </w:tc>
        <w:tc>
          <w:tcPr>
            <w:tcW w:w="3060" w:type="dxa"/>
            <w:shd w:val="clear" w:color="auto" w:fill="auto"/>
            <w:tcMar>
              <w:left w:w="144" w:type="dxa"/>
            </w:tcMar>
          </w:tcPr>
          <w:p w14:paraId="7903A38E" w14:textId="14EE3F0F" w:rsidR="002C24F9" w:rsidRDefault="00A037C0" w:rsidP="002F293A">
            <w:pPr>
              <w:tabs>
                <w:tab w:val="left" w:pos="720"/>
                <w:tab w:val="left" w:pos="1440"/>
                <w:tab w:val="left" w:pos="2880"/>
                <w:tab w:val="left" w:pos="4320"/>
                <w:tab w:val="left" w:pos="5040"/>
                <w:tab w:val="left" w:pos="5760"/>
                <w:tab w:val="left" w:pos="6480"/>
                <w:tab w:val="left" w:pos="7200"/>
              </w:tabs>
            </w:pPr>
            <w:r>
              <w:t xml:space="preserve">Docket No. </w:t>
            </w:r>
            <w:r w:rsidR="007D222A">
              <w:t>EL15-103-000</w:t>
            </w:r>
          </w:p>
        </w:tc>
      </w:tr>
    </w:tbl>
    <w:p w14:paraId="5E2F938F" w14:textId="77777777" w:rsidR="002C24F9" w:rsidRDefault="002C24F9" w:rsidP="002F293A"/>
    <w:p w14:paraId="623CB741" w14:textId="77777777" w:rsidR="002C24F9" w:rsidRDefault="002C24F9" w:rsidP="002F293A"/>
    <w:p w14:paraId="4E4F1E71" w14:textId="77777777" w:rsidR="002C24F9" w:rsidRDefault="002C24F9" w:rsidP="002F293A">
      <w:pPr>
        <w:jc w:val="center"/>
        <w:outlineLvl w:val="0"/>
      </w:pPr>
      <w:r>
        <w:t>ORDER ON PETITION FOR DECLARATORY ORDER</w:t>
      </w:r>
    </w:p>
    <w:p w14:paraId="4C4FA91F" w14:textId="77777777" w:rsidR="002C24F9" w:rsidRDefault="002C24F9" w:rsidP="002F293A">
      <w:pPr>
        <w:jc w:val="center"/>
      </w:pPr>
    </w:p>
    <w:p w14:paraId="5971584F" w14:textId="3CCAEF96" w:rsidR="002C24F9" w:rsidRDefault="00A037C0" w:rsidP="00A037C0">
      <w:pPr>
        <w:widowControl/>
        <w:jc w:val="center"/>
      </w:pPr>
      <w:r w:rsidRPr="00A037C0">
        <w:t xml:space="preserve">(Issued March </w:t>
      </w:r>
      <w:r w:rsidR="0041358C">
        <w:t>2</w:t>
      </w:r>
      <w:r w:rsidRPr="00A037C0">
        <w:t>, 2016)</w:t>
      </w:r>
    </w:p>
    <w:p w14:paraId="50BA87B9" w14:textId="77777777" w:rsidR="00A037C0" w:rsidRPr="00A037C0" w:rsidRDefault="00A037C0" w:rsidP="00A037C0">
      <w:pPr>
        <w:widowControl/>
      </w:pPr>
    </w:p>
    <w:p w14:paraId="6C55A670" w14:textId="536BD7FF" w:rsidR="002C24F9" w:rsidRDefault="00A20DA0" w:rsidP="002F293A">
      <w:pPr>
        <w:pStyle w:val="FERCparanumber"/>
      </w:pPr>
      <w:r>
        <w:t xml:space="preserve">On September 23, 2015, </w:t>
      </w:r>
      <w:r w:rsidR="00002FED">
        <w:t xml:space="preserve">San Diego Gas &amp; Electric Company (SDG&amp;E) filed a petition for declaratory order </w:t>
      </w:r>
      <w:r>
        <w:t xml:space="preserve">pursuant to </w:t>
      </w:r>
      <w:r w:rsidR="00002FED">
        <w:t>s</w:t>
      </w:r>
      <w:r>
        <w:t>ection 219 of the Federal Power Act</w:t>
      </w:r>
      <w:r w:rsidR="0089436E">
        <w:t xml:space="preserve"> (FPA)</w:t>
      </w:r>
      <w:r w:rsidR="00002FED">
        <w:t>,</w:t>
      </w:r>
      <w:r>
        <w:rPr>
          <w:rStyle w:val="FootnoteReference"/>
        </w:rPr>
        <w:footnoteReference w:id="2"/>
      </w:r>
      <w:r>
        <w:t xml:space="preserve"> Order No. 679</w:t>
      </w:r>
      <w:r w:rsidR="00002FED">
        <w:t>,</w:t>
      </w:r>
      <w:r>
        <w:rPr>
          <w:rStyle w:val="FootnoteReference"/>
        </w:rPr>
        <w:footnoteReference w:id="3"/>
      </w:r>
      <w:r>
        <w:t xml:space="preserve"> </w:t>
      </w:r>
      <w:r w:rsidR="00282AF8">
        <w:t>and</w:t>
      </w:r>
      <w:r w:rsidR="00B463BB">
        <w:t xml:space="preserve"> </w:t>
      </w:r>
      <w:r w:rsidR="00853855">
        <w:t>Rule 207</w:t>
      </w:r>
      <w:r w:rsidR="00282AF8">
        <w:t xml:space="preserve"> of the Commission’s </w:t>
      </w:r>
      <w:r w:rsidR="00853855">
        <w:t>Rules of Practice and Procedure</w:t>
      </w:r>
      <w:r w:rsidR="00853855">
        <w:rPr>
          <w:rStyle w:val="FootnoteReference"/>
        </w:rPr>
        <w:footnoteReference w:id="4"/>
      </w:r>
      <w:r w:rsidR="00002FED">
        <w:t xml:space="preserve"> </w:t>
      </w:r>
      <w:r w:rsidR="009D2BC5">
        <w:t>seek</w:t>
      </w:r>
      <w:r w:rsidR="00BC2136">
        <w:t>ing</w:t>
      </w:r>
      <w:r w:rsidR="009D2BC5">
        <w:t xml:space="preserve"> </w:t>
      </w:r>
      <w:r w:rsidR="001F1A78">
        <w:t xml:space="preserve">authorization to </w:t>
      </w:r>
      <w:r w:rsidR="00EB543F">
        <w:t xml:space="preserve">recover 100 </w:t>
      </w:r>
      <w:r>
        <w:t xml:space="preserve">percent of all prudently-incurred development and construction </w:t>
      </w:r>
      <w:r w:rsidR="0025477F">
        <w:t xml:space="preserve">costs associated with </w:t>
      </w:r>
      <w:r>
        <w:t>SDG&amp;E’s South Orange County Reliabilit</w:t>
      </w:r>
      <w:r w:rsidR="009D2BC5">
        <w:t xml:space="preserve">y Enhancement (SOCRE) </w:t>
      </w:r>
      <w:r w:rsidR="00002FED">
        <w:t xml:space="preserve">project </w:t>
      </w:r>
      <w:r w:rsidR="009D2BC5">
        <w:t>if</w:t>
      </w:r>
      <w:r>
        <w:t xml:space="preserve"> abandoned or cancelled, in whole or in part, for reasons beyond SDG&amp;E’s control (Abandonment Incentive).</w:t>
      </w:r>
      <w:r w:rsidR="00BC2136">
        <w:rPr>
          <w:rStyle w:val="FootnoteReference"/>
        </w:rPr>
        <w:footnoteReference w:id="5"/>
      </w:r>
      <w:r>
        <w:t xml:space="preserve"> </w:t>
      </w:r>
      <w:r w:rsidR="009D2BC5">
        <w:t xml:space="preserve"> </w:t>
      </w:r>
      <w:r>
        <w:t xml:space="preserve">As discussed below, this order grants SDG&amp;E’s </w:t>
      </w:r>
      <w:r w:rsidR="00002FED">
        <w:t>petition</w:t>
      </w:r>
      <w:r w:rsidR="000A0B05">
        <w:t>.</w:t>
      </w:r>
    </w:p>
    <w:p w14:paraId="309CD05C" w14:textId="77777777" w:rsidR="003D7058" w:rsidRDefault="003D7058">
      <w:pPr>
        <w:widowControl/>
        <w:autoSpaceDE/>
        <w:autoSpaceDN/>
        <w:adjustRightInd/>
        <w:rPr>
          <w:b/>
          <w:bCs/>
          <w:kern w:val="32"/>
          <w:szCs w:val="32"/>
          <w:u w:val="single"/>
        </w:rPr>
      </w:pPr>
      <w:r>
        <w:br w:type="page"/>
      </w:r>
    </w:p>
    <w:p w14:paraId="2CDF0B6D" w14:textId="3B89CD7C" w:rsidR="002205E9" w:rsidRPr="002205E9" w:rsidRDefault="002205E9" w:rsidP="00AF0534">
      <w:pPr>
        <w:pStyle w:val="Heading1"/>
      </w:pPr>
      <w:r w:rsidRPr="002205E9">
        <w:lastRenderedPageBreak/>
        <w:t>Background</w:t>
      </w:r>
    </w:p>
    <w:p w14:paraId="03C62E4A" w14:textId="77777777" w:rsidR="00A20DA0" w:rsidRDefault="002205E9" w:rsidP="002F293A">
      <w:pPr>
        <w:pStyle w:val="FERCparanumber"/>
      </w:pPr>
      <w:r>
        <w:t xml:space="preserve">SDG&amp;E is a California public utility corporation engaged in the transmission, distribution, and sale of energy services in San Diego and Orange Counties, California, and is a participating transmission owner in the California Independent System Operator Corporation (CAISO) balancing authority area. </w:t>
      </w:r>
    </w:p>
    <w:p w14:paraId="64EA909E" w14:textId="77777777" w:rsidR="005C2368" w:rsidRDefault="0025477F" w:rsidP="002F293A">
      <w:pPr>
        <w:pStyle w:val="FERCparanumber"/>
      </w:pPr>
      <w:r>
        <w:t xml:space="preserve">According to SDG&amp;E, CAISO included </w:t>
      </w:r>
      <w:r w:rsidR="00141FB1">
        <w:t xml:space="preserve">the </w:t>
      </w:r>
      <w:r>
        <w:t xml:space="preserve">SOCRE </w:t>
      </w:r>
      <w:r w:rsidR="00141FB1">
        <w:t xml:space="preserve">project </w:t>
      </w:r>
      <w:r>
        <w:t>in its 2010-2011 Transmission Plan to address reliability concerns in the southern Orange County area</w:t>
      </w:r>
      <w:r w:rsidR="00FF5CE8">
        <w:t>,</w:t>
      </w:r>
      <w:r w:rsidR="00141FB1">
        <w:t xml:space="preserve"> where customers are currently served by a single 230-</w:t>
      </w:r>
      <w:r w:rsidR="00853855">
        <w:t>kilovolt (</w:t>
      </w:r>
      <w:r w:rsidR="00141FB1">
        <w:t>kV</w:t>
      </w:r>
      <w:r w:rsidR="00853855">
        <w:t>)</w:t>
      </w:r>
      <w:r w:rsidR="00141FB1">
        <w:t xml:space="preserve"> line running to the </w:t>
      </w:r>
      <w:r w:rsidR="002F293A">
        <w:t xml:space="preserve">existing </w:t>
      </w:r>
      <w:r w:rsidR="00141FB1">
        <w:t xml:space="preserve">138-kV </w:t>
      </w:r>
      <w:r w:rsidR="00853855">
        <w:t xml:space="preserve">Capistrano </w:t>
      </w:r>
      <w:r w:rsidR="009C01CF">
        <w:t>substation</w:t>
      </w:r>
      <w:r>
        <w:t>.</w:t>
      </w:r>
      <w:r>
        <w:rPr>
          <w:rStyle w:val="FootnoteReference"/>
        </w:rPr>
        <w:footnoteReference w:id="6"/>
      </w:r>
      <w:r w:rsidR="00141FB1">
        <w:t xml:space="preserve"> </w:t>
      </w:r>
      <w:r>
        <w:t xml:space="preserve"> SDG&amp;E states</w:t>
      </w:r>
      <w:r w:rsidR="00141FB1">
        <w:t xml:space="preserve"> that the</w:t>
      </w:r>
      <w:r>
        <w:t xml:space="preserve"> </w:t>
      </w:r>
      <w:r w:rsidR="00FF5CE8">
        <w:t xml:space="preserve">SOCRE </w:t>
      </w:r>
      <w:r w:rsidR="005C2368">
        <w:t xml:space="preserve">project consists of four primary components: </w:t>
      </w:r>
      <w:r w:rsidR="00853855">
        <w:t xml:space="preserve"> </w:t>
      </w:r>
      <w:r w:rsidR="003964B4">
        <w:t>(</w:t>
      </w:r>
      <w:r w:rsidR="005C2368">
        <w:t xml:space="preserve">1) rebuilding and upgrading the 138/12-kV 60-megavolt ampere (MVA) air-insulated </w:t>
      </w:r>
      <w:r w:rsidR="00141FB1">
        <w:t xml:space="preserve">Capistrano </w:t>
      </w:r>
      <w:r w:rsidR="00853855">
        <w:t>s</w:t>
      </w:r>
      <w:r w:rsidR="00141FB1">
        <w:t>ubstation to</w:t>
      </w:r>
      <w:r w:rsidR="005C2368">
        <w:t xml:space="preserve"> a 230/138/12-kV 784-MVA gas-insulated substation</w:t>
      </w:r>
      <w:r w:rsidR="00A425FC">
        <w:t xml:space="preserve"> (</w:t>
      </w:r>
      <w:r w:rsidR="0058701D">
        <w:t xml:space="preserve">and </w:t>
      </w:r>
      <w:r w:rsidR="00A425FC">
        <w:t>renam</w:t>
      </w:r>
      <w:r w:rsidR="0058701D">
        <w:t>ing it</w:t>
      </w:r>
      <w:r w:rsidR="00A425FC">
        <w:t xml:space="preserve"> the San Juan Capistrano substation</w:t>
      </w:r>
      <w:r w:rsidR="00141364">
        <w:t xml:space="preserve"> once complete</w:t>
      </w:r>
      <w:r w:rsidR="00A425FC">
        <w:t>)</w:t>
      </w:r>
      <w:r w:rsidR="005C2368">
        <w:t xml:space="preserve">; </w:t>
      </w:r>
      <w:r w:rsidR="003964B4">
        <w:t>(</w:t>
      </w:r>
      <w:r w:rsidR="005C2368">
        <w:t>2) replacing a single-circuit 138-kV transmi</w:t>
      </w:r>
      <w:r w:rsidR="001571B7">
        <w:t>ssion line between SDG&amp;E</w:t>
      </w:r>
      <w:r w:rsidR="005C2368">
        <w:t xml:space="preserve">’s </w:t>
      </w:r>
      <w:proofErr w:type="spellStart"/>
      <w:r w:rsidR="005C2368">
        <w:t>Talega</w:t>
      </w:r>
      <w:proofErr w:type="spellEnd"/>
      <w:r w:rsidR="005C2368">
        <w:t xml:space="preserve"> and</w:t>
      </w:r>
      <w:r w:rsidR="0058701D">
        <w:t xml:space="preserve"> renamed San Juan</w:t>
      </w:r>
      <w:r w:rsidR="005C2368">
        <w:t xml:space="preserve"> </w:t>
      </w:r>
      <w:r w:rsidR="00AF0534">
        <w:t>Capistrano</w:t>
      </w:r>
      <w:r w:rsidR="005C2368">
        <w:t xml:space="preserve"> substations with a new double-circuit 230-kV transmission line (approximately 7.8 miles long); </w:t>
      </w:r>
      <w:r w:rsidR="00E6550B">
        <w:t>(</w:t>
      </w:r>
      <w:r w:rsidR="005C2368">
        <w:t xml:space="preserve">3) relocating several transmission line segments (approximately 1.8 miles, total) adjacent to </w:t>
      </w:r>
      <w:r w:rsidR="00853855">
        <w:t xml:space="preserve">the </w:t>
      </w:r>
      <w:proofErr w:type="spellStart"/>
      <w:r w:rsidR="005C2368">
        <w:t>Talega</w:t>
      </w:r>
      <w:proofErr w:type="spellEnd"/>
      <w:r w:rsidR="005C2368">
        <w:t xml:space="preserve"> and Capistrano substations to accommodate the proposed San Juan Capistrano Substation expansion and new 230-kV line; and </w:t>
      </w:r>
      <w:r w:rsidR="00E6550B">
        <w:t>(</w:t>
      </w:r>
      <w:r w:rsidR="005C2368">
        <w:t>4) relocating several distribution line</w:t>
      </w:r>
      <w:r w:rsidR="0018241A">
        <w:rPr>
          <w:rStyle w:val="FootnoteReference"/>
        </w:rPr>
        <w:footnoteReference w:id="7"/>
      </w:r>
      <w:r w:rsidR="005C2368">
        <w:t xml:space="preserve"> segments (approximately 6 miles</w:t>
      </w:r>
      <w:r w:rsidR="001571B7">
        <w:t>, total</w:t>
      </w:r>
      <w:r w:rsidR="005C2368">
        <w:t xml:space="preserve">) into </w:t>
      </w:r>
      <w:r w:rsidR="001571B7">
        <w:t xml:space="preserve">an </w:t>
      </w:r>
      <w:r w:rsidR="005C2368">
        <w:t>underground conduit</w:t>
      </w:r>
      <w:r w:rsidR="008E1246">
        <w:t xml:space="preserve"> </w:t>
      </w:r>
      <w:r w:rsidR="0018241A">
        <w:t>and overhead on</w:t>
      </w:r>
      <w:r w:rsidR="001571B7">
        <w:t>to</w:t>
      </w:r>
      <w:r w:rsidR="0018241A">
        <w:t xml:space="preserve"> existing and new structures located between the Capistrano Substation and the Prima </w:t>
      </w:r>
      <w:proofErr w:type="spellStart"/>
      <w:r w:rsidR="0018241A">
        <w:t>Deschecha</w:t>
      </w:r>
      <w:proofErr w:type="spellEnd"/>
      <w:r w:rsidR="0018241A">
        <w:t xml:space="preserve"> Landfill</w:t>
      </w:r>
      <w:r>
        <w:t>.</w:t>
      </w:r>
      <w:r w:rsidR="00287F4E">
        <w:rPr>
          <w:rStyle w:val="FootnoteReference"/>
        </w:rPr>
        <w:footnoteReference w:id="8"/>
      </w:r>
      <w:r w:rsidR="0018241A">
        <w:t xml:space="preserve"> </w:t>
      </w:r>
    </w:p>
    <w:p w14:paraId="15BADF08" w14:textId="07385371" w:rsidR="0018241A" w:rsidRDefault="0018241A" w:rsidP="002F293A">
      <w:pPr>
        <w:pStyle w:val="FERCparanumber"/>
      </w:pPr>
      <w:r>
        <w:t xml:space="preserve">SDG&amp;E states that the project is currently estimated to cost approximately </w:t>
      </w:r>
      <w:r w:rsidR="003D7058">
        <w:t xml:space="preserve">     </w:t>
      </w:r>
      <w:r>
        <w:t>$350</w:t>
      </w:r>
      <w:r w:rsidR="00853855">
        <w:t xml:space="preserve"> million to $</w:t>
      </w:r>
      <w:r>
        <w:t>400</w:t>
      </w:r>
      <w:r w:rsidR="003964B4">
        <w:t xml:space="preserve"> million</w:t>
      </w:r>
      <w:r>
        <w:t xml:space="preserve"> and would mitigate the risks of o</w:t>
      </w:r>
      <w:r w:rsidR="003F4ECB">
        <w:t>utages and improve re</w:t>
      </w:r>
      <w:r w:rsidR="00812D06">
        <w:t>liability</w:t>
      </w:r>
      <w:r w:rsidR="00024FF6">
        <w:t xml:space="preserve"> </w:t>
      </w:r>
      <w:r w:rsidR="003F4ECB">
        <w:t>in the southern Orange County area by</w:t>
      </w:r>
      <w:r>
        <w:t>, among other things, pro</w:t>
      </w:r>
      <w:r w:rsidR="00AA5211">
        <w:t xml:space="preserve">viding a </w:t>
      </w:r>
      <w:r w:rsidR="003D7058">
        <w:t xml:space="preserve"> </w:t>
      </w:r>
      <w:r w:rsidR="00AA5211">
        <w:t>second independent 230-</w:t>
      </w:r>
      <w:r w:rsidR="003F4ECB">
        <w:t xml:space="preserve">kV line </w:t>
      </w:r>
      <w:r>
        <w:t xml:space="preserve">at the proposed rebuilt </w:t>
      </w:r>
      <w:r w:rsidR="003F4ECB">
        <w:t xml:space="preserve">San Juan </w:t>
      </w:r>
      <w:r>
        <w:t>Capistrano Substation</w:t>
      </w:r>
      <w:r w:rsidR="003F4ECB">
        <w:t xml:space="preserve">.  </w:t>
      </w:r>
      <w:r w:rsidR="006A1747">
        <w:t xml:space="preserve">SDG&amp;E states that this </w:t>
      </w:r>
      <w:r w:rsidR="00D34D2A">
        <w:t xml:space="preserve">project </w:t>
      </w:r>
      <w:r w:rsidR="006A1747">
        <w:t>directly addresses reliability concerns for the area identified in CAISO’s 2010-2011 Transmission Plan.</w:t>
      </w:r>
      <w:r w:rsidR="00E853D8">
        <w:rPr>
          <w:rStyle w:val="FootnoteReference"/>
        </w:rPr>
        <w:footnoteReference w:id="9"/>
      </w:r>
      <w:r w:rsidR="006A1747">
        <w:t xml:space="preserve">  </w:t>
      </w:r>
      <w:r w:rsidR="00634F36">
        <w:t xml:space="preserve">SDG&amp;E </w:t>
      </w:r>
      <w:r w:rsidR="006A1747">
        <w:t xml:space="preserve">also </w:t>
      </w:r>
      <w:r w:rsidR="00E853D8">
        <w:t>states that the</w:t>
      </w:r>
      <w:r w:rsidR="003F4ECB">
        <w:t xml:space="preserve"> </w:t>
      </w:r>
      <w:r w:rsidR="00634F36">
        <w:t>S</w:t>
      </w:r>
      <w:r w:rsidR="00AA5211">
        <w:t>O</w:t>
      </w:r>
      <w:r w:rsidR="00634F36">
        <w:t>C</w:t>
      </w:r>
      <w:r w:rsidR="00AA5211">
        <w:t>RE</w:t>
      </w:r>
      <w:r w:rsidR="003F4ECB">
        <w:t xml:space="preserve"> project</w:t>
      </w:r>
      <w:r w:rsidR="008E1246">
        <w:t xml:space="preserve"> benefits consumers in the immediate vicinity of the project by using existing rights-of-way</w:t>
      </w:r>
      <w:r w:rsidR="00AA5211">
        <w:t xml:space="preserve"> and minimizing long-term visual and environmental impacts </w:t>
      </w:r>
      <w:r w:rsidR="00AA5211">
        <w:lastRenderedPageBreak/>
        <w:t xml:space="preserve">through undergrounding, and benefits all SDG&amp;E customers by replacing existing wood structures with new steel structures </w:t>
      </w:r>
      <w:r w:rsidR="00853855">
        <w:t>to</w:t>
      </w:r>
      <w:r w:rsidR="00AA5211">
        <w:t xml:space="preserve"> improve fire resistance</w:t>
      </w:r>
      <w:r w:rsidR="008E1246">
        <w:t>.</w:t>
      </w:r>
      <w:r w:rsidR="008E1246">
        <w:rPr>
          <w:rStyle w:val="FootnoteReference"/>
        </w:rPr>
        <w:footnoteReference w:id="10"/>
      </w:r>
      <w:r w:rsidR="00B25444">
        <w:t xml:space="preserve">  </w:t>
      </w:r>
    </w:p>
    <w:p w14:paraId="3D0B0362" w14:textId="77777777" w:rsidR="008E1246" w:rsidRDefault="00AA5211" w:rsidP="002F293A">
      <w:pPr>
        <w:pStyle w:val="FERCparanumber"/>
      </w:pPr>
      <w:r>
        <w:t xml:space="preserve">In its filing, SDG&amp;E requests authorization to recover 100 percent of all prudently-incurred development and construction costs </w:t>
      </w:r>
      <w:r w:rsidR="000A395E">
        <w:t xml:space="preserve">if </w:t>
      </w:r>
      <w:r w:rsidR="00853855">
        <w:t xml:space="preserve">the </w:t>
      </w:r>
      <w:r w:rsidR="000A395E">
        <w:t>SOCRE</w:t>
      </w:r>
      <w:r w:rsidR="00853855">
        <w:t xml:space="preserve"> project</w:t>
      </w:r>
      <w:r>
        <w:t xml:space="preserve"> is abandoned or cancelled, in whole or in part, for reasons beyond SDG&amp;E’s control.</w:t>
      </w:r>
      <w:r>
        <w:rPr>
          <w:rStyle w:val="FootnoteReference"/>
        </w:rPr>
        <w:footnoteReference w:id="11"/>
      </w:r>
      <w:r w:rsidR="000A395E">
        <w:t xml:space="preserve">  SDG&amp;E claims that </w:t>
      </w:r>
      <w:r w:rsidR="00853855">
        <w:t xml:space="preserve">the </w:t>
      </w:r>
      <w:r w:rsidR="000A395E">
        <w:t xml:space="preserve">SOCRE </w:t>
      </w:r>
      <w:r w:rsidR="00853855">
        <w:t xml:space="preserve">project </w:t>
      </w:r>
      <w:r w:rsidR="000A395E">
        <w:t>meets the</w:t>
      </w:r>
      <w:r w:rsidR="00634F36">
        <w:t xml:space="preserve"> </w:t>
      </w:r>
      <w:r w:rsidR="00180B9D">
        <w:t xml:space="preserve">requirements of </w:t>
      </w:r>
      <w:r w:rsidR="000A395E">
        <w:t xml:space="preserve">FPA section 219 </w:t>
      </w:r>
      <w:r w:rsidR="00022A1E">
        <w:t xml:space="preserve">because the </w:t>
      </w:r>
      <w:r w:rsidR="00634F36">
        <w:t>SOCRE</w:t>
      </w:r>
      <w:r w:rsidR="00E853D8">
        <w:t xml:space="preserve"> project</w:t>
      </w:r>
      <w:r w:rsidR="00634F36">
        <w:t xml:space="preserve"> </w:t>
      </w:r>
      <w:r w:rsidR="00E853D8">
        <w:t>resulted</w:t>
      </w:r>
      <w:r w:rsidR="00022A1E">
        <w:t xml:space="preserve"> from a fair and open regional</w:t>
      </w:r>
      <w:r w:rsidR="00E853D8">
        <w:t xml:space="preserve"> planning process that considered and evaluated</w:t>
      </w:r>
      <w:r w:rsidR="00022A1E">
        <w:t xml:space="preserve"> projects for reliability and/or congestion and is acceptable to the Commission.</w:t>
      </w:r>
      <w:r w:rsidR="00022A1E">
        <w:rPr>
          <w:rStyle w:val="FootnoteReference"/>
        </w:rPr>
        <w:footnoteReference w:id="12"/>
      </w:r>
      <w:r w:rsidR="00634F36">
        <w:t xml:space="preserve">  Specifically, SDG&amp;E asserts that</w:t>
      </w:r>
      <w:r w:rsidR="001861FD">
        <w:t xml:space="preserve"> the Commission has </w:t>
      </w:r>
      <w:r w:rsidR="00E853D8">
        <w:t xml:space="preserve">previously </w:t>
      </w:r>
      <w:r w:rsidR="001861FD">
        <w:t>determined that CAISO’s transmission planning process is a fai</w:t>
      </w:r>
      <w:r w:rsidR="00E853D8">
        <w:t>r and open regional process.</w:t>
      </w:r>
      <w:r w:rsidR="00853855">
        <w:rPr>
          <w:rStyle w:val="FootnoteReference"/>
        </w:rPr>
        <w:footnoteReference w:id="13"/>
      </w:r>
      <w:r w:rsidR="00E853D8">
        <w:t xml:space="preserve">  Furthermore, SDG&amp;E states that a</w:t>
      </w:r>
      <w:r w:rsidR="001861FD">
        <w:t>s</w:t>
      </w:r>
      <w:r w:rsidR="00634F36">
        <w:t xml:space="preserve"> part of CAISO’s 2010-2011 Transmission Plan, CAISO performed detailed studies of the southern Ora</w:t>
      </w:r>
      <w:r w:rsidR="00E853D8">
        <w:t xml:space="preserve">nge County area to evaluate its </w:t>
      </w:r>
      <w:r w:rsidR="00634F36">
        <w:t>overall reliability risks, which revealed that the area is susceptible to multiple N</w:t>
      </w:r>
      <w:r w:rsidR="002F293A">
        <w:t xml:space="preserve">orth American </w:t>
      </w:r>
      <w:r w:rsidR="00634F36">
        <w:t>E</w:t>
      </w:r>
      <w:r w:rsidR="002F293A">
        <w:t xml:space="preserve">lectric </w:t>
      </w:r>
      <w:r w:rsidR="00634F36">
        <w:t>R</w:t>
      </w:r>
      <w:r w:rsidR="002F293A">
        <w:t xml:space="preserve">eliability </w:t>
      </w:r>
      <w:r w:rsidR="00AF0534">
        <w:t>Corporation (</w:t>
      </w:r>
      <w:r w:rsidR="00733A37">
        <w:t xml:space="preserve">NERC) </w:t>
      </w:r>
      <w:r w:rsidR="00634F36">
        <w:t>Category C overloads by 2020</w:t>
      </w:r>
      <w:r w:rsidR="00E853D8">
        <w:t>,</w:t>
      </w:r>
      <w:r w:rsidR="00634F36">
        <w:t xml:space="preserve"> and </w:t>
      </w:r>
      <w:r w:rsidR="00D34D2A">
        <w:t xml:space="preserve">is </w:t>
      </w:r>
      <w:r w:rsidR="00634F36">
        <w:t>increasingly at risk for service interruption due to involuntary load shedding.</w:t>
      </w:r>
      <w:r w:rsidR="00634F36">
        <w:rPr>
          <w:rStyle w:val="FootnoteReference"/>
        </w:rPr>
        <w:footnoteReference w:id="14"/>
      </w:r>
      <w:r w:rsidR="001861FD">
        <w:t xml:space="preserve">  SDG&amp;E states that CAISO evaluated three alternatives and selected</w:t>
      </w:r>
      <w:r w:rsidR="00E853D8">
        <w:t xml:space="preserve"> the</w:t>
      </w:r>
      <w:r w:rsidR="001861FD">
        <w:t xml:space="preserve"> SOCRE</w:t>
      </w:r>
      <w:r w:rsidR="00E853D8">
        <w:t xml:space="preserve"> project</w:t>
      </w:r>
      <w:r w:rsidR="001861FD">
        <w:t>, Alternative 3, as the most effective, feasible solution to meet the reliability needs of the southern Orange County area</w:t>
      </w:r>
      <w:r w:rsidR="00E853D8">
        <w:t xml:space="preserve"> identified in the 2010-2011 Transmission Plan</w:t>
      </w:r>
      <w:r w:rsidR="001861FD">
        <w:t>.</w:t>
      </w:r>
      <w:r w:rsidR="001861FD">
        <w:rPr>
          <w:rStyle w:val="FootnoteReference"/>
        </w:rPr>
        <w:footnoteReference w:id="15"/>
      </w:r>
      <w:r w:rsidR="001861FD">
        <w:t xml:space="preserve">  </w:t>
      </w:r>
    </w:p>
    <w:p w14:paraId="04D28951" w14:textId="77777777" w:rsidR="003D7058" w:rsidRDefault="003D7058">
      <w:pPr>
        <w:widowControl/>
        <w:autoSpaceDE/>
        <w:autoSpaceDN/>
        <w:adjustRightInd/>
      </w:pPr>
      <w:r>
        <w:br w:type="page"/>
      </w:r>
    </w:p>
    <w:p w14:paraId="6A8D9965" w14:textId="1D5945AC" w:rsidR="008B5B91" w:rsidRDefault="00EB10E6" w:rsidP="002F293A">
      <w:pPr>
        <w:pStyle w:val="FERCparanumber"/>
      </w:pPr>
      <w:r>
        <w:lastRenderedPageBreak/>
        <w:t>SDG&amp;E also asserts that the requested Abandonment Incentiv</w:t>
      </w:r>
      <w:r w:rsidR="001508EF">
        <w:t xml:space="preserve">e for the SOCRE project </w:t>
      </w:r>
      <w:r>
        <w:t>satisfies the Commission’s nexus test requiring ap</w:t>
      </w:r>
      <w:r w:rsidR="00317114">
        <w:t>plicants to demonstrate that</w:t>
      </w:r>
      <w:r>
        <w:t xml:space="preserve"> requested incentives are rationally related and “tailored to address the demonstrable risk or challenges faces by the applicant.”</w:t>
      </w:r>
      <w:r>
        <w:rPr>
          <w:rStyle w:val="FootnoteReference"/>
        </w:rPr>
        <w:footnoteReference w:id="16"/>
      </w:r>
      <w:r w:rsidR="00317114">
        <w:t xml:space="preserve">  SDG&amp;E </w:t>
      </w:r>
      <w:r w:rsidR="00853855">
        <w:t>argues</w:t>
      </w:r>
      <w:r w:rsidR="00317114">
        <w:t xml:space="preserve"> that the </w:t>
      </w:r>
      <w:r w:rsidR="00853855">
        <w:t xml:space="preserve">federal, state, and local </w:t>
      </w:r>
      <w:r w:rsidR="00317114">
        <w:t>permitting process</w:t>
      </w:r>
      <w:r w:rsidR="00853855">
        <w:t>es</w:t>
      </w:r>
      <w:r w:rsidR="00317114">
        <w:t xml:space="preserve"> for </w:t>
      </w:r>
      <w:r w:rsidR="001508EF">
        <w:t xml:space="preserve">the </w:t>
      </w:r>
      <w:r w:rsidR="00317114">
        <w:t xml:space="preserve">SOCRE </w:t>
      </w:r>
      <w:r w:rsidR="001508EF">
        <w:t xml:space="preserve">project </w:t>
      </w:r>
      <w:r w:rsidR="00317114">
        <w:t>present substantial</w:t>
      </w:r>
      <w:r w:rsidR="003F78B8">
        <w:t xml:space="preserve"> risks and</w:t>
      </w:r>
      <w:r w:rsidR="00317114">
        <w:t xml:space="preserve"> challenges</w:t>
      </w:r>
      <w:r w:rsidR="00853855">
        <w:t>,</w:t>
      </w:r>
      <w:r w:rsidR="00317114">
        <w:t xml:space="preserve"> </w:t>
      </w:r>
      <w:r w:rsidR="00853855">
        <w:t>stating</w:t>
      </w:r>
      <w:r w:rsidR="00317114">
        <w:t xml:space="preserve"> that the project requires, among other things,</w:t>
      </w:r>
      <w:r w:rsidR="00A6050A">
        <w:t xml:space="preserve"> review from the United States m</w:t>
      </w:r>
      <w:r w:rsidR="00317114">
        <w:t>ilitary</w:t>
      </w:r>
      <w:r w:rsidR="001508EF">
        <w:t xml:space="preserve"> for</w:t>
      </w:r>
      <w:r w:rsidR="00317114">
        <w:t xml:space="preserve"> the portion of </w:t>
      </w:r>
      <w:r w:rsidR="00853855">
        <w:t xml:space="preserve">the </w:t>
      </w:r>
      <w:r w:rsidR="00317114">
        <w:t>SOCRE</w:t>
      </w:r>
      <w:r w:rsidR="00853855">
        <w:t xml:space="preserve"> project</w:t>
      </w:r>
      <w:r w:rsidR="00317114">
        <w:t xml:space="preserve"> that will be located at Camp Pendleton, implicating the National Environmental Policy Act.</w:t>
      </w:r>
      <w:r w:rsidR="003F6A14">
        <w:rPr>
          <w:rStyle w:val="FootnoteReference"/>
        </w:rPr>
        <w:footnoteReference w:id="17"/>
      </w:r>
      <w:r w:rsidR="00317114">
        <w:t xml:space="preserve">  </w:t>
      </w:r>
      <w:r w:rsidR="00816930">
        <w:t>SDG&amp;E also states that it must complete the California Public Utilities Commission’s (CPUC) Certificate of Public Convenience and Necessity permitting process, which may contain the greatest level of risk and uncertainty for project commencement and completion.</w:t>
      </w:r>
      <w:r w:rsidR="001508EF">
        <w:rPr>
          <w:rStyle w:val="FootnoteReference"/>
        </w:rPr>
        <w:footnoteReference w:id="18"/>
      </w:r>
      <w:r w:rsidR="00816930">
        <w:t xml:space="preserve"> </w:t>
      </w:r>
      <w:r w:rsidR="003F6A14">
        <w:t xml:space="preserve"> </w:t>
      </w:r>
    </w:p>
    <w:p w14:paraId="5542ACE1" w14:textId="75A7854D" w:rsidR="00EB543F" w:rsidRDefault="007A4B84" w:rsidP="00436451">
      <w:pPr>
        <w:pStyle w:val="FERCparanumber"/>
      </w:pPr>
      <w:r>
        <w:t>SDG&amp;E states that the CPUC could approve</w:t>
      </w:r>
      <w:r w:rsidR="00024FF6">
        <w:t>, reject,</w:t>
      </w:r>
      <w:r>
        <w:t xml:space="preserve"> or modify the project</w:t>
      </w:r>
      <w:r w:rsidR="00024FF6">
        <w:t xml:space="preserve"> by</w:t>
      </w:r>
      <w:r w:rsidR="005F50C0">
        <w:t>,</w:t>
      </w:r>
      <w:r w:rsidR="00024FF6">
        <w:t xml:space="preserve"> for example, </w:t>
      </w:r>
      <w:r>
        <w:t>imposing mitigation measures for any significant environmental impacts.</w:t>
      </w:r>
      <w:r w:rsidR="003F78B8">
        <w:t xml:space="preserve">  Furthermore, </w:t>
      </w:r>
      <w:r w:rsidR="00CE15E5">
        <w:t>SDG&amp;E asserts that if the CPUC imposes environmental mitigatio</w:t>
      </w:r>
      <w:r w:rsidR="0005132E">
        <w:t xml:space="preserve">n measures or other conditions </w:t>
      </w:r>
      <w:r w:rsidR="00CE15E5">
        <w:t xml:space="preserve">as conditions of approving the project, such conditions may render its construction completely unachievable or unachievable within the timeframe needed to comprehensively address the </w:t>
      </w:r>
      <w:r w:rsidR="007871F4">
        <w:t xml:space="preserve">reliability </w:t>
      </w:r>
      <w:r w:rsidR="00CE15E5">
        <w:t>issues that CAISO identified in its 2010-2011 Transmission Plan.</w:t>
      </w:r>
      <w:r w:rsidR="00CE15E5">
        <w:rPr>
          <w:rStyle w:val="FootnoteReference"/>
        </w:rPr>
        <w:footnoteReference w:id="19"/>
      </w:r>
      <w:r w:rsidR="00DA68C9">
        <w:t xml:space="preserve">  </w:t>
      </w:r>
      <w:r w:rsidR="002314E9">
        <w:t>SDG&amp;E asserts that the requested Abandonment Incentive is tailored to these risks and challenges and is important from a financial perspective</w:t>
      </w:r>
      <w:r w:rsidR="002F293A">
        <w:t>.</w:t>
      </w:r>
      <w:r w:rsidR="002314E9">
        <w:t xml:space="preserve"> </w:t>
      </w:r>
      <w:r w:rsidR="002F293A">
        <w:t xml:space="preserve"> SDG&amp;E </w:t>
      </w:r>
      <w:r w:rsidR="002314E9">
        <w:t>estimates that by the end of 2015 it will have incurred approximately $35 million in costs toward the development of the SOCRE project.</w:t>
      </w:r>
      <w:r w:rsidR="002314E9">
        <w:rPr>
          <w:rStyle w:val="FootnoteReference"/>
        </w:rPr>
        <w:footnoteReference w:id="20"/>
      </w:r>
    </w:p>
    <w:p w14:paraId="79EF10DF" w14:textId="77777777" w:rsidR="00386D7D" w:rsidRPr="00386D7D" w:rsidRDefault="00386D7D" w:rsidP="00AF0534">
      <w:pPr>
        <w:pStyle w:val="Heading1"/>
      </w:pPr>
      <w:r w:rsidRPr="00D17D85">
        <w:t>Notice of Filing and Responsive Pleadings</w:t>
      </w:r>
    </w:p>
    <w:p w14:paraId="636732BF" w14:textId="77777777" w:rsidR="00D17D85" w:rsidRDefault="00D17D85" w:rsidP="002F293A">
      <w:pPr>
        <w:pStyle w:val="FERCparanumber"/>
      </w:pPr>
      <w:r>
        <w:t>Notice of SDG&amp;E’s filing was published in</w:t>
      </w:r>
      <w:r w:rsidR="009D2BC5">
        <w:t xml:space="preserve"> the </w:t>
      </w:r>
      <w:r w:rsidR="009D2BC5" w:rsidRPr="00C63BD1">
        <w:rPr>
          <w:i/>
        </w:rPr>
        <w:t>Federal Register</w:t>
      </w:r>
      <w:r w:rsidR="009D2BC5">
        <w:t>,</w:t>
      </w:r>
      <w:r w:rsidR="00967F42">
        <w:t xml:space="preserve"> 80 Fed. Reg. 58,729</w:t>
      </w:r>
      <w:r w:rsidR="009D2BC5">
        <w:t xml:space="preserve"> (2015)</w:t>
      </w:r>
      <w:r>
        <w:t xml:space="preserve"> with interventions and protest</w:t>
      </w:r>
      <w:r w:rsidR="007871F4">
        <w:t>s</w:t>
      </w:r>
      <w:r>
        <w:t xml:space="preserve"> due on or before October 23, 2015.  Timely </w:t>
      </w:r>
      <w:r>
        <w:lastRenderedPageBreak/>
        <w:t xml:space="preserve">motions to intervene were filed by: </w:t>
      </w:r>
      <w:r w:rsidR="002F293A">
        <w:t xml:space="preserve"> </w:t>
      </w:r>
      <w:r>
        <w:t>California Department of Water Resources State Water Project</w:t>
      </w:r>
      <w:r w:rsidR="00E6387B">
        <w:t>;</w:t>
      </w:r>
      <w:r>
        <w:t xml:space="preserve"> Southern California Edison Company</w:t>
      </w:r>
      <w:r w:rsidR="00E6387B">
        <w:t>;</w:t>
      </w:r>
      <w:r>
        <w:t xml:space="preserve"> Northern California Power Agency</w:t>
      </w:r>
      <w:r w:rsidR="00E6387B">
        <w:t>;</w:t>
      </w:r>
      <w:r>
        <w:t xml:space="preserve"> Pacific Gas and Electric Company</w:t>
      </w:r>
      <w:r w:rsidR="00E6387B">
        <w:t>;</w:t>
      </w:r>
      <w:r>
        <w:t xml:space="preserve"> California Municipal Utilities Association</w:t>
      </w:r>
      <w:r w:rsidR="00E6387B">
        <w:t>;</w:t>
      </w:r>
      <w:r>
        <w:t xml:space="preserve"> Modesto Irrigation District</w:t>
      </w:r>
      <w:r w:rsidR="00E6387B">
        <w:t>;</w:t>
      </w:r>
      <w:r>
        <w:t xml:space="preserve"> </w:t>
      </w:r>
      <w:r w:rsidR="00E6387B">
        <w:t xml:space="preserve">City of Santa Clara, California, and M-S-R Public Power Agency; </w:t>
      </w:r>
      <w:r w:rsidR="00180B9D">
        <w:t xml:space="preserve">and </w:t>
      </w:r>
      <w:r>
        <w:t>Transmission</w:t>
      </w:r>
      <w:r w:rsidR="00386D7D">
        <w:t xml:space="preserve"> Agency of Northern California.  The cities of Anaheim, Azusa, Banning, Colton, Pasadena, and Riverside, California (Six Cities) filed a timely motion to intervene and protest.  SDG&amp;E filed an answer to Six Cities’ protest. </w:t>
      </w:r>
    </w:p>
    <w:p w14:paraId="0912AD45" w14:textId="2E8ADF9A" w:rsidR="00386D7D" w:rsidRDefault="00386D7D" w:rsidP="002F293A">
      <w:pPr>
        <w:pStyle w:val="FERCparanumber"/>
      </w:pPr>
      <w:r>
        <w:t xml:space="preserve">Six Cities </w:t>
      </w:r>
      <w:r w:rsidR="00D70563" w:rsidRPr="00AF0534">
        <w:t>state</w:t>
      </w:r>
      <w:r w:rsidR="00894221">
        <w:t xml:space="preserve"> that </w:t>
      </w:r>
      <w:r w:rsidR="00043683">
        <w:t>they</w:t>
      </w:r>
      <w:r w:rsidR="00894221">
        <w:t xml:space="preserve"> take no position on whether SDG&amp;E has satisfied the Commission</w:t>
      </w:r>
      <w:r w:rsidR="00D70563">
        <w:t>’s criteria for incentives for</w:t>
      </w:r>
      <w:r w:rsidR="00894221">
        <w:t xml:space="preserve"> the SOCRE project.  However, if the Commission approves SDG&amp;E’s request</w:t>
      </w:r>
      <w:r w:rsidR="001202C0">
        <w:t>ed</w:t>
      </w:r>
      <w:r w:rsidR="00894221">
        <w:t xml:space="preserve"> Abandonment Incent</w:t>
      </w:r>
      <w:r w:rsidR="00384EF0">
        <w:t xml:space="preserve">ive, Six Cities </w:t>
      </w:r>
      <w:r w:rsidR="00384EF0" w:rsidRPr="00AF0534">
        <w:t>assert</w:t>
      </w:r>
      <w:r w:rsidR="00384EF0">
        <w:t xml:space="preserve"> that the Commission should permit SDG&amp;E to recover</w:t>
      </w:r>
      <w:r w:rsidR="004C06EE">
        <w:t>:</w:t>
      </w:r>
      <w:r w:rsidR="00384EF0">
        <w:t xml:space="preserve"> </w:t>
      </w:r>
      <w:r w:rsidR="008A683B">
        <w:t xml:space="preserve"> </w:t>
      </w:r>
      <w:r w:rsidR="003B7584">
        <w:t xml:space="preserve">(1) </w:t>
      </w:r>
      <w:r w:rsidR="00384EF0">
        <w:t xml:space="preserve">100 percent of prudently incurred costs for </w:t>
      </w:r>
      <w:r w:rsidR="00E6387B">
        <w:t xml:space="preserve">the </w:t>
      </w:r>
      <w:r w:rsidR="00384EF0">
        <w:t>SOCRE</w:t>
      </w:r>
      <w:r w:rsidR="00E6387B">
        <w:t xml:space="preserve"> project</w:t>
      </w:r>
      <w:r w:rsidR="004C06EE">
        <w:t xml:space="preserve"> on a prospective basis; </w:t>
      </w:r>
      <w:r w:rsidR="00384EF0">
        <w:t xml:space="preserve">and </w:t>
      </w:r>
      <w:r w:rsidR="003B7584">
        <w:t xml:space="preserve">(2) </w:t>
      </w:r>
      <w:r w:rsidR="00384EF0">
        <w:t>50 percent of previously incurred costs</w:t>
      </w:r>
      <w:r w:rsidR="00894221">
        <w:t>.</w:t>
      </w:r>
      <w:r w:rsidR="00537B6C">
        <w:rPr>
          <w:rStyle w:val="FootnoteReference"/>
        </w:rPr>
        <w:footnoteReference w:id="21"/>
      </w:r>
      <w:r w:rsidR="00967F42">
        <w:t xml:space="preserve">  Six Cities </w:t>
      </w:r>
      <w:r w:rsidR="00967F42" w:rsidRPr="00E94983">
        <w:t>state</w:t>
      </w:r>
      <w:r w:rsidR="005947DC">
        <w:t xml:space="preserve"> that SDG&amp;E</w:t>
      </w:r>
      <w:r w:rsidR="009D2BC5">
        <w:t xml:space="preserve"> is only now interested in the </w:t>
      </w:r>
      <w:r w:rsidR="001202C0">
        <w:t xml:space="preserve">requested </w:t>
      </w:r>
      <w:r w:rsidR="009D2BC5">
        <w:t>Abandonment I</w:t>
      </w:r>
      <w:r w:rsidR="005947DC">
        <w:t xml:space="preserve">ncentive, four years after CAISO’s initial approval of the SOCRE project, because </w:t>
      </w:r>
      <w:r w:rsidR="000B2263">
        <w:t xml:space="preserve">the </w:t>
      </w:r>
      <w:r w:rsidR="005947DC">
        <w:t>CPUC’s approval of the project has become uncertain</w:t>
      </w:r>
      <w:r w:rsidR="00967F42">
        <w:t xml:space="preserve">.  Six Cities </w:t>
      </w:r>
      <w:r w:rsidR="00967F42" w:rsidRPr="00E94983">
        <w:t>assert</w:t>
      </w:r>
      <w:r w:rsidR="009D2BC5">
        <w:t xml:space="preserve"> </w:t>
      </w:r>
      <w:r w:rsidR="005947DC">
        <w:t xml:space="preserve">that SDG&amp;E has </w:t>
      </w:r>
      <w:r w:rsidR="003B7584">
        <w:t>voluntarily</w:t>
      </w:r>
      <w:r w:rsidR="005947DC">
        <w:t xml:space="preserve"> incurred over $30 million in development costs before seeking incentive rate treatment from the Commission</w:t>
      </w:r>
      <w:r w:rsidR="003B7584">
        <w:t xml:space="preserve"> to guarantee abandoned plant recovery</w:t>
      </w:r>
      <w:r w:rsidR="005947DC">
        <w:t>.</w:t>
      </w:r>
      <w:r w:rsidR="005947DC">
        <w:rPr>
          <w:rStyle w:val="FootnoteReference"/>
        </w:rPr>
        <w:footnoteReference w:id="22"/>
      </w:r>
      <w:r w:rsidR="00292F36">
        <w:t xml:space="preserve"> </w:t>
      </w:r>
      <w:r w:rsidR="00967F42">
        <w:t xml:space="preserve"> Six Cities </w:t>
      </w:r>
      <w:r w:rsidR="003B7584">
        <w:t xml:space="preserve">also </w:t>
      </w:r>
      <w:r w:rsidR="007871F4" w:rsidRPr="00E94983">
        <w:t>argue</w:t>
      </w:r>
      <w:r w:rsidR="007871F4">
        <w:t xml:space="preserve"> </w:t>
      </w:r>
      <w:r w:rsidR="00292F36">
        <w:t>that</w:t>
      </w:r>
      <w:r w:rsidR="00EB543F">
        <w:t xml:space="preserve"> </w:t>
      </w:r>
      <w:r w:rsidR="00043683">
        <w:t>their</w:t>
      </w:r>
      <w:r w:rsidR="00EB543F">
        <w:t xml:space="preserve"> proposed limitation on </w:t>
      </w:r>
      <w:r w:rsidR="00292F36">
        <w:t>SDG&amp;E</w:t>
      </w:r>
      <w:r w:rsidR="00EB543F">
        <w:t>’s</w:t>
      </w:r>
      <w:r w:rsidR="00292F36">
        <w:t xml:space="preserve"> incentive request is consistent with Commission precedent</w:t>
      </w:r>
      <w:r w:rsidR="00C27265">
        <w:t>.</w:t>
      </w:r>
      <w:r w:rsidR="00C27265">
        <w:rPr>
          <w:rStyle w:val="FootnoteReference"/>
        </w:rPr>
        <w:footnoteReference w:id="23"/>
      </w:r>
      <w:r w:rsidR="00EB543F">
        <w:t xml:space="preserve">  </w:t>
      </w:r>
      <w:r w:rsidR="00A30BD3">
        <w:t xml:space="preserve">Six Cities </w:t>
      </w:r>
      <w:r w:rsidR="00A30BD3" w:rsidRPr="00E94983">
        <w:t>state</w:t>
      </w:r>
      <w:r w:rsidR="00A30BD3">
        <w:t xml:space="preserve"> that </w:t>
      </w:r>
      <w:r w:rsidR="00EB543F">
        <w:t xml:space="preserve">applying the same finding to SDG&amp;E’s request here would </w:t>
      </w:r>
      <w:r w:rsidR="00262871">
        <w:t xml:space="preserve">be a balanced application </w:t>
      </w:r>
      <w:r w:rsidR="00A30BD3">
        <w:t>of the Commissi</w:t>
      </w:r>
      <w:r w:rsidR="00262871">
        <w:t>on’s incentive policy, encouraging</w:t>
      </w:r>
      <w:r w:rsidR="00A30BD3">
        <w:t xml:space="preserve"> transmission developers to file for incentive rate treatment at an early phase</w:t>
      </w:r>
      <w:r w:rsidR="00262871">
        <w:t xml:space="preserve"> of project development and thereby</w:t>
      </w:r>
      <w:r w:rsidR="00A30BD3">
        <w:t xml:space="preserve"> </w:t>
      </w:r>
      <w:r w:rsidR="0005218A">
        <w:t xml:space="preserve">providing both developers and ratepayers with enhanced </w:t>
      </w:r>
      <w:r w:rsidR="00A418E0">
        <w:t xml:space="preserve">rate </w:t>
      </w:r>
      <w:r w:rsidR="0005218A">
        <w:t>certainty.</w:t>
      </w:r>
      <w:r w:rsidR="0005218A">
        <w:rPr>
          <w:rStyle w:val="FootnoteReference"/>
        </w:rPr>
        <w:footnoteReference w:id="24"/>
      </w:r>
      <w:r w:rsidR="0005218A">
        <w:t xml:space="preserve"> </w:t>
      </w:r>
      <w:r w:rsidR="00EB543F">
        <w:t xml:space="preserve"> </w:t>
      </w:r>
      <w:r w:rsidR="0005218A">
        <w:t xml:space="preserve">Lastly, Six Cities </w:t>
      </w:r>
      <w:r w:rsidR="0005218A" w:rsidRPr="00E94983">
        <w:t>urge</w:t>
      </w:r>
      <w:r w:rsidR="0005218A">
        <w:t xml:space="preserve"> the Commission to clarify that any incentive granted to SDG&amp;E for </w:t>
      </w:r>
      <w:r w:rsidR="00E6387B">
        <w:t xml:space="preserve">the </w:t>
      </w:r>
      <w:r w:rsidR="0005218A">
        <w:t>SOCRE</w:t>
      </w:r>
      <w:r w:rsidR="00E6387B">
        <w:t xml:space="preserve"> project</w:t>
      </w:r>
      <w:r w:rsidR="0005218A">
        <w:t xml:space="preserve"> is limited to costs incurred in connection with Regional Transmission Facilities and does not cover cost</w:t>
      </w:r>
      <w:r w:rsidR="00E6387B">
        <w:t>s</w:t>
      </w:r>
      <w:r w:rsidR="0005218A">
        <w:t xml:space="preserve"> associated with portions of </w:t>
      </w:r>
      <w:r w:rsidR="00E6387B">
        <w:t xml:space="preserve">the </w:t>
      </w:r>
      <w:r w:rsidR="0005218A">
        <w:t>SOCRE</w:t>
      </w:r>
      <w:r w:rsidR="00E6387B">
        <w:t xml:space="preserve"> project</w:t>
      </w:r>
      <w:r w:rsidR="0005218A">
        <w:t xml:space="preserve"> involving the distribution system.</w:t>
      </w:r>
      <w:r w:rsidR="0005218A">
        <w:rPr>
          <w:rStyle w:val="FootnoteReference"/>
        </w:rPr>
        <w:footnoteReference w:id="25"/>
      </w:r>
    </w:p>
    <w:p w14:paraId="2C8DE86A" w14:textId="3E12A591" w:rsidR="00FD70C7" w:rsidRDefault="00D32B2D" w:rsidP="002F293A">
      <w:pPr>
        <w:pStyle w:val="FERCparanumber"/>
      </w:pPr>
      <w:r>
        <w:lastRenderedPageBreak/>
        <w:t xml:space="preserve">In its answer, SDG&amp;E states that it is not aware of any order in which the Commission </w:t>
      </w:r>
      <w:r w:rsidR="007871F4">
        <w:t xml:space="preserve">modified </w:t>
      </w:r>
      <w:r>
        <w:t xml:space="preserve">the Abandonment Incentive requested by the applicant, as </w:t>
      </w:r>
      <w:r w:rsidR="006D21F4">
        <w:t xml:space="preserve">         </w:t>
      </w:r>
      <w:r>
        <w:t xml:space="preserve">Six Cities suggest that the Commission should do </w:t>
      </w:r>
      <w:r w:rsidR="005F54F6">
        <w:t>in this proceeding</w:t>
      </w:r>
      <w:r>
        <w:t>.</w:t>
      </w:r>
      <w:r>
        <w:rPr>
          <w:rStyle w:val="FootnoteReference"/>
        </w:rPr>
        <w:footnoteReference w:id="26"/>
      </w:r>
      <w:r w:rsidR="00FD70C7">
        <w:t xml:space="preserve">  SDG&amp;E states that Order No. 679 provides for 100 percent recovery of prudently incurred costs without regard to </w:t>
      </w:r>
      <w:r w:rsidR="00D862CD">
        <w:t xml:space="preserve">when a utility files to request an abandoned plant incentive or </w:t>
      </w:r>
      <w:r w:rsidR="00FD70C7">
        <w:t>when the Commission issues an order granting the incentive.</w:t>
      </w:r>
      <w:r w:rsidR="00FD70C7">
        <w:rPr>
          <w:rStyle w:val="FootnoteReference"/>
        </w:rPr>
        <w:footnoteReference w:id="27"/>
      </w:r>
      <w:r w:rsidR="008A40D3">
        <w:t xml:space="preserve">  SDG&amp;E also states that, contrary to Six Cities</w:t>
      </w:r>
      <w:r w:rsidR="006E7D7D">
        <w:t>’</w:t>
      </w:r>
      <w:r w:rsidR="008A40D3">
        <w:t xml:space="preserve"> assertion, </w:t>
      </w:r>
      <w:r w:rsidR="00A418E0">
        <w:rPr>
          <w:i/>
        </w:rPr>
        <w:t>PJM Interconnection</w:t>
      </w:r>
      <w:r w:rsidR="00686596">
        <w:rPr>
          <w:i/>
        </w:rPr>
        <w:t xml:space="preserve"> I</w:t>
      </w:r>
      <w:r w:rsidR="008A40D3">
        <w:t xml:space="preserve"> </w:t>
      </w:r>
      <w:r w:rsidR="00F64FCE">
        <w:t>addressed</w:t>
      </w:r>
      <w:r w:rsidR="00A418E0">
        <w:t xml:space="preserve"> an</w:t>
      </w:r>
      <w:r w:rsidR="008A40D3">
        <w:t xml:space="preserve"> instance in which an applicant affirmatively request</w:t>
      </w:r>
      <w:r w:rsidR="00F64FCE">
        <w:t>ed</w:t>
      </w:r>
      <w:r w:rsidR="008A40D3">
        <w:t xml:space="preserve"> abandoned project cost recovery </w:t>
      </w:r>
      <w:r w:rsidR="00F64FCE">
        <w:t xml:space="preserve">for 50 percent of previously incurred costs </w:t>
      </w:r>
      <w:r w:rsidR="008A40D3">
        <w:t>and does not constitute precedent for imposing an incentive different from that requested.</w:t>
      </w:r>
      <w:r w:rsidR="008A40D3">
        <w:rPr>
          <w:rStyle w:val="FootnoteReference"/>
        </w:rPr>
        <w:footnoteReference w:id="28"/>
      </w:r>
    </w:p>
    <w:p w14:paraId="5B19F4C3" w14:textId="36B1D329" w:rsidR="005E5F81" w:rsidRDefault="00E020BC" w:rsidP="00FD70C7">
      <w:pPr>
        <w:pStyle w:val="FERCparanumber"/>
      </w:pPr>
      <w:r>
        <w:t>SDG&amp;E</w:t>
      </w:r>
      <w:r w:rsidR="00A30BD3">
        <w:t xml:space="preserve"> asserts that Six Cities appear to propose a “but for” test for incentive eligibility that assumes that the Abandonment Incentive is not warranted for cost</w:t>
      </w:r>
      <w:r w:rsidR="006E7D7D">
        <w:t>s</w:t>
      </w:r>
      <w:r w:rsidR="00A30BD3">
        <w:t xml:space="preserve"> incurred prior to receiving approval for the incentive by the Commission</w:t>
      </w:r>
      <w:r>
        <w:t xml:space="preserve">, </w:t>
      </w:r>
      <w:r w:rsidR="00E82AC1">
        <w:t xml:space="preserve">which SDG&amp;E states would be </w:t>
      </w:r>
      <w:r>
        <w:t xml:space="preserve">a change to </w:t>
      </w:r>
      <w:r w:rsidR="005F50C0">
        <w:t xml:space="preserve">the Commission’s </w:t>
      </w:r>
      <w:r>
        <w:t>longstanding incentive policy</w:t>
      </w:r>
      <w:r w:rsidR="00A30BD3">
        <w:t>.</w:t>
      </w:r>
      <w:r w:rsidR="00A30BD3">
        <w:rPr>
          <w:rStyle w:val="FootnoteReference"/>
        </w:rPr>
        <w:footnoteReference w:id="29"/>
      </w:r>
      <w:r>
        <w:t xml:space="preserve">  </w:t>
      </w:r>
      <w:r w:rsidR="009708D3">
        <w:t>SDG&amp;E states that the Commission has already considered and explicitly rejected the proposition that incentives should not be granted unless</w:t>
      </w:r>
      <w:r w:rsidR="006E7D7D">
        <w:t>,</w:t>
      </w:r>
      <w:r w:rsidR="009708D3">
        <w:t xml:space="preserve"> “but for” the incentives, the project would not be built.</w:t>
      </w:r>
      <w:r w:rsidR="009708D3">
        <w:rPr>
          <w:rStyle w:val="FootnoteReference"/>
        </w:rPr>
        <w:footnoteReference w:id="30"/>
      </w:r>
      <w:r w:rsidR="009708D3">
        <w:t xml:space="preserve"> </w:t>
      </w:r>
      <w:r w:rsidR="00D17AD7">
        <w:t xml:space="preserve"> </w:t>
      </w:r>
      <w:r>
        <w:t>SDG&amp;E further asserts that, if granted, bifurcated cost recovery would have a chilling effect on future project development, requiring developers to seek approval for the Abandonment Incentive before expending funds on any project, regardless of size.</w:t>
      </w:r>
      <w:r w:rsidR="00633C2C">
        <w:t xml:space="preserve"> </w:t>
      </w:r>
      <w:r w:rsidR="00D17AD7">
        <w:t xml:space="preserve"> </w:t>
      </w:r>
      <w:r w:rsidR="00633C2C">
        <w:t xml:space="preserve">Finally, SDG&amp;E clarifies that the requested Abandonment Incentive would apply solely to that portion of </w:t>
      </w:r>
      <w:r w:rsidR="00A418E0">
        <w:t xml:space="preserve">the </w:t>
      </w:r>
      <w:r w:rsidR="00633C2C">
        <w:t xml:space="preserve">SOCRE </w:t>
      </w:r>
      <w:r w:rsidR="00A418E0">
        <w:t xml:space="preserve">project </w:t>
      </w:r>
      <w:r w:rsidR="00633C2C">
        <w:t xml:space="preserve">deemed </w:t>
      </w:r>
      <w:r w:rsidR="006E7D7D">
        <w:t xml:space="preserve">to be </w:t>
      </w:r>
      <w:r w:rsidR="00633C2C">
        <w:t>transmission under the Uniform System of Accounts.</w:t>
      </w:r>
      <w:r w:rsidR="00633C2C">
        <w:rPr>
          <w:rStyle w:val="FootnoteReference"/>
        </w:rPr>
        <w:footnoteReference w:id="31"/>
      </w:r>
    </w:p>
    <w:p w14:paraId="0DCFB6E8" w14:textId="77777777" w:rsidR="00C43203" w:rsidRPr="00C44F80" w:rsidRDefault="00C630BA" w:rsidP="00AF0534">
      <w:pPr>
        <w:pStyle w:val="Heading1"/>
      </w:pPr>
      <w:r w:rsidRPr="00C44F80">
        <w:lastRenderedPageBreak/>
        <w:t>Discussion</w:t>
      </w:r>
    </w:p>
    <w:p w14:paraId="74A8A27E" w14:textId="77777777" w:rsidR="00C630BA" w:rsidRPr="00D82608" w:rsidRDefault="00C630BA" w:rsidP="007C6850">
      <w:pPr>
        <w:pStyle w:val="Heading2"/>
        <w:tabs>
          <w:tab w:val="clear" w:pos="1008"/>
          <w:tab w:val="num" w:pos="1440"/>
        </w:tabs>
        <w:ind w:left="1440" w:hanging="720"/>
      </w:pPr>
      <w:r w:rsidRPr="00D82608">
        <w:t>Procedural Matters</w:t>
      </w:r>
    </w:p>
    <w:p w14:paraId="046EAF2B" w14:textId="0CF09A69" w:rsidR="00D12577" w:rsidRDefault="00C630BA" w:rsidP="00C43203">
      <w:pPr>
        <w:pStyle w:val="FERCparanumber"/>
      </w:pPr>
      <w:r>
        <w:t>Pursuant to Rule 214 of the Commission’s Rules of Practice and Procedure</w:t>
      </w:r>
      <w:r w:rsidR="00967F42">
        <w:t>,</w:t>
      </w:r>
      <w:r>
        <w:t xml:space="preserve"> </w:t>
      </w:r>
      <w:r w:rsidR="007C6850">
        <w:t xml:space="preserve">       </w:t>
      </w:r>
      <w:r>
        <w:t>18 C.F.R. § 385.214 (201</w:t>
      </w:r>
      <w:r w:rsidR="005F54F6">
        <w:t>5</w:t>
      </w:r>
      <w:r>
        <w:t>), the timely, unopposed motion</w:t>
      </w:r>
      <w:r w:rsidR="000A3600">
        <w:t>s</w:t>
      </w:r>
      <w:r w:rsidR="006E7D7D">
        <w:t xml:space="preserve"> to intervene</w:t>
      </w:r>
      <w:r w:rsidR="000A3600">
        <w:t xml:space="preserve"> serve</w:t>
      </w:r>
      <w:r>
        <w:t xml:space="preserve"> to make the </w:t>
      </w:r>
      <w:r w:rsidR="000A3600">
        <w:t>entities</w:t>
      </w:r>
      <w:r>
        <w:t xml:space="preserve"> </w:t>
      </w:r>
      <w:r w:rsidR="00967F42">
        <w:t>that filed them</w:t>
      </w:r>
      <w:r w:rsidR="000A3600">
        <w:t xml:space="preserve"> parties</w:t>
      </w:r>
      <w:r>
        <w:t xml:space="preserve"> to this proceeding.</w:t>
      </w:r>
      <w:r w:rsidR="000A3600">
        <w:t xml:space="preserve">  </w:t>
      </w:r>
    </w:p>
    <w:p w14:paraId="2542AD9C" w14:textId="6C2280DC" w:rsidR="00C43203" w:rsidRDefault="00D12577" w:rsidP="00C43203">
      <w:pPr>
        <w:pStyle w:val="FERCparanumber"/>
      </w:pPr>
      <w:r>
        <w:t>Rule 213(a</w:t>
      </w:r>
      <w:proofErr w:type="gramStart"/>
      <w:r>
        <w:t>)(</w:t>
      </w:r>
      <w:proofErr w:type="gramEnd"/>
      <w:r>
        <w:t xml:space="preserve">2) of the Commission’s Rules of Practice and Procedure, 18 C.F.R. </w:t>
      </w:r>
      <w:r w:rsidR="005B010D">
        <w:t xml:space="preserve">   </w:t>
      </w:r>
      <w:r>
        <w:t>§ 385.213(a</w:t>
      </w:r>
      <w:proofErr w:type="gramStart"/>
      <w:r w:rsidR="008C6B3C">
        <w:t>)(</w:t>
      </w:r>
      <w:proofErr w:type="gramEnd"/>
      <w:r w:rsidR="008C6B3C">
        <w:t>2) (2015</w:t>
      </w:r>
      <w:r>
        <w:t>), prohibits answer</w:t>
      </w:r>
      <w:r w:rsidR="001A3347">
        <w:t>s</w:t>
      </w:r>
      <w:r>
        <w:t xml:space="preserve"> to a protest unless otherwise ordered by the decisional authority.  </w:t>
      </w:r>
      <w:r w:rsidR="000A3600" w:rsidRPr="00D82608">
        <w:t>We will accept SDG&amp;E’s answer because it h</w:t>
      </w:r>
      <w:r w:rsidR="00D82608" w:rsidRPr="00D82608">
        <w:t>as provided us with information that assisted us</w:t>
      </w:r>
      <w:r w:rsidR="00C43203" w:rsidRPr="00D82608">
        <w:t xml:space="preserve"> in the decision-making process.</w:t>
      </w:r>
    </w:p>
    <w:p w14:paraId="0A0AFADD" w14:textId="77777777" w:rsidR="00C43203" w:rsidRPr="00D82608" w:rsidRDefault="00C44F80" w:rsidP="00556527">
      <w:pPr>
        <w:pStyle w:val="Heading2"/>
        <w:tabs>
          <w:tab w:val="clear" w:pos="1008"/>
          <w:tab w:val="num" w:pos="1440"/>
        </w:tabs>
        <w:ind w:left="1440" w:hanging="630"/>
      </w:pPr>
      <w:r w:rsidRPr="00C44F80">
        <w:t xml:space="preserve"> </w:t>
      </w:r>
      <w:r w:rsidR="00C43203" w:rsidRPr="00D82608">
        <w:t>Substantive Matters</w:t>
      </w:r>
    </w:p>
    <w:p w14:paraId="6246A4CF" w14:textId="77777777" w:rsidR="00E96D06" w:rsidRPr="00D82608" w:rsidRDefault="00E96D06" w:rsidP="00556527">
      <w:pPr>
        <w:pStyle w:val="Heading3"/>
        <w:tabs>
          <w:tab w:val="clear" w:pos="1296"/>
          <w:tab w:val="num" w:pos="2160"/>
        </w:tabs>
        <w:ind w:left="2160" w:hanging="630"/>
      </w:pPr>
      <w:r w:rsidRPr="00D82608">
        <w:t>Abandonment Incentive</w:t>
      </w:r>
    </w:p>
    <w:p w14:paraId="4B2D7FB3" w14:textId="77777777" w:rsidR="00C43203" w:rsidRDefault="00614FAD" w:rsidP="00C43203">
      <w:pPr>
        <w:pStyle w:val="FERCparanumber"/>
      </w:pPr>
      <w:r>
        <w:t xml:space="preserve">Section 219 of the FPA </w:t>
      </w:r>
      <w:r w:rsidR="00C44F80">
        <w:t>required</w:t>
      </w:r>
      <w:r w:rsidR="008C0449">
        <w:t xml:space="preserve"> the Commission to establish, by rule, incentive based rate treatments for </w:t>
      </w:r>
      <w:r>
        <w:t>new transmission infrastructure investment</w:t>
      </w:r>
      <w:r w:rsidR="008C0449">
        <w:t xml:space="preserve"> by a public utility</w:t>
      </w:r>
      <w:r>
        <w:t>, provided that the facilities for which it seeks incentives either ensure reliability or reduce the cost of delivered power by reducing transmission congestion.</w:t>
      </w:r>
      <w:r>
        <w:rPr>
          <w:rStyle w:val="FootnoteReference"/>
        </w:rPr>
        <w:footnoteReference w:id="32"/>
      </w:r>
      <w:r>
        <w:t xml:space="preserve"> </w:t>
      </w:r>
      <w:r w:rsidR="00031D91">
        <w:t xml:space="preserve"> Pursuant to </w:t>
      </w:r>
      <w:r w:rsidR="001A3347">
        <w:t>s</w:t>
      </w:r>
      <w:r w:rsidR="00031D91">
        <w:t>ection 219, in Order No. 679, the Commission established, among other incentives, that a public utility may seek to recover 100 percent of prudently incurred costs associated with abandoned transmission projects, if such abandonment is outside of the control of the utility’s management.</w:t>
      </w:r>
      <w:r w:rsidR="00031D91">
        <w:rPr>
          <w:rStyle w:val="FootnoteReference"/>
        </w:rPr>
        <w:footnoteReference w:id="33"/>
      </w:r>
      <w:r w:rsidR="00031D91">
        <w:t xml:space="preserve"> </w:t>
      </w:r>
      <w:r>
        <w:t xml:space="preserve"> </w:t>
      </w:r>
      <w:r w:rsidR="000A3600">
        <w:t>As a means of encouraging transmission investment, the Abandonment Incentive is designed to reduce the risk of non-recovery of costs traditionally associated with project development.</w:t>
      </w:r>
      <w:r w:rsidR="000A3600">
        <w:rPr>
          <w:rStyle w:val="FootnoteReference"/>
        </w:rPr>
        <w:footnoteReference w:id="34"/>
      </w:r>
      <w:r w:rsidR="000A3600">
        <w:t xml:space="preserve"> </w:t>
      </w:r>
    </w:p>
    <w:p w14:paraId="2B88E273" w14:textId="6CAE96BB" w:rsidR="00C630BA" w:rsidRDefault="003E2258" w:rsidP="004B480B">
      <w:pPr>
        <w:pStyle w:val="FERCparanumber"/>
      </w:pPr>
      <w:r>
        <w:t>Order No. 679 explain</w:t>
      </w:r>
      <w:r w:rsidR="00F84E14">
        <w:t>ed</w:t>
      </w:r>
      <w:r w:rsidR="00614FAD">
        <w:t xml:space="preserve"> the process by which an applicant may demonstrate that it has met </w:t>
      </w:r>
      <w:r w:rsidR="00002FED">
        <w:t>s</w:t>
      </w:r>
      <w:r w:rsidR="00614FAD">
        <w:t xml:space="preserve">ection 219’s </w:t>
      </w:r>
      <w:r>
        <w:t>prerequisite for incentive rate treatment</w:t>
      </w:r>
      <w:r w:rsidR="008D3733">
        <w:t xml:space="preserve">, including a rebuttable presumption that the standard is met if: </w:t>
      </w:r>
      <w:r w:rsidR="00F84E14">
        <w:t xml:space="preserve"> </w:t>
      </w:r>
      <w:r w:rsidR="008D3733">
        <w:t xml:space="preserve">(1) the transmission project results from a fair and open regional planning process that considers and evaluates projects for reliability and/or congestion and is found to be acceptable by the Commission; or (2) a project has received construction approval from an appropriate state commission or state siting </w:t>
      </w:r>
      <w:r w:rsidR="008D3733">
        <w:lastRenderedPageBreak/>
        <w:t>authority.</w:t>
      </w:r>
      <w:r w:rsidR="008D3733">
        <w:rPr>
          <w:rStyle w:val="FootnoteReference"/>
        </w:rPr>
        <w:footnoteReference w:id="35"/>
      </w:r>
      <w:r>
        <w:t xml:space="preserve">  In addition, an applicant must demonstrat</w:t>
      </w:r>
      <w:r w:rsidR="004B480B">
        <w:t>e that there is a</w:t>
      </w:r>
      <w:r>
        <w:t xml:space="preserve"> nexus between the incentive sought and the </w:t>
      </w:r>
      <w:r w:rsidR="004B480B">
        <w:t>investment being made.</w:t>
      </w:r>
      <w:r w:rsidR="004B480B">
        <w:rPr>
          <w:rStyle w:val="FootnoteReference"/>
        </w:rPr>
        <w:footnoteReference w:id="36"/>
      </w:r>
      <w:r w:rsidR="004B480B">
        <w:t xml:space="preserve">  </w:t>
      </w:r>
      <w:r w:rsidR="008C0449">
        <w:t>Order No. 679-A</w:t>
      </w:r>
      <w:r w:rsidR="004B480B">
        <w:t>, among other things,</w:t>
      </w:r>
      <w:r w:rsidR="008C0449">
        <w:t xml:space="preserve"> clarifie</w:t>
      </w:r>
      <w:r w:rsidR="00F84E14">
        <w:t>d</w:t>
      </w:r>
      <w:r w:rsidR="008C0449">
        <w:t xml:space="preserve"> that the rebuttable presumption may only be established if the relevant regiona</w:t>
      </w:r>
      <w:r w:rsidR="004B480B">
        <w:t>l planning process or state authority</w:t>
      </w:r>
      <w:r w:rsidR="008C0449">
        <w:t>, in fact, considered whether the project would ensure reliability or reduce the cost of delivered power by reducing congestion</w:t>
      </w:r>
      <w:r w:rsidR="004B480B">
        <w:t>.</w:t>
      </w:r>
      <w:r w:rsidR="006F7ADD">
        <w:rPr>
          <w:rStyle w:val="FootnoteReference"/>
        </w:rPr>
        <w:footnoteReference w:id="37"/>
      </w:r>
      <w:r w:rsidR="006F7ADD">
        <w:t xml:space="preserve">  </w:t>
      </w:r>
      <w:r w:rsidR="004B480B">
        <w:t xml:space="preserve">While the incentive sought must be rationally related to the investment proposed, Order </w:t>
      </w:r>
      <w:r w:rsidR="00556527">
        <w:t xml:space="preserve">        </w:t>
      </w:r>
      <w:r w:rsidR="004B480B">
        <w:t>No. 679-A also clarifie</w:t>
      </w:r>
      <w:r w:rsidR="00F84E14">
        <w:t>d</w:t>
      </w:r>
      <w:r w:rsidR="004B480B">
        <w:t xml:space="preserve"> that the nexus </w:t>
      </w:r>
      <w:r w:rsidR="009C7139">
        <w:t>requirement does not mandate the applicant to show that, but for the incentive</w:t>
      </w:r>
      <w:r w:rsidR="005E06A1">
        <w:t>, the project would not be undertaken</w:t>
      </w:r>
      <w:r w:rsidR="008C0449">
        <w:t>.</w:t>
      </w:r>
      <w:r w:rsidR="008C0449">
        <w:rPr>
          <w:rStyle w:val="FootnoteReference"/>
        </w:rPr>
        <w:footnoteReference w:id="38"/>
      </w:r>
    </w:p>
    <w:p w14:paraId="3D64293F" w14:textId="77777777" w:rsidR="006F7ADD" w:rsidRPr="00714A1A" w:rsidRDefault="00C43203" w:rsidP="00263D11">
      <w:pPr>
        <w:pStyle w:val="Heading3"/>
        <w:tabs>
          <w:tab w:val="clear" w:pos="1296"/>
          <w:tab w:val="num" w:pos="2160"/>
        </w:tabs>
        <w:ind w:left="2160" w:hanging="720"/>
      </w:pPr>
      <w:r>
        <w:t xml:space="preserve">  </w:t>
      </w:r>
      <w:r w:rsidR="006F7ADD" w:rsidRPr="00714A1A">
        <w:t>Commission Determination</w:t>
      </w:r>
    </w:p>
    <w:p w14:paraId="468F3D10" w14:textId="77777777" w:rsidR="00812D06" w:rsidRDefault="006F4DD5" w:rsidP="002F293A">
      <w:pPr>
        <w:pStyle w:val="FERCparanumber"/>
      </w:pPr>
      <w:r>
        <w:t xml:space="preserve">We find that SDG&amp;E has met the rebuttable presumption that </w:t>
      </w:r>
      <w:r w:rsidR="00F84E14">
        <w:t xml:space="preserve">the </w:t>
      </w:r>
      <w:r>
        <w:t>SOCRE</w:t>
      </w:r>
      <w:r w:rsidR="00F84E14">
        <w:t xml:space="preserve"> project</w:t>
      </w:r>
      <w:r>
        <w:t xml:space="preserve"> is eligible for the Abandonment Incentive and may recover 100 percent of prudently incurred costs associated with the project if</w:t>
      </w:r>
      <w:r w:rsidR="000E3E64">
        <w:t xml:space="preserve"> </w:t>
      </w:r>
      <w:r w:rsidR="00F84E14">
        <w:t xml:space="preserve">the </w:t>
      </w:r>
      <w:r w:rsidR="000E3E64">
        <w:t xml:space="preserve">SOCRE </w:t>
      </w:r>
      <w:r w:rsidR="00F84E14">
        <w:t xml:space="preserve">project </w:t>
      </w:r>
      <w:r>
        <w:t xml:space="preserve">is abandoned for reasons beyond SDG&amp;E’s control. </w:t>
      </w:r>
      <w:r w:rsidR="003964B4">
        <w:t xml:space="preserve"> </w:t>
      </w:r>
      <w:r w:rsidR="00F84E14">
        <w:t xml:space="preserve">The </w:t>
      </w:r>
      <w:r w:rsidR="003964B4">
        <w:t>SOCRE</w:t>
      </w:r>
      <w:r w:rsidR="00F84E14">
        <w:t xml:space="preserve"> project</w:t>
      </w:r>
      <w:r w:rsidR="003964B4">
        <w:t xml:space="preserve"> was included in CAISO’s 2010-2011 Transmission Plan because</w:t>
      </w:r>
      <w:r w:rsidR="006E7D7D">
        <w:t xml:space="preserve"> </w:t>
      </w:r>
      <w:r w:rsidR="000E3E64">
        <w:t>CAISO determined that</w:t>
      </w:r>
      <w:r w:rsidR="006E7D7D">
        <w:t>, when completed,</w:t>
      </w:r>
      <w:r w:rsidR="000E3E64">
        <w:t xml:space="preserve"> </w:t>
      </w:r>
      <w:r w:rsidR="00F84E14">
        <w:t xml:space="preserve">the </w:t>
      </w:r>
      <w:r w:rsidR="000E3E64">
        <w:t>SOCRE</w:t>
      </w:r>
      <w:r w:rsidR="00F84E14">
        <w:t xml:space="preserve"> project</w:t>
      </w:r>
      <w:r w:rsidR="000E3E64">
        <w:t xml:space="preserve"> </w:t>
      </w:r>
      <w:r w:rsidR="006E7D7D">
        <w:t xml:space="preserve">would be </w:t>
      </w:r>
      <w:r w:rsidR="000E3E64">
        <w:t>the most effective, feasible solution for addressing reliability concerns in the southern Orange County area</w:t>
      </w:r>
      <w:r w:rsidR="003964B4">
        <w:t>.</w:t>
      </w:r>
      <w:r w:rsidR="000E3E64">
        <w:rPr>
          <w:rStyle w:val="FootnoteReference"/>
        </w:rPr>
        <w:footnoteReference w:id="39"/>
      </w:r>
      <w:r w:rsidR="000E3E64">
        <w:t xml:space="preserve">  The Commission has previously found CAISO’s transmission planning p</w:t>
      </w:r>
      <w:r w:rsidR="00993245">
        <w:t xml:space="preserve">rocess to be fair and open and </w:t>
      </w:r>
      <w:r w:rsidR="00F84E14">
        <w:t>that it satisfies</w:t>
      </w:r>
      <w:r w:rsidR="00993245">
        <w:t xml:space="preserve"> Order No. 679’s </w:t>
      </w:r>
      <w:r w:rsidR="00AF0534">
        <w:t>mandate for</w:t>
      </w:r>
      <w:r w:rsidR="00993245">
        <w:t xml:space="preserve"> incentive eligibility for transmission </w:t>
      </w:r>
      <w:r w:rsidR="00BB4083">
        <w:t>projects included</w:t>
      </w:r>
      <w:r w:rsidR="00993245">
        <w:t xml:space="preserve"> in its annual transmission plan.</w:t>
      </w:r>
      <w:r w:rsidR="00993245">
        <w:rPr>
          <w:rStyle w:val="FootnoteReference"/>
        </w:rPr>
        <w:footnoteReference w:id="40"/>
      </w:r>
      <w:r w:rsidR="00993245">
        <w:t xml:space="preserve">  </w:t>
      </w:r>
      <w:r w:rsidR="00F84E14">
        <w:t>No party disputes</w:t>
      </w:r>
      <w:r w:rsidR="00224865">
        <w:t xml:space="preserve"> that CAISO considered reliability when selecting the SOCRE project</w:t>
      </w:r>
      <w:r w:rsidR="001F09E0">
        <w:t>,</w:t>
      </w:r>
      <w:r w:rsidR="00224865">
        <w:t xml:space="preserve"> </w:t>
      </w:r>
      <w:r w:rsidR="00F84E14">
        <w:t>consistent with</w:t>
      </w:r>
      <w:r w:rsidR="00224865">
        <w:t xml:space="preserve"> Order No. 679-A.  </w:t>
      </w:r>
    </w:p>
    <w:p w14:paraId="2AB7AF64" w14:textId="77777777" w:rsidR="007372A6" w:rsidRDefault="00224865" w:rsidP="00E63811">
      <w:pPr>
        <w:pStyle w:val="FERCparanumber"/>
      </w:pPr>
      <w:r>
        <w:t>We find that SDG&amp;E has also demonstrated that substantial risks exist in developing this project and that a sufficient nexus exists between those risks and the requested incentive.</w:t>
      </w:r>
      <w:r w:rsidR="00682BA3">
        <w:t xml:space="preserve"> </w:t>
      </w:r>
      <w:r w:rsidR="00E63811">
        <w:t xml:space="preserve"> </w:t>
      </w:r>
      <w:r w:rsidR="00E63811" w:rsidRPr="00E63811">
        <w:t xml:space="preserve">As the Commission has explained in other proceedings, the recovery of abandonment costs is an effective means to encourage transmission development by </w:t>
      </w:r>
    </w:p>
    <w:p w14:paraId="495496DA" w14:textId="77777777" w:rsidR="007372A6" w:rsidRDefault="007372A6">
      <w:pPr>
        <w:widowControl/>
        <w:autoSpaceDE/>
        <w:autoSpaceDN/>
        <w:adjustRightInd/>
      </w:pPr>
      <w:r>
        <w:br w:type="page"/>
      </w:r>
    </w:p>
    <w:p w14:paraId="00266D3A" w14:textId="63D04E31" w:rsidR="008C0449" w:rsidRDefault="00E63811" w:rsidP="007372A6">
      <w:pPr>
        <w:pStyle w:val="FERCparanumber"/>
        <w:numPr>
          <w:ilvl w:val="0"/>
          <w:numId w:val="0"/>
        </w:numPr>
      </w:pPr>
      <w:proofErr w:type="gramStart"/>
      <w:r w:rsidRPr="00E63811">
        <w:lastRenderedPageBreak/>
        <w:t>reducing</w:t>
      </w:r>
      <w:proofErr w:type="gramEnd"/>
      <w:r w:rsidRPr="00E63811">
        <w:t xml:space="preserve"> the risk of non-recovery of costs.</w:t>
      </w:r>
      <w:r w:rsidR="00125D6E">
        <w:rPr>
          <w:rStyle w:val="FootnoteReference"/>
        </w:rPr>
        <w:footnoteReference w:id="41"/>
      </w:r>
      <w:r w:rsidRPr="00E63811">
        <w:t xml:space="preserve">  We agree that </w:t>
      </w:r>
      <w:r w:rsidR="00125D6E">
        <w:t xml:space="preserve">SDG&amp;E </w:t>
      </w:r>
      <w:r w:rsidRPr="00E63811">
        <w:t>faces certain environmental, regulatory, and siting risks that could lead to abandonment of the</w:t>
      </w:r>
      <w:r w:rsidR="00125D6E">
        <w:t xml:space="preserve"> SOCRE</w:t>
      </w:r>
      <w:r w:rsidRPr="00E63811">
        <w:t xml:space="preserve"> project.  In addition, as </w:t>
      </w:r>
      <w:r w:rsidR="00125D6E">
        <w:t xml:space="preserve">SDG&amp;E </w:t>
      </w:r>
      <w:r w:rsidRPr="00E63811">
        <w:t xml:space="preserve">has demonstrated, we find that approval of the abandonment incentive will protect </w:t>
      </w:r>
      <w:r w:rsidR="00125D6E">
        <w:t xml:space="preserve">SDG&amp;E </w:t>
      </w:r>
      <w:r w:rsidRPr="00E63811">
        <w:t>from further losses if the</w:t>
      </w:r>
      <w:r w:rsidR="00125D6E">
        <w:t xml:space="preserve"> SOCRE p</w:t>
      </w:r>
      <w:r w:rsidRPr="00E63811">
        <w:t xml:space="preserve">roject </w:t>
      </w:r>
      <w:r w:rsidR="00125D6E">
        <w:t xml:space="preserve">is </w:t>
      </w:r>
      <w:r w:rsidRPr="00E63811">
        <w:t xml:space="preserve">cancelled for reasons outside </w:t>
      </w:r>
      <w:r w:rsidR="00125D6E">
        <w:t xml:space="preserve">SDG&amp;E’s </w:t>
      </w:r>
      <w:r w:rsidRPr="00E63811">
        <w:t xml:space="preserve">control. </w:t>
      </w:r>
      <w:r w:rsidR="00682BA3">
        <w:t xml:space="preserve"> </w:t>
      </w:r>
    </w:p>
    <w:p w14:paraId="5D38F873" w14:textId="1AD379F1" w:rsidR="00812D06" w:rsidRDefault="00C2113C" w:rsidP="00C2113C">
      <w:pPr>
        <w:pStyle w:val="FERCparanumber"/>
      </w:pPr>
      <w:r>
        <w:t>However</w:t>
      </w:r>
      <w:r w:rsidR="00812D06">
        <w:t xml:space="preserve">, consistent with Six Cities’ protest, we specify here that the Abandonment Incentive for the SOCRE Project is </w:t>
      </w:r>
      <w:r w:rsidR="009B3377">
        <w:t xml:space="preserve">available </w:t>
      </w:r>
      <w:r w:rsidR="00730860">
        <w:t xml:space="preserve">to SDG&amp;E </w:t>
      </w:r>
      <w:r w:rsidR="009B3377">
        <w:t>for</w:t>
      </w:r>
      <w:r w:rsidR="00812D06">
        <w:t xml:space="preserve"> 100 percent of prudently</w:t>
      </w:r>
      <w:r w:rsidR="009B3377">
        <w:t>-</w:t>
      </w:r>
      <w:r w:rsidR="00812D06">
        <w:t xml:space="preserve">incurred </w:t>
      </w:r>
      <w:r w:rsidR="009B3377">
        <w:t xml:space="preserve">costs expended </w:t>
      </w:r>
      <w:r w:rsidR="00812D06">
        <w:t xml:space="preserve">on or after the date </w:t>
      </w:r>
      <w:r w:rsidR="00327573">
        <w:t xml:space="preserve">of </w:t>
      </w:r>
      <w:r w:rsidR="00812D06">
        <w:t>this order if the SOCRE Project is abandoned for reasons beyond its control.</w:t>
      </w:r>
      <w:r w:rsidR="00812D06">
        <w:rPr>
          <w:rStyle w:val="FootnoteReference"/>
        </w:rPr>
        <w:footnoteReference w:id="42"/>
      </w:r>
      <w:r w:rsidR="00AD5C00">
        <w:t xml:space="preserve">   </w:t>
      </w:r>
      <w:r w:rsidR="00812D06">
        <w:t xml:space="preserve">For the period prior to the </w:t>
      </w:r>
      <w:r w:rsidR="00327573">
        <w:t>date</w:t>
      </w:r>
      <w:r w:rsidR="00812D06">
        <w:t xml:space="preserve"> of this order, SDG&amp;E is entitled to recover 50 percent of all costs prudently incurred</w:t>
      </w:r>
      <w:r w:rsidR="007D4552">
        <w:t xml:space="preserve"> if the SOCRE project is abandoned</w:t>
      </w:r>
      <w:r w:rsidR="00812D06">
        <w:t>, consistent with Opinion No. 295.</w:t>
      </w:r>
      <w:r w:rsidR="00812D06">
        <w:rPr>
          <w:rStyle w:val="FootnoteReference"/>
        </w:rPr>
        <w:footnoteReference w:id="43"/>
      </w:r>
      <w:r w:rsidR="00812D06">
        <w:t xml:space="preserve">   </w:t>
      </w:r>
    </w:p>
    <w:p w14:paraId="3783E99E" w14:textId="139BB5B2" w:rsidR="006E7986" w:rsidRDefault="00812D06" w:rsidP="00AD5C00">
      <w:pPr>
        <w:pStyle w:val="FERCparanumber"/>
      </w:pPr>
      <w:r>
        <w:t xml:space="preserve">We disagree with SDG&amp;E that </w:t>
      </w:r>
      <w:r w:rsidR="00C2113C">
        <w:t>Six Cities’</w:t>
      </w:r>
      <w:r w:rsidR="00EA0C62">
        <w:t xml:space="preserve"> </w:t>
      </w:r>
      <w:r w:rsidR="00D4245A">
        <w:t>requests that</w:t>
      </w:r>
      <w:r w:rsidR="00EA0C62">
        <w:t xml:space="preserve"> </w:t>
      </w:r>
      <w:r w:rsidR="00D4245A">
        <w:t xml:space="preserve">the Commission </w:t>
      </w:r>
      <w:proofErr w:type="gramStart"/>
      <w:r w:rsidR="00EA0C62">
        <w:t xml:space="preserve">change </w:t>
      </w:r>
      <w:r w:rsidR="0071730A">
        <w:t xml:space="preserve"> </w:t>
      </w:r>
      <w:r w:rsidR="00EA0C62">
        <w:t>i</w:t>
      </w:r>
      <w:r w:rsidR="00D4245A">
        <w:t>ts</w:t>
      </w:r>
      <w:proofErr w:type="gramEnd"/>
      <w:r w:rsidR="00EA0C62">
        <w:t xml:space="preserve"> Abandonment Incentive policy</w:t>
      </w:r>
      <w:r w:rsidR="00D4245A">
        <w:t xml:space="preserve"> and adopt a “but for” test for incentive eligibility</w:t>
      </w:r>
      <w:r w:rsidR="00820DAC">
        <w:t xml:space="preserve">. </w:t>
      </w:r>
      <w:r w:rsidR="007A0126">
        <w:t xml:space="preserve"> </w:t>
      </w:r>
      <w:r w:rsidR="00D4245A">
        <w:t xml:space="preserve"> Rather, Six Cities’ position is consistent with Commission precedent granting </w:t>
      </w:r>
      <w:proofErr w:type="gramStart"/>
      <w:r w:rsidR="00D4245A">
        <w:t xml:space="preserve">recovery </w:t>
      </w:r>
      <w:r w:rsidR="0071730A">
        <w:t xml:space="preserve"> </w:t>
      </w:r>
      <w:r w:rsidR="00D4245A">
        <w:t>of</w:t>
      </w:r>
      <w:proofErr w:type="gramEnd"/>
      <w:r w:rsidR="00D4245A">
        <w:t xml:space="preserve"> 100 percent of </w:t>
      </w:r>
      <w:r w:rsidR="00F93661">
        <w:t xml:space="preserve">prudently incurred </w:t>
      </w:r>
      <w:r w:rsidR="00D4245A">
        <w:t>costs associated with a project’s abandonment only after the date of the order granting the incentive,</w:t>
      </w:r>
      <w:r w:rsidR="00D4245A">
        <w:rPr>
          <w:rStyle w:val="FootnoteReference"/>
        </w:rPr>
        <w:footnoteReference w:id="44"/>
      </w:r>
      <w:r w:rsidR="00D4245A">
        <w:t xml:space="preserve"> which is based on the transmission incentive policy articulated in Order No. 679.  In explicitly rejecting the “but for” test in Order No. 679, the Commission noted, “</w:t>
      </w:r>
      <w:r w:rsidR="000F4EEF">
        <w:t>[</w:t>
      </w:r>
      <w:r w:rsidR="00D4245A">
        <w:t>t</w:t>
      </w:r>
      <w:r w:rsidR="000F4EEF">
        <w:t>]</w:t>
      </w:r>
      <w:r w:rsidR="00D4245A">
        <w:t xml:space="preserve">his notwithstanding, we do require applicants to show some nexus between the incentives being requested and the investments being made, i.e., to demonstrate that the incentives are rationally related with the investments </w:t>
      </w:r>
      <w:r w:rsidR="00D4245A">
        <w:lastRenderedPageBreak/>
        <w:t>being proposed.”</w:t>
      </w:r>
      <w:r w:rsidR="00D4245A">
        <w:rPr>
          <w:rStyle w:val="FootnoteReference"/>
        </w:rPr>
        <w:footnoteReference w:id="45"/>
      </w:r>
      <w:r w:rsidR="00D4245A">
        <w:t xml:space="preserve">  Furthermore, the Commission was also clear in Order No. 679 that incentives were designed to encourage transmission investment that may not otherwise occur and that providing the option of filing a petition for declaratory order was intended to provide the applicant and interested parties with notification of incentive eligibility before project development began.</w:t>
      </w:r>
      <w:r w:rsidR="00D4245A">
        <w:rPr>
          <w:rStyle w:val="FootnoteReference"/>
        </w:rPr>
        <w:footnoteReference w:id="46"/>
      </w:r>
    </w:p>
    <w:p w14:paraId="5AA628CA" w14:textId="21C31A1D" w:rsidR="00A87BCA" w:rsidRDefault="00EA0C62">
      <w:pPr>
        <w:pStyle w:val="FERCparanumber"/>
      </w:pPr>
      <w:r>
        <w:t>T</w:t>
      </w:r>
      <w:r w:rsidR="008A657C">
        <w:t>hough the risks that may necessitate abandonment have been</w:t>
      </w:r>
      <w:r w:rsidR="00694199">
        <w:t xml:space="preserve"> generally known </w:t>
      </w:r>
      <w:r w:rsidR="007372A6">
        <w:t xml:space="preserve">  </w:t>
      </w:r>
      <w:r w:rsidR="00694199">
        <w:t>to SDG&amp;E</w:t>
      </w:r>
      <w:r w:rsidR="008A657C">
        <w:t xml:space="preserve"> since</w:t>
      </w:r>
      <w:r w:rsidR="0072033A">
        <w:t xml:space="preserve"> </w:t>
      </w:r>
      <w:r w:rsidR="00B42796">
        <w:t xml:space="preserve">the project was </w:t>
      </w:r>
      <w:r w:rsidR="0072033A">
        <w:t>included in the CAISO 2010-2011 Transmission Plan</w:t>
      </w:r>
      <w:proofErr w:type="gramStart"/>
      <w:r w:rsidR="0072033A">
        <w:t>,</w:t>
      </w:r>
      <w:r w:rsidR="007372A6">
        <w:t xml:space="preserve"> </w:t>
      </w:r>
      <w:r w:rsidR="0072033A">
        <w:t xml:space="preserve"> it</w:t>
      </w:r>
      <w:proofErr w:type="gramEnd"/>
      <w:r w:rsidR="0072033A">
        <w:t xml:space="preserve"> did not seek approval for th</w:t>
      </w:r>
      <w:r w:rsidR="00B42796">
        <w:t>e Abandonment Incentive for</w:t>
      </w:r>
      <w:r w:rsidR="0072033A">
        <w:t xml:space="preserve"> </w:t>
      </w:r>
      <w:r w:rsidR="00B42796">
        <w:t>approximately four years.</w:t>
      </w:r>
      <w:r w:rsidR="002E36DC">
        <w:t xml:space="preserve">  </w:t>
      </w:r>
      <w:r w:rsidR="00B42796">
        <w:t xml:space="preserve">Meanwhile, SDG&amp;E incurred approximately $31 million “to develop a </w:t>
      </w:r>
      <w:r w:rsidR="00F42444">
        <w:t>[</w:t>
      </w:r>
      <w:r w:rsidR="00B42796">
        <w:t>p</w:t>
      </w:r>
      <w:r w:rsidR="00F42444">
        <w:t>]</w:t>
      </w:r>
      <w:proofErr w:type="spellStart"/>
      <w:r w:rsidR="00B42796">
        <w:t>roject</w:t>
      </w:r>
      <w:proofErr w:type="spellEnd"/>
      <w:r w:rsidR="00B42796">
        <w:t xml:space="preserve"> that had the greatest likelihood of satisfying the reliability requirements of SDG&amp;E’s customers in south</w:t>
      </w:r>
      <w:r w:rsidR="00F42444">
        <w:t>ern</w:t>
      </w:r>
      <w:r w:rsidR="00B42796">
        <w:t xml:space="preserve"> Orange County.”</w:t>
      </w:r>
      <w:r w:rsidR="00B42796">
        <w:rPr>
          <w:rStyle w:val="FootnoteReference"/>
        </w:rPr>
        <w:footnoteReference w:id="47"/>
      </w:r>
      <w:r w:rsidR="00B42796">
        <w:t xml:space="preserve">  Yet</w:t>
      </w:r>
      <w:r w:rsidR="008A657C">
        <w:t>,</w:t>
      </w:r>
      <w:r w:rsidR="00B42796">
        <w:t xml:space="preserve"> SDG&amp;E concedes that it did so</w:t>
      </w:r>
      <w:r w:rsidR="002E36DC">
        <w:t xml:space="preserve"> </w:t>
      </w:r>
      <w:r w:rsidR="00B42796">
        <w:t>“without assurance of cost recovery for these development costs.”</w:t>
      </w:r>
      <w:r w:rsidR="00B42796">
        <w:rPr>
          <w:rStyle w:val="FootnoteReference"/>
        </w:rPr>
        <w:footnoteReference w:id="48"/>
      </w:r>
      <w:r w:rsidR="002E36DC">
        <w:t xml:space="preserve">  </w:t>
      </w:r>
      <w:r w:rsidR="00B42796">
        <w:t xml:space="preserve">To now grant full recovery of these costs </w:t>
      </w:r>
      <w:r w:rsidR="002E36DC">
        <w:t xml:space="preserve">pursuant to the Abandonment Incentive </w:t>
      </w:r>
      <w:r w:rsidR="00B42796">
        <w:t>would</w:t>
      </w:r>
      <w:r w:rsidR="008A657C">
        <w:t xml:space="preserve"> also</w:t>
      </w:r>
      <w:r w:rsidR="00B42796">
        <w:t xml:space="preserve"> </w:t>
      </w:r>
      <w:r w:rsidR="00867C22">
        <w:t xml:space="preserve">be contrary to </w:t>
      </w:r>
      <w:r w:rsidR="00B42796">
        <w:t xml:space="preserve">the general policy rationale that incentives are designed to </w:t>
      </w:r>
      <w:r w:rsidR="009B3377">
        <w:t>encourage</w:t>
      </w:r>
      <w:r w:rsidR="002E36DC">
        <w:t xml:space="preserve"> future </w:t>
      </w:r>
      <w:r w:rsidR="009B3377">
        <w:t>transmission investments</w:t>
      </w:r>
      <w:r w:rsidR="002E36DC">
        <w:t>.</w:t>
      </w:r>
      <w:r w:rsidR="00951D2F">
        <w:rPr>
          <w:rStyle w:val="FootnoteReference"/>
        </w:rPr>
        <w:footnoteReference w:id="49"/>
      </w:r>
      <w:r w:rsidR="000E3E64">
        <w:t xml:space="preserve"> </w:t>
      </w:r>
    </w:p>
    <w:p w14:paraId="3377B7C8" w14:textId="77777777" w:rsidR="00262871" w:rsidRDefault="00EF3AE7" w:rsidP="00A87BCA">
      <w:pPr>
        <w:pStyle w:val="FERCparanumber"/>
      </w:pPr>
      <w:r>
        <w:t>We note that if SDG&amp;E seeks to recover these costs</w:t>
      </w:r>
      <w:r w:rsidR="00677BE0">
        <w:t xml:space="preserve"> through incentive-based rate treatments</w:t>
      </w:r>
      <w:r>
        <w:t xml:space="preserve">, it must still submit an appropriate filing pursuant to </w:t>
      </w:r>
      <w:r w:rsidR="006745E7">
        <w:t xml:space="preserve">FPA </w:t>
      </w:r>
      <w:r>
        <w:t>section 205, at which time the Commission wil</w:t>
      </w:r>
      <w:r w:rsidR="00DA7897">
        <w:t>l evaluate the prudence of the costs SDG&amp;E has incurred both subs</w:t>
      </w:r>
      <w:r w:rsidR="00714A1A">
        <w:t>equent and prior to this order</w:t>
      </w:r>
      <w:r w:rsidR="00677BE0">
        <w:t xml:space="preserve"> in determining the justness and reasonableness of </w:t>
      </w:r>
      <w:r w:rsidR="00677BE0">
        <w:lastRenderedPageBreak/>
        <w:t>its proposed associated rates</w:t>
      </w:r>
      <w:r w:rsidR="00714A1A">
        <w:t>.</w:t>
      </w:r>
      <w:r w:rsidR="00714A1A">
        <w:rPr>
          <w:rStyle w:val="FootnoteReference"/>
        </w:rPr>
        <w:footnoteReference w:id="50"/>
      </w:r>
      <w:r w:rsidR="00DA7897">
        <w:t xml:space="preserve"> </w:t>
      </w:r>
      <w:r w:rsidR="006A7ADB">
        <w:t xml:space="preserve"> </w:t>
      </w:r>
      <w:r w:rsidR="00DA7897">
        <w:t xml:space="preserve">At that time, Six Cities and other interested parties may </w:t>
      </w:r>
      <w:r w:rsidR="00B030B7">
        <w:t>comment on the prudence of the costs incurred</w:t>
      </w:r>
      <w:r w:rsidR="00714A1A">
        <w:t>.</w:t>
      </w:r>
    </w:p>
    <w:p w14:paraId="12D24ACD" w14:textId="77777777" w:rsidR="00D17D85" w:rsidRDefault="00262871" w:rsidP="00B42715">
      <w:pPr>
        <w:pStyle w:val="FERCparanumber"/>
      </w:pPr>
      <w:r>
        <w:t xml:space="preserve">Lastly, we clarify that, consistent with section 219 of the FPA and Order No. 679, the Abandonment Incentive granted to SDG&amp;E shall only apply to the portion of the SOCRE project dedicated to transmission upgrades and not </w:t>
      </w:r>
      <w:r w:rsidR="00967F42">
        <w:t xml:space="preserve">to </w:t>
      </w:r>
      <w:r>
        <w:t xml:space="preserve">improvements </w:t>
      </w:r>
      <w:r w:rsidR="00967F42">
        <w:t xml:space="preserve">made </w:t>
      </w:r>
      <w:r>
        <w:t>to SDG&amp;E’s distribution system.</w:t>
      </w:r>
      <w:r w:rsidR="00DA7897">
        <w:t xml:space="preserve"> </w:t>
      </w:r>
    </w:p>
    <w:p w14:paraId="288C5777" w14:textId="77777777" w:rsidR="002C24F9" w:rsidRDefault="002C24F9" w:rsidP="002F293A">
      <w:pPr>
        <w:outlineLvl w:val="0"/>
      </w:pPr>
      <w:r w:rsidRPr="00CB77EA">
        <w:rPr>
          <w:u w:val="single"/>
        </w:rPr>
        <w:t>The Commission orders</w:t>
      </w:r>
      <w:r>
        <w:t>:</w:t>
      </w:r>
    </w:p>
    <w:p w14:paraId="2B044487" w14:textId="77777777" w:rsidR="00D17AD7" w:rsidRDefault="00D17AD7" w:rsidP="002F293A">
      <w:pPr>
        <w:outlineLvl w:val="0"/>
      </w:pPr>
    </w:p>
    <w:p w14:paraId="5DC5AFC8" w14:textId="682240E6" w:rsidR="00D17AD7" w:rsidRDefault="00485328" w:rsidP="009C2D92">
      <w:pPr>
        <w:outlineLvl w:val="0"/>
      </w:pPr>
      <w:r>
        <w:tab/>
      </w:r>
      <w:r w:rsidR="00D17AD7">
        <w:t>SDG&amp;E’s petition</w:t>
      </w:r>
      <w:r w:rsidR="00E82AC1">
        <w:t xml:space="preserve"> is hereby granted</w:t>
      </w:r>
      <w:r w:rsidR="00951D2F">
        <w:t xml:space="preserve"> </w:t>
      </w:r>
      <w:r w:rsidR="00D17AD7">
        <w:t xml:space="preserve">as discussed in the body of this order. </w:t>
      </w:r>
    </w:p>
    <w:p w14:paraId="03F5631A" w14:textId="77777777" w:rsidR="002C24F9" w:rsidRDefault="002C24F9" w:rsidP="002F293A"/>
    <w:p w14:paraId="77E78EF2" w14:textId="77777777" w:rsidR="002C24F9" w:rsidRDefault="002C24F9" w:rsidP="002F293A">
      <w:proofErr w:type="gramStart"/>
      <w:r>
        <w:t>By the Commission.</w:t>
      </w:r>
      <w:proofErr w:type="gramEnd"/>
    </w:p>
    <w:p w14:paraId="0520B909" w14:textId="77777777" w:rsidR="00485328" w:rsidRDefault="00485328" w:rsidP="002F293A"/>
    <w:p w14:paraId="53673CF3" w14:textId="4457B5D6" w:rsidR="00485328" w:rsidRDefault="00485328" w:rsidP="00485328">
      <w:pPr>
        <w:widowControl/>
      </w:pPr>
      <w:proofErr w:type="gramStart"/>
      <w:r w:rsidRPr="00485328">
        <w:t>( S</w:t>
      </w:r>
      <w:proofErr w:type="gramEnd"/>
      <w:r w:rsidRPr="00485328">
        <w:t xml:space="preserve"> E A L )</w:t>
      </w:r>
    </w:p>
    <w:p w14:paraId="73E7AF5A" w14:textId="77777777" w:rsidR="00485328" w:rsidRPr="00485328" w:rsidRDefault="00485328" w:rsidP="00485328">
      <w:pPr>
        <w:widowControl/>
      </w:pPr>
    </w:p>
    <w:p w14:paraId="0963C417" w14:textId="77777777" w:rsidR="002C24F9" w:rsidRDefault="002C24F9" w:rsidP="002F293A"/>
    <w:p w14:paraId="13848822" w14:textId="7D7D5CE3" w:rsidR="003720E6" w:rsidRDefault="002C24F9" w:rsidP="00485328">
      <w:pPr>
        <w:widowControl/>
      </w:pPr>
      <w:r>
        <w:tab/>
      </w:r>
      <w:r>
        <w:tab/>
      </w:r>
      <w:r>
        <w:tab/>
      </w:r>
      <w:r>
        <w:tab/>
      </w:r>
      <w:r>
        <w:tab/>
      </w:r>
      <w:r>
        <w:tab/>
      </w:r>
      <w:r>
        <w:tab/>
      </w:r>
    </w:p>
    <w:p w14:paraId="4D6179E2" w14:textId="2F8DB1E3" w:rsidR="00485328" w:rsidRDefault="00485328" w:rsidP="00485328">
      <w:pPr>
        <w:widowControl/>
      </w:pPr>
    </w:p>
    <w:p w14:paraId="69EE22AF" w14:textId="6FB58FE1" w:rsidR="00485328" w:rsidRDefault="00485328" w:rsidP="00485328">
      <w:pPr>
        <w:widowControl/>
      </w:pPr>
    </w:p>
    <w:p w14:paraId="235D91B1" w14:textId="57AAFCCE" w:rsidR="00485328" w:rsidRDefault="00485328" w:rsidP="00485328">
      <w:pPr>
        <w:widowControl/>
      </w:pPr>
    </w:p>
    <w:p w14:paraId="55B14BF1" w14:textId="6A3CEF16" w:rsidR="00485328" w:rsidRPr="00485328" w:rsidRDefault="00485328" w:rsidP="00485328">
      <w:pPr>
        <w:widowControl/>
        <w:ind w:firstLine="2606"/>
        <w:jc w:val="center"/>
      </w:pPr>
      <w:r w:rsidRPr="00485328">
        <w:t>Nathaniel J. Davis, Sr.,</w:t>
      </w:r>
    </w:p>
    <w:p w14:paraId="64785119" w14:textId="3EAD1C1F" w:rsidR="00485328" w:rsidRPr="00485328" w:rsidRDefault="00485328" w:rsidP="00485328">
      <w:pPr>
        <w:widowControl/>
        <w:ind w:firstLine="2606"/>
        <w:jc w:val="center"/>
      </w:pPr>
      <w:r w:rsidRPr="00485328">
        <w:t>Deputy Secretary.</w:t>
      </w:r>
    </w:p>
    <w:p w14:paraId="0FC095BB" w14:textId="77777777" w:rsidR="00485328" w:rsidRPr="00497893" w:rsidRDefault="00485328" w:rsidP="00485328">
      <w:pPr>
        <w:widowControl/>
      </w:pPr>
    </w:p>
    <w:sectPr w:rsidR="00485328" w:rsidRPr="00497893" w:rsidSect="002C24F9">
      <w:headerReference w:type="default" r:id="rId12"/>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8BAE1" w14:textId="77777777" w:rsidR="006B1653" w:rsidRDefault="006B1653">
      <w:r>
        <w:separator/>
      </w:r>
    </w:p>
  </w:endnote>
  <w:endnote w:type="continuationSeparator" w:id="0">
    <w:p w14:paraId="30F07D89" w14:textId="77777777" w:rsidR="006B1653" w:rsidRDefault="006B1653">
      <w:r>
        <w:continuationSeparator/>
      </w:r>
    </w:p>
  </w:endnote>
  <w:endnote w:type="continuationNotice" w:id="1">
    <w:p w14:paraId="252D66B6" w14:textId="77777777" w:rsidR="006B1653" w:rsidRDefault="006B1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E50EE" w14:textId="77777777" w:rsidR="006B1653" w:rsidRDefault="006B1653">
      <w:r>
        <w:separator/>
      </w:r>
    </w:p>
  </w:footnote>
  <w:footnote w:type="continuationSeparator" w:id="0">
    <w:p w14:paraId="73C0820B" w14:textId="77777777" w:rsidR="006B1653" w:rsidRDefault="006B1653">
      <w:r>
        <w:continuationSeparator/>
      </w:r>
    </w:p>
  </w:footnote>
  <w:footnote w:type="continuationNotice" w:id="1">
    <w:p w14:paraId="19A6F33F" w14:textId="77777777" w:rsidR="006B1653" w:rsidRDefault="006B1653" w:rsidP="009E2C52">
      <w:pPr>
        <w:pStyle w:val="Footer"/>
      </w:pPr>
    </w:p>
    <w:p w14:paraId="34CE7448" w14:textId="77777777" w:rsidR="006B1653" w:rsidRPr="007372A6" w:rsidRDefault="006B1653" w:rsidP="007372A6">
      <w:pPr>
        <w:pStyle w:val="Footer"/>
        <w:jc w:val="right"/>
      </w:pPr>
      <w:r w:rsidRPr="007372A6">
        <w:t>(</w:t>
      </w:r>
      <w:proofErr w:type="gramStart"/>
      <w:r w:rsidRPr="007372A6">
        <w:t>continued</w:t>
      </w:r>
      <w:proofErr w:type="gramEnd"/>
      <w:r w:rsidRPr="007372A6">
        <w:t xml:space="preserve"> ...)</w:t>
      </w:r>
    </w:p>
  </w:footnote>
  <w:footnote w:id="2">
    <w:p w14:paraId="624A26EC" w14:textId="77777777" w:rsidR="00C60F15" w:rsidRDefault="00C60F15">
      <w:pPr>
        <w:pStyle w:val="FootnoteText"/>
      </w:pPr>
      <w:r>
        <w:rPr>
          <w:rStyle w:val="FootnoteReference"/>
        </w:rPr>
        <w:footnoteRef/>
      </w:r>
      <w:r>
        <w:t xml:space="preserve"> </w:t>
      </w:r>
      <w:proofErr w:type="gramStart"/>
      <w:r>
        <w:t>16 U.S.C. § 824s (2012).</w:t>
      </w:r>
      <w:proofErr w:type="gramEnd"/>
    </w:p>
  </w:footnote>
  <w:footnote w:id="3">
    <w:p w14:paraId="51C42711" w14:textId="7C7BF860" w:rsidR="00C60F15" w:rsidRDefault="00C60F15" w:rsidP="002205E9">
      <w:pPr>
        <w:ind w:firstLine="720"/>
      </w:pPr>
      <w:r>
        <w:rPr>
          <w:rStyle w:val="FootnoteReference"/>
        </w:rPr>
        <w:footnoteRef/>
      </w:r>
      <w:r>
        <w:t xml:space="preserve"> </w:t>
      </w:r>
      <w:r>
        <w:rPr>
          <w:i/>
        </w:rPr>
        <w:t>Promoting Transmission Investment through Pricing Reform</w:t>
      </w:r>
      <w:r>
        <w:t xml:space="preserve">, Order No. 679, FERC Stats. </w:t>
      </w:r>
      <w:proofErr w:type="gramStart"/>
      <w:r>
        <w:t>&amp; Regs.</w:t>
      </w:r>
      <w:proofErr w:type="gramEnd"/>
      <w:r>
        <w:t xml:space="preserve"> ¶ 31,222 (2006), </w:t>
      </w:r>
      <w:r>
        <w:rPr>
          <w:i/>
        </w:rPr>
        <w:t>order on reh’g</w:t>
      </w:r>
      <w:r>
        <w:t xml:space="preserve">, Order No. 679-A, FERC Stats. </w:t>
      </w:r>
      <w:r w:rsidR="00905D5E">
        <w:t xml:space="preserve">   </w:t>
      </w:r>
      <w:proofErr w:type="gramStart"/>
      <w:r>
        <w:t>&amp; Regs.</w:t>
      </w:r>
      <w:proofErr w:type="gramEnd"/>
      <w:r>
        <w:t xml:space="preserve"> </w:t>
      </w:r>
      <w:proofErr w:type="gramStart"/>
      <w:r>
        <w:t xml:space="preserve">¶ 31,236, </w:t>
      </w:r>
      <w:r>
        <w:rPr>
          <w:i/>
        </w:rPr>
        <w:t>order on reh’g</w:t>
      </w:r>
      <w:r>
        <w:t>, 119 FERC ¶ 61,062 (2007).</w:t>
      </w:r>
      <w:proofErr w:type="gramEnd"/>
      <w:r>
        <w:t xml:space="preserve">  The Commission provided additional guidance regarding the application of its transmission incentive policies in </w:t>
      </w:r>
      <w:r w:rsidRPr="002205E9">
        <w:rPr>
          <w:i/>
        </w:rPr>
        <w:t xml:space="preserve">Promoting Transmission Investment </w:t>
      </w:r>
      <w:proofErr w:type="gramStart"/>
      <w:r w:rsidR="00905D5E">
        <w:rPr>
          <w:i/>
        </w:rPr>
        <w:t>T</w:t>
      </w:r>
      <w:r w:rsidRPr="002205E9">
        <w:rPr>
          <w:i/>
        </w:rPr>
        <w:t>hrough</w:t>
      </w:r>
      <w:proofErr w:type="gramEnd"/>
      <w:r w:rsidRPr="002205E9">
        <w:rPr>
          <w:i/>
        </w:rPr>
        <w:t xml:space="preserve"> Pricing Reform</w:t>
      </w:r>
      <w:r>
        <w:t xml:space="preserve">, 141 FERC </w:t>
      </w:r>
      <w:r w:rsidR="00905D5E">
        <w:t xml:space="preserve">        </w:t>
      </w:r>
      <w:r>
        <w:t xml:space="preserve">¶ 61,129 (2012) (2012 Policy Statement). </w:t>
      </w:r>
    </w:p>
    <w:p w14:paraId="6D1B9043" w14:textId="77777777" w:rsidR="00C60F15" w:rsidRDefault="00C60F15" w:rsidP="002205E9">
      <w:pPr>
        <w:ind w:firstLine="720"/>
      </w:pPr>
    </w:p>
  </w:footnote>
  <w:footnote w:id="4">
    <w:p w14:paraId="557A596B" w14:textId="77777777" w:rsidR="00C60F15" w:rsidRDefault="00C60F15">
      <w:pPr>
        <w:pStyle w:val="FootnoteText"/>
      </w:pPr>
      <w:r>
        <w:rPr>
          <w:rStyle w:val="FootnoteReference"/>
        </w:rPr>
        <w:footnoteRef/>
      </w:r>
      <w:r>
        <w:t xml:space="preserve"> </w:t>
      </w:r>
      <w:proofErr w:type="gramStart"/>
      <w:r>
        <w:t>18 C.F.R. § 385.207 (2015).</w:t>
      </w:r>
      <w:proofErr w:type="gramEnd"/>
    </w:p>
  </w:footnote>
  <w:footnote w:id="5">
    <w:p w14:paraId="16530EA7" w14:textId="77777777" w:rsidR="00C60F15" w:rsidRDefault="00C60F15">
      <w:pPr>
        <w:pStyle w:val="FootnoteText"/>
      </w:pPr>
      <w:r>
        <w:rPr>
          <w:rStyle w:val="FootnoteReference"/>
        </w:rPr>
        <w:footnoteRef/>
      </w:r>
      <w:r>
        <w:t xml:space="preserve"> SDG&amp;E September 23, 2015 Filing (SDG&amp;E Filing).</w:t>
      </w:r>
    </w:p>
  </w:footnote>
  <w:footnote w:id="6">
    <w:p w14:paraId="0B65E547" w14:textId="77777777" w:rsidR="00C60F15" w:rsidRDefault="00C60F15">
      <w:pPr>
        <w:pStyle w:val="FootnoteText"/>
      </w:pPr>
      <w:r>
        <w:rPr>
          <w:rStyle w:val="FootnoteReference"/>
        </w:rPr>
        <w:footnoteRef/>
      </w:r>
      <w:r>
        <w:t xml:space="preserve"> </w:t>
      </w:r>
      <w:r w:rsidRPr="00141FB1">
        <w:rPr>
          <w:i/>
        </w:rPr>
        <w:t>Id.</w:t>
      </w:r>
      <w:r>
        <w:t xml:space="preserve"> at 3-4.</w:t>
      </w:r>
    </w:p>
  </w:footnote>
  <w:footnote w:id="7">
    <w:p w14:paraId="5F1988A4" w14:textId="77777777" w:rsidR="00C60F15" w:rsidRDefault="00C60F15">
      <w:pPr>
        <w:pStyle w:val="FootnoteText"/>
      </w:pPr>
      <w:r>
        <w:rPr>
          <w:rStyle w:val="FootnoteReference"/>
        </w:rPr>
        <w:footnoteRef/>
      </w:r>
      <w:r>
        <w:t xml:space="preserve"> SDG&amp;E defines distribution lines as electrical lines that operate at voltages below 50 kV.  </w:t>
      </w:r>
      <w:proofErr w:type="gramStart"/>
      <w:r w:rsidRPr="008E1246">
        <w:rPr>
          <w:i/>
        </w:rPr>
        <w:t>Id.</w:t>
      </w:r>
      <w:r>
        <w:t xml:space="preserve"> at 5, n.10.</w:t>
      </w:r>
      <w:proofErr w:type="gramEnd"/>
    </w:p>
  </w:footnote>
  <w:footnote w:id="8">
    <w:p w14:paraId="719BF017" w14:textId="77777777" w:rsidR="00C60F15" w:rsidRDefault="00C60F15">
      <w:pPr>
        <w:pStyle w:val="FootnoteText"/>
      </w:pPr>
      <w:r>
        <w:rPr>
          <w:rStyle w:val="FootnoteReference"/>
        </w:rPr>
        <w:footnoteRef/>
      </w:r>
      <w:r>
        <w:t xml:space="preserve"> </w:t>
      </w:r>
      <w:r w:rsidRPr="008E1246">
        <w:rPr>
          <w:i/>
        </w:rPr>
        <w:t>Id.</w:t>
      </w:r>
      <w:r>
        <w:t xml:space="preserve"> at 4-5.</w:t>
      </w:r>
    </w:p>
  </w:footnote>
  <w:footnote w:id="9">
    <w:p w14:paraId="06568D82" w14:textId="77777777" w:rsidR="00C60F15" w:rsidRDefault="00C60F15">
      <w:pPr>
        <w:pStyle w:val="FootnoteText"/>
      </w:pPr>
      <w:r>
        <w:rPr>
          <w:rStyle w:val="FootnoteReference"/>
        </w:rPr>
        <w:footnoteRef/>
      </w:r>
      <w:r>
        <w:t xml:space="preserve"> </w:t>
      </w:r>
      <w:proofErr w:type="gramStart"/>
      <w:r w:rsidRPr="00E853D8">
        <w:rPr>
          <w:i/>
        </w:rPr>
        <w:t>Id.</w:t>
      </w:r>
      <w:r>
        <w:t xml:space="preserve"> at 5.</w:t>
      </w:r>
      <w:proofErr w:type="gramEnd"/>
    </w:p>
  </w:footnote>
  <w:footnote w:id="10">
    <w:p w14:paraId="417F5DF6" w14:textId="77777777" w:rsidR="00C60F15" w:rsidRDefault="00C60F15">
      <w:pPr>
        <w:pStyle w:val="FootnoteText"/>
      </w:pPr>
      <w:r>
        <w:rPr>
          <w:rStyle w:val="FootnoteReference"/>
        </w:rPr>
        <w:footnoteRef/>
      </w:r>
      <w:r>
        <w:t xml:space="preserve"> </w:t>
      </w:r>
      <w:r w:rsidRPr="008E1246">
        <w:rPr>
          <w:i/>
        </w:rPr>
        <w:t>Id</w:t>
      </w:r>
      <w:r>
        <w:t xml:space="preserve">.  </w:t>
      </w:r>
    </w:p>
  </w:footnote>
  <w:footnote w:id="11">
    <w:p w14:paraId="4E4486E0" w14:textId="79A04894" w:rsidR="00C60F15" w:rsidRDefault="00C60F15">
      <w:pPr>
        <w:pStyle w:val="FootnoteText"/>
      </w:pPr>
      <w:r>
        <w:rPr>
          <w:rStyle w:val="FootnoteReference"/>
        </w:rPr>
        <w:footnoteRef/>
      </w:r>
      <w:r>
        <w:t xml:space="preserve"> </w:t>
      </w:r>
      <w:r w:rsidR="00096098">
        <w:t>Id.</w:t>
      </w:r>
      <w:r>
        <w:t xml:space="preserve"> at 2-3.</w:t>
      </w:r>
    </w:p>
  </w:footnote>
  <w:footnote w:id="12">
    <w:p w14:paraId="35F7176B" w14:textId="77777777" w:rsidR="00C60F15" w:rsidRDefault="00C60F15">
      <w:pPr>
        <w:pStyle w:val="FootnoteText"/>
      </w:pPr>
      <w:r>
        <w:rPr>
          <w:rStyle w:val="FootnoteReference"/>
        </w:rPr>
        <w:footnoteRef/>
      </w:r>
      <w:r>
        <w:t xml:space="preserve"> </w:t>
      </w:r>
      <w:r w:rsidRPr="00022A1E">
        <w:rPr>
          <w:i/>
        </w:rPr>
        <w:t xml:space="preserve">Id. </w:t>
      </w:r>
      <w:r>
        <w:t>at 8-11.</w:t>
      </w:r>
    </w:p>
  </w:footnote>
  <w:footnote w:id="13">
    <w:p w14:paraId="634A27C1" w14:textId="77777777" w:rsidR="00C60F15" w:rsidRPr="00853855" w:rsidRDefault="00C60F15">
      <w:pPr>
        <w:pStyle w:val="FootnoteText"/>
      </w:pPr>
      <w:r>
        <w:rPr>
          <w:rStyle w:val="FootnoteReference"/>
        </w:rPr>
        <w:footnoteRef/>
      </w:r>
      <w:r>
        <w:t xml:space="preserve"> </w:t>
      </w:r>
      <w:r>
        <w:rPr>
          <w:i/>
        </w:rPr>
        <w:t>Id.</w:t>
      </w:r>
      <w:r>
        <w:t xml:space="preserve"> at 10-11.</w:t>
      </w:r>
    </w:p>
  </w:footnote>
  <w:footnote w:id="14">
    <w:p w14:paraId="2EE406AF" w14:textId="1BEA93E3" w:rsidR="00C60F15" w:rsidRPr="00807ACC" w:rsidRDefault="00C60F15" w:rsidP="00807ACC">
      <w:pPr>
        <w:pStyle w:val="FootnoteText"/>
      </w:pPr>
      <w:r>
        <w:rPr>
          <w:rStyle w:val="FootnoteReference"/>
        </w:rPr>
        <w:footnoteRef/>
      </w:r>
      <w:r>
        <w:t xml:space="preserve"> </w:t>
      </w:r>
      <w:proofErr w:type="gramStart"/>
      <w:r w:rsidRPr="00634F36">
        <w:rPr>
          <w:i/>
        </w:rPr>
        <w:t>Id.</w:t>
      </w:r>
      <w:r>
        <w:t xml:space="preserve"> at 9.</w:t>
      </w:r>
      <w:proofErr w:type="gramEnd"/>
      <w:r>
        <w:t xml:space="preserve">  NERC Reliability Standard TPL-003-0(i</w:t>
      </w:r>
      <w:proofErr w:type="gramStart"/>
      <w:r>
        <w:t>)b</w:t>
      </w:r>
      <w:proofErr w:type="gramEnd"/>
      <w:r>
        <w:t xml:space="preserve"> requires transmission planners such as CAISO to ensure that their portion of the interconnected transmission system is planned such that the network may be operated to supply all projected customer demand and Firm Transmission Service in the event of the loss of two or more bulk electric systems, defined as Category C of possible contingency conditions.  </w:t>
      </w:r>
      <w:proofErr w:type="gramStart"/>
      <w:r>
        <w:t xml:space="preserve">North American Electric Reliability Corporation, </w:t>
      </w:r>
      <w:r w:rsidRPr="00AF0534">
        <w:rPr>
          <w:i/>
        </w:rPr>
        <w:t>Reliability Standards for the Bulk Electric Systems of America</w:t>
      </w:r>
      <w:r>
        <w:t xml:space="preserve"> 3866-3870 (Dec. 2015), </w:t>
      </w:r>
      <w:hyperlink r:id="rId1" w:history="1">
        <w:r w:rsidRPr="003D7058">
          <w:rPr>
            <w:rStyle w:val="Hyperlink"/>
            <w:u w:val="none"/>
          </w:rPr>
          <w:t>http://www.nerc.com/pa/Stand/Reliability%20Standards%20Complete%20Set/RSCompleteSet.pdf</w:t>
        </w:r>
      </w:hyperlink>
      <w:r w:rsidRPr="00AF0534">
        <w:t>.</w:t>
      </w:r>
      <w:proofErr w:type="gramEnd"/>
      <w:r>
        <w:rPr>
          <w:i/>
        </w:rPr>
        <w:t xml:space="preserve"> </w:t>
      </w:r>
      <w:r>
        <w:t xml:space="preserve">  </w:t>
      </w:r>
    </w:p>
  </w:footnote>
  <w:footnote w:id="15">
    <w:p w14:paraId="7CE12CCE" w14:textId="77777777" w:rsidR="00C60F15" w:rsidRDefault="00C60F15">
      <w:pPr>
        <w:pStyle w:val="FootnoteText"/>
      </w:pPr>
      <w:r>
        <w:rPr>
          <w:rStyle w:val="FootnoteReference"/>
        </w:rPr>
        <w:footnoteRef/>
      </w:r>
      <w:r>
        <w:t xml:space="preserve"> </w:t>
      </w:r>
      <w:proofErr w:type="gramStart"/>
      <w:r w:rsidRPr="001861FD">
        <w:rPr>
          <w:i/>
        </w:rPr>
        <w:t>Id.</w:t>
      </w:r>
      <w:r>
        <w:t xml:space="preserve"> (citing Exhibit No.</w:t>
      </w:r>
      <w:proofErr w:type="gramEnd"/>
      <w:r>
        <w:t xml:space="preserve"> </w:t>
      </w:r>
      <w:proofErr w:type="gramStart"/>
      <w:r>
        <w:t>SDG-2, CAISO 2010-2011 Transmission Plan at 210).</w:t>
      </w:r>
      <w:proofErr w:type="gramEnd"/>
    </w:p>
  </w:footnote>
  <w:footnote w:id="16">
    <w:p w14:paraId="6580D4BE" w14:textId="1D3DF996" w:rsidR="00C60F15" w:rsidRDefault="00C60F15">
      <w:pPr>
        <w:pStyle w:val="FootnoteText"/>
      </w:pPr>
      <w:r>
        <w:rPr>
          <w:rStyle w:val="FootnoteReference"/>
        </w:rPr>
        <w:footnoteRef/>
      </w:r>
      <w:r>
        <w:t xml:space="preserve"> </w:t>
      </w:r>
      <w:proofErr w:type="gramStart"/>
      <w:r w:rsidRPr="00EB10E6">
        <w:rPr>
          <w:i/>
        </w:rPr>
        <w:t xml:space="preserve">Id. </w:t>
      </w:r>
      <w:r>
        <w:t>at 11 (citing Order No. 679-A,</w:t>
      </w:r>
      <w:r w:rsidRPr="00812D06">
        <w:t xml:space="preserve"> </w:t>
      </w:r>
      <w:r>
        <w:t>FERC Stats. &amp; Regs.</w:t>
      </w:r>
      <w:proofErr w:type="gramEnd"/>
      <w:r>
        <w:t xml:space="preserve"> ¶ 31,236</w:t>
      </w:r>
      <w:r w:rsidR="003D7058">
        <w:t xml:space="preserve"> </w:t>
      </w:r>
      <w:r>
        <w:t xml:space="preserve">at P 115; Order No. 679, FERC Stats. </w:t>
      </w:r>
      <w:proofErr w:type="gramStart"/>
      <w:r>
        <w:t>&amp; Regs.</w:t>
      </w:r>
      <w:proofErr w:type="gramEnd"/>
      <w:r>
        <w:t xml:space="preserve"> </w:t>
      </w:r>
      <w:proofErr w:type="gramStart"/>
      <w:r>
        <w:t>¶ 31,222</w:t>
      </w:r>
      <w:r w:rsidR="003D7058">
        <w:t xml:space="preserve"> </w:t>
      </w:r>
      <w:r>
        <w:t>at P 48).</w:t>
      </w:r>
      <w:proofErr w:type="gramEnd"/>
    </w:p>
  </w:footnote>
  <w:footnote w:id="17">
    <w:p w14:paraId="1A6E6B3F" w14:textId="77777777" w:rsidR="00C60F15" w:rsidRDefault="00C60F15">
      <w:pPr>
        <w:pStyle w:val="FootnoteText"/>
      </w:pPr>
      <w:r>
        <w:rPr>
          <w:rStyle w:val="FootnoteReference"/>
        </w:rPr>
        <w:footnoteRef/>
      </w:r>
      <w:r>
        <w:t xml:space="preserve"> </w:t>
      </w:r>
      <w:proofErr w:type="gramStart"/>
      <w:r w:rsidRPr="003F6A14">
        <w:rPr>
          <w:i/>
        </w:rPr>
        <w:t>Id.</w:t>
      </w:r>
      <w:r>
        <w:t xml:space="preserve"> at 12.</w:t>
      </w:r>
      <w:proofErr w:type="gramEnd"/>
    </w:p>
  </w:footnote>
  <w:footnote w:id="18">
    <w:p w14:paraId="19150AC8" w14:textId="77777777" w:rsidR="00C60F15" w:rsidRDefault="00C60F15">
      <w:pPr>
        <w:pStyle w:val="FootnoteText"/>
      </w:pPr>
      <w:r>
        <w:rPr>
          <w:rStyle w:val="FootnoteReference"/>
        </w:rPr>
        <w:footnoteRef/>
      </w:r>
      <w:r>
        <w:t xml:space="preserve"> </w:t>
      </w:r>
      <w:r w:rsidRPr="007807D8">
        <w:rPr>
          <w:i/>
        </w:rPr>
        <w:t>Id.</w:t>
      </w:r>
      <w:r>
        <w:t xml:space="preserve"> at 12-13.</w:t>
      </w:r>
    </w:p>
  </w:footnote>
  <w:footnote w:id="19">
    <w:p w14:paraId="574B6BA7" w14:textId="77777777" w:rsidR="00C60F15" w:rsidRDefault="00C60F15">
      <w:pPr>
        <w:pStyle w:val="FootnoteText"/>
      </w:pPr>
      <w:r>
        <w:rPr>
          <w:rStyle w:val="FootnoteReference"/>
        </w:rPr>
        <w:footnoteRef/>
      </w:r>
      <w:r>
        <w:t xml:space="preserve"> </w:t>
      </w:r>
      <w:proofErr w:type="gramStart"/>
      <w:r w:rsidRPr="00CE15E5">
        <w:rPr>
          <w:i/>
        </w:rPr>
        <w:t>Id.</w:t>
      </w:r>
      <w:r>
        <w:t xml:space="preserve"> at 14.</w:t>
      </w:r>
      <w:proofErr w:type="gramEnd"/>
      <w:r>
        <w:t xml:space="preserve">  According to SDG&amp;E, California law requires that the CPUC’s purpose and need review provide SDG&amp;E with a realistic opportunity to energize the projects that CAISO approves in its 2010-2011 Transmission Plan, including the SOCRE project.  </w:t>
      </w:r>
      <w:r w:rsidRPr="00AF0534">
        <w:rPr>
          <w:i/>
        </w:rPr>
        <w:t>Id.</w:t>
      </w:r>
      <w:r>
        <w:t xml:space="preserve"> at 13-14.</w:t>
      </w:r>
    </w:p>
  </w:footnote>
  <w:footnote w:id="20">
    <w:p w14:paraId="036DCD13" w14:textId="77777777" w:rsidR="00C60F15" w:rsidRDefault="00C60F15">
      <w:pPr>
        <w:pStyle w:val="FootnoteText"/>
      </w:pPr>
      <w:r>
        <w:rPr>
          <w:rStyle w:val="FootnoteReference"/>
        </w:rPr>
        <w:footnoteRef/>
      </w:r>
      <w:r>
        <w:t xml:space="preserve"> </w:t>
      </w:r>
      <w:r w:rsidRPr="002314E9">
        <w:rPr>
          <w:i/>
        </w:rPr>
        <w:t>Id.</w:t>
      </w:r>
      <w:r>
        <w:t xml:space="preserve"> at 16-17.</w:t>
      </w:r>
    </w:p>
  </w:footnote>
  <w:footnote w:id="21">
    <w:p w14:paraId="2660F87E" w14:textId="77777777" w:rsidR="00C60F15" w:rsidRDefault="00C60F15">
      <w:pPr>
        <w:pStyle w:val="FootnoteText"/>
      </w:pPr>
      <w:r>
        <w:rPr>
          <w:rStyle w:val="FootnoteReference"/>
        </w:rPr>
        <w:footnoteRef/>
      </w:r>
      <w:r>
        <w:t xml:space="preserve"> Six Cities Protest at 2-3. </w:t>
      </w:r>
    </w:p>
  </w:footnote>
  <w:footnote w:id="22">
    <w:p w14:paraId="7129C227" w14:textId="77777777" w:rsidR="00C60F15" w:rsidRDefault="00C60F15">
      <w:pPr>
        <w:pStyle w:val="FootnoteText"/>
      </w:pPr>
      <w:r>
        <w:rPr>
          <w:rStyle w:val="FootnoteReference"/>
        </w:rPr>
        <w:footnoteRef/>
      </w:r>
      <w:r>
        <w:t xml:space="preserve"> </w:t>
      </w:r>
      <w:proofErr w:type="gramStart"/>
      <w:r w:rsidRPr="00384EF0">
        <w:rPr>
          <w:i/>
        </w:rPr>
        <w:t>Id.</w:t>
      </w:r>
      <w:r>
        <w:t xml:space="preserve"> at 2.</w:t>
      </w:r>
      <w:proofErr w:type="gramEnd"/>
    </w:p>
  </w:footnote>
  <w:footnote w:id="23">
    <w:p w14:paraId="6A0A3DD6" w14:textId="1760ABB9" w:rsidR="00C60F15" w:rsidRDefault="00C60F15">
      <w:pPr>
        <w:pStyle w:val="FootnoteText"/>
      </w:pPr>
      <w:r>
        <w:rPr>
          <w:rStyle w:val="FootnoteReference"/>
        </w:rPr>
        <w:footnoteRef/>
      </w:r>
      <w:r>
        <w:t xml:space="preserve"> </w:t>
      </w:r>
      <w:r w:rsidRPr="002314E9">
        <w:rPr>
          <w:i/>
        </w:rPr>
        <w:t>Id.</w:t>
      </w:r>
      <w:r>
        <w:t xml:space="preserve"> at 4 (citing </w:t>
      </w:r>
      <w:r w:rsidRPr="00C27265">
        <w:rPr>
          <w:i/>
        </w:rPr>
        <w:t>PJM Interconnection, L.L.C.</w:t>
      </w:r>
      <w:r>
        <w:t>, 140 FERC ¶ 61,197, at PP 24, 26 (2012) (</w:t>
      </w:r>
      <w:r w:rsidRPr="00F11776">
        <w:rPr>
          <w:i/>
        </w:rPr>
        <w:t>PJM Interconnection</w:t>
      </w:r>
      <w:r>
        <w:rPr>
          <w:i/>
        </w:rPr>
        <w:t xml:space="preserve"> I</w:t>
      </w:r>
      <w:r>
        <w:t xml:space="preserve">) (granting applicant’s request for abandoned plant cost recovery for 100 percent of the costs prudently incurred subsequent to the Commission’s order authorizing the abandoned plant incentive and for 50 percent of the costs incurred prior to the order). </w:t>
      </w:r>
    </w:p>
  </w:footnote>
  <w:footnote w:id="24">
    <w:p w14:paraId="25F33BB2" w14:textId="77777777" w:rsidR="00C60F15" w:rsidRDefault="00C60F15">
      <w:pPr>
        <w:pStyle w:val="FootnoteText"/>
      </w:pPr>
      <w:r>
        <w:rPr>
          <w:rStyle w:val="FootnoteReference"/>
        </w:rPr>
        <w:footnoteRef/>
      </w:r>
      <w:r>
        <w:t xml:space="preserve"> </w:t>
      </w:r>
      <w:proofErr w:type="gramStart"/>
      <w:r w:rsidRPr="0005218A">
        <w:rPr>
          <w:i/>
        </w:rPr>
        <w:t>Id.</w:t>
      </w:r>
      <w:r>
        <w:t xml:space="preserve"> at 5.</w:t>
      </w:r>
      <w:proofErr w:type="gramEnd"/>
    </w:p>
  </w:footnote>
  <w:footnote w:id="25">
    <w:p w14:paraId="7F45E64A" w14:textId="77777777" w:rsidR="00C60F15" w:rsidRDefault="00C60F15">
      <w:pPr>
        <w:pStyle w:val="FootnoteText"/>
      </w:pPr>
      <w:r>
        <w:rPr>
          <w:rStyle w:val="FootnoteReference"/>
        </w:rPr>
        <w:footnoteRef/>
      </w:r>
      <w:r>
        <w:t xml:space="preserve"> </w:t>
      </w:r>
      <w:proofErr w:type="gramStart"/>
      <w:r w:rsidRPr="0005218A">
        <w:rPr>
          <w:i/>
        </w:rPr>
        <w:t>Id.</w:t>
      </w:r>
      <w:r>
        <w:t xml:space="preserve"> at 6.</w:t>
      </w:r>
      <w:proofErr w:type="gramEnd"/>
    </w:p>
  </w:footnote>
  <w:footnote w:id="26">
    <w:p w14:paraId="37A0A1CA" w14:textId="77777777" w:rsidR="00C60F15" w:rsidRDefault="00C60F15">
      <w:pPr>
        <w:pStyle w:val="FootnoteText"/>
      </w:pPr>
      <w:r>
        <w:rPr>
          <w:rStyle w:val="FootnoteReference"/>
        </w:rPr>
        <w:footnoteRef/>
      </w:r>
      <w:r>
        <w:t xml:space="preserve"> SDG&amp;E Answer at 2.</w:t>
      </w:r>
    </w:p>
  </w:footnote>
  <w:footnote w:id="27">
    <w:p w14:paraId="286B946E" w14:textId="77777777" w:rsidR="00C60F15" w:rsidRDefault="00C60F15">
      <w:pPr>
        <w:pStyle w:val="FootnoteText"/>
      </w:pPr>
      <w:r>
        <w:rPr>
          <w:rStyle w:val="FootnoteReference"/>
        </w:rPr>
        <w:footnoteRef/>
      </w:r>
      <w:r>
        <w:t xml:space="preserve"> </w:t>
      </w:r>
      <w:r w:rsidRPr="00FD70C7">
        <w:rPr>
          <w:i/>
        </w:rPr>
        <w:t>Id.</w:t>
      </w:r>
      <w:r>
        <w:t xml:space="preserve"> at 5-7.</w:t>
      </w:r>
    </w:p>
  </w:footnote>
  <w:footnote w:id="28">
    <w:p w14:paraId="422A15D4" w14:textId="77777777" w:rsidR="00C60F15" w:rsidRPr="001A3347" w:rsidRDefault="00C60F15">
      <w:pPr>
        <w:pStyle w:val="FootnoteText"/>
      </w:pPr>
      <w:r>
        <w:rPr>
          <w:rStyle w:val="FootnoteReference"/>
        </w:rPr>
        <w:footnoteRef/>
      </w:r>
      <w:r>
        <w:t xml:space="preserve"> </w:t>
      </w:r>
      <w:proofErr w:type="gramStart"/>
      <w:r w:rsidRPr="008A40D3">
        <w:rPr>
          <w:i/>
        </w:rPr>
        <w:t>Id.</w:t>
      </w:r>
      <w:r>
        <w:t xml:space="preserve"> at 5.</w:t>
      </w:r>
      <w:proofErr w:type="gramEnd"/>
    </w:p>
  </w:footnote>
  <w:footnote w:id="29">
    <w:p w14:paraId="639445FF" w14:textId="77777777" w:rsidR="00C60F15" w:rsidRDefault="00C60F15">
      <w:pPr>
        <w:pStyle w:val="FootnoteText"/>
      </w:pPr>
      <w:r>
        <w:rPr>
          <w:rStyle w:val="FootnoteReference"/>
        </w:rPr>
        <w:footnoteRef/>
      </w:r>
      <w:r>
        <w:t xml:space="preserve"> </w:t>
      </w:r>
      <w:proofErr w:type="gramStart"/>
      <w:r w:rsidRPr="00A30BD3">
        <w:rPr>
          <w:i/>
        </w:rPr>
        <w:t>Id.</w:t>
      </w:r>
      <w:r>
        <w:t xml:space="preserve"> at 7.</w:t>
      </w:r>
      <w:proofErr w:type="gramEnd"/>
    </w:p>
  </w:footnote>
  <w:footnote w:id="30">
    <w:p w14:paraId="4A4E3BA0" w14:textId="77777777" w:rsidR="00C60F15" w:rsidRDefault="00C60F15">
      <w:pPr>
        <w:pStyle w:val="FootnoteText"/>
      </w:pPr>
      <w:r>
        <w:rPr>
          <w:rStyle w:val="FootnoteReference"/>
        </w:rPr>
        <w:footnoteRef/>
      </w:r>
      <w:r>
        <w:t xml:space="preserve"> </w:t>
      </w:r>
      <w:proofErr w:type="gramStart"/>
      <w:r w:rsidRPr="009708D3">
        <w:rPr>
          <w:i/>
        </w:rPr>
        <w:t>Id.</w:t>
      </w:r>
      <w:r>
        <w:t xml:space="preserve"> at 7 (citing </w:t>
      </w:r>
      <w:r w:rsidRPr="00CD1869">
        <w:rPr>
          <w:i/>
        </w:rPr>
        <w:t>So</w:t>
      </w:r>
      <w:r>
        <w:rPr>
          <w:i/>
        </w:rPr>
        <w:t>uthern California</w:t>
      </w:r>
      <w:r w:rsidRPr="00CD1869">
        <w:rPr>
          <w:i/>
        </w:rPr>
        <w:t xml:space="preserve"> Edison Co.</w:t>
      </w:r>
      <w:r>
        <w:t>, 134 FERC ¶ 61,200, at P 34 (2011)).</w:t>
      </w:r>
      <w:proofErr w:type="gramEnd"/>
    </w:p>
  </w:footnote>
  <w:footnote w:id="31">
    <w:p w14:paraId="365249DC" w14:textId="77777777" w:rsidR="00C60F15" w:rsidRDefault="00C60F15">
      <w:pPr>
        <w:pStyle w:val="FootnoteText"/>
      </w:pPr>
      <w:r>
        <w:rPr>
          <w:rStyle w:val="FootnoteReference"/>
        </w:rPr>
        <w:footnoteRef/>
      </w:r>
      <w:r>
        <w:t xml:space="preserve"> </w:t>
      </w:r>
      <w:proofErr w:type="gramStart"/>
      <w:r w:rsidRPr="00633C2C">
        <w:rPr>
          <w:i/>
        </w:rPr>
        <w:t>Id.</w:t>
      </w:r>
      <w:r>
        <w:t xml:space="preserve"> at 9.</w:t>
      </w:r>
      <w:proofErr w:type="gramEnd"/>
    </w:p>
  </w:footnote>
  <w:footnote w:id="32">
    <w:p w14:paraId="0DE84382" w14:textId="4A745A07" w:rsidR="00C60F15" w:rsidRDefault="00C60F15">
      <w:pPr>
        <w:pStyle w:val="FootnoteText"/>
      </w:pPr>
      <w:r>
        <w:rPr>
          <w:rStyle w:val="FootnoteReference"/>
        </w:rPr>
        <w:footnoteRef/>
      </w:r>
      <w:r>
        <w:t xml:space="preserve"> 16 U.S.C. § </w:t>
      </w:r>
      <w:proofErr w:type="gramStart"/>
      <w:r>
        <w:t>824s(</w:t>
      </w:r>
      <w:proofErr w:type="gramEnd"/>
      <w:r>
        <w:t xml:space="preserve">a) (2012). </w:t>
      </w:r>
    </w:p>
  </w:footnote>
  <w:footnote w:id="33">
    <w:p w14:paraId="227289C0" w14:textId="77777777" w:rsidR="00C60F15" w:rsidRDefault="00C60F15">
      <w:pPr>
        <w:pStyle w:val="FootnoteText"/>
      </w:pPr>
      <w:r>
        <w:rPr>
          <w:rStyle w:val="FootnoteReference"/>
        </w:rPr>
        <w:footnoteRef/>
      </w:r>
      <w:r>
        <w:t xml:space="preserve"> Order No. 679, FERC Stats. </w:t>
      </w:r>
      <w:proofErr w:type="gramStart"/>
      <w:r>
        <w:t>&amp; Regs.</w:t>
      </w:r>
      <w:proofErr w:type="gramEnd"/>
      <w:r>
        <w:t xml:space="preserve"> </w:t>
      </w:r>
      <w:proofErr w:type="gramStart"/>
      <w:r>
        <w:t>¶ 31,222 at P 163.</w:t>
      </w:r>
      <w:proofErr w:type="gramEnd"/>
    </w:p>
  </w:footnote>
  <w:footnote w:id="34">
    <w:p w14:paraId="1F1B5515" w14:textId="77777777" w:rsidR="00C60F15" w:rsidRDefault="00C60F15">
      <w:pPr>
        <w:pStyle w:val="FootnoteText"/>
      </w:pPr>
      <w:r>
        <w:rPr>
          <w:rStyle w:val="FootnoteReference"/>
        </w:rPr>
        <w:footnoteRef/>
      </w:r>
      <w:r>
        <w:t xml:space="preserve"> </w:t>
      </w:r>
      <w:r w:rsidRPr="004E12B0">
        <w:rPr>
          <w:i/>
        </w:rPr>
        <w:t>Id.</w:t>
      </w:r>
    </w:p>
  </w:footnote>
  <w:footnote w:id="35">
    <w:p w14:paraId="769BC14B" w14:textId="77777777" w:rsidR="00C60F15" w:rsidRDefault="00C60F15">
      <w:pPr>
        <w:pStyle w:val="FootnoteText"/>
      </w:pPr>
      <w:r>
        <w:rPr>
          <w:rStyle w:val="FootnoteReference"/>
        </w:rPr>
        <w:footnoteRef/>
      </w:r>
      <w:r>
        <w:t xml:space="preserve"> </w:t>
      </w:r>
      <w:r w:rsidRPr="000A3600">
        <w:rPr>
          <w:i/>
        </w:rPr>
        <w:t>Id.</w:t>
      </w:r>
      <w:r>
        <w:t xml:space="preserve"> P 76. </w:t>
      </w:r>
    </w:p>
  </w:footnote>
  <w:footnote w:id="36">
    <w:p w14:paraId="50536311" w14:textId="77777777" w:rsidR="00C60F15" w:rsidRDefault="00C60F15">
      <w:pPr>
        <w:pStyle w:val="FootnoteText"/>
      </w:pPr>
      <w:r>
        <w:rPr>
          <w:rStyle w:val="FootnoteReference"/>
        </w:rPr>
        <w:footnoteRef/>
      </w:r>
      <w:r>
        <w:t xml:space="preserve"> </w:t>
      </w:r>
      <w:r w:rsidRPr="004B480B">
        <w:rPr>
          <w:i/>
        </w:rPr>
        <w:t>Id.</w:t>
      </w:r>
      <w:r>
        <w:t xml:space="preserve"> P 26.</w:t>
      </w:r>
    </w:p>
  </w:footnote>
  <w:footnote w:id="37">
    <w:p w14:paraId="2A0C5094" w14:textId="327B723A" w:rsidR="00C60F15" w:rsidRDefault="00C60F15">
      <w:pPr>
        <w:pStyle w:val="FootnoteText"/>
      </w:pPr>
      <w:r>
        <w:rPr>
          <w:rStyle w:val="FootnoteReference"/>
        </w:rPr>
        <w:footnoteRef/>
      </w:r>
      <w:r>
        <w:t xml:space="preserve"> Order No. 679-A, FERC Stats. </w:t>
      </w:r>
      <w:proofErr w:type="gramStart"/>
      <w:r>
        <w:t>&amp; Regs.</w:t>
      </w:r>
      <w:proofErr w:type="gramEnd"/>
      <w:r>
        <w:t xml:space="preserve"> </w:t>
      </w:r>
      <w:proofErr w:type="gramStart"/>
      <w:r>
        <w:t>¶ 31,2</w:t>
      </w:r>
      <w:r w:rsidR="00556527">
        <w:t>3</w:t>
      </w:r>
      <w:r>
        <w:t>6 at P 49.</w:t>
      </w:r>
      <w:proofErr w:type="gramEnd"/>
    </w:p>
  </w:footnote>
  <w:footnote w:id="38">
    <w:p w14:paraId="357C0998" w14:textId="77777777" w:rsidR="00C60F15" w:rsidRDefault="00C60F15">
      <w:pPr>
        <w:pStyle w:val="FootnoteText"/>
      </w:pPr>
      <w:r>
        <w:rPr>
          <w:rStyle w:val="FootnoteReference"/>
        </w:rPr>
        <w:footnoteRef/>
      </w:r>
      <w:r>
        <w:t xml:space="preserve"> </w:t>
      </w:r>
      <w:r w:rsidRPr="006F7ADD">
        <w:rPr>
          <w:i/>
        </w:rPr>
        <w:t>Id.</w:t>
      </w:r>
      <w:r>
        <w:t xml:space="preserve"> P 16.</w:t>
      </w:r>
    </w:p>
  </w:footnote>
  <w:footnote w:id="39">
    <w:p w14:paraId="7288DF29" w14:textId="77777777" w:rsidR="00C60F15" w:rsidRDefault="00C60F15">
      <w:pPr>
        <w:pStyle w:val="FootnoteText"/>
      </w:pPr>
      <w:r>
        <w:rPr>
          <w:rStyle w:val="FootnoteReference"/>
        </w:rPr>
        <w:footnoteRef/>
      </w:r>
      <w:r>
        <w:t xml:space="preserve"> </w:t>
      </w:r>
      <w:r w:rsidRPr="00224865">
        <w:rPr>
          <w:i/>
        </w:rPr>
        <w:t>See</w:t>
      </w:r>
      <w:r>
        <w:t xml:space="preserve"> SDG&amp;E Filing, Exhibit No. </w:t>
      </w:r>
      <w:proofErr w:type="gramStart"/>
      <w:r>
        <w:t>SDG-2 at 8.</w:t>
      </w:r>
      <w:proofErr w:type="gramEnd"/>
      <w:r>
        <w:t xml:space="preserve"> </w:t>
      </w:r>
    </w:p>
  </w:footnote>
  <w:footnote w:id="40">
    <w:p w14:paraId="07E62B06" w14:textId="7A9A429F" w:rsidR="00C60F15" w:rsidRDefault="00C60F15">
      <w:pPr>
        <w:pStyle w:val="FootnoteText"/>
      </w:pPr>
      <w:r>
        <w:rPr>
          <w:rStyle w:val="FootnoteReference"/>
        </w:rPr>
        <w:footnoteRef/>
      </w:r>
      <w:r>
        <w:t xml:space="preserve"> </w:t>
      </w:r>
      <w:proofErr w:type="gramStart"/>
      <w:r w:rsidRPr="00993245">
        <w:rPr>
          <w:i/>
        </w:rPr>
        <w:t>See</w:t>
      </w:r>
      <w:r>
        <w:t xml:space="preserve">, </w:t>
      </w:r>
      <w:r w:rsidRPr="00993245">
        <w:rPr>
          <w:i/>
        </w:rPr>
        <w:t>e.g.</w:t>
      </w:r>
      <w:r w:rsidRPr="00AD5C00">
        <w:t>,</w:t>
      </w:r>
      <w:r>
        <w:t xml:space="preserve"> </w:t>
      </w:r>
      <w:r w:rsidRPr="00993245">
        <w:rPr>
          <w:i/>
        </w:rPr>
        <w:t>Pacific Gas and Electric Co.</w:t>
      </w:r>
      <w:r>
        <w:t>, 148 FERC ¶ 61,195, at P 14</w:t>
      </w:r>
      <w:r w:rsidR="00377879">
        <w:t xml:space="preserve"> (2014)</w:t>
      </w:r>
      <w:r>
        <w:t>.</w:t>
      </w:r>
      <w:proofErr w:type="gramEnd"/>
    </w:p>
  </w:footnote>
  <w:footnote w:id="41">
    <w:p w14:paraId="240D33B6" w14:textId="77777777" w:rsidR="00C60F15" w:rsidRDefault="00C60F15">
      <w:pPr>
        <w:pStyle w:val="FootnoteText"/>
      </w:pPr>
      <w:r>
        <w:rPr>
          <w:rStyle w:val="FootnoteReference"/>
        </w:rPr>
        <w:footnoteRef/>
      </w:r>
      <w:r>
        <w:t xml:space="preserve"> </w:t>
      </w:r>
      <w:r w:rsidRPr="00A074CF">
        <w:rPr>
          <w:i/>
        </w:rPr>
        <w:t>See</w:t>
      </w:r>
      <w:r>
        <w:t xml:space="preserve"> </w:t>
      </w:r>
      <w:r w:rsidRPr="000F6182">
        <w:rPr>
          <w:i/>
        </w:rPr>
        <w:t>NextEra Energy Transmission West, LLC</w:t>
      </w:r>
      <w:r>
        <w:t xml:space="preserve">, 154 FERC ¶ </w:t>
      </w:r>
      <w:r w:rsidRPr="00125D6E">
        <w:t>61,0</w:t>
      </w:r>
      <w:r>
        <w:t>09, at P 26 (2016).</w:t>
      </w:r>
    </w:p>
  </w:footnote>
  <w:footnote w:id="42">
    <w:p w14:paraId="29859F3E" w14:textId="57962DA7" w:rsidR="00C60F15" w:rsidRDefault="00C60F15">
      <w:pPr>
        <w:pStyle w:val="FootnoteText"/>
      </w:pPr>
      <w:r>
        <w:rPr>
          <w:rStyle w:val="FootnoteReference"/>
        </w:rPr>
        <w:footnoteRef/>
      </w:r>
      <w:r>
        <w:t xml:space="preserve"> </w:t>
      </w:r>
      <w:r w:rsidRPr="000F6182">
        <w:rPr>
          <w:i/>
        </w:rPr>
        <w:t>DCR Transmission, LLC</w:t>
      </w:r>
      <w:r>
        <w:t xml:space="preserve">, 153 FERC ¶ 61,295, at P 42 (2015) </w:t>
      </w:r>
      <w:r>
        <w:rPr>
          <w:color w:val="212121"/>
          <w:szCs w:val="26"/>
        </w:rPr>
        <w:t xml:space="preserve">(DCR Transmission) </w:t>
      </w:r>
      <w:r>
        <w:t xml:space="preserve">(citing </w:t>
      </w:r>
      <w:r w:rsidRPr="00A074CF">
        <w:rPr>
          <w:i/>
        </w:rPr>
        <w:t>PJM Interconnection</w:t>
      </w:r>
      <w:r>
        <w:rPr>
          <w:i/>
        </w:rPr>
        <w:t xml:space="preserve"> I</w:t>
      </w:r>
      <w:r>
        <w:t xml:space="preserve">, 140 FERC ¶ 61,197 at P 24; </w:t>
      </w:r>
      <w:r w:rsidRPr="000F6182">
        <w:rPr>
          <w:i/>
        </w:rPr>
        <w:t>New England Power Co.</w:t>
      </w:r>
      <w:r>
        <w:t>, Opinion No. 295, 42 FERC ¶ 61,016</w:t>
      </w:r>
      <w:r w:rsidRPr="00812D06">
        <w:rPr>
          <w:szCs w:val="26"/>
        </w:rPr>
        <w:t xml:space="preserve"> </w:t>
      </w:r>
      <w:r w:rsidRPr="000F6182">
        <w:rPr>
          <w:color w:val="212121"/>
          <w:szCs w:val="26"/>
        </w:rPr>
        <w:t>at 61,175-178,</w:t>
      </w:r>
      <w:r w:rsidRPr="000F6182">
        <w:rPr>
          <w:rStyle w:val="apple-converted-space"/>
          <w:color w:val="212121"/>
          <w:szCs w:val="26"/>
        </w:rPr>
        <w:t> </w:t>
      </w:r>
      <w:r w:rsidRPr="000F6182">
        <w:rPr>
          <w:rStyle w:val="Emphasis"/>
          <w:color w:val="212121"/>
          <w:szCs w:val="26"/>
        </w:rPr>
        <w:t>order on reh</w:t>
      </w:r>
      <w:r>
        <w:rPr>
          <w:rStyle w:val="Emphasis"/>
          <w:color w:val="212121"/>
          <w:szCs w:val="26"/>
        </w:rPr>
        <w:t>’</w:t>
      </w:r>
      <w:r w:rsidRPr="000F6182">
        <w:rPr>
          <w:rStyle w:val="Emphasis"/>
          <w:color w:val="212121"/>
          <w:szCs w:val="26"/>
        </w:rPr>
        <w:t>g</w:t>
      </w:r>
      <w:r w:rsidRPr="000F6182">
        <w:rPr>
          <w:color w:val="212121"/>
          <w:szCs w:val="26"/>
        </w:rPr>
        <w:t>, Opinion No</w:t>
      </w:r>
      <w:r w:rsidR="0071730A">
        <w:rPr>
          <w:color w:val="212121"/>
          <w:szCs w:val="26"/>
        </w:rPr>
        <w:t>.</w:t>
      </w:r>
      <w:r w:rsidRPr="000F6182">
        <w:rPr>
          <w:color w:val="212121"/>
          <w:szCs w:val="26"/>
        </w:rPr>
        <w:t xml:space="preserve"> 295-A</w:t>
      </w:r>
      <w:r>
        <w:rPr>
          <w:color w:val="212121"/>
          <w:szCs w:val="26"/>
        </w:rPr>
        <w:t>,</w:t>
      </w:r>
      <w:r w:rsidRPr="000F6182">
        <w:rPr>
          <w:color w:val="212121"/>
          <w:szCs w:val="26"/>
        </w:rPr>
        <w:t xml:space="preserve"> 43 FERC ¶ 61,285 (1988)</w:t>
      </w:r>
      <w:r>
        <w:rPr>
          <w:color w:val="212121"/>
          <w:szCs w:val="26"/>
        </w:rPr>
        <w:t xml:space="preserve">). </w:t>
      </w:r>
    </w:p>
  </w:footnote>
  <w:footnote w:id="43">
    <w:p w14:paraId="063AC400" w14:textId="5D0AA821" w:rsidR="00C60F15" w:rsidRDefault="00C60F15">
      <w:pPr>
        <w:pStyle w:val="FootnoteText"/>
      </w:pPr>
      <w:r>
        <w:rPr>
          <w:rStyle w:val="FootnoteReference"/>
        </w:rPr>
        <w:footnoteRef/>
      </w:r>
      <w:r>
        <w:t xml:space="preserve"> </w:t>
      </w:r>
      <w:r w:rsidRPr="00230B64">
        <w:rPr>
          <w:i/>
        </w:rPr>
        <w:t>See PJM Interconnection, L.L.C.</w:t>
      </w:r>
      <w:r>
        <w:t>, 142 FERC ¶ 61,156, at P 54 (2013) (</w:t>
      </w:r>
      <w:r w:rsidRPr="00A074CF">
        <w:rPr>
          <w:i/>
        </w:rPr>
        <w:t>PJM Interconnection II</w:t>
      </w:r>
      <w:r>
        <w:t xml:space="preserve">). </w:t>
      </w:r>
    </w:p>
  </w:footnote>
  <w:footnote w:id="44">
    <w:p w14:paraId="5473A180" w14:textId="77777777" w:rsidR="00C60F15" w:rsidRDefault="00C60F15" w:rsidP="00D4245A">
      <w:pPr>
        <w:pStyle w:val="FootnoteText"/>
      </w:pPr>
      <w:r>
        <w:rPr>
          <w:rStyle w:val="FootnoteReference"/>
        </w:rPr>
        <w:footnoteRef/>
      </w:r>
      <w:r>
        <w:t xml:space="preserve"> </w:t>
      </w:r>
      <w:r w:rsidRPr="000F6182">
        <w:rPr>
          <w:i/>
        </w:rPr>
        <w:t>See DCR Transmission</w:t>
      </w:r>
      <w:r>
        <w:t>, 153 FERC ¶ 61,295 at P 42 (granting 100 percent recovery of costs prudently incurred on or after the date of the order); s</w:t>
      </w:r>
      <w:r w:rsidRPr="000F6182">
        <w:rPr>
          <w:i/>
        </w:rPr>
        <w:t>ee</w:t>
      </w:r>
      <w:r>
        <w:rPr>
          <w:i/>
        </w:rPr>
        <w:t xml:space="preserve"> also</w:t>
      </w:r>
      <w:r w:rsidRPr="000F6182">
        <w:rPr>
          <w:i/>
        </w:rPr>
        <w:t xml:space="preserve"> PJM Interconnection</w:t>
      </w:r>
      <w:r w:rsidRPr="00D4245A">
        <w:rPr>
          <w:i/>
        </w:rPr>
        <w:t xml:space="preserve"> II</w:t>
      </w:r>
      <w:r>
        <w:t>, 142 FERC ¶ 61,156 at P 53 (“since that order [granting the incentive] was effective November 1, 2008, we cannot rely on it to grant recovery of prudently-incurred costs associated with abandonment prior to that date.  Prior to November 1, 2008, we must rely on the Commission’s pre-Order No. 679 policy, which generally limited recovery to 50 percent”).</w:t>
      </w:r>
    </w:p>
  </w:footnote>
  <w:footnote w:id="45">
    <w:p w14:paraId="730788B5" w14:textId="77777777" w:rsidR="00C60F15" w:rsidRDefault="00C60F15">
      <w:pPr>
        <w:pStyle w:val="FootnoteText"/>
      </w:pPr>
      <w:r>
        <w:rPr>
          <w:rStyle w:val="FootnoteReference"/>
        </w:rPr>
        <w:footnoteRef/>
      </w:r>
      <w:r>
        <w:t xml:space="preserve"> Order No. 679, FERC Stats. </w:t>
      </w:r>
      <w:proofErr w:type="gramStart"/>
      <w:r>
        <w:t>&amp; Regs.</w:t>
      </w:r>
      <w:proofErr w:type="gramEnd"/>
      <w:r>
        <w:t xml:space="preserve"> </w:t>
      </w:r>
      <w:proofErr w:type="gramStart"/>
      <w:r>
        <w:t>¶ 31,222 at P 48.</w:t>
      </w:r>
      <w:proofErr w:type="gramEnd"/>
      <w:r>
        <w:t xml:space="preserve"> </w:t>
      </w:r>
    </w:p>
  </w:footnote>
  <w:footnote w:id="46">
    <w:p w14:paraId="03148676" w14:textId="2C2079D6" w:rsidR="00C60F15" w:rsidRDefault="00C60F15" w:rsidP="00D4245A">
      <w:pPr>
        <w:pStyle w:val="FootnoteText"/>
      </w:pPr>
      <w:r>
        <w:rPr>
          <w:rStyle w:val="FootnoteReference"/>
        </w:rPr>
        <w:footnoteRef/>
      </w:r>
      <w:r>
        <w:t xml:space="preserve"> </w:t>
      </w:r>
      <w:r w:rsidRPr="000F6182">
        <w:rPr>
          <w:i/>
        </w:rPr>
        <w:t>See</w:t>
      </w:r>
      <w:r>
        <w:t xml:space="preserve"> </w:t>
      </w:r>
      <w:r w:rsidR="00103B67">
        <w:t xml:space="preserve">id. </w:t>
      </w:r>
      <w:r>
        <w:t xml:space="preserve">P 6 (“[t]he purpose of our Rule is to benefit customers by providing real incentives to encourage new infrastructure, not simply increasing rates in a manner that has no correlation to encouraging new investment”); </w:t>
      </w:r>
      <w:r w:rsidRPr="000F6182">
        <w:rPr>
          <w:i/>
        </w:rPr>
        <w:t>see also id.</w:t>
      </w:r>
      <w:r>
        <w:t xml:space="preserve"> P 77 (“[t]o provide applicants with as much flexibility as possible, the Commission will permit applicants to seek a declaratory order prior to construction of facilities to request a finding that the facilities qualify for incentive-based rate treatments”).</w:t>
      </w:r>
    </w:p>
  </w:footnote>
  <w:footnote w:id="47">
    <w:p w14:paraId="5A18D5D6" w14:textId="77777777" w:rsidR="00C60F15" w:rsidRDefault="00C60F15" w:rsidP="00B42796">
      <w:pPr>
        <w:pStyle w:val="FootnoteText"/>
      </w:pPr>
      <w:r>
        <w:rPr>
          <w:rStyle w:val="FootnoteReference"/>
        </w:rPr>
        <w:footnoteRef/>
      </w:r>
      <w:r>
        <w:t xml:space="preserve"> </w:t>
      </w:r>
      <w:proofErr w:type="gramStart"/>
      <w:r>
        <w:t>SDG&amp;E Filing at 16.</w:t>
      </w:r>
      <w:proofErr w:type="gramEnd"/>
      <w:r>
        <w:t xml:space="preserve"> </w:t>
      </w:r>
    </w:p>
  </w:footnote>
  <w:footnote w:id="48">
    <w:p w14:paraId="05D05880" w14:textId="77777777" w:rsidR="00C60F15" w:rsidRDefault="00C60F15" w:rsidP="00B42796">
      <w:pPr>
        <w:pStyle w:val="FootnoteText"/>
      </w:pPr>
      <w:r>
        <w:rPr>
          <w:rStyle w:val="FootnoteReference"/>
        </w:rPr>
        <w:footnoteRef/>
      </w:r>
      <w:r>
        <w:t xml:space="preserve"> </w:t>
      </w:r>
      <w:r w:rsidRPr="000F6182">
        <w:rPr>
          <w:i/>
        </w:rPr>
        <w:t>Id.</w:t>
      </w:r>
      <w:r>
        <w:t xml:space="preserve"> </w:t>
      </w:r>
    </w:p>
  </w:footnote>
  <w:footnote w:id="49">
    <w:p w14:paraId="24DFCD3D" w14:textId="54CD8EA5" w:rsidR="00C60F15" w:rsidRDefault="00C60F15">
      <w:pPr>
        <w:pStyle w:val="FootnoteText"/>
      </w:pPr>
      <w:r>
        <w:rPr>
          <w:rStyle w:val="FootnoteReference"/>
        </w:rPr>
        <w:footnoteRef/>
      </w:r>
      <w:r>
        <w:t xml:space="preserve"> </w:t>
      </w:r>
      <w:r w:rsidRPr="00D4245A">
        <w:rPr>
          <w:i/>
        </w:rPr>
        <w:t>See Incentive Ratemaking for Interstate Natural Gas Pipelines, Oil Pipelines, and Electric Utilities</w:t>
      </w:r>
      <w:r>
        <w:t xml:space="preserve">, 61 FERC ¶ 61,168, </w:t>
      </w:r>
      <w:r w:rsidR="007372A6">
        <w:t xml:space="preserve">at </w:t>
      </w:r>
      <w:r>
        <w:t>61,589 (1992) (“[i]</w:t>
      </w:r>
      <w:r w:rsidRPr="00D4245A">
        <w:t>ncentive regulation is focused on making efficient behavior potentially more profitable for utilities because they can retain a share of the benefits of any new cost savings. </w:t>
      </w:r>
      <w:r>
        <w:t xml:space="preserve"> </w:t>
      </w:r>
      <w:r w:rsidRPr="00D4245A">
        <w:rPr>
          <w:bCs/>
        </w:rPr>
        <w:t>Incentive</w:t>
      </w:r>
      <w:r w:rsidRPr="00D4245A">
        <w:t> regulation is not designed to reward </w:t>
      </w:r>
      <w:r w:rsidRPr="00D4245A">
        <w:rPr>
          <w:bCs/>
        </w:rPr>
        <w:t>past</w:t>
      </w:r>
      <w:r w:rsidRPr="00D4245A">
        <w:t> efficient, cost-saving </w:t>
      </w:r>
      <w:r w:rsidRPr="00D4245A">
        <w:rPr>
          <w:bCs/>
        </w:rPr>
        <w:t>behavior</w:t>
      </w:r>
      <w:r>
        <w:t xml:space="preserve">.  </w:t>
      </w:r>
      <w:r w:rsidRPr="00D4245A">
        <w:t>To do so would violate the objective of benefitting customers.</w:t>
      </w:r>
      <w:r>
        <w:t xml:space="preserve">”) </w:t>
      </w:r>
    </w:p>
  </w:footnote>
  <w:footnote w:id="50">
    <w:p w14:paraId="38D1737A" w14:textId="72A89EDD" w:rsidR="00C60F15" w:rsidRDefault="00C60F15">
      <w:pPr>
        <w:pStyle w:val="FootnoteText"/>
      </w:pPr>
      <w:r>
        <w:rPr>
          <w:rStyle w:val="FootnoteReference"/>
        </w:rPr>
        <w:footnoteRef/>
      </w:r>
      <w:r>
        <w:t xml:space="preserve"> Order No. 679, FERC Stats. </w:t>
      </w:r>
      <w:proofErr w:type="gramStart"/>
      <w:r>
        <w:t>&amp; Regs.</w:t>
      </w:r>
      <w:proofErr w:type="gramEnd"/>
      <w:r>
        <w:t xml:space="preserve"> ¶ 31,222 at PP 79-80.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7F2C0" w14:textId="77777777" w:rsidR="00C60F15" w:rsidRDefault="00C60F15" w:rsidP="00723333">
    <w:pPr>
      <w:pStyle w:val="Header"/>
      <w:spacing w:after="240"/>
    </w:pPr>
    <w:r>
      <w:t xml:space="preserve">Docket No. EL15-103-000 </w:t>
    </w:r>
    <w:r>
      <w:tab/>
    </w:r>
    <w:r>
      <w:fldChar w:fldCharType="begin"/>
    </w:r>
    <w:r>
      <w:instrText xml:space="preserve"> PAGE  \* MERGEFORMAT </w:instrText>
    </w:r>
    <w:r>
      <w:fldChar w:fldCharType="separate"/>
    </w:r>
    <w:r w:rsidR="0086726A">
      <w:rPr>
        <w:noProof/>
      </w:rPr>
      <w:t>- 11 -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0D676228"/>
    <w:multiLevelType w:val="hybridMultilevel"/>
    <w:tmpl w:val="B15CA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3">
    <w:nsid w:val="26887AD4"/>
    <w:multiLevelType w:val="hybridMultilevel"/>
    <w:tmpl w:val="42D8CD0C"/>
    <w:lvl w:ilvl="0" w:tplc="84EAA3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78978C6"/>
    <w:multiLevelType w:val="hybridMultilevel"/>
    <w:tmpl w:val="4DB6B9CE"/>
    <w:lvl w:ilvl="0" w:tplc="00AAD87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6759CE"/>
    <w:multiLevelType w:val="hybridMultilevel"/>
    <w:tmpl w:val="D826AB7E"/>
    <w:lvl w:ilvl="0" w:tplc="F6A24E1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377E2C"/>
    <w:multiLevelType w:val="hybridMultilevel"/>
    <w:tmpl w:val="88B29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0C7BAF"/>
    <w:multiLevelType w:val="hybridMultilevel"/>
    <w:tmpl w:val="7DEAFD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ABF6D98"/>
    <w:multiLevelType w:val="hybridMultilevel"/>
    <w:tmpl w:val="AA84149A"/>
    <w:lvl w:ilvl="0" w:tplc="C41C003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80E11F3"/>
    <w:multiLevelType w:val="hybridMultilevel"/>
    <w:tmpl w:val="206E9B2A"/>
    <w:lvl w:ilvl="0" w:tplc="1D5211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8202536"/>
    <w:multiLevelType w:val="multilevel"/>
    <w:tmpl w:val="3DC668F2"/>
    <w:lvl w:ilvl="0">
      <w:start w:val="1"/>
      <w:numFmt w:val="upperRoman"/>
      <w:lvlRestart w:val="0"/>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386"/>
        </w:tabs>
        <w:ind w:left="160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21">
    <w:nsid w:val="4BEF59D1"/>
    <w:multiLevelType w:val="hybridMultilevel"/>
    <w:tmpl w:val="8F10E850"/>
    <w:lvl w:ilvl="0" w:tplc="3C32BE6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674FD5"/>
    <w:multiLevelType w:val="hybridMultilevel"/>
    <w:tmpl w:val="D5A6E014"/>
    <w:lvl w:ilvl="0" w:tplc="84FE6AD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24">
    <w:nsid w:val="7D6674A2"/>
    <w:multiLevelType w:val="hybridMultilevel"/>
    <w:tmpl w:val="5DA61C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E4E4DD3"/>
    <w:multiLevelType w:val="hybridMultilevel"/>
    <w:tmpl w:val="5FAE3248"/>
    <w:lvl w:ilvl="0" w:tplc="D4323D40">
      <w:start w:val="1"/>
      <w:numFmt w:val="decimal"/>
      <w:pStyle w:val="FERCparanumber"/>
      <w:lvlText w:val="%1."/>
      <w:lvlJc w:val="left"/>
      <w:pPr>
        <w:tabs>
          <w:tab w:val="num" w:pos="720"/>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EEE3671"/>
    <w:multiLevelType w:val="hybridMultilevel"/>
    <w:tmpl w:val="A5DC6D44"/>
    <w:lvl w:ilvl="0" w:tplc="60FADA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21"/>
  </w:num>
  <w:num w:numId="3">
    <w:abstractNumId w:val="22"/>
  </w:num>
  <w:num w:numId="4">
    <w:abstractNumId w:val="15"/>
  </w:num>
  <w:num w:numId="5">
    <w:abstractNumId w:val="25"/>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23"/>
  </w:num>
  <w:num w:numId="27">
    <w:abstractNumId w:val="12"/>
  </w:num>
  <w:num w:numId="28">
    <w:abstractNumId w:val="20"/>
  </w:num>
  <w:num w:numId="29">
    <w:abstractNumId w:val="14"/>
  </w:num>
  <w:num w:numId="30">
    <w:abstractNumId w:val="13"/>
  </w:num>
  <w:num w:numId="31">
    <w:abstractNumId w:val="19"/>
  </w:num>
  <w:num w:numId="32">
    <w:abstractNumId w:val="26"/>
  </w:num>
  <w:num w:numId="33">
    <w:abstractNumId w:val="24"/>
  </w:num>
  <w:num w:numId="34">
    <w:abstractNumId w:val="17"/>
  </w:num>
  <w:num w:numId="35">
    <w:abstractNumId w:val="1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4F9"/>
    <w:rsid w:val="00002FED"/>
    <w:rsid w:val="00003B3F"/>
    <w:rsid w:val="000060FC"/>
    <w:rsid w:val="00006E79"/>
    <w:rsid w:val="00007013"/>
    <w:rsid w:val="00010F5F"/>
    <w:rsid w:val="0001111E"/>
    <w:rsid w:val="00015BA4"/>
    <w:rsid w:val="00017BC9"/>
    <w:rsid w:val="00020927"/>
    <w:rsid w:val="0002233B"/>
    <w:rsid w:val="00022A1E"/>
    <w:rsid w:val="00024FF6"/>
    <w:rsid w:val="000306AF"/>
    <w:rsid w:val="00031D91"/>
    <w:rsid w:val="00033A3C"/>
    <w:rsid w:val="000354F3"/>
    <w:rsid w:val="00036021"/>
    <w:rsid w:val="00042BCC"/>
    <w:rsid w:val="00043683"/>
    <w:rsid w:val="00044589"/>
    <w:rsid w:val="0005132E"/>
    <w:rsid w:val="0005218A"/>
    <w:rsid w:val="0005406C"/>
    <w:rsid w:val="00055B09"/>
    <w:rsid w:val="00060AEC"/>
    <w:rsid w:val="00061F05"/>
    <w:rsid w:val="00062415"/>
    <w:rsid w:val="000630E3"/>
    <w:rsid w:val="00063363"/>
    <w:rsid w:val="00064D88"/>
    <w:rsid w:val="0006768F"/>
    <w:rsid w:val="00094059"/>
    <w:rsid w:val="00096098"/>
    <w:rsid w:val="000964CE"/>
    <w:rsid w:val="000973D0"/>
    <w:rsid w:val="000A0B05"/>
    <w:rsid w:val="000A17CF"/>
    <w:rsid w:val="000A3600"/>
    <w:rsid w:val="000A395E"/>
    <w:rsid w:val="000A500F"/>
    <w:rsid w:val="000A6E43"/>
    <w:rsid w:val="000B2263"/>
    <w:rsid w:val="000B2A5B"/>
    <w:rsid w:val="000B32DC"/>
    <w:rsid w:val="000B3933"/>
    <w:rsid w:val="000B5FB2"/>
    <w:rsid w:val="000C1B89"/>
    <w:rsid w:val="000D376F"/>
    <w:rsid w:val="000D6533"/>
    <w:rsid w:val="000D709F"/>
    <w:rsid w:val="000E019F"/>
    <w:rsid w:val="000E0D77"/>
    <w:rsid w:val="000E314D"/>
    <w:rsid w:val="000E3E64"/>
    <w:rsid w:val="000E5DA1"/>
    <w:rsid w:val="000E6E42"/>
    <w:rsid w:val="000E733C"/>
    <w:rsid w:val="000F1A65"/>
    <w:rsid w:val="000F40DE"/>
    <w:rsid w:val="000F4361"/>
    <w:rsid w:val="000F4EEF"/>
    <w:rsid w:val="000F6182"/>
    <w:rsid w:val="001002BF"/>
    <w:rsid w:val="00101744"/>
    <w:rsid w:val="00103B67"/>
    <w:rsid w:val="00107D5A"/>
    <w:rsid w:val="0011005F"/>
    <w:rsid w:val="001116B4"/>
    <w:rsid w:val="001128A5"/>
    <w:rsid w:val="0011549F"/>
    <w:rsid w:val="0011560A"/>
    <w:rsid w:val="001202C0"/>
    <w:rsid w:val="00120778"/>
    <w:rsid w:val="00122EF4"/>
    <w:rsid w:val="00125D6E"/>
    <w:rsid w:val="001278B8"/>
    <w:rsid w:val="00127B80"/>
    <w:rsid w:val="00130484"/>
    <w:rsid w:val="0013289A"/>
    <w:rsid w:val="00135393"/>
    <w:rsid w:val="0014077F"/>
    <w:rsid w:val="00141364"/>
    <w:rsid w:val="00141FB1"/>
    <w:rsid w:val="00144766"/>
    <w:rsid w:val="001450B0"/>
    <w:rsid w:val="00145BF3"/>
    <w:rsid w:val="001460E5"/>
    <w:rsid w:val="00146A35"/>
    <w:rsid w:val="00147246"/>
    <w:rsid w:val="001508EF"/>
    <w:rsid w:val="001541A7"/>
    <w:rsid w:val="0015507A"/>
    <w:rsid w:val="001571B7"/>
    <w:rsid w:val="001619AF"/>
    <w:rsid w:val="00162576"/>
    <w:rsid w:val="001701EA"/>
    <w:rsid w:val="001722E3"/>
    <w:rsid w:val="00173678"/>
    <w:rsid w:val="00176FE3"/>
    <w:rsid w:val="00177390"/>
    <w:rsid w:val="00180B9D"/>
    <w:rsid w:val="0018241A"/>
    <w:rsid w:val="00183FD6"/>
    <w:rsid w:val="001853F5"/>
    <w:rsid w:val="001861FD"/>
    <w:rsid w:val="00196908"/>
    <w:rsid w:val="0019719C"/>
    <w:rsid w:val="001A12DE"/>
    <w:rsid w:val="001A3237"/>
    <w:rsid w:val="001A3347"/>
    <w:rsid w:val="001A4C5E"/>
    <w:rsid w:val="001A509E"/>
    <w:rsid w:val="001A5D72"/>
    <w:rsid w:val="001A68C8"/>
    <w:rsid w:val="001B4D9E"/>
    <w:rsid w:val="001C139A"/>
    <w:rsid w:val="001C17A3"/>
    <w:rsid w:val="001C2ADC"/>
    <w:rsid w:val="001C5E36"/>
    <w:rsid w:val="001D0604"/>
    <w:rsid w:val="001D089C"/>
    <w:rsid w:val="001D3568"/>
    <w:rsid w:val="001D6113"/>
    <w:rsid w:val="001D75C1"/>
    <w:rsid w:val="001D7F9B"/>
    <w:rsid w:val="001E1B1A"/>
    <w:rsid w:val="001E21EE"/>
    <w:rsid w:val="001E2D62"/>
    <w:rsid w:val="001E4A71"/>
    <w:rsid w:val="001F09E0"/>
    <w:rsid w:val="001F1A78"/>
    <w:rsid w:val="001F2EEF"/>
    <w:rsid w:val="001F3934"/>
    <w:rsid w:val="001F7FC3"/>
    <w:rsid w:val="00200B82"/>
    <w:rsid w:val="00202422"/>
    <w:rsid w:val="00204512"/>
    <w:rsid w:val="00206D7D"/>
    <w:rsid w:val="002106AD"/>
    <w:rsid w:val="00214C9E"/>
    <w:rsid w:val="00215AC5"/>
    <w:rsid w:val="00215DA9"/>
    <w:rsid w:val="002205E9"/>
    <w:rsid w:val="002246EF"/>
    <w:rsid w:val="00224865"/>
    <w:rsid w:val="002249CA"/>
    <w:rsid w:val="002314E9"/>
    <w:rsid w:val="0023489A"/>
    <w:rsid w:val="002375ED"/>
    <w:rsid w:val="00240066"/>
    <w:rsid w:val="002426C3"/>
    <w:rsid w:val="00243A8E"/>
    <w:rsid w:val="00252420"/>
    <w:rsid w:val="00252506"/>
    <w:rsid w:val="0025400C"/>
    <w:rsid w:val="0025477F"/>
    <w:rsid w:val="002553AC"/>
    <w:rsid w:val="00255663"/>
    <w:rsid w:val="0025783E"/>
    <w:rsid w:val="00262871"/>
    <w:rsid w:val="00263C7A"/>
    <w:rsid w:val="00263D11"/>
    <w:rsid w:val="0026424F"/>
    <w:rsid w:val="00264564"/>
    <w:rsid w:val="00265970"/>
    <w:rsid w:val="00266808"/>
    <w:rsid w:val="002747B3"/>
    <w:rsid w:val="00274E30"/>
    <w:rsid w:val="002756B8"/>
    <w:rsid w:val="00277D1A"/>
    <w:rsid w:val="00280451"/>
    <w:rsid w:val="0028132C"/>
    <w:rsid w:val="00281B3C"/>
    <w:rsid w:val="00282AF8"/>
    <w:rsid w:val="00282B1D"/>
    <w:rsid w:val="00282D15"/>
    <w:rsid w:val="002852E3"/>
    <w:rsid w:val="0028697E"/>
    <w:rsid w:val="002875D8"/>
    <w:rsid w:val="00287F4E"/>
    <w:rsid w:val="00291716"/>
    <w:rsid w:val="00292AD6"/>
    <w:rsid w:val="00292F36"/>
    <w:rsid w:val="002959F3"/>
    <w:rsid w:val="002A5520"/>
    <w:rsid w:val="002B0506"/>
    <w:rsid w:val="002B0C7A"/>
    <w:rsid w:val="002B6530"/>
    <w:rsid w:val="002B7D27"/>
    <w:rsid w:val="002C1C5D"/>
    <w:rsid w:val="002C24F9"/>
    <w:rsid w:val="002C3700"/>
    <w:rsid w:val="002C4EF3"/>
    <w:rsid w:val="002C566E"/>
    <w:rsid w:val="002D1319"/>
    <w:rsid w:val="002D1796"/>
    <w:rsid w:val="002D52AE"/>
    <w:rsid w:val="002D7D08"/>
    <w:rsid w:val="002E1BD2"/>
    <w:rsid w:val="002E1E26"/>
    <w:rsid w:val="002E1EE4"/>
    <w:rsid w:val="002E36DC"/>
    <w:rsid w:val="002E4290"/>
    <w:rsid w:val="002E6453"/>
    <w:rsid w:val="002E6C23"/>
    <w:rsid w:val="002E7495"/>
    <w:rsid w:val="002E770C"/>
    <w:rsid w:val="002F293A"/>
    <w:rsid w:val="002F2C6F"/>
    <w:rsid w:val="002F39AE"/>
    <w:rsid w:val="002F59AF"/>
    <w:rsid w:val="002F751E"/>
    <w:rsid w:val="00301152"/>
    <w:rsid w:val="003023C7"/>
    <w:rsid w:val="00302619"/>
    <w:rsid w:val="00303ECA"/>
    <w:rsid w:val="0030424D"/>
    <w:rsid w:val="00311B1B"/>
    <w:rsid w:val="0031611A"/>
    <w:rsid w:val="00317114"/>
    <w:rsid w:val="00320784"/>
    <w:rsid w:val="00327290"/>
    <w:rsid w:val="00327573"/>
    <w:rsid w:val="003303B3"/>
    <w:rsid w:val="0033292D"/>
    <w:rsid w:val="003350BC"/>
    <w:rsid w:val="0033571D"/>
    <w:rsid w:val="00341D27"/>
    <w:rsid w:val="0034397E"/>
    <w:rsid w:val="0035077F"/>
    <w:rsid w:val="00350924"/>
    <w:rsid w:val="003519AF"/>
    <w:rsid w:val="00352C04"/>
    <w:rsid w:val="0035446A"/>
    <w:rsid w:val="00354CA4"/>
    <w:rsid w:val="00356443"/>
    <w:rsid w:val="00356DE0"/>
    <w:rsid w:val="003616F2"/>
    <w:rsid w:val="003618AE"/>
    <w:rsid w:val="00364157"/>
    <w:rsid w:val="003720E6"/>
    <w:rsid w:val="003734FE"/>
    <w:rsid w:val="00376D99"/>
    <w:rsid w:val="00377879"/>
    <w:rsid w:val="00380088"/>
    <w:rsid w:val="00381F65"/>
    <w:rsid w:val="00382564"/>
    <w:rsid w:val="00384EF0"/>
    <w:rsid w:val="00385471"/>
    <w:rsid w:val="00385528"/>
    <w:rsid w:val="00386BAB"/>
    <w:rsid w:val="00386D7D"/>
    <w:rsid w:val="00387B47"/>
    <w:rsid w:val="00387FB2"/>
    <w:rsid w:val="00395734"/>
    <w:rsid w:val="00395E13"/>
    <w:rsid w:val="003964B4"/>
    <w:rsid w:val="003A16CB"/>
    <w:rsid w:val="003A1859"/>
    <w:rsid w:val="003A1A81"/>
    <w:rsid w:val="003A21F0"/>
    <w:rsid w:val="003A3A1A"/>
    <w:rsid w:val="003A7663"/>
    <w:rsid w:val="003B0BF6"/>
    <w:rsid w:val="003B11EF"/>
    <w:rsid w:val="003B624D"/>
    <w:rsid w:val="003B708B"/>
    <w:rsid w:val="003B7584"/>
    <w:rsid w:val="003C31A8"/>
    <w:rsid w:val="003D3C82"/>
    <w:rsid w:val="003D3EF2"/>
    <w:rsid w:val="003D7058"/>
    <w:rsid w:val="003E2258"/>
    <w:rsid w:val="003E36DD"/>
    <w:rsid w:val="003E4593"/>
    <w:rsid w:val="003E5C8D"/>
    <w:rsid w:val="003F011D"/>
    <w:rsid w:val="003F0247"/>
    <w:rsid w:val="003F4ECB"/>
    <w:rsid w:val="003F54F3"/>
    <w:rsid w:val="003F590E"/>
    <w:rsid w:val="003F6A14"/>
    <w:rsid w:val="003F6EDE"/>
    <w:rsid w:val="003F78B8"/>
    <w:rsid w:val="0040233E"/>
    <w:rsid w:val="00410457"/>
    <w:rsid w:val="0041358C"/>
    <w:rsid w:val="004210A2"/>
    <w:rsid w:val="00423354"/>
    <w:rsid w:val="004262FF"/>
    <w:rsid w:val="0042632A"/>
    <w:rsid w:val="00426D49"/>
    <w:rsid w:val="0043382D"/>
    <w:rsid w:val="0043427F"/>
    <w:rsid w:val="00435317"/>
    <w:rsid w:val="00435F5E"/>
    <w:rsid w:val="00436451"/>
    <w:rsid w:val="00443B68"/>
    <w:rsid w:val="004441D5"/>
    <w:rsid w:val="00444FC9"/>
    <w:rsid w:val="004456FB"/>
    <w:rsid w:val="004457FF"/>
    <w:rsid w:val="00447165"/>
    <w:rsid w:val="004504FE"/>
    <w:rsid w:val="00450972"/>
    <w:rsid w:val="00453AA9"/>
    <w:rsid w:val="0045406D"/>
    <w:rsid w:val="004561CC"/>
    <w:rsid w:val="00456DF6"/>
    <w:rsid w:val="00461B52"/>
    <w:rsid w:val="0046225D"/>
    <w:rsid w:val="00463A19"/>
    <w:rsid w:val="004675D3"/>
    <w:rsid w:val="00472AED"/>
    <w:rsid w:val="00472C0E"/>
    <w:rsid w:val="004737BF"/>
    <w:rsid w:val="00476E2C"/>
    <w:rsid w:val="00481C81"/>
    <w:rsid w:val="00485328"/>
    <w:rsid w:val="00493467"/>
    <w:rsid w:val="0049353F"/>
    <w:rsid w:val="004943A1"/>
    <w:rsid w:val="00494BF5"/>
    <w:rsid w:val="00495B6D"/>
    <w:rsid w:val="00495D49"/>
    <w:rsid w:val="00497893"/>
    <w:rsid w:val="004A0C80"/>
    <w:rsid w:val="004A2E84"/>
    <w:rsid w:val="004B480B"/>
    <w:rsid w:val="004B4F19"/>
    <w:rsid w:val="004B5B9D"/>
    <w:rsid w:val="004C06EE"/>
    <w:rsid w:val="004C5DA2"/>
    <w:rsid w:val="004D0548"/>
    <w:rsid w:val="004D09FF"/>
    <w:rsid w:val="004D1E5E"/>
    <w:rsid w:val="004D543A"/>
    <w:rsid w:val="004D723B"/>
    <w:rsid w:val="004E021C"/>
    <w:rsid w:val="004E0FFD"/>
    <w:rsid w:val="004E12B0"/>
    <w:rsid w:val="004E1EEC"/>
    <w:rsid w:val="004E50F6"/>
    <w:rsid w:val="004F0FB4"/>
    <w:rsid w:val="004F2265"/>
    <w:rsid w:val="004F3359"/>
    <w:rsid w:val="00500594"/>
    <w:rsid w:val="005024D6"/>
    <w:rsid w:val="00502A03"/>
    <w:rsid w:val="00510866"/>
    <w:rsid w:val="005120DC"/>
    <w:rsid w:val="00512F51"/>
    <w:rsid w:val="0052383E"/>
    <w:rsid w:val="00530096"/>
    <w:rsid w:val="00531C65"/>
    <w:rsid w:val="005334B1"/>
    <w:rsid w:val="0053381C"/>
    <w:rsid w:val="00537319"/>
    <w:rsid w:val="0053745E"/>
    <w:rsid w:val="00537B6C"/>
    <w:rsid w:val="00540649"/>
    <w:rsid w:val="005418C6"/>
    <w:rsid w:val="00542F37"/>
    <w:rsid w:val="00546996"/>
    <w:rsid w:val="00552097"/>
    <w:rsid w:val="0055424A"/>
    <w:rsid w:val="00554A45"/>
    <w:rsid w:val="00555578"/>
    <w:rsid w:val="00556527"/>
    <w:rsid w:val="00556EBF"/>
    <w:rsid w:val="0056269C"/>
    <w:rsid w:val="005662D9"/>
    <w:rsid w:val="00567458"/>
    <w:rsid w:val="00570E0E"/>
    <w:rsid w:val="00572737"/>
    <w:rsid w:val="0057509C"/>
    <w:rsid w:val="00576F39"/>
    <w:rsid w:val="00576F77"/>
    <w:rsid w:val="00577AED"/>
    <w:rsid w:val="00580CB1"/>
    <w:rsid w:val="00585DED"/>
    <w:rsid w:val="0058701D"/>
    <w:rsid w:val="00587397"/>
    <w:rsid w:val="005947DC"/>
    <w:rsid w:val="00597BE5"/>
    <w:rsid w:val="005A0791"/>
    <w:rsid w:val="005A1771"/>
    <w:rsid w:val="005A2D11"/>
    <w:rsid w:val="005A3527"/>
    <w:rsid w:val="005A4BB1"/>
    <w:rsid w:val="005A77EE"/>
    <w:rsid w:val="005B010D"/>
    <w:rsid w:val="005B19E1"/>
    <w:rsid w:val="005B7E3F"/>
    <w:rsid w:val="005C2368"/>
    <w:rsid w:val="005C403F"/>
    <w:rsid w:val="005C4D56"/>
    <w:rsid w:val="005C5EC8"/>
    <w:rsid w:val="005C6149"/>
    <w:rsid w:val="005C7358"/>
    <w:rsid w:val="005D36C6"/>
    <w:rsid w:val="005E06A1"/>
    <w:rsid w:val="005E0B8C"/>
    <w:rsid w:val="005E1AA5"/>
    <w:rsid w:val="005E5F81"/>
    <w:rsid w:val="005E72AF"/>
    <w:rsid w:val="005E77AD"/>
    <w:rsid w:val="005F037C"/>
    <w:rsid w:val="005F25F1"/>
    <w:rsid w:val="005F29EC"/>
    <w:rsid w:val="005F4D82"/>
    <w:rsid w:val="005F50C0"/>
    <w:rsid w:val="005F54F6"/>
    <w:rsid w:val="005F6418"/>
    <w:rsid w:val="00604FE9"/>
    <w:rsid w:val="00605E2F"/>
    <w:rsid w:val="0060755E"/>
    <w:rsid w:val="00610202"/>
    <w:rsid w:val="0061075E"/>
    <w:rsid w:val="00614B9A"/>
    <w:rsid w:val="00614FAD"/>
    <w:rsid w:val="00615052"/>
    <w:rsid w:val="00617427"/>
    <w:rsid w:val="006244EC"/>
    <w:rsid w:val="006330EA"/>
    <w:rsid w:val="00633C2C"/>
    <w:rsid w:val="00634F36"/>
    <w:rsid w:val="00636C6F"/>
    <w:rsid w:val="00640844"/>
    <w:rsid w:val="00641534"/>
    <w:rsid w:val="00656F9C"/>
    <w:rsid w:val="006575F9"/>
    <w:rsid w:val="00661719"/>
    <w:rsid w:val="006630B7"/>
    <w:rsid w:val="0066511C"/>
    <w:rsid w:val="006657F4"/>
    <w:rsid w:val="00666626"/>
    <w:rsid w:val="006667AE"/>
    <w:rsid w:val="00667AA4"/>
    <w:rsid w:val="006745E7"/>
    <w:rsid w:val="00676722"/>
    <w:rsid w:val="00676EFA"/>
    <w:rsid w:val="00677583"/>
    <w:rsid w:val="00677BE0"/>
    <w:rsid w:val="00680B5A"/>
    <w:rsid w:val="00682BA3"/>
    <w:rsid w:val="0068394F"/>
    <w:rsid w:val="006843A4"/>
    <w:rsid w:val="00686596"/>
    <w:rsid w:val="00686DC3"/>
    <w:rsid w:val="00691FD2"/>
    <w:rsid w:val="006925A1"/>
    <w:rsid w:val="00692769"/>
    <w:rsid w:val="00693007"/>
    <w:rsid w:val="00694199"/>
    <w:rsid w:val="006960C2"/>
    <w:rsid w:val="006A0444"/>
    <w:rsid w:val="006A1747"/>
    <w:rsid w:val="006A57D4"/>
    <w:rsid w:val="006A7ADB"/>
    <w:rsid w:val="006B1653"/>
    <w:rsid w:val="006B19A6"/>
    <w:rsid w:val="006C1639"/>
    <w:rsid w:val="006C3221"/>
    <w:rsid w:val="006C358A"/>
    <w:rsid w:val="006C7846"/>
    <w:rsid w:val="006D21F4"/>
    <w:rsid w:val="006E031B"/>
    <w:rsid w:val="006E1532"/>
    <w:rsid w:val="006E1C49"/>
    <w:rsid w:val="006E28A5"/>
    <w:rsid w:val="006E5AF2"/>
    <w:rsid w:val="006E7986"/>
    <w:rsid w:val="006E7D7D"/>
    <w:rsid w:val="006F18D5"/>
    <w:rsid w:val="006F3629"/>
    <w:rsid w:val="006F3994"/>
    <w:rsid w:val="006F4DD5"/>
    <w:rsid w:val="006F62EE"/>
    <w:rsid w:val="006F7ADD"/>
    <w:rsid w:val="00701F57"/>
    <w:rsid w:val="00705464"/>
    <w:rsid w:val="00706F67"/>
    <w:rsid w:val="0070707C"/>
    <w:rsid w:val="00707F34"/>
    <w:rsid w:val="00712AF9"/>
    <w:rsid w:val="00714517"/>
    <w:rsid w:val="00714A1A"/>
    <w:rsid w:val="0071730A"/>
    <w:rsid w:val="0072033A"/>
    <w:rsid w:val="007211B3"/>
    <w:rsid w:val="007232DD"/>
    <w:rsid w:val="00723333"/>
    <w:rsid w:val="00723A08"/>
    <w:rsid w:val="007251C1"/>
    <w:rsid w:val="00726AB4"/>
    <w:rsid w:val="00730373"/>
    <w:rsid w:val="00730860"/>
    <w:rsid w:val="00731A9B"/>
    <w:rsid w:val="00733A37"/>
    <w:rsid w:val="00734A04"/>
    <w:rsid w:val="007372A6"/>
    <w:rsid w:val="00744876"/>
    <w:rsid w:val="00745DCF"/>
    <w:rsid w:val="00750123"/>
    <w:rsid w:val="00751675"/>
    <w:rsid w:val="00752303"/>
    <w:rsid w:val="00755061"/>
    <w:rsid w:val="007571B8"/>
    <w:rsid w:val="007605A6"/>
    <w:rsid w:val="007612C7"/>
    <w:rsid w:val="00761496"/>
    <w:rsid w:val="00763AB9"/>
    <w:rsid w:val="00765527"/>
    <w:rsid w:val="00765D80"/>
    <w:rsid w:val="00766734"/>
    <w:rsid w:val="00766EED"/>
    <w:rsid w:val="007672A3"/>
    <w:rsid w:val="00767DDD"/>
    <w:rsid w:val="00775174"/>
    <w:rsid w:val="00777A8A"/>
    <w:rsid w:val="007807D8"/>
    <w:rsid w:val="00780B6B"/>
    <w:rsid w:val="00783DE2"/>
    <w:rsid w:val="00783E22"/>
    <w:rsid w:val="00784577"/>
    <w:rsid w:val="007871F4"/>
    <w:rsid w:val="007902D3"/>
    <w:rsid w:val="0079694A"/>
    <w:rsid w:val="007974D5"/>
    <w:rsid w:val="00797B72"/>
    <w:rsid w:val="007A0126"/>
    <w:rsid w:val="007A1342"/>
    <w:rsid w:val="007A1743"/>
    <w:rsid w:val="007A4B84"/>
    <w:rsid w:val="007A684A"/>
    <w:rsid w:val="007B06D8"/>
    <w:rsid w:val="007B1D95"/>
    <w:rsid w:val="007B224A"/>
    <w:rsid w:val="007B3D9E"/>
    <w:rsid w:val="007B684F"/>
    <w:rsid w:val="007B7761"/>
    <w:rsid w:val="007C07A4"/>
    <w:rsid w:val="007C6850"/>
    <w:rsid w:val="007C7542"/>
    <w:rsid w:val="007D0129"/>
    <w:rsid w:val="007D222A"/>
    <w:rsid w:val="007D4408"/>
    <w:rsid w:val="007D4552"/>
    <w:rsid w:val="007D5651"/>
    <w:rsid w:val="007D5813"/>
    <w:rsid w:val="007D7692"/>
    <w:rsid w:val="007E1F86"/>
    <w:rsid w:val="007E26D4"/>
    <w:rsid w:val="007E4499"/>
    <w:rsid w:val="007E514B"/>
    <w:rsid w:val="007E5582"/>
    <w:rsid w:val="007E6EC4"/>
    <w:rsid w:val="007E784B"/>
    <w:rsid w:val="007F026A"/>
    <w:rsid w:val="007F06D5"/>
    <w:rsid w:val="007F5B13"/>
    <w:rsid w:val="00800DA5"/>
    <w:rsid w:val="0080177E"/>
    <w:rsid w:val="008033C9"/>
    <w:rsid w:val="0080457E"/>
    <w:rsid w:val="00807ACC"/>
    <w:rsid w:val="00812D06"/>
    <w:rsid w:val="00814337"/>
    <w:rsid w:val="008161C6"/>
    <w:rsid w:val="00816930"/>
    <w:rsid w:val="008179D7"/>
    <w:rsid w:val="00820DAC"/>
    <w:rsid w:val="008218E9"/>
    <w:rsid w:val="00823B3F"/>
    <w:rsid w:val="0082506E"/>
    <w:rsid w:val="0082741E"/>
    <w:rsid w:val="00827F8F"/>
    <w:rsid w:val="00832487"/>
    <w:rsid w:val="0083383A"/>
    <w:rsid w:val="00834CCC"/>
    <w:rsid w:val="008414A3"/>
    <w:rsid w:val="00841F97"/>
    <w:rsid w:val="008437B4"/>
    <w:rsid w:val="00844606"/>
    <w:rsid w:val="00852557"/>
    <w:rsid w:val="00853855"/>
    <w:rsid w:val="00857315"/>
    <w:rsid w:val="00861ED1"/>
    <w:rsid w:val="00862A00"/>
    <w:rsid w:val="00864064"/>
    <w:rsid w:val="0086726A"/>
    <w:rsid w:val="00867C22"/>
    <w:rsid w:val="00867FBB"/>
    <w:rsid w:val="008716BA"/>
    <w:rsid w:val="00872517"/>
    <w:rsid w:val="00874227"/>
    <w:rsid w:val="0087529D"/>
    <w:rsid w:val="00876A75"/>
    <w:rsid w:val="008776B4"/>
    <w:rsid w:val="008803E8"/>
    <w:rsid w:val="008823F6"/>
    <w:rsid w:val="00882F9A"/>
    <w:rsid w:val="008852CB"/>
    <w:rsid w:val="00885696"/>
    <w:rsid w:val="0088645D"/>
    <w:rsid w:val="008869A8"/>
    <w:rsid w:val="00893545"/>
    <w:rsid w:val="00894221"/>
    <w:rsid w:val="0089436E"/>
    <w:rsid w:val="00895DEE"/>
    <w:rsid w:val="00896950"/>
    <w:rsid w:val="008A2BA0"/>
    <w:rsid w:val="008A3608"/>
    <w:rsid w:val="008A40D3"/>
    <w:rsid w:val="008A657C"/>
    <w:rsid w:val="008A683B"/>
    <w:rsid w:val="008A6D34"/>
    <w:rsid w:val="008A6F07"/>
    <w:rsid w:val="008A7EBF"/>
    <w:rsid w:val="008B5B91"/>
    <w:rsid w:val="008C0449"/>
    <w:rsid w:val="008C127E"/>
    <w:rsid w:val="008C6B3C"/>
    <w:rsid w:val="008D3733"/>
    <w:rsid w:val="008D6DF8"/>
    <w:rsid w:val="008D6E09"/>
    <w:rsid w:val="008E1246"/>
    <w:rsid w:val="008E2544"/>
    <w:rsid w:val="008E51FD"/>
    <w:rsid w:val="008E609A"/>
    <w:rsid w:val="008F0280"/>
    <w:rsid w:val="008F3326"/>
    <w:rsid w:val="008F35CE"/>
    <w:rsid w:val="008F7061"/>
    <w:rsid w:val="00900185"/>
    <w:rsid w:val="00901B84"/>
    <w:rsid w:val="009052C9"/>
    <w:rsid w:val="00905D5E"/>
    <w:rsid w:val="00906095"/>
    <w:rsid w:val="00907891"/>
    <w:rsid w:val="00911681"/>
    <w:rsid w:val="0091237B"/>
    <w:rsid w:val="009154E1"/>
    <w:rsid w:val="00916F9D"/>
    <w:rsid w:val="0092158A"/>
    <w:rsid w:val="00926267"/>
    <w:rsid w:val="00931642"/>
    <w:rsid w:val="00931B95"/>
    <w:rsid w:val="009322F4"/>
    <w:rsid w:val="009354C2"/>
    <w:rsid w:val="00937667"/>
    <w:rsid w:val="00940FCB"/>
    <w:rsid w:val="00942B69"/>
    <w:rsid w:val="00944A60"/>
    <w:rsid w:val="009450DA"/>
    <w:rsid w:val="00947FB3"/>
    <w:rsid w:val="009503C6"/>
    <w:rsid w:val="00951D2F"/>
    <w:rsid w:val="009545B4"/>
    <w:rsid w:val="00955701"/>
    <w:rsid w:val="009558F3"/>
    <w:rsid w:val="00961780"/>
    <w:rsid w:val="00967F42"/>
    <w:rsid w:val="009708D3"/>
    <w:rsid w:val="00972AAC"/>
    <w:rsid w:val="0097498F"/>
    <w:rsid w:val="009766EB"/>
    <w:rsid w:val="009770AA"/>
    <w:rsid w:val="00986EB4"/>
    <w:rsid w:val="00993245"/>
    <w:rsid w:val="009963AE"/>
    <w:rsid w:val="00997F5D"/>
    <w:rsid w:val="009A1C9E"/>
    <w:rsid w:val="009A1FB4"/>
    <w:rsid w:val="009A2444"/>
    <w:rsid w:val="009A2AE8"/>
    <w:rsid w:val="009A37C2"/>
    <w:rsid w:val="009A6C0D"/>
    <w:rsid w:val="009A7C54"/>
    <w:rsid w:val="009B0E7F"/>
    <w:rsid w:val="009B3377"/>
    <w:rsid w:val="009B7AE7"/>
    <w:rsid w:val="009B7D12"/>
    <w:rsid w:val="009C01CF"/>
    <w:rsid w:val="009C1EC8"/>
    <w:rsid w:val="009C2AF9"/>
    <w:rsid w:val="009C2D92"/>
    <w:rsid w:val="009C34B8"/>
    <w:rsid w:val="009C52B0"/>
    <w:rsid w:val="009C6716"/>
    <w:rsid w:val="009C7139"/>
    <w:rsid w:val="009D2BC5"/>
    <w:rsid w:val="009E0976"/>
    <w:rsid w:val="009E2C52"/>
    <w:rsid w:val="009E3279"/>
    <w:rsid w:val="009E74EC"/>
    <w:rsid w:val="009E776A"/>
    <w:rsid w:val="009F64CC"/>
    <w:rsid w:val="009F6F90"/>
    <w:rsid w:val="009F7845"/>
    <w:rsid w:val="00A037C0"/>
    <w:rsid w:val="00A050F9"/>
    <w:rsid w:val="00A05180"/>
    <w:rsid w:val="00A074CF"/>
    <w:rsid w:val="00A1021A"/>
    <w:rsid w:val="00A152AE"/>
    <w:rsid w:val="00A20DA0"/>
    <w:rsid w:val="00A236C8"/>
    <w:rsid w:val="00A2517A"/>
    <w:rsid w:val="00A27804"/>
    <w:rsid w:val="00A30B24"/>
    <w:rsid w:val="00A30BCA"/>
    <w:rsid w:val="00A30BD3"/>
    <w:rsid w:val="00A30DA2"/>
    <w:rsid w:val="00A30DAD"/>
    <w:rsid w:val="00A31D97"/>
    <w:rsid w:val="00A32891"/>
    <w:rsid w:val="00A34988"/>
    <w:rsid w:val="00A37CED"/>
    <w:rsid w:val="00A40C40"/>
    <w:rsid w:val="00A418E0"/>
    <w:rsid w:val="00A425FC"/>
    <w:rsid w:val="00A45077"/>
    <w:rsid w:val="00A509AD"/>
    <w:rsid w:val="00A51AA5"/>
    <w:rsid w:val="00A538C2"/>
    <w:rsid w:val="00A54FE6"/>
    <w:rsid w:val="00A5652D"/>
    <w:rsid w:val="00A6050A"/>
    <w:rsid w:val="00A60B91"/>
    <w:rsid w:val="00A64EF9"/>
    <w:rsid w:val="00A67E7C"/>
    <w:rsid w:val="00A717E0"/>
    <w:rsid w:val="00A722CB"/>
    <w:rsid w:val="00A7447E"/>
    <w:rsid w:val="00A75A54"/>
    <w:rsid w:val="00A75C92"/>
    <w:rsid w:val="00A85234"/>
    <w:rsid w:val="00A878C3"/>
    <w:rsid w:val="00A87BCA"/>
    <w:rsid w:val="00A94540"/>
    <w:rsid w:val="00A94C8B"/>
    <w:rsid w:val="00A963D1"/>
    <w:rsid w:val="00A96723"/>
    <w:rsid w:val="00AA2187"/>
    <w:rsid w:val="00AA3A20"/>
    <w:rsid w:val="00AA5211"/>
    <w:rsid w:val="00AA7390"/>
    <w:rsid w:val="00AB1615"/>
    <w:rsid w:val="00AB16BD"/>
    <w:rsid w:val="00AB196F"/>
    <w:rsid w:val="00AB1A40"/>
    <w:rsid w:val="00AB2BD5"/>
    <w:rsid w:val="00AB4491"/>
    <w:rsid w:val="00AB53F7"/>
    <w:rsid w:val="00AB60D7"/>
    <w:rsid w:val="00AB6D36"/>
    <w:rsid w:val="00AC060A"/>
    <w:rsid w:val="00AC1654"/>
    <w:rsid w:val="00AC4D29"/>
    <w:rsid w:val="00AD2FFD"/>
    <w:rsid w:val="00AD4FE9"/>
    <w:rsid w:val="00AD5047"/>
    <w:rsid w:val="00AD5C00"/>
    <w:rsid w:val="00AD75AA"/>
    <w:rsid w:val="00AE12C7"/>
    <w:rsid w:val="00AE217F"/>
    <w:rsid w:val="00AE2AF2"/>
    <w:rsid w:val="00AE457D"/>
    <w:rsid w:val="00AE55C0"/>
    <w:rsid w:val="00AE617C"/>
    <w:rsid w:val="00AE7954"/>
    <w:rsid w:val="00AF0534"/>
    <w:rsid w:val="00AF0A6E"/>
    <w:rsid w:val="00AF1D9D"/>
    <w:rsid w:val="00AF3D5C"/>
    <w:rsid w:val="00AF59E1"/>
    <w:rsid w:val="00AF6DFA"/>
    <w:rsid w:val="00B00791"/>
    <w:rsid w:val="00B030B7"/>
    <w:rsid w:val="00B06834"/>
    <w:rsid w:val="00B070B7"/>
    <w:rsid w:val="00B072C8"/>
    <w:rsid w:val="00B118F2"/>
    <w:rsid w:val="00B13E21"/>
    <w:rsid w:val="00B16BCF"/>
    <w:rsid w:val="00B225FB"/>
    <w:rsid w:val="00B22A30"/>
    <w:rsid w:val="00B2403C"/>
    <w:rsid w:val="00B2426C"/>
    <w:rsid w:val="00B25444"/>
    <w:rsid w:val="00B30196"/>
    <w:rsid w:val="00B32A7F"/>
    <w:rsid w:val="00B3544A"/>
    <w:rsid w:val="00B379E8"/>
    <w:rsid w:val="00B42715"/>
    <w:rsid w:val="00B42796"/>
    <w:rsid w:val="00B44677"/>
    <w:rsid w:val="00B463BB"/>
    <w:rsid w:val="00B46D7E"/>
    <w:rsid w:val="00B47977"/>
    <w:rsid w:val="00B5302D"/>
    <w:rsid w:val="00B5772E"/>
    <w:rsid w:val="00B61DED"/>
    <w:rsid w:val="00B63C36"/>
    <w:rsid w:val="00B64A79"/>
    <w:rsid w:val="00B65B55"/>
    <w:rsid w:val="00B70C77"/>
    <w:rsid w:val="00B763F1"/>
    <w:rsid w:val="00B77873"/>
    <w:rsid w:val="00B802A1"/>
    <w:rsid w:val="00B84CED"/>
    <w:rsid w:val="00B86965"/>
    <w:rsid w:val="00B923EE"/>
    <w:rsid w:val="00BA0224"/>
    <w:rsid w:val="00BA078B"/>
    <w:rsid w:val="00BA0FE6"/>
    <w:rsid w:val="00BA1434"/>
    <w:rsid w:val="00BA23E3"/>
    <w:rsid w:val="00BA467E"/>
    <w:rsid w:val="00BA6703"/>
    <w:rsid w:val="00BB272B"/>
    <w:rsid w:val="00BB4083"/>
    <w:rsid w:val="00BB5AB5"/>
    <w:rsid w:val="00BB7AC9"/>
    <w:rsid w:val="00BC02B9"/>
    <w:rsid w:val="00BC2136"/>
    <w:rsid w:val="00BD2B87"/>
    <w:rsid w:val="00BD33D5"/>
    <w:rsid w:val="00BD38C9"/>
    <w:rsid w:val="00BD6329"/>
    <w:rsid w:val="00BD64F5"/>
    <w:rsid w:val="00BD7383"/>
    <w:rsid w:val="00BE0FDE"/>
    <w:rsid w:val="00BE140B"/>
    <w:rsid w:val="00BE5080"/>
    <w:rsid w:val="00BF2DF8"/>
    <w:rsid w:val="00BF4F90"/>
    <w:rsid w:val="00C0003C"/>
    <w:rsid w:val="00C014F6"/>
    <w:rsid w:val="00C01DA2"/>
    <w:rsid w:val="00C03015"/>
    <w:rsid w:val="00C04438"/>
    <w:rsid w:val="00C04BFE"/>
    <w:rsid w:val="00C06C1B"/>
    <w:rsid w:val="00C07E8D"/>
    <w:rsid w:val="00C11B80"/>
    <w:rsid w:val="00C16CFA"/>
    <w:rsid w:val="00C20D04"/>
    <w:rsid w:val="00C2113C"/>
    <w:rsid w:val="00C21D9F"/>
    <w:rsid w:val="00C22E39"/>
    <w:rsid w:val="00C23226"/>
    <w:rsid w:val="00C2391F"/>
    <w:rsid w:val="00C246DC"/>
    <w:rsid w:val="00C24A04"/>
    <w:rsid w:val="00C27265"/>
    <w:rsid w:val="00C315B9"/>
    <w:rsid w:val="00C31BFE"/>
    <w:rsid w:val="00C325B1"/>
    <w:rsid w:val="00C34176"/>
    <w:rsid w:val="00C35CF5"/>
    <w:rsid w:val="00C360CF"/>
    <w:rsid w:val="00C367F9"/>
    <w:rsid w:val="00C4261F"/>
    <w:rsid w:val="00C43203"/>
    <w:rsid w:val="00C44F80"/>
    <w:rsid w:val="00C45720"/>
    <w:rsid w:val="00C5256F"/>
    <w:rsid w:val="00C54098"/>
    <w:rsid w:val="00C574CB"/>
    <w:rsid w:val="00C608E1"/>
    <w:rsid w:val="00C60F15"/>
    <w:rsid w:val="00C630BA"/>
    <w:rsid w:val="00C63BD1"/>
    <w:rsid w:val="00C658BA"/>
    <w:rsid w:val="00C66527"/>
    <w:rsid w:val="00C673F9"/>
    <w:rsid w:val="00C67E23"/>
    <w:rsid w:val="00C72A7C"/>
    <w:rsid w:val="00C7399D"/>
    <w:rsid w:val="00C7695A"/>
    <w:rsid w:val="00C7728C"/>
    <w:rsid w:val="00C802C1"/>
    <w:rsid w:val="00C822C2"/>
    <w:rsid w:val="00C86407"/>
    <w:rsid w:val="00C9149E"/>
    <w:rsid w:val="00C948F4"/>
    <w:rsid w:val="00C95242"/>
    <w:rsid w:val="00C966FA"/>
    <w:rsid w:val="00C96AD2"/>
    <w:rsid w:val="00CA199C"/>
    <w:rsid w:val="00CA4DFC"/>
    <w:rsid w:val="00CB1209"/>
    <w:rsid w:val="00CB2852"/>
    <w:rsid w:val="00CB2868"/>
    <w:rsid w:val="00CB3BBD"/>
    <w:rsid w:val="00CB7B52"/>
    <w:rsid w:val="00CC2BB7"/>
    <w:rsid w:val="00CC538F"/>
    <w:rsid w:val="00CD1869"/>
    <w:rsid w:val="00CD24EE"/>
    <w:rsid w:val="00CD2859"/>
    <w:rsid w:val="00CD5047"/>
    <w:rsid w:val="00CE0BFD"/>
    <w:rsid w:val="00CE15E5"/>
    <w:rsid w:val="00CE47A2"/>
    <w:rsid w:val="00CE4DE3"/>
    <w:rsid w:val="00CE5A75"/>
    <w:rsid w:val="00CF15D4"/>
    <w:rsid w:val="00CF59F1"/>
    <w:rsid w:val="00CF5E99"/>
    <w:rsid w:val="00D00F19"/>
    <w:rsid w:val="00D00F99"/>
    <w:rsid w:val="00D02600"/>
    <w:rsid w:val="00D026CF"/>
    <w:rsid w:val="00D030A0"/>
    <w:rsid w:val="00D1062D"/>
    <w:rsid w:val="00D12577"/>
    <w:rsid w:val="00D13958"/>
    <w:rsid w:val="00D14844"/>
    <w:rsid w:val="00D15898"/>
    <w:rsid w:val="00D169AE"/>
    <w:rsid w:val="00D17AD7"/>
    <w:rsid w:val="00D17C3F"/>
    <w:rsid w:val="00D17D85"/>
    <w:rsid w:val="00D21A12"/>
    <w:rsid w:val="00D2376A"/>
    <w:rsid w:val="00D24990"/>
    <w:rsid w:val="00D258EC"/>
    <w:rsid w:val="00D25FF9"/>
    <w:rsid w:val="00D27403"/>
    <w:rsid w:val="00D305C0"/>
    <w:rsid w:val="00D327C8"/>
    <w:rsid w:val="00D32B2D"/>
    <w:rsid w:val="00D3301D"/>
    <w:rsid w:val="00D34D2A"/>
    <w:rsid w:val="00D35EEF"/>
    <w:rsid w:val="00D405E9"/>
    <w:rsid w:val="00D4245A"/>
    <w:rsid w:val="00D43BC8"/>
    <w:rsid w:val="00D463C2"/>
    <w:rsid w:val="00D5082E"/>
    <w:rsid w:val="00D54FA2"/>
    <w:rsid w:val="00D55B21"/>
    <w:rsid w:val="00D566A9"/>
    <w:rsid w:val="00D56C9A"/>
    <w:rsid w:val="00D615FF"/>
    <w:rsid w:val="00D67F2F"/>
    <w:rsid w:val="00D70563"/>
    <w:rsid w:val="00D73C44"/>
    <w:rsid w:val="00D811FB"/>
    <w:rsid w:val="00D8140E"/>
    <w:rsid w:val="00D82608"/>
    <w:rsid w:val="00D83AF9"/>
    <w:rsid w:val="00D85C63"/>
    <w:rsid w:val="00D862CD"/>
    <w:rsid w:val="00D93E04"/>
    <w:rsid w:val="00DA0D86"/>
    <w:rsid w:val="00DA12E3"/>
    <w:rsid w:val="00DA2267"/>
    <w:rsid w:val="00DA455A"/>
    <w:rsid w:val="00DA68C9"/>
    <w:rsid w:val="00DA7897"/>
    <w:rsid w:val="00DA7990"/>
    <w:rsid w:val="00DB292C"/>
    <w:rsid w:val="00DB3338"/>
    <w:rsid w:val="00DB674A"/>
    <w:rsid w:val="00DB7789"/>
    <w:rsid w:val="00DC034C"/>
    <w:rsid w:val="00DC1EE7"/>
    <w:rsid w:val="00DC2CE0"/>
    <w:rsid w:val="00DC2ED9"/>
    <w:rsid w:val="00DC30CC"/>
    <w:rsid w:val="00DC3F09"/>
    <w:rsid w:val="00DC49B5"/>
    <w:rsid w:val="00DD2C64"/>
    <w:rsid w:val="00DD5B6C"/>
    <w:rsid w:val="00DD6F64"/>
    <w:rsid w:val="00DD7707"/>
    <w:rsid w:val="00DE0986"/>
    <w:rsid w:val="00DE3E2B"/>
    <w:rsid w:val="00DE4B34"/>
    <w:rsid w:val="00DE635F"/>
    <w:rsid w:val="00DF0B39"/>
    <w:rsid w:val="00DF0CB9"/>
    <w:rsid w:val="00DF27A5"/>
    <w:rsid w:val="00DF5DDB"/>
    <w:rsid w:val="00DF5F91"/>
    <w:rsid w:val="00E020BC"/>
    <w:rsid w:val="00E04992"/>
    <w:rsid w:val="00E04CFE"/>
    <w:rsid w:val="00E13C93"/>
    <w:rsid w:val="00E14A60"/>
    <w:rsid w:val="00E14F22"/>
    <w:rsid w:val="00E15741"/>
    <w:rsid w:val="00E16A64"/>
    <w:rsid w:val="00E17ECF"/>
    <w:rsid w:val="00E20B75"/>
    <w:rsid w:val="00E24691"/>
    <w:rsid w:val="00E358A2"/>
    <w:rsid w:val="00E408C4"/>
    <w:rsid w:val="00E44066"/>
    <w:rsid w:val="00E524EF"/>
    <w:rsid w:val="00E54A4F"/>
    <w:rsid w:val="00E575F6"/>
    <w:rsid w:val="00E63811"/>
    <w:rsid w:val="00E6387B"/>
    <w:rsid w:val="00E6550B"/>
    <w:rsid w:val="00E75A6B"/>
    <w:rsid w:val="00E7774A"/>
    <w:rsid w:val="00E82AC1"/>
    <w:rsid w:val="00E83E2E"/>
    <w:rsid w:val="00E853D8"/>
    <w:rsid w:val="00E87CDF"/>
    <w:rsid w:val="00E9151D"/>
    <w:rsid w:val="00E9182F"/>
    <w:rsid w:val="00E92139"/>
    <w:rsid w:val="00E93235"/>
    <w:rsid w:val="00E93B37"/>
    <w:rsid w:val="00E94983"/>
    <w:rsid w:val="00E96D06"/>
    <w:rsid w:val="00E97212"/>
    <w:rsid w:val="00E97526"/>
    <w:rsid w:val="00E9773F"/>
    <w:rsid w:val="00EA0C62"/>
    <w:rsid w:val="00EA12B5"/>
    <w:rsid w:val="00EA3B0E"/>
    <w:rsid w:val="00EA6359"/>
    <w:rsid w:val="00EB10E6"/>
    <w:rsid w:val="00EB1B62"/>
    <w:rsid w:val="00EB1D78"/>
    <w:rsid w:val="00EB2E2E"/>
    <w:rsid w:val="00EB543F"/>
    <w:rsid w:val="00EB6D73"/>
    <w:rsid w:val="00EC0650"/>
    <w:rsid w:val="00EC35FE"/>
    <w:rsid w:val="00EC39CD"/>
    <w:rsid w:val="00EC6E3A"/>
    <w:rsid w:val="00ED7C7F"/>
    <w:rsid w:val="00EE1A9E"/>
    <w:rsid w:val="00EE4898"/>
    <w:rsid w:val="00EF07EC"/>
    <w:rsid w:val="00EF38D3"/>
    <w:rsid w:val="00EF3AE7"/>
    <w:rsid w:val="00EF79E4"/>
    <w:rsid w:val="00F00411"/>
    <w:rsid w:val="00F10B05"/>
    <w:rsid w:val="00F11776"/>
    <w:rsid w:val="00F117A6"/>
    <w:rsid w:val="00F11FC1"/>
    <w:rsid w:val="00F12F8F"/>
    <w:rsid w:val="00F13C63"/>
    <w:rsid w:val="00F158AD"/>
    <w:rsid w:val="00F173C7"/>
    <w:rsid w:val="00F20575"/>
    <w:rsid w:val="00F20C03"/>
    <w:rsid w:val="00F23BB5"/>
    <w:rsid w:val="00F25E86"/>
    <w:rsid w:val="00F2787D"/>
    <w:rsid w:val="00F30BE7"/>
    <w:rsid w:val="00F31058"/>
    <w:rsid w:val="00F32664"/>
    <w:rsid w:val="00F331BD"/>
    <w:rsid w:val="00F33561"/>
    <w:rsid w:val="00F37057"/>
    <w:rsid w:val="00F37FCB"/>
    <w:rsid w:val="00F41D1B"/>
    <w:rsid w:val="00F42444"/>
    <w:rsid w:val="00F44DE3"/>
    <w:rsid w:val="00F476DC"/>
    <w:rsid w:val="00F50502"/>
    <w:rsid w:val="00F5585D"/>
    <w:rsid w:val="00F5769D"/>
    <w:rsid w:val="00F60EBC"/>
    <w:rsid w:val="00F610F0"/>
    <w:rsid w:val="00F64FCE"/>
    <w:rsid w:val="00F702D6"/>
    <w:rsid w:val="00F730B3"/>
    <w:rsid w:val="00F816D2"/>
    <w:rsid w:val="00F840E4"/>
    <w:rsid w:val="00F84E14"/>
    <w:rsid w:val="00F854B1"/>
    <w:rsid w:val="00F8682C"/>
    <w:rsid w:val="00F9087D"/>
    <w:rsid w:val="00F910BB"/>
    <w:rsid w:val="00F910F7"/>
    <w:rsid w:val="00F93661"/>
    <w:rsid w:val="00F93A66"/>
    <w:rsid w:val="00F95625"/>
    <w:rsid w:val="00F96041"/>
    <w:rsid w:val="00F9624D"/>
    <w:rsid w:val="00F97367"/>
    <w:rsid w:val="00FA3139"/>
    <w:rsid w:val="00FA69A4"/>
    <w:rsid w:val="00FA7419"/>
    <w:rsid w:val="00FB47F9"/>
    <w:rsid w:val="00FB561E"/>
    <w:rsid w:val="00FB781F"/>
    <w:rsid w:val="00FB7CBD"/>
    <w:rsid w:val="00FD169E"/>
    <w:rsid w:val="00FD6DC4"/>
    <w:rsid w:val="00FD70C7"/>
    <w:rsid w:val="00FE2EBA"/>
    <w:rsid w:val="00FE6E2A"/>
    <w:rsid w:val="00FF294E"/>
    <w:rsid w:val="00FF3034"/>
    <w:rsid w:val="00FF447F"/>
    <w:rsid w:val="00FF5CE8"/>
    <w:rsid w:val="00FF6CD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qFormat="1"/>
    <w:lsdException w:name="annotation reference" w:uiPriority="99"/>
    <w:lsdException w:name="endnote reference"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2C24F9"/>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2C24F9"/>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2C24F9"/>
    <w:pPr>
      <w:keepNext/>
      <w:keepLines/>
      <w:widowControl/>
      <w:numPr>
        <w:ilvl w:val="2"/>
        <w:numId w:val="28"/>
      </w:numPr>
      <w:tabs>
        <w:tab w:val="clear" w:pos="1386"/>
        <w:tab w:val="num" w:pos="1296"/>
      </w:tabs>
      <w:spacing w:after="260"/>
      <w:ind w:left="1512"/>
      <w:outlineLvl w:val="2"/>
    </w:pPr>
    <w:rPr>
      <w:b/>
      <w:bCs/>
      <w:kern w:val="32"/>
      <w:szCs w:val="26"/>
      <w:u w:val="single"/>
    </w:rPr>
  </w:style>
  <w:style w:type="paragraph" w:styleId="Heading4">
    <w:name w:val="heading 4"/>
    <w:basedOn w:val="Normal"/>
    <w:next w:val="FERCparanumber"/>
    <w:link w:val="Heading4Char"/>
    <w:qFormat/>
    <w:rsid w:val="002C24F9"/>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2C24F9"/>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2C24F9"/>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2C24F9"/>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2C24F9"/>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2C24F9"/>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qForma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rsid w:val="00301152"/>
    <w:pPr>
      <w:spacing w:after="260"/>
      <w:ind w:firstLine="720"/>
    </w:pPr>
    <w:rPr>
      <w:szCs w:val="20"/>
    </w:rPr>
  </w:style>
  <w:style w:type="character" w:customStyle="1" w:styleId="2">
    <w:name w:val="2"/>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509E"/>
    <w:pPr>
      <w:widowControl/>
      <w:numPr>
        <w:numId w:val="5"/>
      </w:numPr>
      <w:spacing w:after="240"/>
    </w:pPr>
  </w:style>
  <w:style w:type="character" w:customStyle="1" w:styleId="Heading1Char">
    <w:name w:val="Heading 1 Char"/>
    <w:basedOn w:val="DefaultParagraphFont"/>
    <w:link w:val="Heading1"/>
    <w:rsid w:val="002C24F9"/>
    <w:rPr>
      <w:b/>
      <w:bCs/>
      <w:kern w:val="32"/>
      <w:sz w:val="26"/>
      <w:szCs w:val="32"/>
      <w:u w:val="single"/>
      <w:lang w:bidi="ar-SA"/>
    </w:rPr>
  </w:style>
  <w:style w:type="character" w:customStyle="1" w:styleId="Heading2Char">
    <w:name w:val="Heading 2 Char"/>
    <w:basedOn w:val="DefaultParagraphFont"/>
    <w:link w:val="Heading2"/>
    <w:rsid w:val="002C24F9"/>
    <w:rPr>
      <w:b/>
      <w:bCs/>
      <w:iCs/>
      <w:kern w:val="32"/>
      <w:sz w:val="26"/>
      <w:szCs w:val="28"/>
      <w:u w:val="single"/>
      <w:lang w:bidi="ar-SA"/>
    </w:rPr>
  </w:style>
  <w:style w:type="character" w:customStyle="1" w:styleId="Heading3Char">
    <w:name w:val="Heading 3 Char"/>
    <w:basedOn w:val="DefaultParagraphFont"/>
    <w:link w:val="Heading3"/>
    <w:rsid w:val="002C24F9"/>
    <w:rPr>
      <w:b/>
      <w:bCs/>
      <w:kern w:val="32"/>
      <w:sz w:val="26"/>
      <w:szCs w:val="26"/>
      <w:u w:val="single"/>
      <w:lang w:bidi="ar-SA"/>
    </w:rPr>
  </w:style>
  <w:style w:type="character" w:customStyle="1" w:styleId="Heading4Char">
    <w:name w:val="Heading 4 Char"/>
    <w:basedOn w:val="DefaultParagraphFont"/>
    <w:link w:val="Heading4"/>
    <w:rsid w:val="002C24F9"/>
    <w:rPr>
      <w:b/>
      <w:bCs/>
      <w:kern w:val="32"/>
      <w:sz w:val="26"/>
      <w:szCs w:val="28"/>
      <w:u w:val="single"/>
      <w:lang w:bidi="ar-SA"/>
    </w:rPr>
  </w:style>
  <w:style w:type="character" w:customStyle="1" w:styleId="Heading5Char">
    <w:name w:val="Heading 5 Char"/>
    <w:basedOn w:val="DefaultParagraphFont"/>
    <w:link w:val="Heading5"/>
    <w:rsid w:val="002C24F9"/>
    <w:rPr>
      <w:b/>
      <w:bCs/>
      <w:iCs/>
      <w:kern w:val="32"/>
      <w:sz w:val="26"/>
      <w:szCs w:val="26"/>
      <w:u w:val="single"/>
      <w:lang w:bidi="ar-SA"/>
    </w:rPr>
  </w:style>
  <w:style w:type="character" w:customStyle="1" w:styleId="Heading6Char">
    <w:name w:val="Heading 6 Char"/>
    <w:basedOn w:val="DefaultParagraphFont"/>
    <w:link w:val="Heading6"/>
    <w:rsid w:val="002C24F9"/>
    <w:rPr>
      <w:b/>
      <w:bCs/>
      <w:kern w:val="32"/>
      <w:sz w:val="26"/>
      <w:szCs w:val="22"/>
      <w:u w:val="single"/>
      <w:lang w:bidi="ar-SA"/>
    </w:rPr>
  </w:style>
  <w:style w:type="character" w:customStyle="1" w:styleId="Heading7Char">
    <w:name w:val="Heading 7 Char"/>
    <w:basedOn w:val="DefaultParagraphFont"/>
    <w:link w:val="Heading7"/>
    <w:rsid w:val="002C24F9"/>
    <w:rPr>
      <w:b/>
      <w:kern w:val="32"/>
      <w:sz w:val="26"/>
      <w:szCs w:val="24"/>
      <w:u w:val="single"/>
      <w:lang w:bidi="ar-SA"/>
    </w:rPr>
  </w:style>
  <w:style w:type="character" w:customStyle="1" w:styleId="Heading8Char">
    <w:name w:val="Heading 8 Char"/>
    <w:basedOn w:val="DefaultParagraphFont"/>
    <w:link w:val="Heading8"/>
    <w:rsid w:val="002C24F9"/>
    <w:rPr>
      <w:b/>
      <w:iCs/>
      <w:kern w:val="32"/>
      <w:sz w:val="26"/>
      <w:szCs w:val="24"/>
      <w:u w:val="single"/>
      <w:lang w:bidi="ar-SA"/>
    </w:rPr>
  </w:style>
  <w:style w:type="character" w:customStyle="1" w:styleId="Heading9Char">
    <w:name w:val="Heading 9 Char"/>
    <w:basedOn w:val="DefaultParagraphFont"/>
    <w:link w:val="Heading9"/>
    <w:rsid w:val="002C24F9"/>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1">
    <w:name w:val="1"/>
    <w:basedOn w:val="DefaultParagraphFont"/>
    <w:uiPriority w:val="99"/>
    <w:rsid w:val="00723333"/>
    <w:rPr>
      <w:sz w:val="26"/>
      <w:lang w:bidi="ar-SA"/>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styleId="CommentReference">
    <w:name w:val="annotation reference"/>
    <w:basedOn w:val="DefaultParagraphFont"/>
    <w:uiPriority w:val="99"/>
    <w:semiHidden/>
    <w:unhideWhenUsed/>
    <w:rsid w:val="00FF5CE8"/>
    <w:rPr>
      <w:sz w:val="16"/>
      <w:szCs w:val="16"/>
    </w:rPr>
  </w:style>
  <w:style w:type="character" w:customStyle="1" w:styleId="apple-converted-space">
    <w:name w:val="apple-converted-space"/>
    <w:basedOn w:val="DefaultParagraphFont"/>
    <w:rsid w:val="00812D06"/>
  </w:style>
  <w:style w:type="character" w:styleId="Emphasis">
    <w:name w:val="Emphasis"/>
    <w:basedOn w:val="DefaultParagraphFont"/>
    <w:uiPriority w:val="20"/>
    <w:qFormat/>
    <w:rsid w:val="00812D06"/>
    <w:rPr>
      <w:i/>
      <w:iCs/>
    </w:rPr>
  </w:style>
  <w:style w:type="paragraph" w:styleId="Revision">
    <w:name w:val="Revision"/>
    <w:hidden/>
    <w:uiPriority w:val="99"/>
    <w:semiHidden/>
    <w:rsid w:val="002F751E"/>
    <w:rPr>
      <w:sz w:val="26"/>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qFormat="1"/>
    <w:lsdException w:name="annotation reference" w:uiPriority="99"/>
    <w:lsdException w:name="endnote reference"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2C24F9"/>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2C24F9"/>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2C24F9"/>
    <w:pPr>
      <w:keepNext/>
      <w:keepLines/>
      <w:widowControl/>
      <w:numPr>
        <w:ilvl w:val="2"/>
        <w:numId w:val="28"/>
      </w:numPr>
      <w:tabs>
        <w:tab w:val="clear" w:pos="1386"/>
        <w:tab w:val="num" w:pos="1296"/>
      </w:tabs>
      <w:spacing w:after="260"/>
      <w:ind w:left="1512"/>
      <w:outlineLvl w:val="2"/>
    </w:pPr>
    <w:rPr>
      <w:b/>
      <w:bCs/>
      <w:kern w:val="32"/>
      <w:szCs w:val="26"/>
      <w:u w:val="single"/>
    </w:rPr>
  </w:style>
  <w:style w:type="paragraph" w:styleId="Heading4">
    <w:name w:val="heading 4"/>
    <w:basedOn w:val="Normal"/>
    <w:next w:val="FERCparanumber"/>
    <w:link w:val="Heading4Char"/>
    <w:qFormat/>
    <w:rsid w:val="002C24F9"/>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2C24F9"/>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2C24F9"/>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2C24F9"/>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2C24F9"/>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2C24F9"/>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qForma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rsid w:val="00301152"/>
    <w:pPr>
      <w:spacing w:after="260"/>
      <w:ind w:firstLine="720"/>
    </w:pPr>
    <w:rPr>
      <w:szCs w:val="20"/>
    </w:rPr>
  </w:style>
  <w:style w:type="character" w:customStyle="1" w:styleId="2">
    <w:name w:val="2"/>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509E"/>
    <w:pPr>
      <w:widowControl/>
      <w:numPr>
        <w:numId w:val="5"/>
      </w:numPr>
      <w:spacing w:after="240"/>
    </w:pPr>
  </w:style>
  <w:style w:type="character" w:customStyle="1" w:styleId="Heading1Char">
    <w:name w:val="Heading 1 Char"/>
    <w:basedOn w:val="DefaultParagraphFont"/>
    <w:link w:val="Heading1"/>
    <w:rsid w:val="002C24F9"/>
    <w:rPr>
      <w:b/>
      <w:bCs/>
      <w:kern w:val="32"/>
      <w:sz w:val="26"/>
      <w:szCs w:val="32"/>
      <w:u w:val="single"/>
      <w:lang w:bidi="ar-SA"/>
    </w:rPr>
  </w:style>
  <w:style w:type="character" w:customStyle="1" w:styleId="Heading2Char">
    <w:name w:val="Heading 2 Char"/>
    <w:basedOn w:val="DefaultParagraphFont"/>
    <w:link w:val="Heading2"/>
    <w:rsid w:val="002C24F9"/>
    <w:rPr>
      <w:b/>
      <w:bCs/>
      <w:iCs/>
      <w:kern w:val="32"/>
      <w:sz w:val="26"/>
      <w:szCs w:val="28"/>
      <w:u w:val="single"/>
      <w:lang w:bidi="ar-SA"/>
    </w:rPr>
  </w:style>
  <w:style w:type="character" w:customStyle="1" w:styleId="Heading3Char">
    <w:name w:val="Heading 3 Char"/>
    <w:basedOn w:val="DefaultParagraphFont"/>
    <w:link w:val="Heading3"/>
    <w:rsid w:val="002C24F9"/>
    <w:rPr>
      <w:b/>
      <w:bCs/>
      <w:kern w:val="32"/>
      <w:sz w:val="26"/>
      <w:szCs w:val="26"/>
      <w:u w:val="single"/>
      <w:lang w:bidi="ar-SA"/>
    </w:rPr>
  </w:style>
  <w:style w:type="character" w:customStyle="1" w:styleId="Heading4Char">
    <w:name w:val="Heading 4 Char"/>
    <w:basedOn w:val="DefaultParagraphFont"/>
    <w:link w:val="Heading4"/>
    <w:rsid w:val="002C24F9"/>
    <w:rPr>
      <w:b/>
      <w:bCs/>
      <w:kern w:val="32"/>
      <w:sz w:val="26"/>
      <w:szCs w:val="28"/>
      <w:u w:val="single"/>
      <w:lang w:bidi="ar-SA"/>
    </w:rPr>
  </w:style>
  <w:style w:type="character" w:customStyle="1" w:styleId="Heading5Char">
    <w:name w:val="Heading 5 Char"/>
    <w:basedOn w:val="DefaultParagraphFont"/>
    <w:link w:val="Heading5"/>
    <w:rsid w:val="002C24F9"/>
    <w:rPr>
      <w:b/>
      <w:bCs/>
      <w:iCs/>
      <w:kern w:val="32"/>
      <w:sz w:val="26"/>
      <w:szCs w:val="26"/>
      <w:u w:val="single"/>
      <w:lang w:bidi="ar-SA"/>
    </w:rPr>
  </w:style>
  <w:style w:type="character" w:customStyle="1" w:styleId="Heading6Char">
    <w:name w:val="Heading 6 Char"/>
    <w:basedOn w:val="DefaultParagraphFont"/>
    <w:link w:val="Heading6"/>
    <w:rsid w:val="002C24F9"/>
    <w:rPr>
      <w:b/>
      <w:bCs/>
      <w:kern w:val="32"/>
      <w:sz w:val="26"/>
      <w:szCs w:val="22"/>
      <w:u w:val="single"/>
      <w:lang w:bidi="ar-SA"/>
    </w:rPr>
  </w:style>
  <w:style w:type="character" w:customStyle="1" w:styleId="Heading7Char">
    <w:name w:val="Heading 7 Char"/>
    <w:basedOn w:val="DefaultParagraphFont"/>
    <w:link w:val="Heading7"/>
    <w:rsid w:val="002C24F9"/>
    <w:rPr>
      <w:b/>
      <w:kern w:val="32"/>
      <w:sz w:val="26"/>
      <w:szCs w:val="24"/>
      <w:u w:val="single"/>
      <w:lang w:bidi="ar-SA"/>
    </w:rPr>
  </w:style>
  <w:style w:type="character" w:customStyle="1" w:styleId="Heading8Char">
    <w:name w:val="Heading 8 Char"/>
    <w:basedOn w:val="DefaultParagraphFont"/>
    <w:link w:val="Heading8"/>
    <w:rsid w:val="002C24F9"/>
    <w:rPr>
      <w:b/>
      <w:iCs/>
      <w:kern w:val="32"/>
      <w:sz w:val="26"/>
      <w:szCs w:val="24"/>
      <w:u w:val="single"/>
      <w:lang w:bidi="ar-SA"/>
    </w:rPr>
  </w:style>
  <w:style w:type="character" w:customStyle="1" w:styleId="Heading9Char">
    <w:name w:val="Heading 9 Char"/>
    <w:basedOn w:val="DefaultParagraphFont"/>
    <w:link w:val="Heading9"/>
    <w:rsid w:val="002C24F9"/>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1">
    <w:name w:val="1"/>
    <w:basedOn w:val="DefaultParagraphFont"/>
    <w:uiPriority w:val="99"/>
    <w:rsid w:val="00723333"/>
    <w:rPr>
      <w:sz w:val="26"/>
      <w:lang w:bidi="ar-SA"/>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styleId="CommentReference">
    <w:name w:val="annotation reference"/>
    <w:basedOn w:val="DefaultParagraphFont"/>
    <w:uiPriority w:val="99"/>
    <w:semiHidden/>
    <w:unhideWhenUsed/>
    <w:rsid w:val="00FF5CE8"/>
    <w:rPr>
      <w:sz w:val="16"/>
      <w:szCs w:val="16"/>
    </w:rPr>
  </w:style>
  <w:style w:type="character" w:customStyle="1" w:styleId="apple-converted-space">
    <w:name w:val="apple-converted-space"/>
    <w:basedOn w:val="DefaultParagraphFont"/>
    <w:rsid w:val="00812D06"/>
  </w:style>
  <w:style w:type="character" w:styleId="Emphasis">
    <w:name w:val="Emphasis"/>
    <w:basedOn w:val="DefaultParagraphFont"/>
    <w:uiPriority w:val="20"/>
    <w:qFormat/>
    <w:rsid w:val="00812D06"/>
    <w:rPr>
      <w:i/>
      <w:iCs/>
    </w:rPr>
  </w:style>
  <w:style w:type="paragraph" w:styleId="Revision">
    <w:name w:val="Revision"/>
    <w:hidden/>
    <w:uiPriority w:val="99"/>
    <w:semiHidden/>
    <w:rsid w:val="002F751E"/>
    <w:rPr>
      <w:sz w:val="26"/>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813857">
      <w:bodyDiv w:val="1"/>
      <w:marLeft w:val="0"/>
      <w:marRight w:val="0"/>
      <w:marTop w:val="0"/>
      <w:marBottom w:val="0"/>
      <w:divBdr>
        <w:top w:val="none" w:sz="0" w:space="0" w:color="auto"/>
        <w:left w:val="none" w:sz="0" w:space="0" w:color="auto"/>
        <w:bottom w:val="none" w:sz="0" w:space="0" w:color="auto"/>
        <w:right w:val="none" w:sz="0" w:space="0" w:color="auto"/>
      </w:divBdr>
    </w:div>
    <w:div w:id="2022931033">
      <w:bodyDiv w:val="1"/>
      <w:marLeft w:val="0"/>
      <w:marRight w:val="0"/>
      <w:marTop w:val="0"/>
      <w:marBottom w:val="0"/>
      <w:divBdr>
        <w:top w:val="none" w:sz="0" w:space="0" w:color="auto"/>
        <w:left w:val="none" w:sz="0" w:space="0" w:color="auto"/>
        <w:bottom w:val="none" w:sz="0" w:space="0" w:color="auto"/>
        <w:right w:val="none" w:sz="0" w:space="0" w:color="auto"/>
      </w:divBdr>
    </w:div>
    <w:div w:id="203253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erc.com/pa/Stand/Reliability%20Standards%20Complete%20Set/RSCompleteS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2CBB5-8A5A-4751-A115-637F079E955B}">
  <ds:schemaRefs>
    <ds:schemaRef ds:uri="http://schemas.microsoft.com/sharepoint/v3/contenttype/forms"/>
  </ds:schemaRefs>
</ds:datastoreItem>
</file>

<file path=customXml/itemProps2.xml><?xml version="1.0" encoding="utf-8"?>
<ds:datastoreItem xmlns:ds="http://schemas.openxmlformats.org/officeDocument/2006/customXml" ds:itemID="{198A3161-A05E-48AC-B505-3D6126D00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92CB801-AE22-4713-AED6-2629D09DF7BE}">
  <ds:schemaRefs>
    <ds:schemaRef ds:uri="http://schemas.microsoft.com/office/2006/metadata/properties"/>
  </ds:schemaRefs>
</ds:datastoreItem>
</file>

<file path=customXml/itemProps4.xml><?xml version="1.0" encoding="utf-8"?>
<ds:datastoreItem xmlns:ds="http://schemas.openxmlformats.org/officeDocument/2006/customXml" ds:itemID="{5D475A6F-BC77-49AE-A3D6-A16F7E11B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2721</Words>
  <Characters>15515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2016-04-11T21:09:00Z</dcterms:created>
  <dcterms:modified xsi:type="dcterms:W3CDTF">2016-04-11T21:09:00Z</dcterms:modified>
  <dc:identifier/>
  <cp:version/>
</cp:coreProperties>
</file>