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doc" ContentType="application/msword"/>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DD" w:rsidRDefault="00306067" w:rsidP="002F29DD">
      <w:pPr>
        <w:jc w:val="right"/>
        <w:rPr>
          <w:rFonts w:cs="Arial"/>
          <w:b/>
          <w:sz w:val="48"/>
          <w:szCs w:val="48"/>
        </w:rPr>
      </w:pPr>
      <w:bookmarkStart w:id="0" w:name="_Toc153189646"/>
      <w:r>
        <w:rPr>
          <w:rFonts w:cs="Arial"/>
          <w:b/>
          <w:sz w:val="48"/>
          <w:szCs w:val="48"/>
        </w:rPr>
        <w:t>Workp</w:t>
      </w:r>
      <w:r w:rsidR="002F29DD" w:rsidRPr="00E47372">
        <w:rPr>
          <w:rFonts w:cs="Arial"/>
          <w:b/>
          <w:sz w:val="48"/>
          <w:szCs w:val="48"/>
        </w:rPr>
        <w:t xml:space="preserve">aper </w:t>
      </w:r>
      <w:bookmarkEnd w:id="0"/>
      <w:r w:rsidR="002F29DD">
        <w:rPr>
          <w:rFonts w:cs="Arial"/>
          <w:b/>
          <w:sz w:val="48"/>
          <w:szCs w:val="48"/>
        </w:rPr>
        <w:t>WP</w:t>
      </w:r>
      <w:r w:rsidR="00E05D3B">
        <w:rPr>
          <w:rFonts w:cs="Arial"/>
          <w:b/>
          <w:sz w:val="48"/>
          <w:szCs w:val="48"/>
        </w:rPr>
        <w:t>SDGE</w:t>
      </w:r>
      <w:r w:rsidR="00C02395">
        <w:rPr>
          <w:rFonts w:cs="Arial"/>
          <w:b/>
          <w:sz w:val="48"/>
          <w:szCs w:val="48"/>
        </w:rPr>
        <w:t>NRWH</w:t>
      </w:r>
      <w:r w:rsidR="00E05D3B">
        <w:rPr>
          <w:rFonts w:cs="Arial"/>
          <w:b/>
          <w:sz w:val="48"/>
          <w:szCs w:val="48"/>
        </w:rPr>
        <w:t>1205</w:t>
      </w:r>
    </w:p>
    <w:p w:rsidR="002F29DD" w:rsidRDefault="002F29DD" w:rsidP="002F29DD">
      <w:pPr>
        <w:jc w:val="right"/>
        <w:rPr>
          <w:rFonts w:cs="Arial"/>
          <w:b/>
          <w:sz w:val="48"/>
          <w:szCs w:val="48"/>
        </w:rPr>
      </w:pPr>
      <w:bookmarkStart w:id="1" w:name="_Toc153189647"/>
      <w:r w:rsidRPr="00E47372">
        <w:rPr>
          <w:rFonts w:cs="Arial"/>
          <w:b/>
          <w:sz w:val="48"/>
          <w:szCs w:val="48"/>
        </w:rPr>
        <w:t xml:space="preserve">Revision </w:t>
      </w:r>
      <w:bookmarkEnd w:id="1"/>
      <w:r w:rsidR="00E05D3B">
        <w:rPr>
          <w:rFonts w:cs="Arial"/>
          <w:b/>
          <w:sz w:val="48"/>
          <w:szCs w:val="48"/>
        </w:rPr>
        <w:t>0</w:t>
      </w:r>
    </w:p>
    <w:p w:rsidR="002F29DD" w:rsidRDefault="002F29DD" w:rsidP="002F29DD"/>
    <w:p w:rsidR="002F29DD" w:rsidRDefault="002F29DD" w:rsidP="002F29DD"/>
    <w:p w:rsidR="002F29DD" w:rsidRDefault="002F29DD" w:rsidP="002F29DD"/>
    <w:p w:rsidR="002F29DD" w:rsidRDefault="002F29DD" w:rsidP="002F29DD"/>
    <w:p w:rsidR="002F29DD" w:rsidRDefault="002F29DD" w:rsidP="002F29DD"/>
    <w:p w:rsidR="002F29DD" w:rsidRDefault="002F29DD" w:rsidP="002F29DD"/>
    <w:p w:rsidR="002F29DD" w:rsidRDefault="002F29DD" w:rsidP="002F29DD"/>
    <w:p w:rsidR="002F29DD" w:rsidRDefault="002F29DD" w:rsidP="002F29DD"/>
    <w:p w:rsidR="002F29DD" w:rsidRDefault="002F29DD" w:rsidP="002F29DD"/>
    <w:p w:rsidR="002F29DD" w:rsidRDefault="002F29DD" w:rsidP="002F29DD"/>
    <w:p w:rsidR="002F29DD" w:rsidRDefault="002F29DD" w:rsidP="002F29DD"/>
    <w:p w:rsidR="002F29DD" w:rsidRDefault="002F29DD" w:rsidP="002F29DD"/>
    <w:p w:rsidR="002F29DD" w:rsidRDefault="002F29DD" w:rsidP="002F29DD"/>
    <w:p w:rsidR="002F29DD" w:rsidRDefault="00E05D3B" w:rsidP="002F29DD">
      <w:pPr>
        <w:pBdr>
          <w:bottom w:val="single" w:sz="4" w:space="1" w:color="auto"/>
        </w:pBdr>
        <w:rPr>
          <w:rFonts w:cs="Arial"/>
          <w:b/>
          <w:sz w:val="36"/>
          <w:szCs w:val="36"/>
        </w:rPr>
      </w:pPr>
      <w:r>
        <w:rPr>
          <w:rFonts w:cs="Arial"/>
          <w:b/>
          <w:sz w:val="36"/>
          <w:szCs w:val="36"/>
        </w:rPr>
        <w:t>San Diego Gas &amp; Electric</w:t>
      </w:r>
    </w:p>
    <w:p w:rsidR="002F29DD" w:rsidRDefault="00E05D3B" w:rsidP="002F29DD">
      <w:pPr>
        <w:rPr>
          <w:rFonts w:cs="Arial"/>
          <w:b/>
          <w:sz w:val="32"/>
          <w:szCs w:val="32"/>
        </w:rPr>
      </w:pPr>
      <w:r>
        <w:rPr>
          <w:rFonts w:cs="Arial"/>
          <w:b/>
          <w:sz w:val="32"/>
          <w:szCs w:val="32"/>
        </w:rPr>
        <w:t>Energy Efficiency Engineering</w:t>
      </w:r>
    </w:p>
    <w:p w:rsidR="002F29DD" w:rsidRDefault="002F29DD" w:rsidP="002F29DD">
      <w:pPr>
        <w:tabs>
          <w:tab w:val="left" w:pos="6480"/>
          <w:tab w:val="left" w:pos="8100"/>
        </w:tabs>
        <w:ind w:right="-4"/>
        <w:rPr>
          <w:rFonts w:cs="Arial"/>
          <w:b/>
          <w:sz w:val="32"/>
          <w:szCs w:val="32"/>
        </w:rPr>
      </w:pPr>
    </w:p>
    <w:p w:rsidR="002F29DD" w:rsidRDefault="002F29DD" w:rsidP="002F29DD">
      <w:pPr>
        <w:tabs>
          <w:tab w:val="left" w:pos="6480"/>
          <w:tab w:val="left" w:pos="8100"/>
        </w:tabs>
        <w:ind w:right="-4"/>
        <w:rPr>
          <w:rFonts w:cs="Arial"/>
          <w:b/>
          <w:sz w:val="32"/>
          <w:szCs w:val="32"/>
        </w:rPr>
      </w:pPr>
    </w:p>
    <w:p w:rsidR="002F29DD" w:rsidRDefault="002F29DD" w:rsidP="002F29DD">
      <w:pPr>
        <w:tabs>
          <w:tab w:val="left" w:pos="6480"/>
          <w:tab w:val="left" w:pos="8100"/>
        </w:tabs>
        <w:ind w:right="-4"/>
        <w:rPr>
          <w:rFonts w:cs="Arial"/>
          <w:b/>
          <w:sz w:val="32"/>
          <w:szCs w:val="32"/>
        </w:rPr>
      </w:pPr>
    </w:p>
    <w:p w:rsidR="002F29DD" w:rsidRPr="0043456C" w:rsidRDefault="00D0217D" w:rsidP="002F29DD">
      <w:pPr>
        <w:rPr>
          <w:rFonts w:cs="Arial"/>
          <w:b/>
          <w:sz w:val="48"/>
          <w:szCs w:val="48"/>
        </w:rPr>
      </w:pPr>
      <w:r>
        <w:rPr>
          <w:rFonts w:cs="Arial"/>
          <w:b/>
          <w:sz w:val="48"/>
          <w:szCs w:val="48"/>
        </w:rPr>
        <w:t>Storage Tank Water Heaters</w:t>
      </w:r>
    </w:p>
    <w:p w:rsidR="00E97D72" w:rsidRDefault="00E97D72" w:rsidP="002F29DD">
      <w:pPr>
        <w:pStyle w:val="Normal1"/>
        <w:sectPr w:rsidR="00E97D72" w:rsidSect="003F2BB3">
          <w:footerReference w:type="even" r:id="rId11"/>
          <w:footerReference w:type="default" r:id="rId12"/>
          <w:footerReference w:type="first" r:id="rId13"/>
          <w:endnotePr>
            <w:numFmt w:val="decimal"/>
          </w:endnotePr>
          <w:pgSz w:w="12240" w:h="15840" w:code="1"/>
          <w:pgMar w:top="1440" w:right="1440" w:bottom="1440" w:left="1440" w:header="720" w:footer="720" w:gutter="0"/>
          <w:pgNumType w:fmt="lowerRoman" w:start="1"/>
          <w:cols w:space="720"/>
          <w:titlePg/>
          <w:docGrid w:linePitch="360"/>
        </w:sectPr>
      </w:pPr>
    </w:p>
    <w:p w:rsidR="002F29DD" w:rsidRDefault="002F29DD" w:rsidP="004C49C2">
      <w:pPr>
        <w:pStyle w:val="Pref"/>
        <w:tabs>
          <w:tab w:val="left" w:pos="5973"/>
        </w:tabs>
      </w:pPr>
      <w:bookmarkStart w:id="2" w:name="_Toc321313035"/>
      <w:r>
        <w:lastRenderedPageBreak/>
        <w:t>Revision History</w:t>
      </w:r>
      <w:bookmarkEnd w:id="2"/>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tblPr>
      <w:tblGrid>
        <w:gridCol w:w="1015"/>
        <w:gridCol w:w="1510"/>
        <w:gridCol w:w="4860"/>
        <w:gridCol w:w="1820"/>
      </w:tblGrid>
      <w:tr w:rsidR="002F29DD" w:rsidTr="00E23610">
        <w:tc>
          <w:tcPr>
            <w:tcW w:w="1015" w:type="dxa"/>
            <w:shd w:val="clear" w:color="auto" w:fill="D9D9D9"/>
            <w:vAlign w:val="center"/>
          </w:tcPr>
          <w:p w:rsidR="002F29DD" w:rsidRDefault="002F29DD" w:rsidP="003F2BB3">
            <w:pPr>
              <w:pStyle w:val="NormalBold"/>
              <w:spacing w:after="0"/>
              <w:jc w:val="center"/>
              <w:rPr>
                <w:rFonts w:ascii="Arial" w:hAnsi="Arial" w:cs="Arial"/>
                <w:sz w:val="18"/>
              </w:rPr>
            </w:pPr>
            <w:r>
              <w:rPr>
                <w:rFonts w:ascii="Arial" w:hAnsi="Arial" w:cs="Arial"/>
                <w:sz w:val="18"/>
              </w:rPr>
              <w:t>Revision No.</w:t>
            </w:r>
          </w:p>
        </w:tc>
        <w:tc>
          <w:tcPr>
            <w:tcW w:w="1510" w:type="dxa"/>
            <w:shd w:val="clear" w:color="auto" w:fill="D9D9D9"/>
            <w:vAlign w:val="center"/>
          </w:tcPr>
          <w:p w:rsidR="002F29DD" w:rsidRDefault="002F29DD" w:rsidP="003F2BB3">
            <w:pPr>
              <w:pStyle w:val="CommentSubject"/>
              <w:rPr>
                <w:rFonts w:ascii="Arial" w:hAnsi="Arial" w:cs="Arial"/>
                <w:bCs w:val="0"/>
                <w:sz w:val="18"/>
                <w:szCs w:val="24"/>
              </w:rPr>
            </w:pPr>
            <w:r>
              <w:rPr>
                <w:rFonts w:ascii="Arial" w:hAnsi="Arial" w:cs="Arial"/>
                <w:bCs w:val="0"/>
                <w:sz w:val="18"/>
                <w:szCs w:val="24"/>
              </w:rPr>
              <w:t>Date</w:t>
            </w:r>
          </w:p>
        </w:tc>
        <w:tc>
          <w:tcPr>
            <w:tcW w:w="4860" w:type="dxa"/>
            <w:shd w:val="clear" w:color="auto" w:fill="D9D9D9"/>
            <w:vAlign w:val="center"/>
          </w:tcPr>
          <w:p w:rsidR="002F29DD" w:rsidRDefault="002F29DD" w:rsidP="003F2BB3">
            <w:pPr>
              <w:rPr>
                <w:rFonts w:cs="Arial"/>
                <w:b/>
                <w:sz w:val="18"/>
              </w:rPr>
            </w:pPr>
            <w:r>
              <w:rPr>
                <w:rFonts w:cs="Arial"/>
                <w:b/>
                <w:sz w:val="18"/>
              </w:rPr>
              <w:t>Description</w:t>
            </w:r>
          </w:p>
        </w:tc>
        <w:tc>
          <w:tcPr>
            <w:tcW w:w="1820" w:type="dxa"/>
            <w:shd w:val="clear" w:color="auto" w:fill="D9D9D9"/>
            <w:vAlign w:val="center"/>
          </w:tcPr>
          <w:p w:rsidR="002F29DD" w:rsidRDefault="002F29DD" w:rsidP="003F2BB3">
            <w:pPr>
              <w:spacing w:after="120"/>
              <w:jc w:val="both"/>
              <w:rPr>
                <w:rFonts w:cs="Arial"/>
                <w:b/>
                <w:sz w:val="18"/>
                <w:szCs w:val="18"/>
              </w:rPr>
            </w:pPr>
            <w:r>
              <w:rPr>
                <w:rFonts w:cs="Arial"/>
                <w:b/>
                <w:sz w:val="18"/>
                <w:szCs w:val="18"/>
              </w:rPr>
              <w:t>Author</w:t>
            </w:r>
          </w:p>
        </w:tc>
      </w:tr>
      <w:tr w:rsidR="009D3050" w:rsidTr="00E23610">
        <w:tc>
          <w:tcPr>
            <w:tcW w:w="1015" w:type="dxa"/>
            <w:vAlign w:val="center"/>
          </w:tcPr>
          <w:p w:rsidR="009D3050" w:rsidRDefault="00E05D3B" w:rsidP="000D537A">
            <w:pPr>
              <w:jc w:val="center"/>
              <w:rPr>
                <w:rFonts w:cs="Arial"/>
                <w:bCs/>
                <w:sz w:val="18"/>
              </w:rPr>
            </w:pPr>
            <w:r>
              <w:rPr>
                <w:rFonts w:cs="Arial"/>
                <w:bCs/>
                <w:sz w:val="18"/>
              </w:rPr>
              <w:t>0</w:t>
            </w:r>
          </w:p>
        </w:tc>
        <w:tc>
          <w:tcPr>
            <w:tcW w:w="1510" w:type="dxa"/>
            <w:vAlign w:val="center"/>
          </w:tcPr>
          <w:p w:rsidR="009D3050" w:rsidRDefault="00E05D3B" w:rsidP="009D3050">
            <w:pPr>
              <w:rPr>
                <w:rFonts w:cs="Arial"/>
                <w:bCs/>
                <w:sz w:val="18"/>
              </w:rPr>
            </w:pPr>
            <w:r>
              <w:rPr>
                <w:rFonts w:cs="Arial"/>
                <w:bCs/>
                <w:sz w:val="18"/>
              </w:rPr>
              <w:t>June 15, 2012</w:t>
            </w:r>
          </w:p>
        </w:tc>
        <w:tc>
          <w:tcPr>
            <w:tcW w:w="4860" w:type="dxa"/>
            <w:vAlign w:val="center"/>
          </w:tcPr>
          <w:p w:rsidR="009D3050" w:rsidRDefault="00E05D3B" w:rsidP="000D537A">
            <w:pPr>
              <w:rPr>
                <w:rFonts w:cs="Arial"/>
                <w:bCs/>
                <w:sz w:val="18"/>
              </w:rPr>
            </w:pPr>
            <w:r>
              <w:rPr>
                <w:rFonts w:cs="Arial"/>
                <w:bCs/>
                <w:sz w:val="18"/>
              </w:rPr>
              <w:t>Adopted WPSCGNRW120026A_Rev5_StorageWH_NonResr-May22.docx, updated May 18, 2012.</w:t>
            </w:r>
          </w:p>
        </w:tc>
        <w:tc>
          <w:tcPr>
            <w:tcW w:w="1820" w:type="dxa"/>
            <w:vAlign w:val="center"/>
          </w:tcPr>
          <w:p w:rsidR="009D3050" w:rsidRDefault="00E05D3B" w:rsidP="000D537A">
            <w:pPr>
              <w:ind w:left="6"/>
              <w:rPr>
                <w:rFonts w:cs="Arial"/>
                <w:bCs/>
                <w:sz w:val="18"/>
              </w:rPr>
            </w:pPr>
            <w:r>
              <w:rPr>
                <w:rFonts w:cs="Arial"/>
                <w:bCs/>
                <w:sz w:val="18"/>
              </w:rPr>
              <w:t>Kelvin Valenzuela</w:t>
            </w:r>
          </w:p>
        </w:tc>
      </w:tr>
      <w:tr w:rsidR="009D3050" w:rsidTr="00E23610">
        <w:tc>
          <w:tcPr>
            <w:tcW w:w="1015" w:type="dxa"/>
            <w:vAlign w:val="center"/>
          </w:tcPr>
          <w:p w:rsidR="009D3050" w:rsidRDefault="009D3050" w:rsidP="000D537A">
            <w:pPr>
              <w:jc w:val="center"/>
              <w:rPr>
                <w:rFonts w:cs="Arial"/>
                <w:bCs/>
                <w:sz w:val="18"/>
              </w:rPr>
            </w:pPr>
          </w:p>
        </w:tc>
        <w:tc>
          <w:tcPr>
            <w:tcW w:w="1510" w:type="dxa"/>
            <w:vAlign w:val="center"/>
          </w:tcPr>
          <w:p w:rsidR="009D3050" w:rsidRDefault="009D3050" w:rsidP="009D3050">
            <w:pPr>
              <w:rPr>
                <w:rFonts w:cs="Arial"/>
                <w:bCs/>
                <w:sz w:val="18"/>
              </w:rPr>
            </w:pPr>
          </w:p>
        </w:tc>
        <w:tc>
          <w:tcPr>
            <w:tcW w:w="4860" w:type="dxa"/>
            <w:vAlign w:val="center"/>
          </w:tcPr>
          <w:p w:rsidR="009D3050" w:rsidRDefault="009D3050" w:rsidP="000D537A">
            <w:pPr>
              <w:tabs>
                <w:tab w:val="left" w:pos="366"/>
              </w:tabs>
              <w:rPr>
                <w:rFonts w:cs="Arial"/>
                <w:bCs/>
                <w:sz w:val="18"/>
              </w:rPr>
            </w:pPr>
          </w:p>
        </w:tc>
        <w:tc>
          <w:tcPr>
            <w:tcW w:w="1820" w:type="dxa"/>
            <w:vAlign w:val="center"/>
          </w:tcPr>
          <w:p w:rsidR="009D3050" w:rsidRDefault="009D3050" w:rsidP="000D537A">
            <w:pPr>
              <w:ind w:left="6"/>
              <w:rPr>
                <w:rFonts w:cs="Arial"/>
                <w:bCs/>
                <w:sz w:val="18"/>
              </w:rPr>
            </w:pPr>
          </w:p>
        </w:tc>
      </w:tr>
      <w:tr w:rsidR="009D3050" w:rsidTr="00E23610">
        <w:tc>
          <w:tcPr>
            <w:tcW w:w="1015" w:type="dxa"/>
            <w:vAlign w:val="center"/>
          </w:tcPr>
          <w:p w:rsidR="009D3050" w:rsidRDefault="009D3050" w:rsidP="000D537A">
            <w:pPr>
              <w:jc w:val="center"/>
              <w:rPr>
                <w:rFonts w:cs="Arial"/>
                <w:bCs/>
                <w:sz w:val="18"/>
              </w:rPr>
            </w:pPr>
          </w:p>
        </w:tc>
        <w:tc>
          <w:tcPr>
            <w:tcW w:w="1510" w:type="dxa"/>
            <w:vAlign w:val="center"/>
          </w:tcPr>
          <w:p w:rsidR="009D3050" w:rsidRDefault="009D3050" w:rsidP="004C49C2">
            <w:pPr>
              <w:rPr>
                <w:rFonts w:cs="Arial"/>
                <w:bCs/>
                <w:sz w:val="18"/>
              </w:rPr>
            </w:pPr>
          </w:p>
        </w:tc>
        <w:tc>
          <w:tcPr>
            <w:tcW w:w="4860" w:type="dxa"/>
            <w:vAlign w:val="center"/>
          </w:tcPr>
          <w:p w:rsidR="009D3050" w:rsidRDefault="009D3050" w:rsidP="000D537A">
            <w:pPr>
              <w:tabs>
                <w:tab w:val="left" w:pos="366"/>
              </w:tabs>
              <w:rPr>
                <w:rFonts w:cs="Arial"/>
                <w:bCs/>
                <w:sz w:val="18"/>
              </w:rPr>
            </w:pPr>
          </w:p>
        </w:tc>
        <w:tc>
          <w:tcPr>
            <w:tcW w:w="1820" w:type="dxa"/>
            <w:vAlign w:val="center"/>
          </w:tcPr>
          <w:p w:rsidR="009D3050" w:rsidRDefault="009D3050" w:rsidP="000D537A">
            <w:pPr>
              <w:ind w:left="6"/>
              <w:rPr>
                <w:rFonts w:cs="Arial"/>
                <w:bCs/>
                <w:sz w:val="18"/>
              </w:rPr>
            </w:pPr>
          </w:p>
        </w:tc>
      </w:tr>
      <w:tr w:rsidR="009D3050" w:rsidTr="00E23610">
        <w:tc>
          <w:tcPr>
            <w:tcW w:w="1015" w:type="dxa"/>
          </w:tcPr>
          <w:p w:rsidR="009D3050" w:rsidRDefault="009D3050" w:rsidP="003F2BB3">
            <w:pPr>
              <w:jc w:val="center"/>
              <w:rPr>
                <w:rFonts w:cs="Arial"/>
                <w:bCs/>
                <w:sz w:val="18"/>
              </w:rPr>
            </w:pPr>
          </w:p>
        </w:tc>
        <w:tc>
          <w:tcPr>
            <w:tcW w:w="1510" w:type="dxa"/>
          </w:tcPr>
          <w:p w:rsidR="009D3050" w:rsidRDefault="009D3050" w:rsidP="003F2BB3">
            <w:pPr>
              <w:rPr>
                <w:rFonts w:cs="Arial"/>
                <w:bCs/>
                <w:sz w:val="18"/>
              </w:rPr>
            </w:pPr>
          </w:p>
        </w:tc>
        <w:tc>
          <w:tcPr>
            <w:tcW w:w="4860" w:type="dxa"/>
          </w:tcPr>
          <w:p w:rsidR="009D3050" w:rsidRDefault="009D3050" w:rsidP="003F2BB3">
            <w:pPr>
              <w:rPr>
                <w:rFonts w:cs="Arial"/>
                <w:bCs/>
                <w:sz w:val="18"/>
              </w:rPr>
            </w:pPr>
          </w:p>
        </w:tc>
        <w:tc>
          <w:tcPr>
            <w:tcW w:w="1820" w:type="dxa"/>
          </w:tcPr>
          <w:p w:rsidR="009D3050" w:rsidRDefault="009D3050" w:rsidP="003F2BB3">
            <w:pPr>
              <w:ind w:left="6"/>
              <w:rPr>
                <w:rFonts w:cs="Arial"/>
                <w:sz w:val="18"/>
                <w:szCs w:val="18"/>
              </w:rPr>
            </w:pPr>
          </w:p>
        </w:tc>
      </w:tr>
    </w:tbl>
    <w:p w:rsidR="002F29DD" w:rsidRPr="004C49C2" w:rsidRDefault="002F29DD" w:rsidP="002F29DD">
      <w:pPr>
        <w:spacing w:after="120"/>
        <w:jc w:val="both"/>
      </w:pPr>
    </w:p>
    <w:p w:rsidR="002F29DD" w:rsidRPr="004C49C2" w:rsidRDefault="002F29DD" w:rsidP="002F29DD">
      <w:pPr>
        <w:pStyle w:val="Heading1"/>
        <w:rPr>
          <w:b w:val="0"/>
          <w:sz w:val="20"/>
        </w:rPr>
      </w:pPr>
      <w:bookmarkStart w:id="3" w:name="_Toc184544712"/>
      <w:bookmarkStart w:id="4" w:name="_Toc185161311"/>
    </w:p>
    <w:p w:rsidR="002F29DD" w:rsidRDefault="002F29DD" w:rsidP="002F29DD">
      <w:pPr>
        <w:pStyle w:val="Heading1"/>
        <w:sectPr w:rsidR="002F29DD" w:rsidSect="003F2BB3">
          <w:footerReference w:type="default" r:id="rId14"/>
          <w:endnotePr>
            <w:numFmt w:val="decimal"/>
          </w:endnotePr>
          <w:pgSz w:w="12240" w:h="15840" w:code="1"/>
          <w:pgMar w:top="1440" w:right="1440" w:bottom="1440" w:left="1440" w:header="720" w:footer="720" w:gutter="0"/>
          <w:pgNumType w:fmt="lowerRoman" w:start="1"/>
          <w:cols w:space="720"/>
          <w:docGrid w:linePitch="360"/>
        </w:sectPr>
      </w:pPr>
    </w:p>
    <w:p w:rsidR="002F29DD" w:rsidRDefault="002F29DD" w:rsidP="002F29DD">
      <w:pPr>
        <w:pStyle w:val="Pref"/>
      </w:pPr>
      <w:bookmarkStart w:id="5" w:name="_Toc321313036"/>
      <w:r>
        <w:lastRenderedPageBreak/>
        <w:t>Measure Summary Table</w:t>
      </w:r>
      <w:bookmarkEnd w:id="5"/>
    </w:p>
    <w:tbl>
      <w:tblPr>
        <w:tblW w:w="13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tblPr>
      <w:tblGrid>
        <w:gridCol w:w="2354"/>
        <w:gridCol w:w="573"/>
        <w:gridCol w:w="1030"/>
        <w:gridCol w:w="658"/>
        <w:gridCol w:w="657"/>
        <w:gridCol w:w="884"/>
        <w:gridCol w:w="876"/>
        <w:gridCol w:w="1104"/>
        <w:gridCol w:w="932"/>
        <w:gridCol w:w="1008"/>
        <w:gridCol w:w="901"/>
        <w:gridCol w:w="1047"/>
        <w:gridCol w:w="1052"/>
      </w:tblGrid>
      <w:tr w:rsidR="00800ED3" w:rsidTr="008D4751">
        <w:trPr>
          <w:trHeight w:val="1205"/>
          <w:jc w:val="center"/>
        </w:trPr>
        <w:tc>
          <w:tcPr>
            <w:tcW w:w="2354" w:type="dxa"/>
            <w:shd w:val="clear" w:color="auto" w:fill="C0C0C0"/>
            <w:vAlign w:val="bottom"/>
          </w:tcPr>
          <w:bookmarkEnd w:id="3"/>
          <w:bookmarkEnd w:id="4"/>
          <w:p w:rsidR="00800ED3" w:rsidRPr="00E23610" w:rsidRDefault="00800ED3" w:rsidP="003F2BB3">
            <w:pPr>
              <w:jc w:val="center"/>
              <w:rPr>
                <w:sz w:val="18"/>
                <w:szCs w:val="16"/>
              </w:rPr>
            </w:pPr>
            <w:r w:rsidRPr="00E23610">
              <w:rPr>
                <w:sz w:val="18"/>
                <w:szCs w:val="16"/>
              </w:rPr>
              <w:t>Measure Name</w:t>
            </w:r>
          </w:p>
        </w:tc>
        <w:tc>
          <w:tcPr>
            <w:tcW w:w="573" w:type="dxa"/>
            <w:shd w:val="clear" w:color="auto" w:fill="C0C0C0"/>
            <w:vAlign w:val="bottom"/>
          </w:tcPr>
          <w:p w:rsidR="00800ED3" w:rsidRPr="00E23610" w:rsidRDefault="00800ED3" w:rsidP="003F2BB3">
            <w:pPr>
              <w:jc w:val="center"/>
              <w:rPr>
                <w:sz w:val="18"/>
                <w:szCs w:val="16"/>
              </w:rPr>
            </w:pPr>
            <w:r w:rsidRPr="00E23610">
              <w:rPr>
                <w:sz w:val="18"/>
                <w:szCs w:val="16"/>
              </w:rPr>
              <w:t>CZ</w:t>
            </w:r>
          </w:p>
        </w:tc>
        <w:tc>
          <w:tcPr>
            <w:tcW w:w="1030" w:type="dxa"/>
            <w:shd w:val="clear" w:color="auto" w:fill="C0C0C0"/>
            <w:vAlign w:val="bottom"/>
          </w:tcPr>
          <w:p w:rsidR="00800ED3" w:rsidRPr="00E23610" w:rsidRDefault="00800ED3" w:rsidP="003F2BB3">
            <w:pPr>
              <w:jc w:val="center"/>
              <w:rPr>
                <w:sz w:val="18"/>
                <w:szCs w:val="16"/>
              </w:rPr>
            </w:pPr>
            <w:r w:rsidRPr="00E23610">
              <w:rPr>
                <w:sz w:val="18"/>
                <w:szCs w:val="16"/>
              </w:rPr>
              <w:t>Measure Electric End Use Shape (Load Shape)</w:t>
            </w:r>
          </w:p>
        </w:tc>
        <w:tc>
          <w:tcPr>
            <w:tcW w:w="658" w:type="dxa"/>
            <w:shd w:val="clear" w:color="auto" w:fill="C0C0C0"/>
            <w:vAlign w:val="bottom"/>
          </w:tcPr>
          <w:p w:rsidR="00800ED3" w:rsidRPr="00E23610" w:rsidRDefault="00800ED3" w:rsidP="006E4275">
            <w:pPr>
              <w:jc w:val="center"/>
              <w:rPr>
                <w:sz w:val="18"/>
                <w:szCs w:val="16"/>
              </w:rPr>
            </w:pPr>
            <w:r w:rsidRPr="00E23610">
              <w:rPr>
                <w:sz w:val="18"/>
                <w:szCs w:val="16"/>
              </w:rPr>
              <w:t>EUL or RUL</w:t>
            </w:r>
          </w:p>
        </w:tc>
        <w:tc>
          <w:tcPr>
            <w:tcW w:w="657" w:type="dxa"/>
            <w:shd w:val="clear" w:color="auto" w:fill="C0C0C0"/>
            <w:vAlign w:val="bottom"/>
          </w:tcPr>
          <w:p w:rsidR="00800ED3" w:rsidRPr="00E23610" w:rsidRDefault="00800ED3" w:rsidP="006E4275">
            <w:pPr>
              <w:jc w:val="center"/>
              <w:rPr>
                <w:sz w:val="18"/>
                <w:szCs w:val="16"/>
              </w:rPr>
            </w:pPr>
            <w:r w:rsidRPr="00E23610">
              <w:rPr>
                <w:sz w:val="18"/>
                <w:szCs w:val="16"/>
              </w:rPr>
              <w:t>NTG</w:t>
            </w:r>
          </w:p>
        </w:tc>
        <w:tc>
          <w:tcPr>
            <w:tcW w:w="884" w:type="dxa"/>
            <w:shd w:val="clear" w:color="auto" w:fill="C0C0C0"/>
            <w:vAlign w:val="bottom"/>
          </w:tcPr>
          <w:p w:rsidR="00800ED3" w:rsidRPr="00E23610" w:rsidRDefault="00800ED3" w:rsidP="003F2BB3">
            <w:pPr>
              <w:jc w:val="center"/>
              <w:rPr>
                <w:sz w:val="18"/>
                <w:szCs w:val="16"/>
              </w:rPr>
            </w:pPr>
            <w:r w:rsidRPr="00E23610">
              <w:rPr>
                <w:sz w:val="18"/>
                <w:szCs w:val="16"/>
              </w:rPr>
              <w:t>Unit Def</w:t>
            </w:r>
            <w:r w:rsidRPr="00E23610">
              <w:rPr>
                <w:sz w:val="18"/>
                <w:szCs w:val="16"/>
              </w:rPr>
              <w:t>i</w:t>
            </w:r>
            <w:r w:rsidRPr="00E23610">
              <w:rPr>
                <w:sz w:val="18"/>
                <w:szCs w:val="16"/>
              </w:rPr>
              <w:t>nition</w:t>
            </w:r>
          </w:p>
        </w:tc>
        <w:tc>
          <w:tcPr>
            <w:tcW w:w="876" w:type="dxa"/>
            <w:shd w:val="clear" w:color="auto" w:fill="C0C0C0"/>
            <w:vAlign w:val="bottom"/>
          </w:tcPr>
          <w:p w:rsidR="00800ED3" w:rsidRPr="00E23610" w:rsidRDefault="00800ED3" w:rsidP="003F2BB3">
            <w:pPr>
              <w:jc w:val="center"/>
              <w:rPr>
                <w:sz w:val="18"/>
                <w:szCs w:val="16"/>
              </w:rPr>
            </w:pPr>
            <w:r w:rsidRPr="00E23610">
              <w:rPr>
                <w:sz w:val="18"/>
                <w:szCs w:val="16"/>
              </w:rPr>
              <w:t>Program Type (</w:t>
            </w:r>
            <w:smartTag w:uri="urn:schemas-microsoft-com:office:smarttags" w:element="stockticker">
              <w:r w:rsidRPr="00E23610">
                <w:rPr>
                  <w:sz w:val="18"/>
                  <w:szCs w:val="16"/>
                </w:rPr>
                <w:t>NEW</w:t>
              </w:r>
            </w:smartTag>
            <w:r w:rsidRPr="00E23610">
              <w:rPr>
                <w:sz w:val="18"/>
                <w:szCs w:val="16"/>
              </w:rPr>
              <w:t>, ROB, RET)</w:t>
            </w:r>
          </w:p>
        </w:tc>
        <w:tc>
          <w:tcPr>
            <w:tcW w:w="1104" w:type="dxa"/>
            <w:shd w:val="clear" w:color="auto" w:fill="C0C0C0"/>
            <w:vAlign w:val="bottom"/>
          </w:tcPr>
          <w:p w:rsidR="00800ED3" w:rsidRPr="00E23610" w:rsidRDefault="00800ED3" w:rsidP="003F2BB3">
            <w:pPr>
              <w:jc w:val="center"/>
              <w:rPr>
                <w:sz w:val="18"/>
                <w:szCs w:val="16"/>
              </w:rPr>
            </w:pPr>
            <w:r w:rsidRPr="00E23610">
              <w:rPr>
                <w:sz w:val="18"/>
                <w:szCs w:val="16"/>
              </w:rPr>
              <w:t>Incremental  Measure Cost ($/unit)</w:t>
            </w:r>
          </w:p>
        </w:tc>
        <w:tc>
          <w:tcPr>
            <w:tcW w:w="932" w:type="dxa"/>
            <w:shd w:val="clear" w:color="auto" w:fill="C0C0C0"/>
            <w:vAlign w:val="bottom"/>
          </w:tcPr>
          <w:p w:rsidR="00800ED3" w:rsidRPr="00E23610" w:rsidRDefault="00800ED3" w:rsidP="009F48F6">
            <w:pPr>
              <w:jc w:val="center"/>
              <w:rPr>
                <w:sz w:val="18"/>
                <w:szCs w:val="16"/>
              </w:rPr>
            </w:pPr>
            <w:r w:rsidRPr="00E23610">
              <w:rPr>
                <w:sz w:val="18"/>
                <w:szCs w:val="16"/>
              </w:rPr>
              <w:t xml:space="preserve">Gas </w:t>
            </w:r>
            <w:r w:rsidR="009F48F6">
              <w:rPr>
                <w:sz w:val="18"/>
                <w:szCs w:val="16"/>
              </w:rPr>
              <w:br/>
            </w:r>
            <w:r w:rsidRPr="00E23610">
              <w:rPr>
                <w:sz w:val="18"/>
                <w:szCs w:val="16"/>
              </w:rPr>
              <w:t>Savings (</w:t>
            </w:r>
            <w:r w:rsidR="009F48F6">
              <w:rPr>
                <w:sz w:val="18"/>
                <w:szCs w:val="16"/>
              </w:rPr>
              <w:t>t</w:t>
            </w:r>
            <w:r w:rsidRPr="00E23610">
              <w:rPr>
                <w:sz w:val="18"/>
                <w:szCs w:val="16"/>
              </w:rPr>
              <w:t>herms</w:t>
            </w:r>
            <w:r w:rsidR="008F0ABF">
              <w:rPr>
                <w:sz w:val="18"/>
                <w:szCs w:val="16"/>
              </w:rPr>
              <w:t>/</w:t>
            </w:r>
            <w:r w:rsidR="009F48F6">
              <w:rPr>
                <w:sz w:val="18"/>
                <w:szCs w:val="16"/>
              </w:rPr>
              <w:t xml:space="preserve"> unit</w:t>
            </w:r>
            <w:r w:rsidRPr="00E23610">
              <w:rPr>
                <w:sz w:val="18"/>
                <w:szCs w:val="16"/>
              </w:rPr>
              <w:t>)</w:t>
            </w:r>
          </w:p>
        </w:tc>
        <w:tc>
          <w:tcPr>
            <w:tcW w:w="1008" w:type="dxa"/>
            <w:shd w:val="clear" w:color="auto" w:fill="C0C0C0"/>
            <w:vAlign w:val="bottom"/>
          </w:tcPr>
          <w:p w:rsidR="00800ED3" w:rsidRPr="00E23610" w:rsidRDefault="00800ED3" w:rsidP="003F2BB3">
            <w:pPr>
              <w:jc w:val="center"/>
              <w:rPr>
                <w:sz w:val="18"/>
                <w:szCs w:val="16"/>
              </w:rPr>
            </w:pPr>
            <w:r w:rsidRPr="00E23610">
              <w:rPr>
                <w:sz w:val="18"/>
                <w:szCs w:val="16"/>
              </w:rPr>
              <w:t>Gross Unit Annual Electricity Savings (kWh/unit)</w:t>
            </w:r>
          </w:p>
        </w:tc>
        <w:tc>
          <w:tcPr>
            <w:tcW w:w="901" w:type="dxa"/>
            <w:shd w:val="clear" w:color="auto" w:fill="C0C0C0"/>
            <w:vAlign w:val="bottom"/>
          </w:tcPr>
          <w:p w:rsidR="00800ED3" w:rsidRPr="00E23610" w:rsidRDefault="00800ED3" w:rsidP="003F2BB3">
            <w:pPr>
              <w:jc w:val="center"/>
              <w:rPr>
                <w:sz w:val="18"/>
                <w:szCs w:val="16"/>
              </w:rPr>
            </w:pPr>
            <w:r w:rsidRPr="00E23610">
              <w:rPr>
                <w:sz w:val="18"/>
                <w:szCs w:val="16"/>
              </w:rPr>
              <w:t>User E</w:t>
            </w:r>
            <w:r w:rsidRPr="00E23610">
              <w:rPr>
                <w:sz w:val="18"/>
                <w:szCs w:val="16"/>
              </w:rPr>
              <w:t>n</w:t>
            </w:r>
            <w:r w:rsidRPr="00E23610">
              <w:rPr>
                <w:sz w:val="18"/>
                <w:szCs w:val="16"/>
              </w:rPr>
              <w:t>tered kW Savings per unit (kW/unit)</w:t>
            </w:r>
          </w:p>
        </w:tc>
        <w:tc>
          <w:tcPr>
            <w:tcW w:w="1047" w:type="dxa"/>
            <w:shd w:val="clear" w:color="auto" w:fill="C0C0C0"/>
            <w:vAlign w:val="bottom"/>
          </w:tcPr>
          <w:p w:rsidR="00800ED3" w:rsidRPr="00E23610" w:rsidRDefault="00800ED3" w:rsidP="003F2BB3">
            <w:pPr>
              <w:jc w:val="center"/>
              <w:rPr>
                <w:sz w:val="18"/>
                <w:szCs w:val="16"/>
              </w:rPr>
            </w:pPr>
            <w:r w:rsidRPr="00E23610">
              <w:rPr>
                <w:sz w:val="18"/>
                <w:szCs w:val="16"/>
              </w:rPr>
              <w:t xml:space="preserve">% Eligible for TOU AC </w:t>
            </w:r>
          </w:p>
          <w:p w:rsidR="00800ED3" w:rsidRPr="00E23610" w:rsidRDefault="00800ED3" w:rsidP="003F2BB3">
            <w:pPr>
              <w:jc w:val="center"/>
              <w:rPr>
                <w:sz w:val="18"/>
                <w:szCs w:val="16"/>
              </w:rPr>
            </w:pPr>
            <w:r w:rsidRPr="00E23610">
              <w:rPr>
                <w:sz w:val="18"/>
                <w:szCs w:val="16"/>
              </w:rPr>
              <w:t>Adjustment</w:t>
            </w:r>
          </w:p>
        </w:tc>
        <w:tc>
          <w:tcPr>
            <w:tcW w:w="1052" w:type="dxa"/>
            <w:shd w:val="clear" w:color="auto" w:fill="C0C0C0"/>
            <w:vAlign w:val="bottom"/>
          </w:tcPr>
          <w:p w:rsidR="00800ED3" w:rsidRPr="00E23610" w:rsidRDefault="00800ED3" w:rsidP="003F2BB3">
            <w:pPr>
              <w:jc w:val="center"/>
              <w:rPr>
                <w:sz w:val="18"/>
                <w:szCs w:val="16"/>
              </w:rPr>
            </w:pPr>
            <w:r w:rsidRPr="00E23610">
              <w:rPr>
                <w:sz w:val="18"/>
                <w:szCs w:val="16"/>
              </w:rPr>
              <w:t xml:space="preserve">Gross </w:t>
            </w:r>
          </w:p>
          <w:p w:rsidR="00800ED3" w:rsidRPr="00E23610" w:rsidRDefault="00800ED3" w:rsidP="003F2BB3">
            <w:pPr>
              <w:jc w:val="center"/>
              <w:rPr>
                <w:sz w:val="18"/>
                <w:szCs w:val="16"/>
              </w:rPr>
            </w:pPr>
            <w:r w:rsidRPr="00E23610">
              <w:rPr>
                <w:sz w:val="18"/>
                <w:szCs w:val="16"/>
              </w:rPr>
              <w:t>Realization Rate (GRR)</w:t>
            </w:r>
          </w:p>
        </w:tc>
      </w:tr>
      <w:tr w:rsidR="00C40516" w:rsidTr="008D4751">
        <w:trPr>
          <w:trHeight w:val="172"/>
          <w:jc w:val="center"/>
        </w:trPr>
        <w:tc>
          <w:tcPr>
            <w:tcW w:w="2354" w:type="dxa"/>
            <w:shd w:val="clear" w:color="auto" w:fill="auto"/>
            <w:noWrap/>
          </w:tcPr>
          <w:p w:rsidR="00C40516" w:rsidRPr="002D12EC" w:rsidRDefault="000747F3" w:rsidP="00C40516">
            <w:pPr>
              <w:rPr>
                <w:sz w:val="18"/>
                <w:szCs w:val="18"/>
              </w:rPr>
            </w:pPr>
            <w:r>
              <w:rPr>
                <w:sz w:val="18"/>
                <w:szCs w:val="18"/>
              </w:rPr>
              <w:t xml:space="preserve">Small </w:t>
            </w:r>
            <w:r w:rsidR="00C40516">
              <w:rPr>
                <w:sz w:val="18"/>
                <w:szCs w:val="18"/>
              </w:rPr>
              <w:t xml:space="preserve">Storage Water Heater </w:t>
            </w:r>
            <w:r w:rsidR="00C40516">
              <w:rPr>
                <w:rFonts w:cs="Arial"/>
                <w:sz w:val="18"/>
                <w:szCs w:val="18"/>
              </w:rPr>
              <w:t>≤75</w:t>
            </w:r>
            <w:r w:rsidR="00C40516">
              <w:rPr>
                <w:sz w:val="18"/>
                <w:szCs w:val="18"/>
              </w:rPr>
              <w:t xml:space="preserve"> </w:t>
            </w:r>
            <w:proofErr w:type="spellStart"/>
            <w:r w:rsidR="00C40516">
              <w:rPr>
                <w:sz w:val="18"/>
                <w:szCs w:val="18"/>
              </w:rPr>
              <w:t>MBtu</w:t>
            </w:r>
            <w:proofErr w:type="spellEnd"/>
            <w:r w:rsidR="00C40516">
              <w:rPr>
                <w:sz w:val="18"/>
                <w:szCs w:val="18"/>
              </w:rPr>
              <w:t>/hr</w:t>
            </w:r>
          </w:p>
        </w:tc>
        <w:tc>
          <w:tcPr>
            <w:tcW w:w="573" w:type="dxa"/>
            <w:shd w:val="clear" w:color="auto" w:fill="auto"/>
            <w:noWrap/>
          </w:tcPr>
          <w:p w:rsidR="00C40516" w:rsidRPr="002D12EC" w:rsidRDefault="006C585F" w:rsidP="006C585F">
            <w:pPr>
              <w:rPr>
                <w:sz w:val="18"/>
                <w:szCs w:val="18"/>
              </w:rPr>
            </w:pPr>
            <w:r>
              <w:rPr>
                <w:sz w:val="18"/>
                <w:szCs w:val="18"/>
              </w:rPr>
              <w:t>S</w:t>
            </w:r>
            <w:r w:rsidR="008D4751">
              <w:rPr>
                <w:sz w:val="18"/>
                <w:szCs w:val="18"/>
              </w:rPr>
              <w:t>DGE</w:t>
            </w:r>
          </w:p>
        </w:tc>
        <w:tc>
          <w:tcPr>
            <w:tcW w:w="1030" w:type="dxa"/>
            <w:shd w:val="clear" w:color="auto" w:fill="auto"/>
          </w:tcPr>
          <w:p w:rsidR="00C40516" w:rsidRPr="002D12EC" w:rsidRDefault="00C40516" w:rsidP="00C40516">
            <w:pPr>
              <w:rPr>
                <w:sz w:val="18"/>
                <w:szCs w:val="18"/>
              </w:rPr>
            </w:pPr>
            <w:r w:rsidRPr="002D12EC">
              <w:rPr>
                <w:sz w:val="18"/>
                <w:szCs w:val="18"/>
              </w:rPr>
              <w:t>N/A</w:t>
            </w:r>
          </w:p>
        </w:tc>
        <w:tc>
          <w:tcPr>
            <w:tcW w:w="658" w:type="dxa"/>
            <w:shd w:val="clear" w:color="auto" w:fill="auto"/>
          </w:tcPr>
          <w:p w:rsidR="00C40516" w:rsidRPr="00A50306" w:rsidRDefault="00A50306" w:rsidP="00C40516">
            <w:pPr>
              <w:rPr>
                <w:sz w:val="18"/>
                <w:szCs w:val="18"/>
              </w:rPr>
            </w:pPr>
            <w:r w:rsidRPr="00A50306">
              <w:rPr>
                <w:sz w:val="18"/>
                <w:szCs w:val="18"/>
              </w:rPr>
              <w:t>15</w:t>
            </w:r>
          </w:p>
        </w:tc>
        <w:tc>
          <w:tcPr>
            <w:tcW w:w="657" w:type="dxa"/>
            <w:shd w:val="clear" w:color="auto" w:fill="auto"/>
          </w:tcPr>
          <w:p w:rsidR="00C40516" w:rsidRPr="00A50306" w:rsidRDefault="00C40516" w:rsidP="008749EB">
            <w:pPr>
              <w:rPr>
                <w:sz w:val="18"/>
                <w:szCs w:val="18"/>
              </w:rPr>
            </w:pPr>
            <w:r w:rsidRPr="00A50306">
              <w:rPr>
                <w:sz w:val="18"/>
                <w:szCs w:val="18"/>
              </w:rPr>
              <w:t>0.</w:t>
            </w:r>
            <w:r w:rsidR="00A50306" w:rsidRPr="00A50306">
              <w:rPr>
                <w:sz w:val="18"/>
                <w:szCs w:val="18"/>
              </w:rPr>
              <w:t>6</w:t>
            </w:r>
            <w:r w:rsidR="008749EB">
              <w:rPr>
                <w:sz w:val="18"/>
                <w:szCs w:val="18"/>
              </w:rPr>
              <w:t>0</w:t>
            </w:r>
          </w:p>
        </w:tc>
        <w:tc>
          <w:tcPr>
            <w:tcW w:w="884" w:type="dxa"/>
            <w:shd w:val="clear" w:color="auto" w:fill="auto"/>
            <w:noWrap/>
          </w:tcPr>
          <w:p w:rsidR="00C40516" w:rsidRPr="002D12EC" w:rsidRDefault="009F48F6" w:rsidP="00C40516">
            <w:pPr>
              <w:rPr>
                <w:sz w:val="18"/>
                <w:szCs w:val="18"/>
              </w:rPr>
            </w:pPr>
            <w:r>
              <w:rPr>
                <w:sz w:val="18"/>
                <w:szCs w:val="18"/>
              </w:rPr>
              <w:t>MBtuh</w:t>
            </w:r>
          </w:p>
        </w:tc>
        <w:tc>
          <w:tcPr>
            <w:tcW w:w="876" w:type="dxa"/>
            <w:shd w:val="clear" w:color="auto" w:fill="auto"/>
            <w:noWrap/>
          </w:tcPr>
          <w:p w:rsidR="00C40516" w:rsidRPr="000747F3" w:rsidRDefault="000747F3" w:rsidP="000747F3">
            <w:r>
              <w:rPr>
                <w:rFonts w:cs="Arial"/>
                <w:bCs/>
                <w:sz w:val="18"/>
              </w:rPr>
              <w:t xml:space="preserve">NEW, </w:t>
            </w:r>
            <w:r w:rsidR="00C40516" w:rsidRPr="000747F3">
              <w:rPr>
                <w:rFonts w:cs="Arial"/>
                <w:bCs/>
                <w:sz w:val="18"/>
              </w:rPr>
              <w:t>ROB</w:t>
            </w:r>
          </w:p>
        </w:tc>
        <w:tc>
          <w:tcPr>
            <w:tcW w:w="1104" w:type="dxa"/>
            <w:shd w:val="clear" w:color="auto" w:fill="auto"/>
            <w:noWrap/>
          </w:tcPr>
          <w:p w:rsidR="00C40516" w:rsidRPr="00D62A22" w:rsidRDefault="00A77A8A" w:rsidP="00F03833">
            <w:pPr>
              <w:overflowPunct w:val="0"/>
              <w:autoSpaceDE w:val="0"/>
              <w:autoSpaceDN w:val="0"/>
              <w:adjustRightInd w:val="0"/>
              <w:spacing w:after="120" w:line="360" w:lineRule="atLeast"/>
              <w:textAlignment w:val="baseline"/>
            </w:pPr>
            <w:r w:rsidRPr="00D62A22">
              <w:rPr>
                <w:rFonts w:cs="Arial"/>
                <w:bCs/>
                <w:sz w:val="18"/>
              </w:rPr>
              <w:t>$7.22</w:t>
            </w:r>
          </w:p>
        </w:tc>
        <w:tc>
          <w:tcPr>
            <w:tcW w:w="932" w:type="dxa"/>
          </w:tcPr>
          <w:p w:rsidR="00C40516" w:rsidRPr="008445D3" w:rsidRDefault="008F0ABF" w:rsidP="008F0ABF">
            <w:pPr>
              <w:overflowPunct w:val="0"/>
              <w:autoSpaceDE w:val="0"/>
              <w:autoSpaceDN w:val="0"/>
              <w:adjustRightInd w:val="0"/>
              <w:spacing w:after="120" w:line="360" w:lineRule="atLeast"/>
              <w:textAlignment w:val="baseline"/>
            </w:pPr>
            <w:r w:rsidRPr="008445D3">
              <w:rPr>
                <w:rFonts w:cs="Arial"/>
                <w:bCs/>
                <w:sz w:val="18"/>
              </w:rPr>
              <w:t>0.96</w:t>
            </w:r>
          </w:p>
        </w:tc>
        <w:tc>
          <w:tcPr>
            <w:tcW w:w="1008" w:type="dxa"/>
          </w:tcPr>
          <w:p w:rsidR="00C40516" w:rsidRPr="002D12EC" w:rsidRDefault="00C40516" w:rsidP="00C40516">
            <w:pPr>
              <w:rPr>
                <w:sz w:val="18"/>
                <w:szCs w:val="18"/>
              </w:rPr>
            </w:pPr>
            <w:r w:rsidRPr="002D12EC">
              <w:rPr>
                <w:sz w:val="18"/>
                <w:szCs w:val="18"/>
              </w:rPr>
              <w:t>N/A</w:t>
            </w:r>
          </w:p>
        </w:tc>
        <w:tc>
          <w:tcPr>
            <w:tcW w:w="901" w:type="dxa"/>
          </w:tcPr>
          <w:p w:rsidR="00C40516" w:rsidRPr="002D12EC" w:rsidRDefault="00C40516" w:rsidP="00C40516">
            <w:pPr>
              <w:rPr>
                <w:sz w:val="18"/>
                <w:szCs w:val="18"/>
              </w:rPr>
            </w:pPr>
            <w:r w:rsidRPr="002D12EC">
              <w:rPr>
                <w:sz w:val="18"/>
                <w:szCs w:val="18"/>
              </w:rPr>
              <w:t>N/A</w:t>
            </w:r>
          </w:p>
        </w:tc>
        <w:tc>
          <w:tcPr>
            <w:tcW w:w="1047" w:type="dxa"/>
          </w:tcPr>
          <w:p w:rsidR="00C40516" w:rsidRPr="002D12EC" w:rsidRDefault="00C40516" w:rsidP="00C40516">
            <w:pPr>
              <w:rPr>
                <w:sz w:val="18"/>
                <w:szCs w:val="18"/>
              </w:rPr>
            </w:pPr>
            <w:r w:rsidRPr="002D12EC">
              <w:rPr>
                <w:sz w:val="18"/>
                <w:szCs w:val="18"/>
              </w:rPr>
              <w:t>N/A</w:t>
            </w:r>
          </w:p>
        </w:tc>
        <w:tc>
          <w:tcPr>
            <w:tcW w:w="1052" w:type="dxa"/>
          </w:tcPr>
          <w:p w:rsidR="00C40516" w:rsidRPr="002D12EC" w:rsidRDefault="00C40516" w:rsidP="00C40516">
            <w:pPr>
              <w:rPr>
                <w:sz w:val="18"/>
                <w:szCs w:val="18"/>
              </w:rPr>
            </w:pPr>
            <w:r>
              <w:rPr>
                <w:sz w:val="18"/>
                <w:szCs w:val="18"/>
              </w:rPr>
              <w:t>1.00</w:t>
            </w:r>
          </w:p>
        </w:tc>
      </w:tr>
      <w:tr w:rsidR="00A50306" w:rsidTr="008D4751">
        <w:trPr>
          <w:trHeight w:val="172"/>
          <w:jc w:val="center"/>
        </w:trPr>
        <w:tc>
          <w:tcPr>
            <w:tcW w:w="2354" w:type="dxa"/>
            <w:shd w:val="clear" w:color="auto" w:fill="auto"/>
            <w:noWrap/>
          </w:tcPr>
          <w:p w:rsidR="00A50306" w:rsidRPr="002D12EC" w:rsidRDefault="000747F3" w:rsidP="00C40516">
            <w:pPr>
              <w:rPr>
                <w:sz w:val="18"/>
                <w:szCs w:val="18"/>
              </w:rPr>
            </w:pPr>
            <w:r>
              <w:rPr>
                <w:sz w:val="18"/>
                <w:szCs w:val="18"/>
              </w:rPr>
              <w:t xml:space="preserve">Large </w:t>
            </w:r>
            <w:r w:rsidR="00A50306">
              <w:rPr>
                <w:sz w:val="18"/>
                <w:szCs w:val="18"/>
              </w:rPr>
              <w:t>Storage Water Heater &gt;</w:t>
            </w:r>
            <w:r w:rsidR="00A50306">
              <w:rPr>
                <w:rFonts w:cs="Arial"/>
                <w:sz w:val="18"/>
                <w:szCs w:val="18"/>
              </w:rPr>
              <w:t>75</w:t>
            </w:r>
            <w:r w:rsidR="00A50306">
              <w:rPr>
                <w:sz w:val="18"/>
                <w:szCs w:val="18"/>
              </w:rPr>
              <w:t xml:space="preserve"> </w:t>
            </w:r>
            <w:proofErr w:type="spellStart"/>
            <w:r w:rsidR="00A50306">
              <w:rPr>
                <w:sz w:val="18"/>
                <w:szCs w:val="18"/>
              </w:rPr>
              <w:t>MBtu</w:t>
            </w:r>
            <w:proofErr w:type="spellEnd"/>
            <w:r w:rsidR="00A50306">
              <w:rPr>
                <w:sz w:val="18"/>
                <w:szCs w:val="18"/>
              </w:rPr>
              <w:t>/hr, Tier 1</w:t>
            </w:r>
          </w:p>
        </w:tc>
        <w:tc>
          <w:tcPr>
            <w:tcW w:w="573" w:type="dxa"/>
            <w:shd w:val="clear" w:color="auto" w:fill="auto"/>
            <w:noWrap/>
          </w:tcPr>
          <w:p w:rsidR="00A50306" w:rsidRDefault="008D4751" w:rsidP="00C40516">
            <w:r>
              <w:rPr>
                <w:sz w:val="18"/>
                <w:szCs w:val="18"/>
              </w:rPr>
              <w:t>SD</w:t>
            </w:r>
            <w:r w:rsidR="006C585F">
              <w:rPr>
                <w:sz w:val="18"/>
                <w:szCs w:val="18"/>
              </w:rPr>
              <w:t>G</w:t>
            </w:r>
            <w:r>
              <w:rPr>
                <w:sz w:val="18"/>
                <w:szCs w:val="18"/>
              </w:rPr>
              <w:t>E</w:t>
            </w:r>
          </w:p>
        </w:tc>
        <w:tc>
          <w:tcPr>
            <w:tcW w:w="1030" w:type="dxa"/>
            <w:shd w:val="clear" w:color="auto" w:fill="auto"/>
          </w:tcPr>
          <w:p w:rsidR="00A50306" w:rsidRPr="002D12EC" w:rsidRDefault="00A50306" w:rsidP="00C40516">
            <w:pPr>
              <w:rPr>
                <w:sz w:val="18"/>
                <w:szCs w:val="18"/>
              </w:rPr>
            </w:pPr>
            <w:r w:rsidRPr="002D12EC">
              <w:rPr>
                <w:sz w:val="18"/>
                <w:szCs w:val="18"/>
              </w:rPr>
              <w:t>N/A</w:t>
            </w:r>
          </w:p>
        </w:tc>
        <w:tc>
          <w:tcPr>
            <w:tcW w:w="658" w:type="dxa"/>
            <w:shd w:val="clear" w:color="auto" w:fill="auto"/>
          </w:tcPr>
          <w:p w:rsidR="00A50306" w:rsidRPr="00A50306" w:rsidRDefault="00A50306">
            <w:r w:rsidRPr="00A50306">
              <w:rPr>
                <w:sz w:val="18"/>
                <w:szCs w:val="18"/>
              </w:rPr>
              <w:t>15</w:t>
            </w:r>
          </w:p>
        </w:tc>
        <w:tc>
          <w:tcPr>
            <w:tcW w:w="657" w:type="dxa"/>
            <w:shd w:val="clear" w:color="auto" w:fill="auto"/>
          </w:tcPr>
          <w:p w:rsidR="00A50306" w:rsidRPr="00A50306" w:rsidRDefault="008749EB">
            <w:r>
              <w:rPr>
                <w:sz w:val="18"/>
                <w:szCs w:val="18"/>
              </w:rPr>
              <w:t>0.</w:t>
            </w:r>
            <w:r w:rsidR="00A50306" w:rsidRPr="00A50306">
              <w:rPr>
                <w:sz w:val="18"/>
                <w:szCs w:val="18"/>
              </w:rPr>
              <w:t>6</w:t>
            </w:r>
            <w:r>
              <w:rPr>
                <w:sz w:val="18"/>
                <w:szCs w:val="18"/>
              </w:rPr>
              <w:t>0</w:t>
            </w:r>
          </w:p>
        </w:tc>
        <w:tc>
          <w:tcPr>
            <w:tcW w:w="884" w:type="dxa"/>
            <w:shd w:val="clear" w:color="auto" w:fill="auto"/>
            <w:noWrap/>
          </w:tcPr>
          <w:p w:rsidR="00A50306" w:rsidRPr="002D12EC" w:rsidRDefault="009F48F6" w:rsidP="00C40516">
            <w:pPr>
              <w:rPr>
                <w:sz w:val="18"/>
                <w:szCs w:val="18"/>
              </w:rPr>
            </w:pPr>
            <w:r>
              <w:rPr>
                <w:sz w:val="18"/>
                <w:szCs w:val="18"/>
              </w:rPr>
              <w:t>MBtuh</w:t>
            </w:r>
          </w:p>
        </w:tc>
        <w:tc>
          <w:tcPr>
            <w:tcW w:w="876" w:type="dxa"/>
            <w:shd w:val="clear" w:color="auto" w:fill="auto"/>
            <w:noWrap/>
          </w:tcPr>
          <w:p w:rsidR="00A50306" w:rsidRPr="000747F3" w:rsidRDefault="000747F3" w:rsidP="00C40516">
            <w:r>
              <w:rPr>
                <w:rFonts w:cs="Arial"/>
                <w:bCs/>
                <w:sz w:val="18"/>
              </w:rPr>
              <w:t xml:space="preserve">NEW, </w:t>
            </w:r>
            <w:r w:rsidRPr="000747F3">
              <w:rPr>
                <w:rFonts w:cs="Arial"/>
                <w:bCs/>
                <w:sz w:val="18"/>
              </w:rPr>
              <w:t>ROB</w:t>
            </w:r>
          </w:p>
        </w:tc>
        <w:tc>
          <w:tcPr>
            <w:tcW w:w="1104" w:type="dxa"/>
            <w:shd w:val="clear" w:color="auto" w:fill="auto"/>
            <w:noWrap/>
          </w:tcPr>
          <w:p w:rsidR="00A50306" w:rsidRPr="00D62A22" w:rsidRDefault="00A77A8A" w:rsidP="00F03833">
            <w:pPr>
              <w:overflowPunct w:val="0"/>
              <w:autoSpaceDE w:val="0"/>
              <w:autoSpaceDN w:val="0"/>
              <w:adjustRightInd w:val="0"/>
              <w:spacing w:after="120" w:line="360" w:lineRule="atLeast"/>
              <w:textAlignment w:val="baseline"/>
            </w:pPr>
            <w:r w:rsidRPr="00D62A22">
              <w:rPr>
                <w:rFonts w:cs="Arial"/>
                <w:bCs/>
                <w:sz w:val="18"/>
              </w:rPr>
              <w:t>$1.23</w:t>
            </w:r>
          </w:p>
        </w:tc>
        <w:tc>
          <w:tcPr>
            <w:tcW w:w="932" w:type="dxa"/>
          </w:tcPr>
          <w:p w:rsidR="00A50306" w:rsidRPr="008445D3" w:rsidRDefault="00A50306" w:rsidP="008F0ABF">
            <w:pPr>
              <w:overflowPunct w:val="0"/>
              <w:autoSpaceDE w:val="0"/>
              <w:autoSpaceDN w:val="0"/>
              <w:adjustRightInd w:val="0"/>
              <w:spacing w:after="120" w:line="360" w:lineRule="atLeast"/>
              <w:textAlignment w:val="baseline"/>
            </w:pPr>
            <w:r w:rsidRPr="008445D3">
              <w:rPr>
                <w:rFonts w:cs="Arial"/>
                <w:bCs/>
                <w:sz w:val="18"/>
              </w:rPr>
              <w:t>0.63</w:t>
            </w:r>
          </w:p>
        </w:tc>
        <w:tc>
          <w:tcPr>
            <w:tcW w:w="1008" w:type="dxa"/>
          </w:tcPr>
          <w:p w:rsidR="00A50306" w:rsidRPr="002D12EC" w:rsidRDefault="00A50306" w:rsidP="00C40516">
            <w:pPr>
              <w:rPr>
                <w:sz w:val="18"/>
                <w:szCs w:val="18"/>
              </w:rPr>
            </w:pPr>
            <w:r w:rsidRPr="002D12EC">
              <w:rPr>
                <w:sz w:val="18"/>
                <w:szCs w:val="18"/>
              </w:rPr>
              <w:t>N/A</w:t>
            </w:r>
          </w:p>
        </w:tc>
        <w:tc>
          <w:tcPr>
            <w:tcW w:w="901" w:type="dxa"/>
          </w:tcPr>
          <w:p w:rsidR="00A50306" w:rsidRPr="002D12EC" w:rsidRDefault="00A50306" w:rsidP="00C40516">
            <w:pPr>
              <w:rPr>
                <w:sz w:val="18"/>
                <w:szCs w:val="18"/>
              </w:rPr>
            </w:pPr>
            <w:r w:rsidRPr="002D12EC">
              <w:rPr>
                <w:sz w:val="18"/>
                <w:szCs w:val="18"/>
              </w:rPr>
              <w:t>N/A</w:t>
            </w:r>
          </w:p>
        </w:tc>
        <w:tc>
          <w:tcPr>
            <w:tcW w:w="1047" w:type="dxa"/>
          </w:tcPr>
          <w:p w:rsidR="00A50306" w:rsidRPr="002D12EC" w:rsidRDefault="00A50306" w:rsidP="00C40516">
            <w:pPr>
              <w:rPr>
                <w:sz w:val="18"/>
                <w:szCs w:val="18"/>
              </w:rPr>
            </w:pPr>
            <w:r w:rsidRPr="002D12EC">
              <w:rPr>
                <w:sz w:val="18"/>
                <w:szCs w:val="18"/>
              </w:rPr>
              <w:t>N/A</w:t>
            </w:r>
          </w:p>
        </w:tc>
        <w:tc>
          <w:tcPr>
            <w:tcW w:w="1052" w:type="dxa"/>
          </w:tcPr>
          <w:p w:rsidR="00A50306" w:rsidRPr="002D12EC" w:rsidRDefault="00A50306" w:rsidP="00C40516">
            <w:pPr>
              <w:rPr>
                <w:sz w:val="18"/>
                <w:szCs w:val="18"/>
              </w:rPr>
            </w:pPr>
            <w:r>
              <w:rPr>
                <w:sz w:val="18"/>
                <w:szCs w:val="18"/>
              </w:rPr>
              <w:t>1.00</w:t>
            </w:r>
          </w:p>
        </w:tc>
      </w:tr>
      <w:tr w:rsidR="00A50306" w:rsidTr="008D4751">
        <w:trPr>
          <w:trHeight w:val="172"/>
          <w:jc w:val="center"/>
        </w:trPr>
        <w:tc>
          <w:tcPr>
            <w:tcW w:w="2354" w:type="dxa"/>
            <w:shd w:val="clear" w:color="auto" w:fill="auto"/>
            <w:noWrap/>
          </w:tcPr>
          <w:p w:rsidR="00A50306" w:rsidRPr="002D12EC" w:rsidRDefault="000747F3" w:rsidP="000E58C4">
            <w:pPr>
              <w:rPr>
                <w:sz w:val="18"/>
                <w:szCs w:val="18"/>
              </w:rPr>
            </w:pPr>
            <w:r>
              <w:rPr>
                <w:sz w:val="18"/>
                <w:szCs w:val="18"/>
              </w:rPr>
              <w:t xml:space="preserve">Large </w:t>
            </w:r>
            <w:r w:rsidR="00A50306">
              <w:rPr>
                <w:sz w:val="18"/>
                <w:szCs w:val="18"/>
              </w:rPr>
              <w:t>Storage Water Heater &gt;</w:t>
            </w:r>
            <w:r w:rsidR="00A50306">
              <w:rPr>
                <w:rFonts w:cs="Arial"/>
                <w:sz w:val="18"/>
                <w:szCs w:val="18"/>
              </w:rPr>
              <w:t>75</w:t>
            </w:r>
            <w:r w:rsidR="00A50306">
              <w:rPr>
                <w:sz w:val="18"/>
                <w:szCs w:val="18"/>
              </w:rPr>
              <w:t xml:space="preserve"> </w:t>
            </w:r>
            <w:proofErr w:type="spellStart"/>
            <w:r w:rsidR="00A50306">
              <w:rPr>
                <w:sz w:val="18"/>
                <w:szCs w:val="18"/>
              </w:rPr>
              <w:t>MBtu</w:t>
            </w:r>
            <w:proofErr w:type="spellEnd"/>
            <w:r w:rsidR="00A50306">
              <w:rPr>
                <w:sz w:val="18"/>
                <w:szCs w:val="18"/>
              </w:rPr>
              <w:t>/hr, Tier 2</w:t>
            </w:r>
          </w:p>
        </w:tc>
        <w:tc>
          <w:tcPr>
            <w:tcW w:w="573" w:type="dxa"/>
            <w:shd w:val="clear" w:color="auto" w:fill="auto"/>
            <w:noWrap/>
          </w:tcPr>
          <w:p w:rsidR="00A50306" w:rsidRDefault="008D4751" w:rsidP="006C585F">
            <w:r>
              <w:rPr>
                <w:sz w:val="18"/>
                <w:szCs w:val="18"/>
              </w:rPr>
              <w:t>SD</w:t>
            </w:r>
            <w:r w:rsidR="006C585F">
              <w:rPr>
                <w:sz w:val="18"/>
                <w:szCs w:val="18"/>
              </w:rPr>
              <w:t>G</w:t>
            </w:r>
            <w:r>
              <w:rPr>
                <w:sz w:val="18"/>
                <w:szCs w:val="18"/>
              </w:rPr>
              <w:t>E</w:t>
            </w:r>
          </w:p>
        </w:tc>
        <w:tc>
          <w:tcPr>
            <w:tcW w:w="1030" w:type="dxa"/>
            <w:shd w:val="clear" w:color="auto" w:fill="auto"/>
          </w:tcPr>
          <w:p w:rsidR="00A50306" w:rsidRPr="002D12EC" w:rsidRDefault="00A50306" w:rsidP="00C40516">
            <w:pPr>
              <w:rPr>
                <w:sz w:val="18"/>
                <w:szCs w:val="18"/>
              </w:rPr>
            </w:pPr>
            <w:r w:rsidRPr="002D12EC">
              <w:rPr>
                <w:sz w:val="18"/>
                <w:szCs w:val="18"/>
              </w:rPr>
              <w:t>N/A</w:t>
            </w:r>
          </w:p>
        </w:tc>
        <w:tc>
          <w:tcPr>
            <w:tcW w:w="658" w:type="dxa"/>
            <w:shd w:val="clear" w:color="auto" w:fill="auto"/>
          </w:tcPr>
          <w:p w:rsidR="00A50306" w:rsidRPr="00A50306" w:rsidRDefault="00A50306">
            <w:r w:rsidRPr="00A50306">
              <w:rPr>
                <w:sz w:val="18"/>
                <w:szCs w:val="18"/>
              </w:rPr>
              <w:t>15</w:t>
            </w:r>
          </w:p>
        </w:tc>
        <w:tc>
          <w:tcPr>
            <w:tcW w:w="657" w:type="dxa"/>
            <w:shd w:val="clear" w:color="auto" w:fill="auto"/>
          </w:tcPr>
          <w:p w:rsidR="00A50306" w:rsidRPr="00A50306" w:rsidRDefault="00C935BD">
            <w:r>
              <w:t>0.70</w:t>
            </w:r>
          </w:p>
        </w:tc>
        <w:tc>
          <w:tcPr>
            <w:tcW w:w="884" w:type="dxa"/>
            <w:shd w:val="clear" w:color="auto" w:fill="auto"/>
            <w:noWrap/>
          </w:tcPr>
          <w:p w:rsidR="00A50306" w:rsidRPr="002D12EC" w:rsidRDefault="009F48F6" w:rsidP="00C40516">
            <w:pPr>
              <w:rPr>
                <w:sz w:val="18"/>
                <w:szCs w:val="18"/>
              </w:rPr>
            </w:pPr>
            <w:r>
              <w:rPr>
                <w:sz w:val="18"/>
                <w:szCs w:val="18"/>
              </w:rPr>
              <w:t>MBtuh</w:t>
            </w:r>
          </w:p>
        </w:tc>
        <w:tc>
          <w:tcPr>
            <w:tcW w:w="876" w:type="dxa"/>
            <w:shd w:val="clear" w:color="auto" w:fill="auto"/>
            <w:noWrap/>
          </w:tcPr>
          <w:p w:rsidR="00A50306" w:rsidRPr="000747F3" w:rsidRDefault="000747F3" w:rsidP="00C40516">
            <w:r>
              <w:rPr>
                <w:rFonts w:cs="Arial"/>
                <w:bCs/>
                <w:sz w:val="18"/>
              </w:rPr>
              <w:t xml:space="preserve">NEW, </w:t>
            </w:r>
            <w:r w:rsidRPr="000747F3">
              <w:rPr>
                <w:rFonts w:cs="Arial"/>
                <w:bCs/>
                <w:sz w:val="18"/>
              </w:rPr>
              <w:t>ROB</w:t>
            </w:r>
          </w:p>
        </w:tc>
        <w:tc>
          <w:tcPr>
            <w:tcW w:w="1104" w:type="dxa"/>
            <w:shd w:val="clear" w:color="auto" w:fill="auto"/>
            <w:noWrap/>
          </w:tcPr>
          <w:p w:rsidR="00A50306" w:rsidRPr="00D62A22" w:rsidRDefault="00F03833" w:rsidP="001B7658">
            <w:r w:rsidRPr="00D62A22">
              <w:rPr>
                <w:rFonts w:cs="Arial"/>
                <w:bCs/>
                <w:sz w:val="18"/>
              </w:rPr>
              <w:t>$</w:t>
            </w:r>
            <w:r w:rsidR="001B7658" w:rsidRPr="00D62A22">
              <w:rPr>
                <w:rFonts w:cs="Arial"/>
                <w:bCs/>
                <w:sz w:val="18"/>
              </w:rPr>
              <w:t>13.13</w:t>
            </w:r>
          </w:p>
        </w:tc>
        <w:tc>
          <w:tcPr>
            <w:tcW w:w="932" w:type="dxa"/>
          </w:tcPr>
          <w:p w:rsidR="00A50306" w:rsidRPr="008445D3" w:rsidRDefault="00A50306" w:rsidP="008F0ABF">
            <w:pPr>
              <w:overflowPunct w:val="0"/>
              <w:autoSpaceDE w:val="0"/>
              <w:autoSpaceDN w:val="0"/>
              <w:adjustRightInd w:val="0"/>
              <w:spacing w:after="120" w:line="360" w:lineRule="atLeast"/>
              <w:textAlignment w:val="baseline"/>
            </w:pPr>
            <w:r w:rsidRPr="008445D3">
              <w:rPr>
                <w:rFonts w:cs="Arial"/>
                <w:bCs/>
                <w:sz w:val="18"/>
              </w:rPr>
              <w:t>1.93</w:t>
            </w:r>
          </w:p>
        </w:tc>
        <w:tc>
          <w:tcPr>
            <w:tcW w:w="1008" w:type="dxa"/>
          </w:tcPr>
          <w:p w:rsidR="00A50306" w:rsidRPr="002D12EC" w:rsidRDefault="00A50306" w:rsidP="00C40516">
            <w:pPr>
              <w:rPr>
                <w:sz w:val="18"/>
                <w:szCs w:val="18"/>
              </w:rPr>
            </w:pPr>
            <w:r w:rsidRPr="002D12EC">
              <w:rPr>
                <w:sz w:val="18"/>
                <w:szCs w:val="18"/>
              </w:rPr>
              <w:t>N/A</w:t>
            </w:r>
          </w:p>
        </w:tc>
        <w:tc>
          <w:tcPr>
            <w:tcW w:w="901" w:type="dxa"/>
          </w:tcPr>
          <w:p w:rsidR="00A50306" w:rsidRPr="002D12EC" w:rsidRDefault="00A50306" w:rsidP="00C40516">
            <w:pPr>
              <w:rPr>
                <w:sz w:val="18"/>
                <w:szCs w:val="18"/>
              </w:rPr>
            </w:pPr>
            <w:r w:rsidRPr="002D12EC">
              <w:rPr>
                <w:sz w:val="18"/>
                <w:szCs w:val="18"/>
              </w:rPr>
              <w:t>N/A</w:t>
            </w:r>
          </w:p>
        </w:tc>
        <w:tc>
          <w:tcPr>
            <w:tcW w:w="1047" w:type="dxa"/>
          </w:tcPr>
          <w:p w:rsidR="00A50306" w:rsidRPr="002D12EC" w:rsidRDefault="00A50306" w:rsidP="00C40516">
            <w:pPr>
              <w:rPr>
                <w:sz w:val="18"/>
                <w:szCs w:val="18"/>
              </w:rPr>
            </w:pPr>
            <w:r w:rsidRPr="002D12EC">
              <w:rPr>
                <w:sz w:val="18"/>
                <w:szCs w:val="18"/>
              </w:rPr>
              <w:t>N/A</w:t>
            </w:r>
          </w:p>
        </w:tc>
        <w:tc>
          <w:tcPr>
            <w:tcW w:w="1052" w:type="dxa"/>
          </w:tcPr>
          <w:p w:rsidR="00A50306" w:rsidRPr="002D12EC" w:rsidRDefault="00A50306" w:rsidP="00C40516">
            <w:pPr>
              <w:rPr>
                <w:sz w:val="18"/>
                <w:szCs w:val="18"/>
              </w:rPr>
            </w:pPr>
            <w:r>
              <w:rPr>
                <w:sz w:val="18"/>
                <w:szCs w:val="18"/>
              </w:rPr>
              <w:t>1.00</w:t>
            </w:r>
          </w:p>
        </w:tc>
      </w:tr>
    </w:tbl>
    <w:p w:rsidR="002F29DD" w:rsidRDefault="002F29DD" w:rsidP="002F29DD"/>
    <w:p w:rsidR="006E4275" w:rsidRDefault="006E4275" w:rsidP="002F29DD"/>
    <w:p w:rsidR="00D64C10" w:rsidRDefault="00D64C10" w:rsidP="002F29DD">
      <w:pPr>
        <w:sectPr w:rsidR="00D64C10" w:rsidSect="00800ED3">
          <w:footerReference w:type="even" r:id="rId15"/>
          <w:footerReference w:type="default" r:id="rId16"/>
          <w:endnotePr>
            <w:numFmt w:val="decimal"/>
          </w:endnotePr>
          <w:pgSz w:w="15840" w:h="12240" w:orient="landscape" w:code="1"/>
          <w:pgMar w:top="1440" w:right="1440" w:bottom="1440" w:left="1440" w:header="720" w:footer="720" w:gutter="0"/>
          <w:pgNumType w:fmt="lowerRoman"/>
          <w:cols w:space="720"/>
          <w:docGrid w:linePitch="360"/>
        </w:sectPr>
      </w:pPr>
    </w:p>
    <w:p w:rsidR="002F29DD" w:rsidRPr="007E3E56" w:rsidRDefault="002F29DD" w:rsidP="002F29DD">
      <w:pPr>
        <w:pStyle w:val="Heading1"/>
        <w:rPr>
          <w:vertAlign w:val="subscript"/>
        </w:rPr>
      </w:pPr>
      <w:bookmarkStart w:id="6" w:name="_Toc238955952"/>
      <w:r>
        <w:lastRenderedPageBreak/>
        <w:t>Table of Contents</w:t>
      </w:r>
      <w:bookmarkEnd w:id="6"/>
    </w:p>
    <w:p w:rsidR="0082641C" w:rsidRDefault="007D3F02">
      <w:pPr>
        <w:pStyle w:val="TOC1"/>
        <w:tabs>
          <w:tab w:val="right" w:leader="dot" w:pos="9350"/>
        </w:tabs>
        <w:rPr>
          <w:rFonts w:asciiTheme="minorHAnsi" w:eastAsiaTheme="minorEastAsia" w:hAnsiTheme="minorHAnsi" w:cstheme="minorBidi"/>
          <w:noProof/>
          <w:sz w:val="22"/>
          <w:szCs w:val="22"/>
        </w:rPr>
      </w:pPr>
      <w:r w:rsidRPr="007D3F02">
        <w:fldChar w:fldCharType="begin"/>
      </w:r>
      <w:r w:rsidR="00B07AE0">
        <w:instrText xml:space="preserve"> TOC \h \z \t "Pref,1,Appx,1,WPSCT,1,WPART,2" </w:instrText>
      </w:r>
      <w:r w:rsidRPr="007D3F02">
        <w:fldChar w:fldCharType="separate"/>
      </w:r>
      <w:hyperlink w:anchor="_Toc321313035" w:history="1">
        <w:r w:rsidR="0082641C" w:rsidRPr="001F35E4">
          <w:rPr>
            <w:rStyle w:val="Hyperlink"/>
            <w:noProof/>
          </w:rPr>
          <w:t>Revision History</w:t>
        </w:r>
        <w:r w:rsidR="0082641C">
          <w:rPr>
            <w:noProof/>
            <w:webHidden/>
          </w:rPr>
          <w:tab/>
        </w:r>
        <w:r>
          <w:rPr>
            <w:noProof/>
            <w:webHidden/>
          </w:rPr>
          <w:fldChar w:fldCharType="begin"/>
        </w:r>
        <w:r w:rsidR="0082641C">
          <w:rPr>
            <w:noProof/>
            <w:webHidden/>
          </w:rPr>
          <w:instrText xml:space="preserve"> PAGEREF _Toc321313035 \h </w:instrText>
        </w:r>
        <w:r>
          <w:rPr>
            <w:noProof/>
            <w:webHidden/>
          </w:rPr>
        </w:r>
        <w:r>
          <w:rPr>
            <w:noProof/>
            <w:webHidden/>
          </w:rPr>
          <w:fldChar w:fldCharType="separate"/>
        </w:r>
        <w:r w:rsidR="00563751">
          <w:rPr>
            <w:noProof/>
            <w:webHidden/>
          </w:rPr>
          <w:t>i</w:t>
        </w:r>
        <w:r>
          <w:rPr>
            <w:noProof/>
            <w:webHidden/>
          </w:rPr>
          <w:fldChar w:fldCharType="end"/>
        </w:r>
      </w:hyperlink>
    </w:p>
    <w:p w:rsidR="0082641C" w:rsidRDefault="007D3F02">
      <w:pPr>
        <w:pStyle w:val="TOC1"/>
        <w:tabs>
          <w:tab w:val="right" w:leader="dot" w:pos="9350"/>
        </w:tabs>
        <w:rPr>
          <w:rFonts w:asciiTheme="minorHAnsi" w:eastAsiaTheme="minorEastAsia" w:hAnsiTheme="minorHAnsi" w:cstheme="minorBidi"/>
          <w:noProof/>
          <w:sz w:val="22"/>
          <w:szCs w:val="22"/>
        </w:rPr>
      </w:pPr>
      <w:hyperlink w:anchor="_Toc321313036" w:history="1">
        <w:r w:rsidR="0082641C" w:rsidRPr="001F35E4">
          <w:rPr>
            <w:rStyle w:val="Hyperlink"/>
            <w:noProof/>
          </w:rPr>
          <w:t>Measure Summary Table</w:t>
        </w:r>
        <w:r w:rsidR="0082641C">
          <w:rPr>
            <w:noProof/>
            <w:webHidden/>
          </w:rPr>
          <w:tab/>
        </w:r>
        <w:r>
          <w:rPr>
            <w:noProof/>
            <w:webHidden/>
          </w:rPr>
          <w:fldChar w:fldCharType="begin"/>
        </w:r>
        <w:r w:rsidR="0082641C">
          <w:rPr>
            <w:noProof/>
            <w:webHidden/>
          </w:rPr>
          <w:instrText xml:space="preserve"> PAGEREF _Toc321313036 \h </w:instrText>
        </w:r>
        <w:r>
          <w:rPr>
            <w:noProof/>
            <w:webHidden/>
          </w:rPr>
        </w:r>
        <w:r>
          <w:rPr>
            <w:noProof/>
            <w:webHidden/>
          </w:rPr>
          <w:fldChar w:fldCharType="separate"/>
        </w:r>
        <w:r w:rsidR="00563751">
          <w:rPr>
            <w:noProof/>
            <w:webHidden/>
          </w:rPr>
          <w:t>ii</w:t>
        </w:r>
        <w:r>
          <w:rPr>
            <w:noProof/>
            <w:webHidden/>
          </w:rPr>
          <w:fldChar w:fldCharType="end"/>
        </w:r>
      </w:hyperlink>
    </w:p>
    <w:p w:rsidR="0082641C" w:rsidRDefault="007D3F02">
      <w:pPr>
        <w:pStyle w:val="TOC1"/>
        <w:tabs>
          <w:tab w:val="right" w:leader="dot" w:pos="9350"/>
        </w:tabs>
        <w:rPr>
          <w:rFonts w:asciiTheme="minorHAnsi" w:eastAsiaTheme="minorEastAsia" w:hAnsiTheme="minorHAnsi" w:cstheme="minorBidi"/>
          <w:noProof/>
          <w:sz w:val="22"/>
          <w:szCs w:val="22"/>
        </w:rPr>
      </w:pPr>
      <w:hyperlink w:anchor="_Toc321313037" w:history="1">
        <w:r w:rsidR="0082641C" w:rsidRPr="001F35E4">
          <w:rPr>
            <w:rStyle w:val="Hyperlink"/>
            <w:noProof/>
          </w:rPr>
          <w:t>List of Figures</w:t>
        </w:r>
        <w:r w:rsidR="0082641C">
          <w:rPr>
            <w:noProof/>
            <w:webHidden/>
          </w:rPr>
          <w:tab/>
        </w:r>
        <w:r>
          <w:rPr>
            <w:noProof/>
            <w:webHidden/>
          </w:rPr>
          <w:fldChar w:fldCharType="begin"/>
        </w:r>
        <w:r w:rsidR="0082641C">
          <w:rPr>
            <w:noProof/>
            <w:webHidden/>
          </w:rPr>
          <w:instrText xml:space="preserve"> PAGEREF _Toc321313037 \h </w:instrText>
        </w:r>
        <w:r>
          <w:rPr>
            <w:noProof/>
            <w:webHidden/>
          </w:rPr>
        </w:r>
        <w:r>
          <w:rPr>
            <w:noProof/>
            <w:webHidden/>
          </w:rPr>
          <w:fldChar w:fldCharType="separate"/>
        </w:r>
        <w:r w:rsidR="00563751">
          <w:rPr>
            <w:noProof/>
            <w:webHidden/>
          </w:rPr>
          <w:t>iv</w:t>
        </w:r>
        <w:r>
          <w:rPr>
            <w:noProof/>
            <w:webHidden/>
          </w:rPr>
          <w:fldChar w:fldCharType="end"/>
        </w:r>
      </w:hyperlink>
    </w:p>
    <w:p w:rsidR="0082641C" w:rsidRDefault="007D3F02">
      <w:pPr>
        <w:pStyle w:val="TOC1"/>
        <w:tabs>
          <w:tab w:val="right" w:leader="dot" w:pos="9350"/>
        </w:tabs>
        <w:rPr>
          <w:rFonts w:asciiTheme="minorHAnsi" w:eastAsiaTheme="minorEastAsia" w:hAnsiTheme="minorHAnsi" w:cstheme="minorBidi"/>
          <w:noProof/>
          <w:sz w:val="22"/>
          <w:szCs w:val="22"/>
        </w:rPr>
      </w:pPr>
      <w:hyperlink w:anchor="_Toc321313038" w:history="1">
        <w:r w:rsidR="0082641C" w:rsidRPr="001F35E4">
          <w:rPr>
            <w:rStyle w:val="Hyperlink"/>
            <w:noProof/>
          </w:rPr>
          <w:t>List of Tables</w:t>
        </w:r>
        <w:r w:rsidR="0082641C">
          <w:rPr>
            <w:noProof/>
            <w:webHidden/>
          </w:rPr>
          <w:tab/>
        </w:r>
        <w:r>
          <w:rPr>
            <w:noProof/>
            <w:webHidden/>
          </w:rPr>
          <w:fldChar w:fldCharType="begin"/>
        </w:r>
        <w:r w:rsidR="0082641C">
          <w:rPr>
            <w:noProof/>
            <w:webHidden/>
          </w:rPr>
          <w:instrText xml:space="preserve"> PAGEREF _Toc321313038 \h </w:instrText>
        </w:r>
        <w:r>
          <w:rPr>
            <w:noProof/>
            <w:webHidden/>
          </w:rPr>
        </w:r>
        <w:r>
          <w:rPr>
            <w:noProof/>
            <w:webHidden/>
          </w:rPr>
          <w:fldChar w:fldCharType="separate"/>
        </w:r>
        <w:r w:rsidR="00563751">
          <w:rPr>
            <w:noProof/>
            <w:webHidden/>
          </w:rPr>
          <w:t>iv</w:t>
        </w:r>
        <w:r>
          <w:rPr>
            <w:noProof/>
            <w:webHidden/>
          </w:rPr>
          <w:fldChar w:fldCharType="end"/>
        </w:r>
      </w:hyperlink>
    </w:p>
    <w:p w:rsidR="0082641C" w:rsidRDefault="007D3F02">
      <w:pPr>
        <w:pStyle w:val="TOC1"/>
        <w:tabs>
          <w:tab w:val="right" w:leader="dot" w:pos="9350"/>
        </w:tabs>
        <w:rPr>
          <w:rFonts w:asciiTheme="minorHAnsi" w:eastAsiaTheme="minorEastAsia" w:hAnsiTheme="minorHAnsi" w:cstheme="minorBidi"/>
          <w:noProof/>
          <w:sz w:val="22"/>
          <w:szCs w:val="22"/>
        </w:rPr>
      </w:pPr>
      <w:hyperlink w:anchor="_Toc321313039" w:history="1">
        <w:r w:rsidR="0082641C" w:rsidRPr="001F35E4">
          <w:rPr>
            <w:rStyle w:val="Hyperlink"/>
            <w:noProof/>
          </w:rPr>
          <w:t>SECTION 1 - General Measure &amp; Baseline Data</w:t>
        </w:r>
        <w:r w:rsidR="0082641C">
          <w:rPr>
            <w:noProof/>
            <w:webHidden/>
          </w:rPr>
          <w:tab/>
        </w:r>
        <w:r>
          <w:rPr>
            <w:noProof/>
            <w:webHidden/>
          </w:rPr>
          <w:fldChar w:fldCharType="begin"/>
        </w:r>
        <w:r w:rsidR="0082641C">
          <w:rPr>
            <w:noProof/>
            <w:webHidden/>
          </w:rPr>
          <w:instrText xml:space="preserve"> PAGEREF _Toc321313039 \h </w:instrText>
        </w:r>
        <w:r>
          <w:rPr>
            <w:noProof/>
            <w:webHidden/>
          </w:rPr>
        </w:r>
        <w:r>
          <w:rPr>
            <w:noProof/>
            <w:webHidden/>
          </w:rPr>
          <w:fldChar w:fldCharType="separate"/>
        </w:r>
        <w:r w:rsidR="00563751">
          <w:rPr>
            <w:noProof/>
            <w:webHidden/>
          </w:rPr>
          <w:t>1</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40" w:history="1">
        <w:r w:rsidR="0082641C" w:rsidRPr="001F35E4">
          <w:rPr>
            <w:rStyle w:val="Hyperlink"/>
            <w:noProof/>
          </w:rPr>
          <w:t>1.01</w:t>
        </w:r>
        <w:r w:rsidR="0082641C">
          <w:rPr>
            <w:rFonts w:asciiTheme="minorHAnsi" w:eastAsiaTheme="minorEastAsia" w:hAnsiTheme="minorHAnsi" w:cstheme="minorBidi"/>
            <w:noProof/>
            <w:sz w:val="22"/>
            <w:szCs w:val="22"/>
          </w:rPr>
          <w:tab/>
        </w:r>
        <w:r w:rsidR="0082641C" w:rsidRPr="001F35E4">
          <w:rPr>
            <w:rStyle w:val="Hyperlink"/>
            <w:noProof/>
          </w:rPr>
          <w:t>Measure &amp; Delivery Description</w:t>
        </w:r>
        <w:r w:rsidR="0082641C">
          <w:rPr>
            <w:noProof/>
            <w:webHidden/>
          </w:rPr>
          <w:tab/>
        </w:r>
        <w:r>
          <w:rPr>
            <w:noProof/>
            <w:webHidden/>
          </w:rPr>
          <w:fldChar w:fldCharType="begin"/>
        </w:r>
        <w:r w:rsidR="0082641C">
          <w:rPr>
            <w:noProof/>
            <w:webHidden/>
          </w:rPr>
          <w:instrText xml:space="preserve"> PAGEREF _Toc321313040 \h </w:instrText>
        </w:r>
        <w:r>
          <w:rPr>
            <w:noProof/>
            <w:webHidden/>
          </w:rPr>
        </w:r>
        <w:r>
          <w:rPr>
            <w:noProof/>
            <w:webHidden/>
          </w:rPr>
          <w:fldChar w:fldCharType="separate"/>
        </w:r>
        <w:r w:rsidR="00563751">
          <w:rPr>
            <w:noProof/>
            <w:webHidden/>
          </w:rPr>
          <w:t>1</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41" w:history="1">
        <w:r w:rsidR="0082641C" w:rsidRPr="001F35E4">
          <w:rPr>
            <w:rStyle w:val="Hyperlink"/>
            <w:noProof/>
          </w:rPr>
          <w:t>1.02</w:t>
        </w:r>
        <w:r w:rsidR="0082641C">
          <w:rPr>
            <w:rFonts w:asciiTheme="minorHAnsi" w:eastAsiaTheme="minorEastAsia" w:hAnsiTheme="minorHAnsi" w:cstheme="minorBidi"/>
            <w:noProof/>
            <w:sz w:val="22"/>
            <w:szCs w:val="22"/>
          </w:rPr>
          <w:tab/>
        </w:r>
        <w:r w:rsidR="0082641C" w:rsidRPr="001F35E4">
          <w:rPr>
            <w:rStyle w:val="Hyperlink"/>
            <w:noProof/>
          </w:rPr>
          <w:t>DEER Differences Analysis</w:t>
        </w:r>
        <w:r w:rsidR="0082641C">
          <w:rPr>
            <w:noProof/>
            <w:webHidden/>
          </w:rPr>
          <w:tab/>
        </w:r>
        <w:r>
          <w:rPr>
            <w:noProof/>
            <w:webHidden/>
          </w:rPr>
          <w:fldChar w:fldCharType="begin"/>
        </w:r>
        <w:r w:rsidR="0082641C">
          <w:rPr>
            <w:noProof/>
            <w:webHidden/>
          </w:rPr>
          <w:instrText xml:space="preserve"> PAGEREF _Toc321313041 \h </w:instrText>
        </w:r>
        <w:r>
          <w:rPr>
            <w:noProof/>
            <w:webHidden/>
          </w:rPr>
        </w:r>
        <w:r>
          <w:rPr>
            <w:noProof/>
            <w:webHidden/>
          </w:rPr>
          <w:fldChar w:fldCharType="separate"/>
        </w:r>
        <w:r w:rsidR="00563751">
          <w:rPr>
            <w:noProof/>
            <w:webHidden/>
          </w:rPr>
          <w:t>2</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42" w:history="1">
        <w:r w:rsidR="0082641C" w:rsidRPr="001F35E4">
          <w:rPr>
            <w:rStyle w:val="Hyperlink"/>
            <w:noProof/>
          </w:rPr>
          <w:t>1.03</w:t>
        </w:r>
        <w:r w:rsidR="0082641C">
          <w:rPr>
            <w:rFonts w:asciiTheme="minorHAnsi" w:eastAsiaTheme="minorEastAsia" w:hAnsiTheme="minorHAnsi" w:cstheme="minorBidi"/>
            <w:noProof/>
            <w:sz w:val="22"/>
            <w:szCs w:val="22"/>
          </w:rPr>
          <w:tab/>
        </w:r>
        <w:r w:rsidR="0082641C" w:rsidRPr="001F35E4">
          <w:rPr>
            <w:rStyle w:val="Hyperlink"/>
            <w:noProof/>
          </w:rPr>
          <w:t>Code Analysis</w:t>
        </w:r>
        <w:r w:rsidR="0082641C">
          <w:rPr>
            <w:noProof/>
            <w:webHidden/>
          </w:rPr>
          <w:tab/>
        </w:r>
        <w:r>
          <w:rPr>
            <w:noProof/>
            <w:webHidden/>
          </w:rPr>
          <w:fldChar w:fldCharType="begin"/>
        </w:r>
        <w:r w:rsidR="0082641C">
          <w:rPr>
            <w:noProof/>
            <w:webHidden/>
          </w:rPr>
          <w:instrText xml:space="preserve"> PAGEREF _Toc321313042 \h </w:instrText>
        </w:r>
        <w:r>
          <w:rPr>
            <w:noProof/>
            <w:webHidden/>
          </w:rPr>
        </w:r>
        <w:r>
          <w:rPr>
            <w:noProof/>
            <w:webHidden/>
          </w:rPr>
          <w:fldChar w:fldCharType="separate"/>
        </w:r>
        <w:r w:rsidR="00563751">
          <w:rPr>
            <w:noProof/>
            <w:webHidden/>
          </w:rPr>
          <w:t>3</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43" w:history="1">
        <w:r w:rsidR="0082641C" w:rsidRPr="001F35E4">
          <w:rPr>
            <w:rStyle w:val="Hyperlink"/>
            <w:noProof/>
          </w:rPr>
          <w:t>1.04</w:t>
        </w:r>
        <w:r w:rsidR="0082641C">
          <w:rPr>
            <w:rFonts w:asciiTheme="minorHAnsi" w:eastAsiaTheme="minorEastAsia" w:hAnsiTheme="minorHAnsi" w:cstheme="minorBidi"/>
            <w:noProof/>
            <w:sz w:val="22"/>
            <w:szCs w:val="22"/>
          </w:rPr>
          <w:tab/>
        </w:r>
        <w:r w:rsidR="0082641C" w:rsidRPr="001F35E4">
          <w:rPr>
            <w:rStyle w:val="Hyperlink"/>
            <w:noProof/>
          </w:rPr>
          <w:t>Measure Effective Useful Life</w:t>
        </w:r>
        <w:r w:rsidR="0082641C">
          <w:rPr>
            <w:noProof/>
            <w:webHidden/>
          </w:rPr>
          <w:tab/>
        </w:r>
        <w:r>
          <w:rPr>
            <w:noProof/>
            <w:webHidden/>
          </w:rPr>
          <w:fldChar w:fldCharType="begin"/>
        </w:r>
        <w:r w:rsidR="0082641C">
          <w:rPr>
            <w:noProof/>
            <w:webHidden/>
          </w:rPr>
          <w:instrText xml:space="preserve"> PAGEREF _Toc321313043 \h </w:instrText>
        </w:r>
        <w:r>
          <w:rPr>
            <w:noProof/>
            <w:webHidden/>
          </w:rPr>
        </w:r>
        <w:r>
          <w:rPr>
            <w:noProof/>
            <w:webHidden/>
          </w:rPr>
          <w:fldChar w:fldCharType="separate"/>
        </w:r>
        <w:r w:rsidR="00563751">
          <w:rPr>
            <w:noProof/>
            <w:webHidden/>
          </w:rPr>
          <w:t>3</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44" w:history="1">
        <w:r w:rsidR="0082641C" w:rsidRPr="001F35E4">
          <w:rPr>
            <w:rStyle w:val="Hyperlink"/>
            <w:noProof/>
          </w:rPr>
          <w:t>1.05</w:t>
        </w:r>
        <w:r w:rsidR="0082641C">
          <w:rPr>
            <w:rFonts w:asciiTheme="minorHAnsi" w:eastAsiaTheme="minorEastAsia" w:hAnsiTheme="minorHAnsi" w:cstheme="minorBidi"/>
            <w:noProof/>
            <w:sz w:val="22"/>
            <w:szCs w:val="22"/>
          </w:rPr>
          <w:tab/>
        </w:r>
        <w:r w:rsidR="0082641C" w:rsidRPr="001F35E4">
          <w:rPr>
            <w:rStyle w:val="Hyperlink"/>
            <w:noProof/>
          </w:rPr>
          <w:t>Net-to-Gross Ratios for Different Program Strategies</w:t>
        </w:r>
        <w:r w:rsidR="0082641C">
          <w:rPr>
            <w:noProof/>
            <w:webHidden/>
          </w:rPr>
          <w:tab/>
        </w:r>
        <w:r>
          <w:rPr>
            <w:noProof/>
            <w:webHidden/>
          </w:rPr>
          <w:fldChar w:fldCharType="begin"/>
        </w:r>
        <w:r w:rsidR="0082641C">
          <w:rPr>
            <w:noProof/>
            <w:webHidden/>
          </w:rPr>
          <w:instrText xml:space="preserve"> PAGEREF _Toc321313044 \h </w:instrText>
        </w:r>
        <w:r>
          <w:rPr>
            <w:noProof/>
            <w:webHidden/>
          </w:rPr>
        </w:r>
        <w:r>
          <w:rPr>
            <w:noProof/>
            <w:webHidden/>
          </w:rPr>
          <w:fldChar w:fldCharType="separate"/>
        </w:r>
        <w:r w:rsidR="00563751">
          <w:rPr>
            <w:noProof/>
            <w:webHidden/>
          </w:rPr>
          <w:t>3</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45" w:history="1">
        <w:r w:rsidR="0082641C" w:rsidRPr="001F35E4">
          <w:rPr>
            <w:rStyle w:val="Hyperlink"/>
            <w:noProof/>
          </w:rPr>
          <w:t>1.06</w:t>
        </w:r>
        <w:r w:rsidR="0082641C">
          <w:rPr>
            <w:rFonts w:asciiTheme="minorHAnsi" w:eastAsiaTheme="minorEastAsia" w:hAnsiTheme="minorHAnsi" w:cstheme="minorBidi"/>
            <w:noProof/>
            <w:sz w:val="22"/>
            <w:szCs w:val="22"/>
          </w:rPr>
          <w:tab/>
        </w:r>
        <w:r w:rsidR="0082641C" w:rsidRPr="001F35E4">
          <w:rPr>
            <w:rStyle w:val="Hyperlink"/>
            <w:noProof/>
          </w:rPr>
          <w:t>Gross Realization Rate</w:t>
        </w:r>
        <w:r w:rsidR="0082641C">
          <w:rPr>
            <w:noProof/>
            <w:webHidden/>
          </w:rPr>
          <w:tab/>
        </w:r>
        <w:r>
          <w:rPr>
            <w:noProof/>
            <w:webHidden/>
          </w:rPr>
          <w:fldChar w:fldCharType="begin"/>
        </w:r>
        <w:r w:rsidR="0082641C">
          <w:rPr>
            <w:noProof/>
            <w:webHidden/>
          </w:rPr>
          <w:instrText xml:space="preserve"> PAGEREF _Toc321313045 \h </w:instrText>
        </w:r>
        <w:r>
          <w:rPr>
            <w:noProof/>
            <w:webHidden/>
          </w:rPr>
        </w:r>
        <w:r>
          <w:rPr>
            <w:noProof/>
            <w:webHidden/>
          </w:rPr>
          <w:fldChar w:fldCharType="separate"/>
        </w:r>
        <w:r w:rsidR="00563751">
          <w:rPr>
            <w:noProof/>
            <w:webHidden/>
          </w:rPr>
          <w:t>3</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46" w:history="1">
        <w:r w:rsidR="0082641C" w:rsidRPr="001F35E4">
          <w:rPr>
            <w:rStyle w:val="Hyperlink"/>
            <w:noProof/>
          </w:rPr>
          <w:t>1.07</w:t>
        </w:r>
        <w:r w:rsidR="0082641C">
          <w:rPr>
            <w:rFonts w:asciiTheme="minorHAnsi" w:eastAsiaTheme="minorEastAsia" w:hAnsiTheme="minorHAnsi" w:cstheme="minorBidi"/>
            <w:noProof/>
            <w:sz w:val="22"/>
            <w:szCs w:val="22"/>
          </w:rPr>
          <w:tab/>
        </w:r>
        <w:r w:rsidR="0082641C" w:rsidRPr="001F35E4">
          <w:rPr>
            <w:rStyle w:val="Hyperlink"/>
            <w:noProof/>
          </w:rPr>
          <w:t>Time-of-Use Adjustment Factor</w:t>
        </w:r>
        <w:r w:rsidR="0082641C">
          <w:rPr>
            <w:noProof/>
            <w:webHidden/>
          </w:rPr>
          <w:tab/>
        </w:r>
        <w:r>
          <w:rPr>
            <w:noProof/>
            <w:webHidden/>
          </w:rPr>
          <w:fldChar w:fldCharType="begin"/>
        </w:r>
        <w:r w:rsidR="0082641C">
          <w:rPr>
            <w:noProof/>
            <w:webHidden/>
          </w:rPr>
          <w:instrText xml:space="preserve"> PAGEREF _Toc321313046 \h </w:instrText>
        </w:r>
        <w:r>
          <w:rPr>
            <w:noProof/>
            <w:webHidden/>
          </w:rPr>
        </w:r>
        <w:r>
          <w:rPr>
            <w:noProof/>
            <w:webHidden/>
          </w:rPr>
          <w:fldChar w:fldCharType="separate"/>
        </w:r>
        <w:r w:rsidR="00563751">
          <w:rPr>
            <w:noProof/>
            <w:webHidden/>
          </w:rPr>
          <w:t>3</w:t>
        </w:r>
        <w:r>
          <w:rPr>
            <w:noProof/>
            <w:webHidden/>
          </w:rPr>
          <w:fldChar w:fldCharType="end"/>
        </w:r>
      </w:hyperlink>
    </w:p>
    <w:p w:rsidR="0082641C" w:rsidRDefault="007D3F02">
      <w:pPr>
        <w:pStyle w:val="TOC1"/>
        <w:tabs>
          <w:tab w:val="right" w:leader="dot" w:pos="9350"/>
        </w:tabs>
        <w:rPr>
          <w:rFonts w:asciiTheme="minorHAnsi" w:eastAsiaTheme="minorEastAsia" w:hAnsiTheme="minorHAnsi" w:cstheme="minorBidi"/>
          <w:noProof/>
          <w:sz w:val="22"/>
          <w:szCs w:val="22"/>
        </w:rPr>
      </w:pPr>
      <w:hyperlink w:anchor="_Toc321313047" w:history="1">
        <w:r w:rsidR="0082641C" w:rsidRPr="001F35E4">
          <w:rPr>
            <w:rStyle w:val="Hyperlink"/>
            <w:noProof/>
          </w:rPr>
          <w:t>SECTION 2 - Energy Savings &amp; Demand Reduction Calculations</w:t>
        </w:r>
        <w:r w:rsidR="0082641C">
          <w:rPr>
            <w:noProof/>
            <w:webHidden/>
          </w:rPr>
          <w:tab/>
        </w:r>
        <w:r>
          <w:rPr>
            <w:noProof/>
            <w:webHidden/>
          </w:rPr>
          <w:fldChar w:fldCharType="begin"/>
        </w:r>
        <w:r w:rsidR="0082641C">
          <w:rPr>
            <w:noProof/>
            <w:webHidden/>
          </w:rPr>
          <w:instrText xml:space="preserve"> PAGEREF _Toc321313047 \h </w:instrText>
        </w:r>
        <w:r>
          <w:rPr>
            <w:noProof/>
            <w:webHidden/>
          </w:rPr>
        </w:r>
        <w:r>
          <w:rPr>
            <w:noProof/>
            <w:webHidden/>
          </w:rPr>
          <w:fldChar w:fldCharType="separate"/>
        </w:r>
        <w:r w:rsidR="00563751">
          <w:rPr>
            <w:noProof/>
            <w:webHidden/>
          </w:rPr>
          <w:t>3</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48" w:history="1">
        <w:r w:rsidR="0082641C" w:rsidRPr="001F35E4">
          <w:rPr>
            <w:rStyle w:val="Hyperlink"/>
            <w:noProof/>
          </w:rPr>
          <w:t>2.01</w:t>
        </w:r>
        <w:r w:rsidR="0082641C">
          <w:rPr>
            <w:rFonts w:asciiTheme="minorHAnsi" w:eastAsiaTheme="minorEastAsia" w:hAnsiTheme="minorHAnsi" w:cstheme="minorBidi"/>
            <w:noProof/>
            <w:sz w:val="22"/>
            <w:szCs w:val="22"/>
          </w:rPr>
          <w:tab/>
        </w:r>
        <w:r w:rsidR="0082641C" w:rsidRPr="001F35E4">
          <w:rPr>
            <w:rStyle w:val="Hyperlink"/>
            <w:noProof/>
          </w:rPr>
          <w:t>Load Shapes</w:t>
        </w:r>
        <w:r w:rsidR="0082641C">
          <w:rPr>
            <w:noProof/>
            <w:webHidden/>
          </w:rPr>
          <w:tab/>
        </w:r>
        <w:r>
          <w:rPr>
            <w:noProof/>
            <w:webHidden/>
          </w:rPr>
          <w:fldChar w:fldCharType="begin"/>
        </w:r>
        <w:r w:rsidR="0082641C">
          <w:rPr>
            <w:noProof/>
            <w:webHidden/>
          </w:rPr>
          <w:instrText xml:space="preserve"> PAGEREF _Toc321313048 \h </w:instrText>
        </w:r>
        <w:r>
          <w:rPr>
            <w:noProof/>
            <w:webHidden/>
          </w:rPr>
        </w:r>
        <w:r>
          <w:rPr>
            <w:noProof/>
            <w:webHidden/>
          </w:rPr>
          <w:fldChar w:fldCharType="separate"/>
        </w:r>
        <w:r w:rsidR="00563751">
          <w:rPr>
            <w:noProof/>
            <w:webHidden/>
          </w:rPr>
          <w:t>3</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49" w:history="1">
        <w:r w:rsidR="0082641C" w:rsidRPr="001F35E4">
          <w:rPr>
            <w:rStyle w:val="Hyperlink"/>
            <w:noProof/>
          </w:rPr>
          <w:t>2.02</w:t>
        </w:r>
        <w:r w:rsidR="0082641C">
          <w:rPr>
            <w:rFonts w:asciiTheme="minorHAnsi" w:eastAsiaTheme="minorEastAsia" w:hAnsiTheme="minorHAnsi" w:cstheme="minorBidi"/>
            <w:noProof/>
            <w:sz w:val="22"/>
            <w:szCs w:val="22"/>
          </w:rPr>
          <w:tab/>
        </w:r>
        <w:r w:rsidR="0082641C" w:rsidRPr="001F35E4">
          <w:rPr>
            <w:rStyle w:val="Hyperlink"/>
            <w:noProof/>
          </w:rPr>
          <w:t>Energy Savings</w:t>
        </w:r>
        <w:r w:rsidR="0082641C">
          <w:rPr>
            <w:noProof/>
            <w:webHidden/>
          </w:rPr>
          <w:tab/>
        </w:r>
        <w:r>
          <w:rPr>
            <w:noProof/>
            <w:webHidden/>
          </w:rPr>
          <w:fldChar w:fldCharType="begin"/>
        </w:r>
        <w:r w:rsidR="0082641C">
          <w:rPr>
            <w:noProof/>
            <w:webHidden/>
          </w:rPr>
          <w:instrText xml:space="preserve"> PAGEREF _Toc321313049 \h </w:instrText>
        </w:r>
        <w:r>
          <w:rPr>
            <w:noProof/>
            <w:webHidden/>
          </w:rPr>
        </w:r>
        <w:r>
          <w:rPr>
            <w:noProof/>
            <w:webHidden/>
          </w:rPr>
          <w:fldChar w:fldCharType="separate"/>
        </w:r>
        <w:r w:rsidR="00563751">
          <w:rPr>
            <w:noProof/>
            <w:webHidden/>
          </w:rPr>
          <w:t>3</w:t>
        </w:r>
        <w:r>
          <w:rPr>
            <w:noProof/>
            <w:webHidden/>
          </w:rPr>
          <w:fldChar w:fldCharType="end"/>
        </w:r>
      </w:hyperlink>
    </w:p>
    <w:p w:rsidR="0082641C" w:rsidRDefault="007D3F02">
      <w:pPr>
        <w:pStyle w:val="TOC1"/>
        <w:tabs>
          <w:tab w:val="right" w:leader="dot" w:pos="9350"/>
        </w:tabs>
        <w:rPr>
          <w:rFonts w:asciiTheme="minorHAnsi" w:eastAsiaTheme="minorEastAsia" w:hAnsiTheme="minorHAnsi" w:cstheme="minorBidi"/>
          <w:noProof/>
          <w:sz w:val="22"/>
          <w:szCs w:val="22"/>
        </w:rPr>
      </w:pPr>
      <w:hyperlink w:anchor="_Toc321313050" w:history="1">
        <w:r w:rsidR="0082641C" w:rsidRPr="001F35E4">
          <w:rPr>
            <w:rStyle w:val="Hyperlink"/>
            <w:noProof/>
          </w:rPr>
          <w:t>SECTION 3 - Base Case &amp; Measure Costs</w:t>
        </w:r>
        <w:r w:rsidR="0082641C">
          <w:rPr>
            <w:noProof/>
            <w:webHidden/>
          </w:rPr>
          <w:tab/>
        </w:r>
        <w:r>
          <w:rPr>
            <w:noProof/>
            <w:webHidden/>
          </w:rPr>
          <w:fldChar w:fldCharType="begin"/>
        </w:r>
        <w:r w:rsidR="0082641C">
          <w:rPr>
            <w:noProof/>
            <w:webHidden/>
          </w:rPr>
          <w:instrText xml:space="preserve"> PAGEREF _Toc321313050 \h </w:instrText>
        </w:r>
        <w:r>
          <w:rPr>
            <w:noProof/>
            <w:webHidden/>
          </w:rPr>
        </w:r>
        <w:r>
          <w:rPr>
            <w:noProof/>
            <w:webHidden/>
          </w:rPr>
          <w:fldChar w:fldCharType="separate"/>
        </w:r>
        <w:r w:rsidR="00563751">
          <w:rPr>
            <w:noProof/>
            <w:webHidden/>
          </w:rPr>
          <w:t>11</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51" w:history="1">
        <w:r w:rsidR="0082641C" w:rsidRPr="001F35E4">
          <w:rPr>
            <w:rStyle w:val="Hyperlink"/>
            <w:noProof/>
          </w:rPr>
          <w:t>3.01</w:t>
        </w:r>
        <w:r w:rsidR="0082641C">
          <w:rPr>
            <w:rFonts w:asciiTheme="minorHAnsi" w:eastAsiaTheme="minorEastAsia" w:hAnsiTheme="minorHAnsi" w:cstheme="minorBidi"/>
            <w:noProof/>
            <w:sz w:val="22"/>
            <w:szCs w:val="22"/>
          </w:rPr>
          <w:tab/>
        </w:r>
        <w:r w:rsidR="0082641C" w:rsidRPr="001F35E4">
          <w:rPr>
            <w:rStyle w:val="Hyperlink"/>
            <w:noProof/>
          </w:rPr>
          <w:t>Base Case Cost</w:t>
        </w:r>
        <w:r w:rsidR="0082641C">
          <w:rPr>
            <w:noProof/>
            <w:webHidden/>
          </w:rPr>
          <w:tab/>
        </w:r>
        <w:r>
          <w:rPr>
            <w:noProof/>
            <w:webHidden/>
          </w:rPr>
          <w:fldChar w:fldCharType="begin"/>
        </w:r>
        <w:r w:rsidR="0082641C">
          <w:rPr>
            <w:noProof/>
            <w:webHidden/>
          </w:rPr>
          <w:instrText xml:space="preserve"> PAGEREF _Toc321313051 \h </w:instrText>
        </w:r>
        <w:r>
          <w:rPr>
            <w:noProof/>
            <w:webHidden/>
          </w:rPr>
        </w:r>
        <w:r>
          <w:rPr>
            <w:noProof/>
            <w:webHidden/>
          </w:rPr>
          <w:fldChar w:fldCharType="separate"/>
        </w:r>
        <w:r w:rsidR="00563751">
          <w:rPr>
            <w:noProof/>
            <w:webHidden/>
          </w:rPr>
          <w:t>11</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52" w:history="1">
        <w:r w:rsidR="0082641C" w:rsidRPr="001F35E4">
          <w:rPr>
            <w:rStyle w:val="Hyperlink"/>
            <w:noProof/>
          </w:rPr>
          <w:t>3.02</w:t>
        </w:r>
        <w:r w:rsidR="0082641C">
          <w:rPr>
            <w:rFonts w:asciiTheme="minorHAnsi" w:eastAsiaTheme="minorEastAsia" w:hAnsiTheme="minorHAnsi" w:cstheme="minorBidi"/>
            <w:noProof/>
            <w:sz w:val="22"/>
            <w:szCs w:val="22"/>
          </w:rPr>
          <w:tab/>
        </w:r>
        <w:r w:rsidR="0082641C" w:rsidRPr="001F35E4">
          <w:rPr>
            <w:rStyle w:val="Hyperlink"/>
            <w:noProof/>
          </w:rPr>
          <w:t>Gross Measure Cost</w:t>
        </w:r>
        <w:r w:rsidR="0082641C">
          <w:rPr>
            <w:noProof/>
            <w:webHidden/>
          </w:rPr>
          <w:tab/>
        </w:r>
        <w:r>
          <w:rPr>
            <w:noProof/>
            <w:webHidden/>
          </w:rPr>
          <w:fldChar w:fldCharType="begin"/>
        </w:r>
        <w:r w:rsidR="0082641C">
          <w:rPr>
            <w:noProof/>
            <w:webHidden/>
          </w:rPr>
          <w:instrText xml:space="preserve"> PAGEREF _Toc321313052 \h </w:instrText>
        </w:r>
        <w:r>
          <w:rPr>
            <w:noProof/>
            <w:webHidden/>
          </w:rPr>
        </w:r>
        <w:r>
          <w:rPr>
            <w:noProof/>
            <w:webHidden/>
          </w:rPr>
          <w:fldChar w:fldCharType="separate"/>
        </w:r>
        <w:r w:rsidR="00563751">
          <w:rPr>
            <w:noProof/>
            <w:webHidden/>
          </w:rPr>
          <w:t>11</w:t>
        </w:r>
        <w:r>
          <w:rPr>
            <w:noProof/>
            <w:webHidden/>
          </w:rPr>
          <w:fldChar w:fldCharType="end"/>
        </w:r>
      </w:hyperlink>
    </w:p>
    <w:p w:rsidR="0082641C" w:rsidRDefault="007D3F02">
      <w:pPr>
        <w:pStyle w:val="TOC2"/>
        <w:tabs>
          <w:tab w:val="left" w:pos="1100"/>
          <w:tab w:val="right" w:leader="dot" w:pos="9350"/>
        </w:tabs>
        <w:rPr>
          <w:rFonts w:asciiTheme="minorHAnsi" w:eastAsiaTheme="minorEastAsia" w:hAnsiTheme="minorHAnsi" w:cstheme="minorBidi"/>
          <w:noProof/>
          <w:sz w:val="22"/>
          <w:szCs w:val="22"/>
        </w:rPr>
      </w:pPr>
      <w:hyperlink w:anchor="_Toc321313053" w:history="1">
        <w:r w:rsidR="0082641C" w:rsidRPr="001F35E4">
          <w:rPr>
            <w:rStyle w:val="Hyperlink"/>
            <w:noProof/>
          </w:rPr>
          <w:t>3.03</w:t>
        </w:r>
        <w:r w:rsidR="0082641C">
          <w:rPr>
            <w:rFonts w:asciiTheme="minorHAnsi" w:eastAsiaTheme="minorEastAsia" w:hAnsiTheme="minorHAnsi" w:cstheme="minorBidi"/>
            <w:noProof/>
            <w:sz w:val="22"/>
            <w:szCs w:val="22"/>
          </w:rPr>
          <w:tab/>
        </w:r>
        <w:r w:rsidR="0082641C" w:rsidRPr="001F35E4">
          <w:rPr>
            <w:rStyle w:val="Hyperlink"/>
            <w:noProof/>
          </w:rPr>
          <w:t>Incremental Measure Cost</w:t>
        </w:r>
        <w:r w:rsidR="0082641C">
          <w:rPr>
            <w:noProof/>
            <w:webHidden/>
          </w:rPr>
          <w:tab/>
        </w:r>
        <w:r>
          <w:rPr>
            <w:noProof/>
            <w:webHidden/>
          </w:rPr>
          <w:fldChar w:fldCharType="begin"/>
        </w:r>
        <w:r w:rsidR="0082641C">
          <w:rPr>
            <w:noProof/>
            <w:webHidden/>
          </w:rPr>
          <w:instrText xml:space="preserve"> PAGEREF _Toc321313053 \h </w:instrText>
        </w:r>
        <w:r>
          <w:rPr>
            <w:noProof/>
            <w:webHidden/>
          </w:rPr>
        </w:r>
        <w:r>
          <w:rPr>
            <w:noProof/>
            <w:webHidden/>
          </w:rPr>
          <w:fldChar w:fldCharType="separate"/>
        </w:r>
        <w:r w:rsidR="00563751">
          <w:rPr>
            <w:noProof/>
            <w:webHidden/>
          </w:rPr>
          <w:t>11</w:t>
        </w:r>
        <w:r>
          <w:rPr>
            <w:noProof/>
            <w:webHidden/>
          </w:rPr>
          <w:fldChar w:fldCharType="end"/>
        </w:r>
      </w:hyperlink>
    </w:p>
    <w:p w:rsidR="0082641C" w:rsidRDefault="007D3F02">
      <w:pPr>
        <w:pStyle w:val="TOC1"/>
        <w:tabs>
          <w:tab w:val="right" w:leader="dot" w:pos="9350"/>
        </w:tabs>
        <w:rPr>
          <w:rFonts w:asciiTheme="minorHAnsi" w:eastAsiaTheme="minorEastAsia" w:hAnsiTheme="minorHAnsi" w:cstheme="minorBidi"/>
          <w:noProof/>
          <w:sz w:val="22"/>
          <w:szCs w:val="22"/>
        </w:rPr>
      </w:pPr>
      <w:hyperlink w:anchor="_Toc321313054" w:history="1">
        <w:r w:rsidR="0082641C" w:rsidRPr="001F35E4">
          <w:rPr>
            <w:rStyle w:val="Hyperlink"/>
            <w:noProof/>
          </w:rPr>
          <w:t>Attachments</w:t>
        </w:r>
        <w:r w:rsidR="0082641C">
          <w:rPr>
            <w:noProof/>
            <w:webHidden/>
          </w:rPr>
          <w:tab/>
        </w:r>
        <w:r>
          <w:rPr>
            <w:noProof/>
            <w:webHidden/>
          </w:rPr>
          <w:fldChar w:fldCharType="begin"/>
        </w:r>
        <w:r w:rsidR="0082641C">
          <w:rPr>
            <w:noProof/>
            <w:webHidden/>
          </w:rPr>
          <w:instrText xml:space="preserve"> PAGEREF _Toc321313054 \h </w:instrText>
        </w:r>
        <w:r>
          <w:rPr>
            <w:noProof/>
            <w:webHidden/>
          </w:rPr>
        </w:r>
        <w:r>
          <w:rPr>
            <w:noProof/>
            <w:webHidden/>
          </w:rPr>
          <w:fldChar w:fldCharType="separate"/>
        </w:r>
        <w:r w:rsidR="00563751">
          <w:rPr>
            <w:noProof/>
            <w:webHidden/>
          </w:rPr>
          <w:t>13</w:t>
        </w:r>
        <w:r>
          <w:rPr>
            <w:noProof/>
            <w:webHidden/>
          </w:rPr>
          <w:fldChar w:fldCharType="end"/>
        </w:r>
      </w:hyperlink>
    </w:p>
    <w:p w:rsidR="0082641C" w:rsidRDefault="007D3F02">
      <w:pPr>
        <w:pStyle w:val="TOC1"/>
        <w:tabs>
          <w:tab w:val="right" w:leader="dot" w:pos="9350"/>
        </w:tabs>
        <w:rPr>
          <w:rFonts w:asciiTheme="minorHAnsi" w:eastAsiaTheme="minorEastAsia" w:hAnsiTheme="minorHAnsi" w:cstheme="minorBidi"/>
          <w:noProof/>
          <w:sz w:val="22"/>
          <w:szCs w:val="22"/>
        </w:rPr>
      </w:pPr>
      <w:hyperlink w:anchor="_Toc321313055" w:history="1">
        <w:r w:rsidR="0082641C" w:rsidRPr="001F35E4">
          <w:rPr>
            <w:rStyle w:val="Hyperlink"/>
            <w:noProof/>
          </w:rPr>
          <w:t>References</w:t>
        </w:r>
        <w:r w:rsidR="0082641C">
          <w:rPr>
            <w:noProof/>
            <w:webHidden/>
          </w:rPr>
          <w:tab/>
        </w:r>
        <w:r>
          <w:rPr>
            <w:noProof/>
            <w:webHidden/>
          </w:rPr>
          <w:fldChar w:fldCharType="begin"/>
        </w:r>
        <w:r w:rsidR="0082641C">
          <w:rPr>
            <w:noProof/>
            <w:webHidden/>
          </w:rPr>
          <w:instrText xml:space="preserve"> PAGEREF _Toc321313055 \h </w:instrText>
        </w:r>
        <w:r>
          <w:rPr>
            <w:noProof/>
            <w:webHidden/>
          </w:rPr>
        </w:r>
        <w:r>
          <w:rPr>
            <w:noProof/>
            <w:webHidden/>
          </w:rPr>
          <w:fldChar w:fldCharType="separate"/>
        </w:r>
        <w:r w:rsidR="00563751">
          <w:rPr>
            <w:noProof/>
            <w:webHidden/>
          </w:rPr>
          <w:t>14</w:t>
        </w:r>
        <w:r>
          <w:rPr>
            <w:noProof/>
            <w:webHidden/>
          </w:rPr>
          <w:fldChar w:fldCharType="end"/>
        </w:r>
      </w:hyperlink>
    </w:p>
    <w:p w:rsidR="002F29DD" w:rsidRDefault="007D3F02" w:rsidP="00B07AE0">
      <w:pPr>
        <w:pStyle w:val="Pref"/>
      </w:pPr>
      <w:r>
        <w:rPr>
          <w:rFonts w:ascii="Times New Roman" w:hAnsi="Times New Roman" w:cs="Times New Roman"/>
          <w:kern w:val="0"/>
          <w:sz w:val="24"/>
          <w:szCs w:val="24"/>
        </w:rPr>
        <w:fldChar w:fldCharType="end"/>
      </w:r>
      <w:r w:rsidR="002F29DD">
        <w:br w:type="page"/>
      </w:r>
      <w:bookmarkStart w:id="7" w:name="_Toc172205729"/>
      <w:bookmarkStart w:id="8" w:name="_Toc203446793"/>
      <w:bookmarkStart w:id="9" w:name="_Toc238955856"/>
      <w:bookmarkStart w:id="10" w:name="_Toc238955953"/>
      <w:bookmarkStart w:id="11" w:name="_Toc321313037"/>
      <w:r w:rsidR="002F29DD">
        <w:lastRenderedPageBreak/>
        <w:t xml:space="preserve">List of </w:t>
      </w:r>
      <w:bookmarkEnd w:id="7"/>
      <w:bookmarkEnd w:id="8"/>
      <w:bookmarkEnd w:id="9"/>
      <w:bookmarkEnd w:id="10"/>
      <w:r w:rsidR="002F29DD">
        <w:t>Figures</w:t>
      </w:r>
      <w:bookmarkEnd w:id="11"/>
    </w:p>
    <w:p w:rsidR="0082641C" w:rsidRDefault="007D3F02">
      <w:pPr>
        <w:pStyle w:val="TableofFigures"/>
        <w:tabs>
          <w:tab w:val="left" w:pos="1320"/>
          <w:tab w:val="right" w:leader="dot" w:pos="9350"/>
        </w:tabs>
        <w:rPr>
          <w:rFonts w:asciiTheme="minorHAnsi" w:eastAsiaTheme="minorEastAsia" w:hAnsiTheme="minorHAnsi" w:cstheme="minorBidi"/>
          <w:noProof/>
          <w:sz w:val="22"/>
          <w:szCs w:val="22"/>
        </w:rPr>
      </w:pPr>
      <w:r w:rsidRPr="007D3F02">
        <w:rPr>
          <w:bCs/>
        </w:rPr>
        <w:fldChar w:fldCharType="begin"/>
      </w:r>
      <w:r w:rsidR="002F29DD">
        <w:rPr>
          <w:bCs/>
        </w:rPr>
        <w:instrText xml:space="preserve"> TOC \h \z \t "FIG" \c </w:instrText>
      </w:r>
      <w:r w:rsidRPr="007D3F02">
        <w:rPr>
          <w:bCs/>
        </w:rPr>
        <w:fldChar w:fldCharType="separate"/>
      </w:r>
      <w:hyperlink w:anchor="_Toc321313056" w:history="1">
        <w:r w:rsidR="0082641C" w:rsidRPr="004F6282">
          <w:rPr>
            <w:rStyle w:val="Hyperlink"/>
            <w:noProof/>
          </w:rPr>
          <w:t>Figure 1 -</w:t>
        </w:r>
        <w:r w:rsidR="0082641C">
          <w:rPr>
            <w:rFonts w:asciiTheme="minorHAnsi" w:eastAsiaTheme="minorEastAsia" w:hAnsiTheme="minorHAnsi" w:cstheme="minorBidi"/>
            <w:noProof/>
            <w:sz w:val="22"/>
            <w:szCs w:val="22"/>
          </w:rPr>
          <w:tab/>
        </w:r>
        <w:r w:rsidR="0082641C" w:rsidRPr="004F6282">
          <w:rPr>
            <w:rStyle w:val="Hyperlink"/>
            <w:noProof/>
          </w:rPr>
          <w:t>Energy Factor for 30-gallon Small Storage Water Heaters in the CEC Appliance Efficiency Database</w:t>
        </w:r>
        <w:r w:rsidR="0082641C">
          <w:rPr>
            <w:noProof/>
            <w:webHidden/>
          </w:rPr>
          <w:tab/>
        </w:r>
        <w:r>
          <w:rPr>
            <w:noProof/>
            <w:webHidden/>
          </w:rPr>
          <w:fldChar w:fldCharType="begin"/>
        </w:r>
        <w:r w:rsidR="0082641C">
          <w:rPr>
            <w:noProof/>
            <w:webHidden/>
          </w:rPr>
          <w:instrText xml:space="preserve"> PAGEREF _Toc321313056 \h </w:instrText>
        </w:r>
        <w:r>
          <w:rPr>
            <w:noProof/>
            <w:webHidden/>
          </w:rPr>
        </w:r>
        <w:r>
          <w:rPr>
            <w:noProof/>
            <w:webHidden/>
          </w:rPr>
          <w:fldChar w:fldCharType="separate"/>
        </w:r>
        <w:r w:rsidR="00563751">
          <w:rPr>
            <w:noProof/>
            <w:webHidden/>
          </w:rPr>
          <w:t>6</w:t>
        </w:r>
        <w:r>
          <w:rPr>
            <w:noProof/>
            <w:webHidden/>
          </w:rPr>
          <w:fldChar w:fldCharType="end"/>
        </w:r>
      </w:hyperlink>
    </w:p>
    <w:p w:rsidR="0082641C" w:rsidRDefault="007D3F02">
      <w:pPr>
        <w:pStyle w:val="TableofFigures"/>
        <w:tabs>
          <w:tab w:val="left" w:pos="1320"/>
          <w:tab w:val="right" w:leader="dot" w:pos="9350"/>
        </w:tabs>
        <w:rPr>
          <w:rFonts w:asciiTheme="minorHAnsi" w:eastAsiaTheme="minorEastAsia" w:hAnsiTheme="minorHAnsi" w:cstheme="minorBidi"/>
          <w:noProof/>
          <w:sz w:val="22"/>
          <w:szCs w:val="22"/>
        </w:rPr>
      </w:pPr>
      <w:hyperlink w:anchor="_Toc321313057" w:history="1">
        <w:r w:rsidR="0082641C" w:rsidRPr="004F6282">
          <w:rPr>
            <w:rStyle w:val="Hyperlink"/>
            <w:noProof/>
          </w:rPr>
          <w:t>Figure 2 -</w:t>
        </w:r>
        <w:r w:rsidR="0082641C">
          <w:rPr>
            <w:rFonts w:asciiTheme="minorHAnsi" w:eastAsiaTheme="minorEastAsia" w:hAnsiTheme="minorHAnsi" w:cstheme="minorBidi"/>
            <w:noProof/>
            <w:sz w:val="22"/>
            <w:szCs w:val="22"/>
          </w:rPr>
          <w:tab/>
        </w:r>
        <w:r w:rsidR="0082641C" w:rsidRPr="004F6282">
          <w:rPr>
            <w:rStyle w:val="Hyperlink"/>
            <w:noProof/>
          </w:rPr>
          <w:t>Energy Factor for 40-gallon Small Storage Water Heaters in the CEC Appliance Efficiency Database</w:t>
        </w:r>
        <w:r w:rsidR="0082641C">
          <w:rPr>
            <w:noProof/>
            <w:webHidden/>
          </w:rPr>
          <w:tab/>
        </w:r>
        <w:r>
          <w:rPr>
            <w:noProof/>
            <w:webHidden/>
          </w:rPr>
          <w:fldChar w:fldCharType="begin"/>
        </w:r>
        <w:r w:rsidR="0082641C">
          <w:rPr>
            <w:noProof/>
            <w:webHidden/>
          </w:rPr>
          <w:instrText xml:space="preserve"> PAGEREF _Toc321313057 \h </w:instrText>
        </w:r>
        <w:r>
          <w:rPr>
            <w:noProof/>
            <w:webHidden/>
          </w:rPr>
        </w:r>
        <w:r>
          <w:rPr>
            <w:noProof/>
            <w:webHidden/>
          </w:rPr>
          <w:fldChar w:fldCharType="separate"/>
        </w:r>
        <w:r w:rsidR="00563751">
          <w:rPr>
            <w:noProof/>
            <w:webHidden/>
          </w:rPr>
          <w:t>6</w:t>
        </w:r>
        <w:r>
          <w:rPr>
            <w:noProof/>
            <w:webHidden/>
          </w:rPr>
          <w:fldChar w:fldCharType="end"/>
        </w:r>
      </w:hyperlink>
    </w:p>
    <w:p w:rsidR="0082641C" w:rsidRDefault="007D3F02">
      <w:pPr>
        <w:pStyle w:val="TableofFigures"/>
        <w:tabs>
          <w:tab w:val="left" w:pos="1320"/>
          <w:tab w:val="right" w:leader="dot" w:pos="9350"/>
        </w:tabs>
        <w:rPr>
          <w:rFonts w:asciiTheme="minorHAnsi" w:eastAsiaTheme="minorEastAsia" w:hAnsiTheme="minorHAnsi" w:cstheme="minorBidi"/>
          <w:noProof/>
          <w:sz w:val="22"/>
          <w:szCs w:val="22"/>
        </w:rPr>
      </w:pPr>
      <w:hyperlink w:anchor="_Toc321313058" w:history="1">
        <w:r w:rsidR="0082641C" w:rsidRPr="004F6282">
          <w:rPr>
            <w:rStyle w:val="Hyperlink"/>
            <w:noProof/>
          </w:rPr>
          <w:t>Figure 3 -</w:t>
        </w:r>
        <w:r w:rsidR="0082641C">
          <w:rPr>
            <w:rFonts w:asciiTheme="minorHAnsi" w:eastAsiaTheme="minorEastAsia" w:hAnsiTheme="minorHAnsi" w:cstheme="minorBidi"/>
            <w:noProof/>
            <w:sz w:val="22"/>
            <w:szCs w:val="22"/>
          </w:rPr>
          <w:tab/>
        </w:r>
        <w:r w:rsidR="0082641C" w:rsidRPr="004F6282">
          <w:rPr>
            <w:rStyle w:val="Hyperlink"/>
            <w:noProof/>
          </w:rPr>
          <w:t>Energy Factor for 50-gallon Small Storage Water Heaters in the CEC Appliance Efficiency Database</w:t>
        </w:r>
        <w:r w:rsidR="0082641C">
          <w:rPr>
            <w:noProof/>
            <w:webHidden/>
          </w:rPr>
          <w:tab/>
        </w:r>
        <w:r>
          <w:rPr>
            <w:noProof/>
            <w:webHidden/>
          </w:rPr>
          <w:fldChar w:fldCharType="begin"/>
        </w:r>
        <w:r w:rsidR="0082641C">
          <w:rPr>
            <w:noProof/>
            <w:webHidden/>
          </w:rPr>
          <w:instrText xml:space="preserve"> PAGEREF _Toc321313058 \h </w:instrText>
        </w:r>
        <w:r>
          <w:rPr>
            <w:noProof/>
            <w:webHidden/>
          </w:rPr>
        </w:r>
        <w:r>
          <w:rPr>
            <w:noProof/>
            <w:webHidden/>
          </w:rPr>
          <w:fldChar w:fldCharType="separate"/>
        </w:r>
        <w:r w:rsidR="00563751">
          <w:rPr>
            <w:noProof/>
            <w:webHidden/>
          </w:rPr>
          <w:t>7</w:t>
        </w:r>
        <w:r>
          <w:rPr>
            <w:noProof/>
            <w:webHidden/>
          </w:rPr>
          <w:fldChar w:fldCharType="end"/>
        </w:r>
      </w:hyperlink>
    </w:p>
    <w:p w:rsidR="0082641C" w:rsidRDefault="007D3F02">
      <w:pPr>
        <w:pStyle w:val="TableofFigures"/>
        <w:tabs>
          <w:tab w:val="left" w:pos="1320"/>
          <w:tab w:val="right" w:leader="dot" w:pos="9350"/>
        </w:tabs>
        <w:rPr>
          <w:rFonts w:asciiTheme="minorHAnsi" w:eastAsiaTheme="minorEastAsia" w:hAnsiTheme="minorHAnsi" w:cstheme="minorBidi"/>
          <w:noProof/>
          <w:sz w:val="22"/>
          <w:szCs w:val="22"/>
        </w:rPr>
      </w:pPr>
      <w:hyperlink w:anchor="_Toc321313059" w:history="1">
        <w:r w:rsidR="0082641C" w:rsidRPr="004F6282">
          <w:rPr>
            <w:rStyle w:val="Hyperlink"/>
            <w:noProof/>
          </w:rPr>
          <w:t>Figure 4 -</w:t>
        </w:r>
        <w:r w:rsidR="0082641C">
          <w:rPr>
            <w:rFonts w:asciiTheme="minorHAnsi" w:eastAsiaTheme="minorEastAsia" w:hAnsiTheme="minorHAnsi" w:cstheme="minorBidi"/>
            <w:noProof/>
            <w:sz w:val="22"/>
            <w:szCs w:val="22"/>
          </w:rPr>
          <w:tab/>
        </w:r>
        <w:r w:rsidR="0082641C" w:rsidRPr="004F6282">
          <w:rPr>
            <w:rStyle w:val="Hyperlink"/>
            <w:noProof/>
          </w:rPr>
          <w:t>Energy Factor for 60-gallon Small Storage Water Heaters in the CEC Appliance Efficiency Database</w:t>
        </w:r>
        <w:r w:rsidR="0082641C">
          <w:rPr>
            <w:noProof/>
            <w:webHidden/>
          </w:rPr>
          <w:tab/>
        </w:r>
        <w:r>
          <w:rPr>
            <w:noProof/>
            <w:webHidden/>
          </w:rPr>
          <w:fldChar w:fldCharType="begin"/>
        </w:r>
        <w:r w:rsidR="0082641C">
          <w:rPr>
            <w:noProof/>
            <w:webHidden/>
          </w:rPr>
          <w:instrText xml:space="preserve"> PAGEREF _Toc321313059 \h </w:instrText>
        </w:r>
        <w:r>
          <w:rPr>
            <w:noProof/>
            <w:webHidden/>
          </w:rPr>
        </w:r>
        <w:r>
          <w:rPr>
            <w:noProof/>
            <w:webHidden/>
          </w:rPr>
          <w:fldChar w:fldCharType="separate"/>
        </w:r>
        <w:r w:rsidR="00563751">
          <w:rPr>
            <w:noProof/>
            <w:webHidden/>
          </w:rPr>
          <w:t>7</w:t>
        </w:r>
        <w:r>
          <w:rPr>
            <w:noProof/>
            <w:webHidden/>
          </w:rPr>
          <w:fldChar w:fldCharType="end"/>
        </w:r>
      </w:hyperlink>
    </w:p>
    <w:p w:rsidR="0082641C" w:rsidRDefault="007D3F02">
      <w:pPr>
        <w:pStyle w:val="TableofFigures"/>
        <w:tabs>
          <w:tab w:val="left" w:pos="1320"/>
          <w:tab w:val="right" w:leader="dot" w:pos="9350"/>
        </w:tabs>
        <w:rPr>
          <w:rFonts w:asciiTheme="minorHAnsi" w:eastAsiaTheme="minorEastAsia" w:hAnsiTheme="minorHAnsi" w:cstheme="minorBidi"/>
          <w:noProof/>
          <w:sz w:val="22"/>
          <w:szCs w:val="22"/>
        </w:rPr>
      </w:pPr>
      <w:hyperlink w:anchor="_Toc321313060" w:history="1">
        <w:r w:rsidR="0082641C" w:rsidRPr="004F6282">
          <w:rPr>
            <w:rStyle w:val="Hyperlink"/>
            <w:noProof/>
          </w:rPr>
          <w:t>Figure 5 -</w:t>
        </w:r>
        <w:r w:rsidR="0082641C">
          <w:rPr>
            <w:rFonts w:asciiTheme="minorHAnsi" w:eastAsiaTheme="minorEastAsia" w:hAnsiTheme="minorHAnsi" w:cstheme="minorBidi"/>
            <w:noProof/>
            <w:sz w:val="22"/>
            <w:szCs w:val="22"/>
          </w:rPr>
          <w:tab/>
        </w:r>
        <w:r w:rsidR="0082641C" w:rsidRPr="004F6282">
          <w:rPr>
            <w:rStyle w:val="Hyperlink"/>
            <w:noProof/>
          </w:rPr>
          <w:t>Energy Factor for 75-gallon Small Storage Water Heaters in the CEC Appliance Efficiency Database</w:t>
        </w:r>
        <w:r w:rsidR="0082641C">
          <w:rPr>
            <w:noProof/>
            <w:webHidden/>
          </w:rPr>
          <w:tab/>
        </w:r>
        <w:r>
          <w:rPr>
            <w:noProof/>
            <w:webHidden/>
          </w:rPr>
          <w:fldChar w:fldCharType="begin"/>
        </w:r>
        <w:r w:rsidR="0082641C">
          <w:rPr>
            <w:noProof/>
            <w:webHidden/>
          </w:rPr>
          <w:instrText xml:space="preserve"> PAGEREF _Toc321313060 \h </w:instrText>
        </w:r>
        <w:r>
          <w:rPr>
            <w:noProof/>
            <w:webHidden/>
          </w:rPr>
        </w:r>
        <w:r>
          <w:rPr>
            <w:noProof/>
            <w:webHidden/>
          </w:rPr>
          <w:fldChar w:fldCharType="separate"/>
        </w:r>
        <w:r w:rsidR="00563751">
          <w:rPr>
            <w:noProof/>
            <w:webHidden/>
          </w:rPr>
          <w:t>8</w:t>
        </w:r>
        <w:r>
          <w:rPr>
            <w:noProof/>
            <w:webHidden/>
          </w:rPr>
          <w:fldChar w:fldCharType="end"/>
        </w:r>
      </w:hyperlink>
    </w:p>
    <w:p w:rsidR="0082641C" w:rsidRDefault="007D3F02">
      <w:pPr>
        <w:pStyle w:val="TableofFigures"/>
        <w:tabs>
          <w:tab w:val="left" w:pos="1320"/>
          <w:tab w:val="right" w:leader="dot" w:pos="9350"/>
        </w:tabs>
        <w:rPr>
          <w:rFonts w:asciiTheme="minorHAnsi" w:eastAsiaTheme="minorEastAsia" w:hAnsiTheme="minorHAnsi" w:cstheme="minorBidi"/>
          <w:noProof/>
          <w:sz w:val="22"/>
          <w:szCs w:val="22"/>
        </w:rPr>
      </w:pPr>
      <w:hyperlink w:anchor="_Toc321313061" w:history="1">
        <w:r w:rsidR="0082641C" w:rsidRPr="004F6282">
          <w:rPr>
            <w:rStyle w:val="Hyperlink"/>
            <w:noProof/>
          </w:rPr>
          <w:t>Figure 6 -</w:t>
        </w:r>
        <w:r w:rsidR="0082641C">
          <w:rPr>
            <w:rFonts w:asciiTheme="minorHAnsi" w:eastAsiaTheme="minorEastAsia" w:hAnsiTheme="minorHAnsi" w:cstheme="minorBidi"/>
            <w:noProof/>
            <w:sz w:val="22"/>
            <w:szCs w:val="22"/>
          </w:rPr>
          <w:tab/>
        </w:r>
        <w:r w:rsidR="0082641C" w:rsidRPr="004F6282">
          <w:rPr>
            <w:rStyle w:val="Hyperlink"/>
            <w:noProof/>
          </w:rPr>
          <w:t>Thermal Efficiency for Non-condensing Large Storage Water Heaters in the CEC Appliance Efficiency Database</w:t>
        </w:r>
        <w:r w:rsidR="0082641C">
          <w:rPr>
            <w:noProof/>
            <w:webHidden/>
          </w:rPr>
          <w:tab/>
        </w:r>
        <w:r>
          <w:rPr>
            <w:noProof/>
            <w:webHidden/>
          </w:rPr>
          <w:fldChar w:fldCharType="begin"/>
        </w:r>
        <w:r w:rsidR="0082641C">
          <w:rPr>
            <w:noProof/>
            <w:webHidden/>
          </w:rPr>
          <w:instrText xml:space="preserve"> PAGEREF _Toc321313061 \h </w:instrText>
        </w:r>
        <w:r>
          <w:rPr>
            <w:noProof/>
            <w:webHidden/>
          </w:rPr>
        </w:r>
        <w:r>
          <w:rPr>
            <w:noProof/>
            <w:webHidden/>
          </w:rPr>
          <w:fldChar w:fldCharType="separate"/>
        </w:r>
        <w:r w:rsidR="00563751">
          <w:rPr>
            <w:noProof/>
            <w:webHidden/>
          </w:rPr>
          <w:t>8</w:t>
        </w:r>
        <w:r>
          <w:rPr>
            <w:noProof/>
            <w:webHidden/>
          </w:rPr>
          <w:fldChar w:fldCharType="end"/>
        </w:r>
      </w:hyperlink>
    </w:p>
    <w:p w:rsidR="0082641C" w:rsidRDefault="007D3F02">
      <w:pPr>
        <w:pStyle w:val="TableofFigures"/>
        <w:tabs>
          <w:tab w:val="left" w:pos="1320"/>
          <w:tab w:val="right" w:leader="dot" w:pos="9350"/>
        </w:tabs>
        <w:rPr>
          <w:rFonts w:asciiTheme="minorHAnsi" w:eastAsiaTheme="minorEastAsia" w:hAnsiTheme="minorHAnsi" w:cstheme="minorBidi"/>
          <w:noProof/>
          <w:sz w:val="22"/>
          <w:szCs w:val="22"/>
        </w:rPr>
      </w:pPr>
      <w:hyperlink w:anchor="_Toc321313062" w:history="1">
        <w:r w:rsidR="0082641C" w:rsidRPr="004F6282">
          <w:rPr>
            <w:rStyle w:val="Hyperlink"/>
            <w:noProof/>
          </w:rPr>
          <w:t>Figure 7 -</w:t>
        </w:r>
        <w:r w:rsidR="0082641C">
          <w:rPr>
            <w:rFonts w:asciiTheme="minorHAnsi" w:eastAsiaTheme="minorEastAsia" w:hAnsiTheme="minorHAnsi" w:cstheme="minorBidi"/>
            <w:noProof/>
            <w:sz w:val="22"/>
            <w:szCs w:val="22"/>
          </w:rPr>
          <w:tab/>
        </w:r>
        <w:r w:rsidR="0082641C" w:rsidRPr="004F6282">
          <w:rPr>
            <w:rStyle w:val="Hyperlink"/>
            <w:noProof/>
          </w:rPr>
          <w:t>Thermal Efficiency for Condensing Large Storage Water Heaters in the CEC Appliance Efficiency Database</w:t>
        </w:r>
        <w:r w:rsidR="0082641C">
          <w:rPr>
            <w:noProof/>
            <w:webHidden/>
          </w:rPr>
          <w:tab/>
        </w:r>
        <w:r>
          <w:rPr>
            <w:noProof/>
            <w:webHidden/>
          </w:rPr>
          <w:fldChar w:fldCharType="begin"/>
        </w:r>
        <w:r w:rsidR="0082641C">
          <w:rPr>
            <w:noProof/>
            <w:webHidden/>
          </w:rPr>
          <w:instrText xml:space="preserve"> PAGEREF _Toc321313062 \h </w:instrText>
        </w:r>
        <w:r>
          <w:rPr>
            <w:noProof/>
            <w:webHidden/>
          </w:rPr>
        </w:r>
        <w:r>
          <w:rPr>
            <w:noProof/>
            <w:webHidden/>
          </w:rPr>
          <w:fldChar w:fldCharType="separate"/>
        </w:r>
        <w:r w:rsidR="00563751">
          <w:rPr>
            <w:noProof/>
            <w:webHidden/>
          </w:rPr>
          <w:t>9</w:t>
        </w:r>
        <w:r>
          <w:rPr>
            <w:noProof/>
            <w:webHidden/>
          </w:rPr>
          <w:fldChar w:fldCharType="end"/>
        </w:r>
      </w:hyperlink>
    </w:p>
    <w:p w:rsidR="00B07AE0" w:rsidRDefault="007D3F02" w:rsidP="001131B7">
      <w:pPr>
        <w:pStyle w:val="Pref"/>
        <w:ind w:left="1350" w:hanging="1350"/>
        <w:rPr>
          <w:rFonts w:ascii="Times New Roman" w:hAnsi="Times New Roman" w:cs="Times New Roman"/>
          <w:bCs w:val="0"/>
          <w:kern w:val="0"/>
          <w:sz w:val="24"/>
          <w:szCs w:val="24"/>
        </w:rPr>
      </w:pPr>
      <w:r>
        <w:rPr>
          <w:rFonts w:ascii="Times New Roman" w:hAnsi="Times New Roman" w:cs="Times New Roman"/>
          <w:bCs w:val="0"/>
          <w:kern w:val="0"/>
          <w:sz w:val="24"/>
          <w:szCs w:val="24"/>
        </w:rPr>
        <w:fldChar w:fldCharType="end"/>
      </w:r>
    </w:p>
    <w:p w:rsidR="002F29DD" w:rsidRDefault="002F29DD" w:rsidP="002F29DD">
      <w:pPr>
        <w:pStyle w:val="Pref"/>
      </w:pPr>
      <w:bookmarkStart w:id="12" w:name="_Toc321313038"/>
      <w:r>
        <w:t>List of Tables</w:t>
      </w:r>
      <w:bookmarkEnd w:id="12"/>
    </w:p>
    <w:p w:rsidR="0082641C" w:rsidRDefault="007D3F02">
      <w:pPr>
        <w:pStyle w:val="TableofFigures"/>
        <w:tabs>
          <w:tab w:val="left" w:pos="1100"/>
          <w:tab w:val="right" w:leader="dot" w:pos="9350"/>
        </w:tabs>
        <w:rPr>
          <w:rFonts w:asciiTheme="minorHAnsi" w:eastAsiaTheme="minorEastAsia" w:hAnsiTheme="minorHAnsi" w:cstheme="minorBidi"/>
          <w:noProof/>
          <w:sz w:val="22"/>
          <w:szCs w:val="22"/>
        </w:rPr>
      </w:pPr>
      <w:r w:rsidRPr="007D3F02">
        <w:fldChar w:fldCharType="begin"/>
      </w:r>
      <w:r w:rsidR="002F29DD">
        <w:instrText xml:space="preserve"> TOC \h \z \t "TBL" \c </w:instrText>
      </w:r>
      <w:r w:rsidRPr="007D3F02">
        <w:fldChar w:fldCharType="separate"/>
      </w:r>
      <w:hyperlink w:anchor="_Toc321313063" w:history="1">
        <w:r w:rsidR="0082641C" w:rsidRPr="000E7139">
          <w:rPr>
            <w:rStyle w:val="Hyperlink"/>
            <w:noProof/>
          </w:rPr>
          <w:t>Table 1 -</w:t>
        </w:r>
        <w:r w:rsidR="0082641C">
          <w:rPr>
            <w:rFonts w:asciiTheme="minorHAnsi" w:eastAsiaTheme="minorEastAsia" w:hAnsiTheme="minorHAnsi" w:cstheme="minorBidi"/>
            <w:noProof/>
            <w:sz w:val="22"/>
            <w:szCs w:val="22"/>
          </w:rPr>
          <w:tab/>
        </w:r>
        <w:r w:rsidR="0082641C" w:rsidRPr="000E7139">
          <w:rPr>
            <w:rStyle w:val="Hyperlink"/>
            <w:noProof/>
          </w:rPr>
          <w:t>Baseline and Minimum Qualifying Measure Energy Factors for Small Storage Water Heaters</w:t>
        </w:r>
        <w:r w:rsidR="0082641C">
          <w:rPr>
            <w:noProof/>
            <w:webHidden/>
          </w:rPr>
          <w:tab/>
        </w:r>
        <w:r>
          <w:rPr>
            <w:noProof/>
            <w:webHidden/>
          </w:rPr>
          <w:fldChar w:fldCharType="begin"/>
        </w:r>
        <w:r w:rsidR="0082641C">
          <w:rPr>
            <w:noProof/>
            <w:webHidden/>
          </w:rPr>
          <w:instrText xml:space="preserve"> PAGEREF _Toc321313063 \h </w:instrText>
        </w:r>
        <w:r>
          <w:rPr>
            <w:noProof/>
            <w:webHidden/>
          </w:rPr>
        </w:r>
        <w:r>
          <w:rPr>
            <w:noProof/>
            <w:webHidden/>
          </w:rPr>
          <w:fldChar w:fldCharType="separate"/>
        </w:r>
        <w:r w:rsidR="00563751">
          <w:rPr>
            <w:noProof/>
            <w:webHidden/>
          </w:rPr>
          <w:t>2</w:t>
        </w:r>
        <w:r>
          <w:rPr>
            <w:noProof/>
            <w:webHidden/>
          </w:rPr>
          <w:fldChar w:fldCharType="end"/>
        </w:r>
      </w:hyperlink>
    </w:p>
    <w:p w:rsidR="0082641C" w:rsidRDefault="007D3F02">
      <w:pPr>
        <w:pStyle w:val="TableofFigures"/>
        <w:tabs>
          <w:tab w:val="left" w:pos="1100"/>
          <w:tab w:val="right" w:leader="dot" w:pos="9350"/>
        </w:tabs>
        <w:rPr>
          <w:rFonts w:asciiTheme="minorHAnsi" w:eastAsiaTheme="minorEastAsia" w:hAnsiTheme="minorHAnsi" w:cstheme="minorBidi"/>
          <w:noProof/>
          <w:sz w:val="22"/>
          <w:szCs w:val="22"/>
        </w:rPr>
      </w:pPr>
      <w:hyperlink w:anchor="_Toc321313064" w:history="1">
        <w:r w:rsidR="0082641C" w:rsidRPr="000E7139">
          <w:rPr>
            <w:rStyle w:val="Hyperlink"/>
            <w:noProof/>
          </w:rPr>
          <w:t>Table 2 -</w:t>
        </w:r>
        <w:r w:rsidR="0082641C">
          <w:rPr>
            <w:rFonts w:asciiTheme="minorHAnsi" w:eastAsiaTheme="minorEastAsia" w:hAnsiTheme="minorHAnsi" w:cstheme="minorBidi"/>
            <w:noProof/>
            <w:sz w:val="22"/>
            <w:szCs w:val="22"/>
          </w:rPr>
          <w:tab/>
        </w:r>
        <w:r w:rsidR="0082641C" w:rsidRPr="000E7139">
          <w:rPr>
            <w:rStyle w:val="Hyperlink"/>
            <w:noProof/>
          </w:rPr>
          <w:t>Base and Measure Storage Water Heater Efficiencies in DEER 2011</w:t>
        </w:r>
        <w:r w:rsidR="0082641C">
          <w:rPr>
            <w:noProof/>
            <w:webHidden/>
          </w:rPr>
          <w:tab/>
        </w:r>
        <w:r>
          <w:rPr>
            <w:noProof/>
            <w:webHidden/>
          </w:rPr>
          <w:fldChar w:fldCharType="begin"/>
        </w:r>
        <w:r w:rsidR="0082641C">
          <w:rPr>
            <w:noProof/>
            <w:webHidden/>
          </w:rPr>
          <w:instrText xml:space="preserve"> PAGEREF _Toc321313064 \h </w:instrText>
        </w:r>
        <w:r>
          <w:rPr>
            <w:noProof/>
            <w:webHidden/>
          </w:rPr>
        </w:r>
        <w:r>
          <w:rPr>
            <w:noProof/>
            <w:webHidden/>
          </w:rPr>
          <w:fldChar w:fldCharType="separate"/>
        </w:r>
        <w:r w:rsidR="00563751">
          <w:rPr>
            <w:noProof/>
            <w:webHidden/>
          </w:rPr>
          <w:t>4</w:t>
        </w:r>
        <w:r>
          <w:rPr>
            <w:noProof/>
            <w:webHidden/>
          </w:rPr>
          <w:fldChar w:fldCharType="end"/>
        </w:r>
      </w:hyperlink>
    </w:p>
    <w:p w:rsidR="0082641C" w:rsidRDefault="007D3F02">
      <w:pPr>
        <w:pStyle w:val="TableofFigures"/>
        <w:tabs>
          <w:tab w:val="left" w:pos="1100"/>
          <w:tab w:val="right" w:leader="dot" w:pos="9350"/>
        </w:tabs>
        <w:rPr>
          <w:rFonts w:asciiTheme="minorHAnsi" w:eastAsiaTheme="minorEastAsia" w:hAnsiTheme="minorHAnsi" w:cstheme="minorBidi"/>
          <w:noProof/>
          <w:sz w:val="22"/>
          <w:szCs w:val="22"/>
        </w:rPr>
      </w:pPr>
      <w:hyperlink w:anchor="_Toc321313065" w:history="1">
        <w:r w:rsidR="0082641C" w:rsidRPr="000E7139">
          <w:rPr>
            <w:rStyle w:val="Hyperlink"/>
            <w:noProof/>
          </w:rPr>
          <w:t>Table 3 -</w:t>
        </w:r>
        <w:r w:rsidR="0082641C">
          <w:rPr>
            <w:rFonts w:asciiTheme="minorHAnsi" w:eastAsiaTheme="minorEastAsia" w:hAnsiTheme="minorHAnsi" w:cstheme="minorBidi"/>
            <w:noProof/>
            <w:sz w:val="22"/>
            <w:szCs w:val="22"/>
          </w:rPr>
          <w:tab/>
        </w:r>
        <w:r w:rsidR="0082641C" w:rsidRPr="000E7139">
          <w:rPr>
            <w:rStyle w:val="Hyperlink"/>
            <w:noProof/>
          </w:rPr>
          <w:t>Storage Water Heater Efficiency Ranges from California Energy Commission Appliance Efficiency Database</w:t>
        </w:r>
        <w:r w:rsidR="0082641C">
          <w:rPr>
            <w:noProof/>
            <w:webHidden/>
          </w:rPr>
          <w:tab/>
        </w:r>
        <w:r>
          <w:rPr>
            <w:noProof/>
            <w:webHidden/>
          </w:rPr>
          <w:fldChar w:fldCharType="begin"/>
        </w:r>
        <w:r w:rsidR="0082641C">
          <w:rPr>
            <w:noProof/>
            <w:webHidden/>
          </w:rPr>
          <w:instrText xml:space="preserve"> PAGEREF _Toc321313065 \h </w:instrText>
        </w:r>
        <w:r>
          <w:rPr>
            <w:noProof/>
            <w:webHidden/>
          </w:rPr>
        </w:r>
        <w:r>
          <w:rPr>
            <w:noProof/>
            <w:webHidden/>
          </w:rPr>
          <w:fldChar w:fldCharType="separate"/>
        </w:r>
        <w:r w:rsidR="00563751">
          <w:rPr>
            <w:noProof/>
            <w:webHidden/>
          </w:rPr>
          <w:t>4</w:t>
        </w:r>
        <w:r>
          <w:rPr>
            <w:noProof/>
            <w:webHidden/>
          </w:rPr>
          <w:fldChar w:fldCharType="end"/>
        </w:r>
      </w:hyperlink>
    </w:p>
    <w:p w:rsidR="0082641C" w:rsidRDefault="007D3F02">
      <w:pPr>
        <w:pStyle w:val="TableofFigures"/>
        <w:tabs>
          <w:tab w:val="left" w:pos="1100"/>
          <w:tab w:val="right" w:leader="dot" w:pos="9350"/>
        </w:tabs>
        <w:rPr>
          <w:rFonts w:asciiTheme="minorHAnsi" w:eastAsiaTheme="minorEastAsia" w:hAnsiTheme="minorHAnsi" w:cstheme="minorBidi"/>
          <w:noProof/>
          <w:sz w:val="22"/>
          <w:szCs w:val="22"/>
        </w:rPr>
      </w:pPr>
      <w:hyperlink w:anchor="_Toc321313066" w:history="1">
        <w:r w:rsidR="0082641C" w:rsidRPr="000E7139">
          <w:rPr>
            <w:rStyle w:val="Hyperlink"/>
            <w:noProof/>
          </w:rPr>
          <w:t>Table 4 -</w:t>
        </w:r>
        <w:r w:rsidR="0082641C">
          <w:rPr>
            <w:rFonts w:asciiTheme="minorHAnsi" w:eastAsiaTheme="minorEastAsia" w:hAnsiTheme="minorHAnsi" w:cstheme="minorBidi"/>
            <w:noProof/>
            <w:sz w:val="22"/>
            <w:szCs w:val="22"/>
          </w:rPr>
          <w:tab/>
        </w:r>
        <w:r w:rsidR="0082641C" w:rsidRPr="000E7139">
          <w:rPr>
            <w:rStyle w:val="Hyperlink"/>
            <w:noProof/>
          </w:rPr>
          <w:t>California Title 20 and 24 Gas Appliance Standards</w:t>
        </w:r>
        <w:r w:rsidR="0082641C" w:rsidRPr="000E7139">
          <w:rPr>
            <w:rStyle w:val="Hyperlink"/>
            <w:noProof/>
            <w:vertAlign w:val="superscript"/>
          </w:rPr>
          <w:t>,</w:t>
        </w:r>
        <w:r w:rsidR="0082641C" w:rsidRPr="000E7139">
          <w:rPr>
            <w:rStyle w:val="Hyperlink"/>
            <w:noProof/>
          </w:rPr>
          <w:t>2</w:t>
        </w:r>
        <w:r w:rsidR="0082641C">
          <w:rPr>
            <w:noProof/>
            <w:webHidden/>
          </w:rPr>
          <w:tab/>
        </w:r>
        <w:r>
          <w:rPr>
            <w:noProof/>
            <w:webHidden/>
          </w:rPr>
          <w:fldChar w:fldCharType="begin"/>
        </w:r>
        <w:r w:rsidR="0082641C">
          <w:rPr>
            <w:noProof/>
            <w:webHidden/>
          </w:rPr>
          <w:instrText xml:space="preserve"> PAGEREF _Toc321313066 \h </w:instrText>
        </w:r>
        <w:r>
          <w:rPr>
            <w:noProof/>
            <w:webHidden/>
          </w:rPr>
        </w:r>
        <w:r>
          <w:rPr>
            <w:noProof/>
            <w:webHidden/>
          </w:rPr>
          <w:fldChar w:fldCharType="separate"/>
        </w:r>
        <w:r w:rsidR="00563751">
          <w:rPr>
            <w:noProof/>
            <w:webHidden/>
          </w:rPr>
          <w:t>4</w:t>
        </w:r>
        <w:r>
          <w:rPr>
            <w:noProof/>
            <w:webHidden/>
          </w:rPr>
          <w:fldChar w:fldCharType="end"/>
        </w:r>
      </w:hyperlink>
    </w:p>
    <w:p w:rsidR="0082641C" w:rsidRDefault="007D3F02">
      <w:pPr>
        <w:pStyle w:val="TableofFigures"/>
        <w:tabs>
          <w:tab w:val="left" w:pos="1100"/>
          <w:tab w:val="right" w:leader="dot" w:pos="9350"/>
        </w:tabs>
        <w:rPr>
          <w:rFonts w:asciiTheme="minorHAnsi" w:eastAsiaTheme="minorEastAsia" w:hAnsiTheme="minorHAnsi" w:cstheme="minorBidi"/>
          <w:noProof/>
          <w:sz w:val="22"/>
          <w:szCs w:val="22"/>
        </w:rPr>
      </w:pPr>
      <w:hyperlink w:anchor="_Toc321313067" w:history="1">
        <w:r w:rsidR="0082641C" w:rsidRPr="000E7139">
          <w:rPr>
            <w:rStyle w:val="Hyperlink"/>
            <w:noProof/>
          </w:rPr>
          <w:t>Table 5 -</w:t>
        </w:r>
        <w:r w:rsidR="0082641C">
          <w:rPr>
            <w:rFonts w:asciiTheme="minorHAnsi" w:eastAsiaTheme="minorEastAsia" w:hAnsiTheme="minorHAnsi" w:cstheme="minorBidi"/>
            <w:noProof/>
            <w:sz w:val="22"/>
            <w:szCs w:val="22"/>
          </w:rPr>
          <w:tab/>
        </w:r>
        <w:r w:rsidR="0082641C" w:rsidRPr="000E7139">
          <w:rPr>
            <w:rStyle w:val="Hyperlink"/>
            <w:noProof/>
          </w:rPr>
          <w:t>Baseline and Qualifying Measure Efficiencies for Storage Water Heaters</w:t>
        </w:r>
        <w:r w:rsidR="0082641C">
          <w:rPr>
            <w:noProof/>
            <w:webHidden/>
          </w:rPr>
          <w:tab/>
        </w:r>
        <w:r>
          <w:rPr>
            <w:noProof/>
            <w:webHidden/>
          </w:rPr>
          <w:fldChar w:fldCharType="begin"/>
        </w:r>
        <w:r w:rsidR="0082641C">
          <w:rPr>
            <w:noProof/>
            <w:webHidden/>
          </w:rPr>
          <w:instrText xml:space="preserve"> PAGEREF _Toc321313067 \h </w:instrText>
        </w:r>
        <w:r>
          <w:rPr>
            <w:noProof/>
            <w:webHidden/>
          </w:rPr>
        </w:r>
        <w:r>
          <w:rPr>
            <w:noProof/>
            <w:webHidden/>
          </w:rPr>
          <w:fldChar w:fldCharType="separate"/>
        </w:r>
        <w:r w:rsidR="00563751">
          <w:rPr>
            <w:noProof/>
            <w:webHidden/>
          </w:rPr>
          <w:t>5</w:t>
        </w:r>
        <w:r>
          <w:rPr>
            <w:noProof/>
            <w:webHidden/>
          </w:rPr>
          <w:fldChar w:fldCharType="end"/>
        </w:r>
      </w:hyperlink>
    </w:p>
    <w:p w:rsidR="0082641C" w:rsidRDefault="007D3F02">
      <w:pPr>
        <w:pStyle w:val="TableofFigures"/>
        <w:tabs>
          <w:tab w:val="left" w:pos="1100"/>
          <w:tab w:val="right" w:leader="dot" w:pos="9350"/>
        </w:tabs>
        <w:rPr>
          <w:rFonts w:asciiTheme="minorHAnsi" w:eastAsiaTheme="minorEastAsia" w:hAnsiTheme="minorHAnsi" w:cstheme="minorBidi"/>
          <w:noProof/>
          <w:sz w:val="22"/>
          <w:szCs w:val="22"/>
        </w:rPr>
      </w:pPr>
      <w:hyperlink w:anchor="_Toc321313068" w:history="1">
        <w:r w:rsidR="0082641C" w:rsidRPr="000E7139">
          <w:rPr>
            <w:rStyle w:val="Hyperlink"/>
            <w:noProof/>
          </w:rPr>
          <w:t>Table 6 -</w:t>
        </w:r>
        <w:r w:rsidR="0082641C">
          <w:rPr>
            <w:rFonts w:asciiTheme="minorHAnsi" w:eastAsiaTheme="minorEastAsia" w:hAnsiTheme="minorHAnsi" w:cstheme="minorBidi"/>
            <w:noProof/>
            <w:sz w:val="22"/>
            <w:szCs w:val="22"/>
          </w:rPr>
          <w:tab/>
        </w:r>
        <w:r w:rsidR="0082641C" w:rsidRPr="000E7139">
          <w:rPr>
            <w:rStyle w:val="Hyperlink"/>
            <w:noProof/>
          </w:rPr>
          <w:t>Calculation of Annual Energy Savings by Equipment Type</w:t>
        </w:r>
        <w:r w:rsidR="0082641C">
          <w:rPr>
            <w:noProof/>
            <w:webHidden/>
          </w:rPr>
          <w:tab/>
        </w:r>
        <w:r>
          <w:rPr>
            <w:noProof/>
            <w:webHidden/>
          </w:rPr>
          <w:fldChar w:fldCharType="begin"/>
        </w:r>
        <w:r w:rsidR="0082641C">
          <w:rPr>
            <w:noProof/>
            <w:webHidden/>
          </w:rPr>
          <w:instrText xml:space="preserve"> PAGEREF _Toc321313068 \h </w:instrText>
        </w:r>
        <w:r>
          <w:rPr>
            <w:noProof/>
            <w:webHidden/>
          </w:rPr>
        </w:r>
        <w:r>
          <w:rPr>
            <w:noProof/>
            <w:webHidden/>
          </w:rPr>
          <w:fldChar w:fldCharType="separate"/>
        </w:r>
        <w:r w:rsidR="00563751">
          <w:rPr>
            <w:noProof/>
            <w:webHidden/>
          </w:rPr>
          <w:t>10</w:t>
        </w:r>
        <w:r>
          <w:rPr>
            <w:noProof/>
            <w:webHidden/>
          </w:rPr>
          <w:fldChar w:fldCharType="end"/>
        </w:r>
      </w:hyperlink>
    </w:p>
    <w:p w:rsidR="0082641C" w:rsidRDefault="007D3F02">
      <w:pPr>
        <w:pStyle w:val="TableofFigures"/>
        <w:tabs>
          <w:tab w:val="left" w:pos="1100"/>
          <w:tab w:val="right" w:leader="dot" w:pos="9350"/>
        </w:tabs>
        <w:rPr>
          <w:rFonts w:asciiTheme="minorHAnsi" w:eastAsiaTheme="minorEastAsia" w:hAnsiTheme="minorHAnsi" w:cstheme="minorBidi"/>
          <w:noProof/>
          <w:sz w:val="22"/>
          <w:szCs w:val="22"/>
        </w:rPr>
      </w:pPr>
      <w:hyperlink w:anchor="_Toc321313069" w:history="1">
        <w:r w:rsidR="0082641C" w:rsidRPr="000E7139">
          <w:rPr>
            <w:rStyle w:val="Hyperlink"/>
            <w:noProof/>
          </w:rPr>
          <w:t>Table 7 -</w:t>
        </w:r>
        <w:r w:rsidR="0082641C">
          <w:rPr>
            <w:rFonts w:asciiTheme="minorHAnsi" w:eastAsiaTheme="minorEastAsia" w:hAnsiTheme="minorHAnsi" w:cstheme="minorBidi"/>
            <w:noProof/>
            <w:sz w:val="22"/>
            <w:szCs w:val="22"/>
          </w:rPr>
          <w:tab/>
        </w:r>
        <w:r w:rsidR="0082641C" w:rsidRPr="000E7139">
          <w:rPr>
            <w:rStyle w:val="Hyperlink"/>
            <w:noProof/>
          </w:rPr>
          <w:t>Annual Energy Savings by Equipment Type</w:t>
        </w:r>
        <w:r w:rsidR="0082641C">
          <w:rPr>
            <w:noProof/>
            <w:webHidden/>
          </w:rPr>
          <w:tab/>
        </w:r>
        <w:r>
          <w:rPr>
            <w:noProof/>
            <w:webHidden/>
          </w:rPr>
          <w:fldChar w:fldCharType="begin"/>
        </w:r>
        <w:r w:rsidR="0082641C">
          <w:rPr>
            <w:noProof/>
            <w:webHidden/>
          </w:rPr>
          <w:instrText xml:space="preserve"> PAGEREF _Toc321313069 \h </w:instrText>
        </w:r>
        <w:r>
          <w:rPr>
            <w:noProof/>
            <w:webHidden/>
          </w:rPr>
        </w:r>
        <w:r>
          <w:rPr>
            <w:noProof/>
            <w:webHidden/>
          </w:rPr>
          <w:fldChar w:fldCharType="separate"/>
        </w:r>
        <w:r w:rsidR="00563751">
          <w:rPr>
            <w:noProof/>
            <w:webHidden/>
          </w:rPr>
          <w:t>10</w:t>
        </w:r>
        <w:r>
          <w:rPr>
            <w:noProof/>
            <w:webHidden/>
          </w:rPr>
          <w:fldChar w:fldCharType="end"/>
        </w:r>
      </w:hyperlink>
    </w:p>
    <w:p w:rsidR="0082641C" w:rsidRDefault="007D3F02">
      <w:pPr>
        <w:pStyle w:val="TableofFigures"/>
        <w:tabs>
          <w:tab w:val="left" w:pos="1100"/>
          <w:tab w:val="right" w:leader="dot" w:pos="9350"/>
        </w:tabs>
        <w:rPr>
          <w:rFonts w:asciiTheme="minorHAnsi" w:eastAsiaTheme="minorEastAsia" w:hAnsiTheme="minorHAnsi" w:cstheme="minorBidi"/>
          <w:noProof/>
          <w:sz w:val="22"/>
          <w:szCs w:val="22"/>
        </w:rPr>
      </w:pPr>
      <w:hyperlink w:anchor="_Toc321313070" w:history="1">
        <w:r w:rsidR="0082641C" w:rsidRPr="000E7139">
          <w:rPr>
            <w:rStyle w:val="Hyperlink"/>
            <w:noProof/>
          </w:rPr>
          <w:t>Table 8 -</w:t>
        </w:r>
        <w:r w:rsidR="0082641C">
          <w:rPr>
            <w:rFonts w:asciiTheme="minorHAnsi" w:eastAsiaTheme="minorEastAsia" w:hAnsiTheme="minorHAnsi" w:cstheme="minorBidi"/>
            <w:noProof/>
            <w:sz w:val="22"/>
            <w:szCs w:val="22"/>
          </w:rPr>
          <w:tab/>
        </w:r>
        <w:r w:rsidR="0082641C" w:rsidRPr="000E7139">
          <w:rPr>
            <w:rStyle w:val="Hyperlink"/>
            <w:noProof/>
          </w:rPr>
          <w:t>Gross and Incremental Measure Cost by Equipment Type</w:t>
        </w:r>
        <w:r w:rsidR="0082641C">
          <w:rPr>
            <w:noProof/>
            <w:webHidden/>
          </w:rPr>
          <w:tab/>
        </w:r>
        <w:r>
          <w:rPr>
            <w:noProof/>
            <w:webHidden/>
          </w:rPr>
          <w:fldChar w:fldCharType="begin"/>
        </w:r>
        <w:r w:rsidR="0082641C">
          <w:rPr>
            <w:noProof/>
            <w:webHidden/>
          </w:rPr>
          <w:instrText xml:space="preserve"> PAGEREF _Toc321313070 \h </w:instrText>
        </w:r>
        <w:r>
          <w:rPr>
            <w:noProof/>
            <w:webHidden/>
          </w:rPr>
        </w:r>
        <w:r>
          <w:rPr>
            <w:noProof/>
            <w:webHidden/>
          </w:rPr>
          <w:fldChar w:fldCharType="separate"/>
        </w:r>
        <w:r w:rsidR="00563751">
          <w:rPr>
            <w:noProof/>
            <w:webHidden/>
          </w:rPr>
          <w:t>12</w:t>
        </w:r>
        <w:r>
          <w:rPr>
            <w:noProof/>
            <w:webHidden/>
          </w:rPr>
          <w:fldChar w:fldCharType="end"/>
        </w:r>
      </w:hyperlink>
    </w:p>
    <w:p w:rsidR="00884825" w:rsidRDefault="007D3F02" w:rsidP="0021125B">
      <w:pPr>
        <w:rPr>
          <w:rFonts w:ascii="Times New Roman" w:hAnsi="Times New Roman"/>
          <w:sz w:val="24"/>
          <w:szCs w:val="24"/>
        </w:rPr>
      </w:pPr>
      <w:r>
        <w:fldChar w:fldCharType="end"/>
      </w:r>
    </w:p>
    <w:p w:rsidR="0082641C" w:rsidRDefault="0082641C" w:rsidP="0082641C">
      <w:pPr>
        <w:pStyle w:val="Pref"/>
        <w:ind w:left="1350" w:hanging="1350"/>
        <w:rPr>
          <w:rFonts w:ascii="Times New Roman" w:hAnsi="Times New Roman" w:cs="Times New Roman"/>
          <w:bCs w:val="0"/>
          <w:kern w:val="0"/>
          <w:sz w:val="24"/>
          <w:szCs w:val="24"/>
        </w:rPr>
      </w:pPr>
    </w:p>
    <w:p w:rsidR="0082641C" w:rsidRDefault="0082641C" w:rsidP="002F29DD">
      <w:pPr>
        <w:sectPr w:rsidR="0082641C" w:rsidSect="00B50897">
          <w:footerReference w:type="even" r:id="rId17"/>
          <w:footerReference w:type="default" r:id="rId18"/>
          <w:endnotePr>
            <w:numFmt w:val="decimal"/>
          </w:endnotePr>
          <w:pgSz w:w="12240" w:h="15840" w:code="1"/>
          <w:pgMar w:top="1440" w:right="1440" w:bottom="1440" w:left="1440" w:header="720" w:footer="720" w:gutter="0"/>
          <w:pgNumType w:fmt="lowerRoman"/>
          <w:cols w:space="720"/>
          <w:docGrid w:linePitch="360"/>
        </w:sectPr>
      </w:pPr>
    </w:p>
    <w:p w:rsidR="001C644E" w:rsidRPr="00496240" w:rsidRDefault="001C644E" w:rsidP="001C644E">
      <w:pPr>
        <w:pStyle w:val="WPSCT"/>
      </w:pPr>
      <w:bookmarkStart w:id="13" w:name="_Toc321313039"/>
      <w:r w:rsidRPr="00496240">
        <w:lastRenderedPageBreak/>
        <w:t xml:space="preserve">General Measure &amp; Baseline </w:t>
      </w:r>
      <w:smartTag w:uri="urn:schemas-microsoft-com:office:smarttags" w:element="stockticker">
        <w:r w:rsidRPr="00496240">
          <w:t>Data</w:t>
        </w:r>
      </w:smartTag>
      <w:bookmarkEnd w:id="13"/>
    </w:p>
    <w:p w:rsidR="001C644E" w:rsidRDefault="001C644E" w:rsidP="001C644E">
      <w:pPr>
        <w:pStyle w:val="WPART"/>
      </w:pPr>
      <w:bookmarkStart w:id="14" w:name="_Toc214003083"/>
      <w:bookmarkStart w:id="15" w:name="_Toc321313040"/>
      <w:r w:rsidRPr="001248A3">
        <w:t xml:space="preserve">Measure </w:t>
      </w:r>
      <w:r>
        <w:t xml:space="preserve">&amp; Delivery </w:t>
      </w:r>
      <w:r w:rsidRPr="001248A3">
        <w:t>Description</w:t>
      </w:r>
      <w:bookmarkEnd w:id="14"/>
      <w:bookmarkEnd w:id="15"/>
    </w:p>
    <w:p w:rsidR="00031327" w:rsidRDefault="000D5E5B" w:rsidP="00031327">
      <w:pPr>
        <w:pStyle w:val="WPPR1"/>
      </w:pPr>
      <w:r>
        <w:t>Measure description</w:t>
      </w:r>
    </w:p>
    <w:p w:rsidR="001C644E" w:rsidRDefault="00D0217D" w:rsidP="00031327">
      <w:pPr>
        <w:pStyle w:val="WPPR2"/>
      </w:pPr>
      <w:r w:rsidRPr="00D0217D">
        <w:t>Th</w:t>
      </w:r>
      <w:r w:rsidR="00031327">
        <w:t>ese</w:t>
      </w:r>
      <w:r w:rsidRPr="00D0217D">
        <w:t xml:space="preserve"> measure</w:t>
      </w:r>
      <w:r w:rsidR="00031327">
        <w:t>s</w:t>
      </w:r>
      <w:r w:rsidRPr="00D0217D">
        <w:t xml:space="preserve"> appl</w:t>
      </w:r>
      <w:r w:rsidR="00031327">
        <w:t>y</w:t>
      </w:r>
      <w:r w:rsidRPr="00D0217D">
        <w:t xml:space="preserve"> to energy efficient storage water heaters used in commercial or industrial applications to produce hot water.  Relative to standard models, energy efficient units typically have features such as large</w:t>
      </w:r>
      <w:r w:rsidR="00031327">
        <w:t>r</w:t>
      </w:r>
      <w:r w:rsidRPr="00D0217D">
        <w:t xml:space="preserve"> heat exchange surfaces and/or additional tank insulation.  </w:t>
      </w:r>
    </w:p>
    <w:p w:rsidR="001172DE" w:rsidRDefault="00031327" w:rsidP="00031327">
      <w:pPr>
        <w:pStyle w:val="WPPR2"/>
      </w:pPr>
      <w:proofErr w:type="spellStart"/>
      <w:r w:rsidRPr="00D0217D">
        <w:t>Tankless</w:t>
      </w:r>
      <w:proofErr w:type="spellEnd"/>
      <w:r w:rsidRPr="00D0217D">
        <w:t xml:space="preserve"> water heaters with a storage tank and control set that are factory mounted on the same skid and </w:t>
      </w:r>
      <w:r>
        <w:t xml:space="preserve">that </w:t>
      </w:r>
      <w:r w:rsidRPr="00D0217D">
        <w:t xml:space="preserve">follow the capacity rules listed in </w:t>
      </w:r>
      <w:r w:rsidR="00C40516">
        <w:t xml:space="preserve">the </w:t>
      </w:r>
      <w:r>
        <w:t xml:space="preserve">California </w:t>
      </w:r>
      <w:r w:rsidRPr="00D0217D">
        <w:t>Title</w:t>
      </w:r>
      <w:r w:rsidR="00C40516">
        <w:t>s</w:t>
      </w:r>
      <w:r w:rsidRPr="00D0217D">
        <w:t xml:space="preserve"> 20</w:t>
      </w:r>
      <w:r w:rsidR="00C40516">
        <w:t xml:space="preserve"> and 24 standards </w:t>
      </w:r>
      <w:r w:rsidR="00E96AA4">
        <w:t xml:space="preserve">also </w:t>
      </w:r>
      <w:r w:rsidR="00E96AA4" w:rsidRPr="00D0217D">
        <w:t xml:space="preserve">qualify as a storage </w:t>
      </w:r>
      <w:r w:rsidR="00E96AA4" w:rsidRPr="00DF468C">
        <w:t>tank water heater</w:t>
      </w:r>
      <w:bookmarkStart w:id="16" w:name="_Ref320695554"/>
      <w:r w:rsidR="00C40516" w:rsidRPr="00DF468C">
        <w:rPr>
          <w:rStyle w:val="EndnoteReference"/>
        </w:rPr>
        <w:endnoteReference w:id="1"/>
      </w:r>
      <w:bookmarkEnd w:id="16"/>
      <w:r w:rsidR="00E96AA4" w:rsidRPr="00DF468C">
        <w:rPr>
          <w:vertAlign w:val="superscript"/>
        </w:rPr>
        <w:t>,</w:t>
      </w:r>
      <w:bookmarkStart w:id="17" w:name="_Ref320695579"/>
      <w:r w:rsidR="00E96AA4" w:rsidRPr="00DF468C">
        <w:rPr>
          <w:rStyle w:val="EndnoteReference"/>
        </w:rPr>
        <w:endnoteReference w:id="2"/>
      </w:r>
      <w:bookmarkEnd w:id="17"/>
      <w:r w:rsidRPr="00DF468C">
        <w:t>.  Title</w:t>
      </w:r>
      <w:r w:rsidRPr="00D0217D">
        <w:t xml:space="preserve"> 20 states, “Storage water heater means a water heater that heats and stores water within the appliance at a thermostatically controlled temperature for delivery on demand and that has an </w:t>
      </w:r>
      <w:r w:rsidR="00284730">
        <w:t>rated input</w:t>
      </w:r>
      <w:r w:rsidRPr="00D0217D">
        <w:t xml:space="preserve"> less than 4</w:t>
      </w:r>
      <w:r>
        <w:t>,</w:t>
      </w:r>
      <w:r w:rsidRPr="00D0217D">
        <w:t>000 B</w:t>
      </w:r>
      <w:r>
        <w:t>tu/hr</w:t>
      </w:r>
      <w:r w:rsidRPr="00D0217D">
        <w:t xml:space="preserve"> per gallon of stored water”. </w:t>
      </w:r>
      <w:r>
        <w:t xml:space="preserve"> </w:t>
      </w:r>
    </w:p>
    <w:p w:rsidR="00031327" w:rsidRDefault="00031327" w:rsidP="00031327">
      <w:pPr>
        <w:pStyle w:val="WPPR2"/>
      </w:pPr>
      <w:r w:rsidRPr="00D0217D">
        <w:t xml:space="preserve">The combined </w:t>
      </w:r>
      <w:proofErr w:type="spellStart"/>
      <w:r w:rsidRPr="00D0217D">
        <w:t>tankless</w:t>
      </w:r>
      <w:proofErr w:type="spellEnd"/>
      <w:r w:rsidRPr="00D0217D">
        <w:t>/storage/control system must be a catalog item available to all buyers</w:t>
      </w:r>
      <w:r w:rsidR="001172DE">
        <w:t xml:space="preserve"> in order to be qualified as a storage water heater</w:t>
      </w:r>
      <w:r w:rsidRPr="00D0217D">
        <w:t>.</w:t>
      </w:r>
      <w:r>
        <w:t xml:space="preserve">  </w:t>
      </w:r>
    </w:p>
    <w:p w:rsidR="00E96AA4" w:rsidRDefault="000747F3" w:rsidP="00031327">
      <w:pPr>
        <w:pStyle w:val="WPPR2"/>
      </w:pPr>
      <w:r>
        <w:t>T</w:t>
      </w:r>
      <w:r w:rsidR="00E96AA4">
        <w:t xml:space="preserve">he 2006 Storage Water Heater Workpaper includes a more detailed technology description in </w:t>
      </w:r>
      <w:r w:rsidR="00E96AA4" w:rsidRPr="00DF468C">
        <w:t>its Appendix A</w:t>
      </w:r>
      <w:r w:rsidR="00E96AA4" w:rsidRPr="00DF468C">
        <w:rPr>
          <w:rStyle w:val="EndnoteReference"/>
        </w:rPr>
        <w:endnoteReference w:id="3"/>
      </w:r>
      <w:r w:rsidR="00E96AA4" w:rsidRPr="00DF468C">
        <w:t>.</w:t>
      </w:r>
      <w:r w:rsidR="00E96AA4">
        <w:t xml:space="preserve">  </w:t>
      </w:r>
    </w:p>
    <w:p w:rsidR="000D5E5B" w:rsidRDefault="000D5E5B" w:rsidP="000D5E5B">
      <w:pPr>
        <w:pStyle w:val="WPPR1"/>
      </w:pPr>
      <w:r>
        <w:t>Market Applicability</w:t>
      </w:r>
    </w:p>
    <w:p w:rsidR="00373F7C" w:rsidRDefault="00D0217D" w:rsidP="000D5E5B">
      <w:pPr>
        <w:pStyle w:val="PR2"/>
      </w:pPr>
      <w:r w:rsidRPr="00D0217D">
        <w:t>Th</w:t>
      </w:r>
      <w:r w:rsidR="00031327">
        <w:t>ese</w:t>
      </w:r>
      <w:r w:rsidRPr="00D0217D">
        <w:t xml:space="preserve"> measure</w:t>
      </w:r>
      <w:r w:rsidR="00031327">
        <w:t>s</w:t>
      </w:r>
      <w:r w:rsidRPr="00D0217D">
        <w:t xml:space="preserve"> </w:t>
      </w:r>
      <w:r w:rsidR="00031327">
        <w:t>are</w:t>
      </w:r>
      <w:r w:rsidRPr="00D0217D">
        <w:t xml:space="preserve"> applicable to any storage </w:t>
      </w:r>
      <w:r w:rsidR="000E58C4">
        <w:t xml:space="preserve">hot </w:t>
      </w:r>
      <w:r w:rsidRPr="00D0217D">
        <w:t xml:space="preserve">water </w:t>
      </w:r>
      <w:r w:rsidR="00DF5B6A" w:rsidRPr="00CD562C">
        <w:t>applications</w:t>
      </w:r>
      <w:r w:rsidR="00DF5B6A">
        <w:t>,</w:t>
      </w:r>
      <w:r w:rsidR="00DF5B6A" w:rsidRPr="00D0217D">
        <w:t xml:space="preserve"> </w:t>
      </w:r>
      <w:r w:rsidRPr="00D0217D">
        <w:t xml:space="preserve">with the exception of process end-use.  </w:t>
      </w:r>
    </w:p>
    <w:p w:rsidR="000D5E5B" w:rsidRDefault="00D0217D" w:rsidP="000D5E5B">
      <w:pPr>
        <w:pStyle w:val="PR2"/>
      </w:pPr>
      <w:r w:rsidRPr="00D0217D">
        <w:t xml:space="preserve">Applicable </w:t>
      </w:r>
      <w:r w:rsidR="001021E8">
        <w:t xml:space="preserve">commercial </w:t>
      </w:r>
      <w:r w:rsidRPr="00D0217D">
        <w:t xml:space="preserve">building/business types include (but are not limited to) offices, restaurants, retail stores, schools, colleges, hotels, motels, and recreational facilities.  </w:t>
      </w:r>
    </w:p>
    <w:p w:rsidR="000D5E5B" w:rsidRDefault="000D5E5B" w:rsidP="000D5E5B">
      <w:pPr>
        <w:pStyle w:val="WPPR1"/>
      </w:pPr>
      <w:r>
        <w:t>Terms &amp; Conditions</w:t>
      </w:r>
    </w:p>
    <w:p w:rsidR="00031327" w:rsidRDefault="00031327" w:rsidP="00D0217D">
      <w:pPr>
        <w:pStyle w:val="PR2"/>
      </w:pPr>
      <w:r>
        <w:t>This measure is not limited to specific NAICS codes</w:t>
      </w:r>
      <w:r w:rsidR="00B40F47">
        <w:t xml:space="preserve">.  </w:t>
      </w:r>
    </w:p>
    <w:p w:rsidR="001172DE" w:rsidRDefault="001172DE" w:rsidP="00D0217D">
      <w:pPr>
        <w:pStyle w:val="PR2"/>
      </w:pPr>
      <w:r w:rsidRPr="006A6691">
        <w:t xml:space="preserve">The rebate applies to gas-for-gas equipment replacements on burnout or </w:t>
      </w:r>
      <w:r w:rsidR="00DD77B1">
        <w:t>to</w:t>
      </w:r>
      <w:r w:rsidRPr="006A6691">
        <w:t xml:space="preserve"> new installations in existing buildings.</w:t>
      </w:r>
      <w:r w:rsidR="000747F3">
        <w:t xml:space="preserve">  </w:t>
      </w:r>
    </w:p>
    <w:p w:rsidR="001172DE" w:rsidRPr="001E027B" w:rsidRDefault="001172DE" w:rsidP="00D0217D">
      <w:pPr>
        <w:pStyle w:val="PR2"/>
      </w:pPr>
      <w:r w:rsidRPr="006A6691">
        <w:t xml:space="preserve">The rebate does not apply to </w:t>
      </w:r>
      <w:r w:rsidR="000747F3">
        <w:t>n</w:t>
      </w:r>
      <w:r w:rsidRPr="006A6691">
        <w:t xml:space="preserve">ew </w:t>
      </w:r>
      <w:r w:rsidR="000747F3">
        <w:t>c</w:t>
      </w:r>
      <w:r w:rsidRPr="006A6691">
        <w:t>onstruction</w:t>
      </w:r>
      <w:r w:rsidR="000747F3">
        <w:t xml:space="preserve"> (NC)</w:t>
      </w:r>
      <w:r>
        <w:t>.</w:t>
      </w:r>
    </w:p>
    <w:p w:rsidR="000E58C4" w:rsidRPr="00A50306" w:rsidRDefault="000E58C4" w:rsidP="000E58C4">
      <w:pPr>
        <w:pStyle w:val="PR2"/>
      </w:pPr>
      <w:r w:rsidRPr="00A50306">
        <w:t xml:space="preserve">Storage water heaters used for space heating applications do not qualify.  </w:t>
      </w:r>
    </w:p>
    <w:p w:rsidR="00373F7C" w:rsidRPr="00A50306" w:rsidRDefault="00373F7C" w:rsidP="00373F7C">
      <w:pPr>
        <w:pStyle w:val="PR2"/>
      </w:pPr>
      <w:r w:rsidRPr="00A50306">
        <w:t xml:space="preserve">Water heaters used for pools or spas </w:t>
      </w:r>
      <w:proofErr w:type="gramStart"/>
      <w:r w:rsidRPr="00A50306">
        <w:t>do</w:t>
      </w:r>
      <w:proofErr w:type="gramEnd"/>
      <w:r w:rsidRPr="00A50306">
        <w:t xml:space="preserve"> not qualify.  </w:t>
      </w:r>
    </w:p>
    <w:p w:rsidR="00031327" w:rsidRDefault="00D0217D" w:rsidP="00D0217D">
      <w:pPr>
        <w:pStyle w:val="PR2"/>
      </w:pPr>
      <w:r w:rsidRPr="00D0217D">
        <w:t xml:space="preserve">The manufacturer’s name and equipment model number must be provided.  </w:t>
      </w:r>
    </w:p>
    <w:p w:rsidR="000D5E5B" w:rsidRDefault="00D0217D" w:rsidP="00D0217D">
      <w:pPr>
        <w:pStyle w:val="PR2"/>
      </w:pPr>
      <w:r w:rsidRPr="00D0217D">
        <w:t xml:space="preserve">If necessary, customer must provide proof of unit efficiency (e.g., manufacturer’s equipment specification sheet).  </w:t>
      </w:r>
    </w:p>
    <w:p w:rsidR="00373F7C" w:rsidRDefault="00373F7C" w:rsidP="001C644E">
      <w:pPr>
        <w:pStyle w:val="WPPR1"/>
      </w:pPr>
      <w:r>
        <w:t>Delivery Method</w:t>
      </w:r>
    </w:p>
    <w:p w:rsidR="00CA1EEB" w:rsidRDefault="00CA1EEB" w:rsidP="00CA1EEB">
      <w:pPr>
        <w:pStyle w:val="PR2"/>
      </w:pPr>
      <w:r>
        <w:t xml:space="preserve">The preferred delivery method is a downstream prescriptive rebate offered to the gas customer purchasing the new boiler.  </w:t>
      </w:r>
    </w:p>
    <w:p w:rsidR="000D5E5B" w:rsidRDefault="00CA1EEB" w:rsidP="00CA1EEB">
      <w:pPr>
        <w:pStyle w:val="PR2"/>
      </w:pPr>
      <w:r>
        <w:t>However, a midstream point-of-sale rebate or an upstream manufacturer rebate strategy may also be implemented.</w:t>
      </w:r>
      <w:r w:rsidR="00031327">
        <w:t xml:space="preserve"> </w:t>
      </w:r>
    </w:p>
    <w:p w:rsidR="00031327" w:rsidRDefault="00031327" w:rsidP="00031327">
      <w:pPr>
        <w:pStyle w:val="WPPR1"/>
      </w:pPr>
      <w:r>
        <w:t>Qualifying Efficiency</w:t>
      </w:r>
    </w:p>
    <w:p w:rsidR="00791963" w:rsidRDefault="00791963" w:rsidP="00791963">
      <w:pPr>
        <w:pStyle w:val="PR2"/>
      </w:pPr>
      <w:r>
        <w:t>Test methods for measuring water heater efficiencies are referenced in the California Titles 20 and 24 standards</w:t>
      </w:r>
      <w:fldSimple w:instr=" NOTEREF _Ref320532838 \f \h  \* MERGEFORMAT ">
        <w:r>
          <w:rPr>
            <w:vertAlign w:val="superscript"/>
          </w:rPr>
          <w:t>2</w:t>
        </w:r>
      </w:fldSimple>
      <w:proofErr w:type="gramStart"/>
      <w:r>
        <w:rPr>
          <w:vertAlign w:val="superscript"/>
        </w:rPr>
        <w:t>,</w:t>
      </w:r>
      <w:proofErr w:type="gramEnd"/>
      <w:r w:rsidR="007D3F02">
        <w:fldChar w:fldCharType="begin"/>
      </w:r>
      <w:r w:rsidR="00165883">
        <w:instrText xml:space="preserve"> NOTEREF _Ref320532865 \f \h  \* MERGEFORMAT </w:instrText>
      </w:r>
      <w:r w:rsidR="007D3F02">
        <w:fldChar w:fldCharType="separate"/>
      </w:r>
      <w:r>
        <w:rPr>
          <w:vertAlign w:val="superscript"/>
        </w:rPr>
        <w:t>3</w:t>
      </w:r>
      <w:r w:rsidR="007D3F02">
        <w:fldChar w:fldCharType="end"/>
      </w:r>
      <w:r>
        <w:t>.</w:t>
      </w:r>
    </w:p>
    <w:p w:rsidR="00373F7C" w:rsidRPr="005C65CD" w:rsidRDefault="00373F7C" w:rsidP="00031327">
      <w:pPr>
        <w:pStyle w:val="WPPR2"/>
      </w:pPr>
      <w:r w:rsidRPr="005C65CD">
        <w:t>Minimum qualifying energy factor (EF) for s</w:t>
      </w:r>
      <w:r w:rsidR="0043324C" w:rsidRPr="005C65CD">
        <w:t xml:space="preserve">mall </w:t>
      </w:r>
      <w:r w:rsidRPr="005C65CD">
        <w:t>(</w:t>
      </w:r>
      <w:r w:rsidRPr="005C65CD">
        <w:rPr>
          <w:rFonts w:cs="Arial" w:hint="eastAsia"/>
        </w:rPr>
        <w:t>≤</w:t>
      </w:r>
      <w:r w:rsidRPr="005C65CD">
        <w:t xml:space="preserve">75 </w:t>
      </w:r>
      <w:proofErr w:type="spellStart"/>
      <w:r w:rsidRPr="005C65CD">
        <w:t>MBtu</w:t>
      </w:r>
      <w:proofErr w:type="spellEnd"/>
      <w:r w:rsidRPr="005C65CD">
        <w:t xml:space="preserve">/hr) </w:t>
      </w:r>
      <w:r w:rsidR="0043324C" w:rsidRPr="005C65CD">
        <w:t>storage w</w:t>
      </w:r>
      <w:r w:rsidR="00031327" w:rsidRPr="005C65CD">
        <w:t>ater heaters</w:t>
      </w:r>
      <w:r w:rsidRPr="005C65CD">
        <w:t>:</w:t>
      </w:r>
      <w:r w:rsidR="006B2690" w:rsidRPr="005C65CD">
        <w:t xml:space="preserve">  </w:t>
      </w:r>
    </w:p>
    <w:p w:rsidR="000E58C4" w:rsidRPr="005C65CD" w:rsidRDefault="000E58C4" w:rsidP="00373F7C">
      <w:pPr>
        <w:pStyle w:val="WPPR3"/>
      </w:pPr>
      <w:r w:rsidRPr="005C65CD">
        <w:t>0.73 – (0.0019*V), where Volume (V) is the rated storage volume in gallons.</w:t>
      </w:r>
      <w:r w:rsidR="001172DE" w:rsidRPr="005C65CD">
        <w:t xml:space="preserve">  </w:t>
      </w:r>
    </w:p>
    <w:p w:rsidR="00DA636A" w:rsidRPr="005C65CD" w:rsidRDefault="006B2690" w:rsidP="00373F7C">
      <w:pPr>
        <w:pStyle w:val="WPPR3"/>
      </w:pPr>
      <w:r w:rsidRPr="005C65CD">
        <w:t xml:space="preserve">Equivalent to EF that is </w:t>
      </w:r>
      <w:r w:rsidR="00031327" w:rsidRPr="005C65CD">
        <w:t>0.</w:t>
      </w:r>
      <w:r w:rsidR="000E58C4" w:rsidRPr="005C65CD">
        <w:t>06</w:t>
      </w:r>
      <w:r w:rsidR="00373F7C" w:rsidRPr="005C65CD">
        <w:t xml:space="preserve"> </w:t>
      </w:r>
      <w:r w:rsidR="000E58C4" w:rsidRPr="005C65CD">
        <w:t xml:space="preserve">above </w:t>
      </w:r>
      <w:r w:rsidRPr="005C65CD">
        <w:t xml:space="preserve">the </w:t>
      </w:r>
      <w:r w:rsidR="000E58C4" w:rsidRPr="005C65CD">
        <w:t>California Titles 20 and 24</w:t>
      </w:r>
      <w:fldSimple w:instr=" NOTEREF _Ref320695554 \h  \* MERGEFORMAT ">
        <w:r w:rsidR="00563751" w:rsidRPr="005C65CD">
          <w:rPr>
            <w:vertAlign w:val="superscript"/>
          </w:rPr>
          <w:t>1</w:t>
        </w:r>
      </w:fldSimple>
      <w:fldSimple w:instr=" NOTEREF _Ref320695579 \f \h  \* MERGEFORMAT ">
        <w:r w:rsidR="00563751" w:rsidRPr="005C65CD">
          <w:rPr>
            <w:rStyle w:val="EndnoteReference"/>
          </w:rPr>
          <w:t>2</w:t>
        </w:r>
      </w:fldSimple>
      <w:r w:rsidR="008F1C98" w:rsidRPr="005C65CD">
        <w:t xml:space="preserve"> e</w:t>
      </w:r>
      <w:r w:rsidRPr="005C65CD">
        <w:t>ffective January 20, 2004</w:t>
      </w:r>
      <w:r w:rsidR="001172DE" w:rsidRPr="005C65CD">
        <w:t>.</w:t>
      </w:r>
      <w:r w:rsidRPr="005C65CD">
        <w:t xml:space="preserve"> </w:t>
      </w:r>
    </w:p>
    <w:p w:rsidR="00DA636A" w:rsidRPr="005C65CD" w:rsidRDefault="00B40F47" w:rsidP="00B40F47">
      <w:pPr>
        <w:pStyle w:val="WPPR3"/>
      </w:pPr>
      <w:r w:rsidRPr="005C65CD">
        <w:t xml:space="preserve">Table 1 lists the baseline measure and qualifying measure </w:t>
      </w:r>
      <w:r w:rsidR="00F76BA2" w:rsidRPr="005C65CD">
        <w:t>energy factor</w:t>
      </w:r>
      <w:r w:rsidRPr="005C65CD">
        <w:t xml:space="preserve">s for small storage water heaters with selected storage tank rated volumes.  </w:t>
      </w:r>
    </w:p>
    <w:p w:rsidR="006B2690" w:rsidRPr="006B2690" w:rsidRDefault="006B2690" w:rsidP="003D37B4">
      <w:pPr>
        <w:pStyle w:val="WPPR2"/>
      </w:pPr>
      <w:r w:rsidRPr="006B2690">
        <w:lastRenderedPageBreak/>
        <w:t>Minimum qualifying thermal efficiency (TE) for l</w:t>
      </w:r>
      <w:r w:rsidR="0043324C" w:rsidRPr="006B2690">
        <w:t xml:space="preserve">arge </w:t>
      </w:r>
      <w:r w:rsidRPr="006B2690">
        <w:t xml:space="preserve">(&gt; 75 </w:t>
      </w:r>
      <w:proofErr w:type="spellStart"/>
      <w:r w:rsidRPr="006B2690">
        <w:t>MBtu</w:t>
      </w:r>
      <w:proofErr w:type="spellEnd"/>
      <w:r w:rsidRPr="006B2690">
        <w:t xml:space="preserve">/hr) </w:t>
      </w:r>
      <w:r w:rsidR="0043324C" w:rsidRPr="006B2690">
        <w:t>storage water heaters</w:t>
      </w:r>
      <w:r w:rsidRPr="006B2690">
        <w:t xml:space="preserve">:  </w:t>
      </w:r>
    </w:p>
    <w:p w:rsidR="006B2690" w:rsidRPr="006B2690" w:rsidRDefault="006B2690" w:rsidP="006B2690">
      <w:pPr>
        <w:pStyle w:val="WPPR3"/>
      </w:pPr>
      <w:r w:rsidRPr="006B2690">
        <w:t>83% for Tier 1 storage water heaters (non-condensing)</w:t>
      </w:r>
    </w:p>
    <w:p w:rsidR="0043324C" w:rsidRPr="006B2690" w:rsidRDefault="006B2690" w:rsidP="006B2690">
      <w:pPr>
        <w:pStyle w:val="WPPR3"/>
      </w:pPr>
      <w:r w:rsidRPr="006B2690">
        <w:t>90% for Tier 2 storage water heaters (condensing)</w:t>
      </w:r>
    </w:p>
    <w:p w:rsidR="003D37B4" w:rsidRDefault="006B2690" w:rsidP="003D37B4">
      <w:pPr>
        <w:pStyle w:val="WPPR2"/>
      </w:pPr>
      <w:r>
        <w:t xml:space="preserve">Tier 2 </w:t>
      </w:r>
      <w:r w:rsidR="00DD17D7">
        <w:t xml:space="preserve">large </w:t>
      </w:r>
      <w:r>
        <w:t>storage w</w:t>
      </w:r>
      <w:r w:rsidR="003D37B4">
        <w:t>ater heaters</w:t>
      </w:r>
      <w:r w:rsidR="00DD17D7">
        <w:t xml:space="preserve"> </w:t>
      </w:r>
      <w:r w:rsidR="003D37B4">
        <w:t>are condensing and often require flue modifications to handle the condensate.  These modifications increase installation costs</w:t>
      </w:r>
      <w:r>
        <w:t xml:space="preserve"> and may be eligible for </w:t>
      </w:r>
      <w:r w:rsidR="003D37B4" w:rsidRPr="006B2690">
        <w:t>a higher rebate amount.</w:t>
      </w:r>
      <w:r w:rsidR="003D37B4">
        <w:t xml:space="preserve">  </w:t>
      </w:r>
    </w:p>
    <w:p w:rsidR="00B40F47" w:rsidRDefault="00B40F47" w:rsidP="00B40F47">
      <w:pPr>
        <w:pStyle w:val="Vertical"/>
      </w:pPr>
      <w:bookmarkStart w:id="18" w:name="_Toc214003084"/>
    </w:p>
    <w:p w:rsidR="00B40F47" w:rsidRPr="00BE0F0B" w:rsidRDefault="00B40F47" w:rsidP="00B40F47">
      <w:pPr>
        <w:pStyle w:val="TBL"/>
      </w:pPr>
      <w:bookmarkStart w:id="19" w:name="_Ref320805050"/>
      <w:bookmarkStart w:id="20" w:name="_Toc321313063"/>
      <w:r w:rsidRPr="00BE0F0B">
        <w:t xml:space="preserve">Baseline and </w:t>
      </w:r>
      <w:r w:rsidR="00DD77B1" w:rsidRPr="00BE0F0B">
        <w:t xml:space="preserve">Minimum </w:t>
      </w:r>
      <w:r w:rsidRPr="00BE0F0B">
        <w:t xml:space="preserve">Qualifying </w:t>
      </w:r>
      <w:r w:rsidR="00DD77B1" w:rsidRPr="00BE0F0B">
        <w:t xml:space="preserve">Measure </w:t>
      </w:r>
      <w:r w:rsidRPr="00BE0F0B">
        <w:t>Energy Factors for Small Storage Water Heaters</w:t>
      </w:r>
      <w:bookmarkEnd w:id="19"/>
      <w:bookmarkEnd w:id="20"/>
    </w:p>
    <w:tbl>
      <w:tblPr>
        <w:tblW w:w="7826" w:type="dxa"/>
        <w:jc w:val="center"/>
        <w:tblCellMar>
          <w:top w:w="43" w:type="dxa"/>
          <w:left w:w="115" w:type="dxa"/>
          <w:bottom w:w="43" w:type="dxa"/>
          <w:right w:w="115" w:type="dxa"/>
        </w:tblCellMar>
        <w:tblLook w:val="04A0"/>
      </w:tblPr>
      <w:tblGrid>
        <w:gridCol w:w="3002"/>
        <w:gridCol w:w="2529"/>
        <w:gridCol w:w="2295"/>
      </w:tblGrid>
      <w:tr w:rsidR="00B40F47" w:rsidRPr="00845626" w:rsidTr="00146557">
        <w:trPr>
          <w:trHeight w:val="20"/>
          <w:jc w:val="center"/>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0F47" w:rsidRPr="00BE0F0B" w:rsidRDefault="00B40F47" w:rsidP="00B40F47">
            <w:pPr>
              <w:jc w:val="center"/>
              <w:rPr>
                <w:rFonts w:eastAsia="Times New Roman" w:cs="Arial"/>
                <w:b/>
                <w:color w:val="000000"/>
                <w:sz w:val="18"/>
                <w:szCs w:val="18"/>
                <w:lang w:eastAsia="ko-KR"/>
              </w:rPr>
            </w:pPr>
            <w:r w:rsidRPr="00BE0F0B">
              <w:rPr>
                <w:rFonts w:eastAsia="Times New Roman" w:cs="Arial"/>
                <w:b/>
                <w:color w:val="000000"/>
                <w:sz w:val="18"/>
                <w:szCs w:val="18"/>
                <w:lang w:eastAsia="ko-KR"/>
              </w:rPr>
              <w:t>Storage Tank Rated Volume (V) (gallons)</w:t>
            </w:r>
          </w:p>
        </w:tc>
        <w:tc>
          <w:tcPr>
            <w:tcW w:w="2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1E8" w:rsidRPr="00BE0F0B" w:rsidRDefault="00B40F47" w:rsidP="00B40F47">
            <w:pPr>
              <w:jc w:val="center"/>
              <w:rPr>
                <w:rFonts w:eastAsia="Times New Roman" w:cs="Arial"/>
                <w:b/>
                <w:color w:val="000000"/>
                <w:sz w:val="18"/>
                <w:szCs w:val="18"/>
                <w:lang w:eastAsia="ko-KR"/>
              </w:rPr>
            </w:pPr>
            <w:r w:rsidRPr="00BE0F0B">
              <w:rPr>
                <w:rFonts w:eastAsia="Times New Roman" w:cs="Arial"/>
                <w:b/>
                <w:color w:val="000000"/>
                <w:sz w:val="18"/>
                <w:szCs w:val="18"/>
                <w:lang w:eastAsia="ko-KR"/>
              </w:rPr>
              <w:t xml:space="preserve">Baseline Energy Factor </w:t>
            </w:r>
          </w:p>
          <w:p w:rsidR="00B40F47" w:rsidRPr="00BE0F0B" w:rsidRDefault="00B40F47" w:rsidP="00B40F47">
            <w:pPr>
              <w:jc w:val="center"/>
              <w:rPr>
                <w:rFonts w:eastAsia="Times New Roman" w:cs="Arial"/>
                <w:b/>
                <w:color w:val="000000"/>
                <w:sz w:val="18"/>
                <w:szCs w:val="18"/>
                <w:lang w:eastAsia="ko-KR"/>
              </w:rPr>
            </w:pPr>
            <w:r w:rsidRPr="00BE0F0B">
              <w:rPr>
                <w:rFonts w:eastAsia="Times New Roman" w:cs="Arial"/>
                <w:b/>
                <w:color w:val="000000"/>
                <w:sz w:val="18"/>
                <w:szCs w:val="18"/>
                <w:lang w:eastAsia="ko-KR"/>
              </w:rPr>
              <w:t>= 0.67-(0.0019*V)</w:t>
            </w: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0F47" w:rsidRPr="00F91328" w:rsidRDefault="00B40F47" w:rsidP="00B40F47">
            <w:pPr>
              <w:jc w:val="center"/>
              <w:rPr>
                <w:rFonts w:eastAsia="Times New Roman" w:cs="Arial"/>
                <w:b/>
                <w:color w:val="000000"/>
                <w:sz w:val="18"/>
                <w:szCs w:val="18"/>
                <w:lang w:eastAsia="ko-KR"/>
              </w:rPr>
            </w:pPr>
            <w:r w:rsidRPr="00F91328">
              <w:rPr>
                <w:rFonts w:eastAsia="Times New Roman" w:cs="Arial"/>
                <w:b/>
                <w:color w:val="000000"/>
                <w:sz w:val="18"/>
                <w:szCs w:val="18"/>
                <w:lang w:eastAsia="ko-KR"/>
              </w:rPr>
              <w:t>Measure Energy Factor = 0.73-(0.0019*V)</w:t>
            </w:r>
          </w:p>
        </w:tc>
      </w:tr>
      <w:tr w:rsidR="00B40F47" w:rsidRPr="00845626" w:rsidTr="00146557">
        <w:trPr>
          <w:trHeight w:val="20"/>
          <w:jc w:val="center"/>
        </w:trPr>
        <w:tc>
          <w:tcPr>
            <w:tcW w:w="3002" w:type="dxa"/>
            <w:tcBorders>
              <w:top w:val="single" w:sz="4" w:space="0" w:color="auto"/>
              <w:left w:val="single" w:sz="8" w:space="0" w:color="auto"/>
              <w:bottom w:val="single" w:sz="4" w:space="0" w:color="auto"/>
              <w:right w:val="nil"/>
            </w:tcBorders>
            <w:shd w:val="clear" w:color="auto" w:fill="auto"/>
            <w:noWrap/>
            <w:vAlign w:val="center"/>
            <w:hideMark/>
          </w:tcPr>
          <w:p w:rsidR="00B40F47" w:rsidRPr="00BE0F0B" w:rsidRDefault="00B40F47" w:rsidP="00B40F47">
            <w:pPr>
              <w:jc w:val="center"/>
              <w:rPr>
                <w:rFonts w:eastAsia="Times New Roman" w:cs="Arial"/>
                <w:color w:val="000000"/>
                <w:sz w:val="18"/>
                <w:szCs w:val="18"/>
                <w:lang w:eastAsia="ko-KR"/>
              </w:rPr>
            </w:pPr>
            <w:r w:rsidRPr="00BE0F0B">
              <w:rPr>
                <w:rFonts w:eastAsia="Times New Roman" w:cs="Arial"/>
                <w:color w:val="000000"/>
                <w:sz w:val="18"/>
                <w:szCs w:val="18"/>
                <w:lang w:eastAsia="ko-KR"/>
              </w:rPr>
              <w:t>30</w:t>
            </w:r>
          </w:p>
        </w:tc>
        <w:tc>
          <w:tcPr>
            <w:tcW w:w="252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40F47" w:rsidRPr="00BE0F0B"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BE0F0B">
              <w:rPr>
                <w:rFonts w:eastAsia="Times New Roman" w:cs="Arial"/>
                <w:color w:val="000000"/>
                <w:sz w:val="18"/>
                <w:szCs w:val="18"/>
                <w:lang w:eastAsia="ko-KR"/>
              </w:rPr>
              <w:t>61%</w:t>
            </w:r>
          </w:p>
        </w:tc>
        <w:tc>
          <w:tcPr>
            <w:tcW w:w="2295" w:type="dxa"/>
            <w:tcBorders>
              <w:top w:val="single" w:sz="4" w:space="0" w:color="auto"/>
              <w:left w:val="nil"/>
              <w:bottom w:val="single" w:sz="4" w:space="0" w:color="auto"/>
              <w:right w:val="single" w:sz="8" w:space="0" w:color="auto"/>
            </w:tcBorders>
            <w:shd w:val="clear" w:color="auto" w:fill="auto"/>
            <w:noWrap/>
            <w:vAlign w:val="center"/>
            <w:hideMark/>
          </w:tcPr>
          <w:p w:rsidR="00B40F47" w:rsidRPr="00F91328"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F91328">
              <w:rPr>
                <w:rFonts w:eastAsia="Times New Roman" w:cs="Arial"/>
                <w:color w:val="000000"/>
                <w:sz w:val="18"/>
                <w:szCs w:val="18"/>
                <w:lang w:eastAsia="ko-KR"/>
              </w:rPr>
              <w:t>67%</w:t>
            </w:r>
          </w:p>
        </w:tc>
      </w:tr>
      <w:tr w:rsidR="00B40F47" w:rsidRPr="00845626" w:rsidTr="00146557">
        <w:trPr>
          <w:trHeight w:val="20"/>
          <w:jc w:val="center"/>
        </w:trPr>
        <w:tc>
          <w:tcPr>
            <w:tcW w:w="3002" w:type="dxa"/>
            <w:tcBorders>
              <w:top w:val="nil"/>
              <w:left w:val="single" w:sz="8" w:space="0" w:color="auto"/>
              <w:bottom w:val="single" w:sz="4" w:space="0" w:color="auto"/>
              <w:right w:val="nil"/>
            </w:tcBorders>
            <w:shd w:val="clear" w:color="auto" w:fill="auto"/>
            <w:noWrap/>
            <w:vAlign w:val="center"/>
            <w:hideMark/>
          </w:tcPr>
          <w:p w:rsidR="00B40F47" w:rsidRPr="00BE0F0B"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BE0F0B">
              <w:rPr>
                <w:rFonts w:eastAsia="Times New Roman" w:cs="Arial"/>
                <w:color w:val="000000"/>
                <w:sz w:val="18"/>
                <w:szCs w:val="18"/>
                <w:lang w:eastAsia="ko-KR"/>
              </w:rPr>
              <w:t>40</w:t>
            </w:r>
          </w:p>
        </w:tc>
        <w:tc>
          <w:tcPr>
            <w:tcW w:w="2529" w:type="dxa"/>
            <w:tcBorders>
              <w:top w:val="nil"/>
              <w:left w:val="single" w:sz="8" w:space="0" w:color="auto"/>
              <w:bottom w:val="single" w:sz="4" w:space="0" w:color="auto"/>
              <w:right w:val="single" w:sz="8" w:space="0" w:color="auto"/>
            </w:tcBorders>
            <w:shd w:val="clear" w:color="auto" w:fill="auto"/>
            <w:noWrap/>
            <w:vAlign w:val="center"/>
            <w:hideMark/>
          </w:tcPr>
          <w:p w:rsidR="00B40F47" w:rsidRPr="00BE0F0B"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BE0F0B">
              <w:rPr>
                <w:rFonts w:eastAsia="Times New Roman" w:cs="Arial"/>
                <w:color w:val="000000"/>
                <w:sz w:val="18"/>
                <w:szCs w:val="18"/>
                <w:lang w:eastAsia="ko-KR"/>
              </w:rPr>
              <w:t>59%</w:t>
            </w:r>
          </w:p>
        </w:tc>
        <w:tc>
          <w:tcPr>
            <w:tcW w:w="2295" w:type="dxa"/>
            <w:tcBorders>
              <w:top w:val="nil"/>
              <w:left w:val="nil"/>
              <w:bottom w:val="single" w:sz="4" w:space="0" w:color="auto"/>
              <w:right w:val="single" w:sz="8" w:space="0" w:color="auto"/>
            </w:tcBorders>
            <w:shd w:val="clear" w:color="auto" w:fill="auto"/>
            <w:noWrap/>
            <w:vAlign w:val="center"/>
            <w:hideMark/>
          </w:tcPr>
          <w:p w:rsidR="00B40F47" w:rsidRPr="00F91328"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F91328">
              <w:rPr>
                <w:rFonts w:eastAsia="Times New Roman" w:cs="Arial"/>
                <w:color w:val="000000"/>
                <w:sz w:val="18"/>
                <w:szCs w:val="18"/>
                <w:lang w:eastAsia="ko-KR"/>
              </w:rPr>
              <w:t>65%</w:t>
            </w:r>
          </w:p>
        </w:tc>
      </w:tr>
      <w:tr w:rsidR="00B40F47" w:rsidRPr="00845626" w:rsidTr="00146557">
        <w:trPr>
          <w:trHeight w:val="20"/>
          <w:jc w:val="center"/>
        </w:trPr>
        <w:tc>
          <w:tcPr>
            <w:tcW w:w="3002" w:type="dxa"/>
            <w:tcBorders>
              <w:top w:val="nil"/>
              <w:left w:val="single" w:sz="8" w:space="0" w:color="auto"/>
              <w:bottom w:val="single" w:sz="4" w:space="0" w:color="auto"/>
              <w:right w:val="nil"/>
            </w:tcBorders>
            <w:shd w:val="clear" w:color="auto" w:fill="auto"/>
            <w:noWrap/>
            <w:vAlign w:val="center"/>
            <w:hideMark/>
          </w:tcPr>
          <w:p w:rsidR="00B40F47" w:rsidRPr="00BE0F0B"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BE0F0B">
              <w:rPr>
                <w:rFonts w:eastAsia="Times New Roman" w:cs="Arial"/>
                <w:color w:val="000000"/>
                <w:sz w:val="18"/>
                <w:szCs w:val="18"/>
                <w:lang w:eastAsia="ko-KR"/>
              </w:rPr>
              <w:t>50</w:t>
            </w:r>
          </w:p>
        </w:tc>
        <w:tc>
          <w:tcPr>
            <w:tcW w:w="2529" w:type="dxa"/>
            <w:tcBorders>
              <w:top w:val="nil"/>
              <w:left w:val="single" w:sz="8" w:space="0" w:color="auto"/>
              <w:bottom w:val="single" w:sz="4" w:space="0" w:color="auto"/>
              <w:right w:val="single" w:sz="8" w:space="0" w:color="auto"/>
            </w:tcBorders>
            <w:shd w:val="clear" w:color="auto" w:fill="auto"/>
            <w:noWrap/>
            <w:vAlign w:val="center"/>
            <w:hideMark/>
          </w:tcPr>
          <w:p w:rsidR="00B40F47" w:rsidRPr="00BE0F0B"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BE0F0B">
              <w:rPr>
                <w:rFonts w:eastAsia="Times New Roman" w:cs="Arial"/>
                <w:color w:val="000000"/>
                <w:sz w:val="18"/>
                <w:szCs w:val="18"/>
                <w:lang w:eastAsia="ko-KR"/>
              </w:rPr>
              <w:t>58%</w:t>
            </w:r>
          </w:p>
        </w:tc>
        <w:tc>
          <w:tcPr>
            <w:tcW w:w="2295" w:type="dxa"/>
            <w:tcBorders>
              <w:top w:val="nil"/>
              <w:left w:val="nil"/>
              <w:bottom w:val="single" w:sz="4" w:space="0" w:color="auto"/>
              <w:right w:val="single" w:sz="8" w:space="0" w:color="auto"/>
            </w:tcBorders>
            <w:shd w:val="clear" w:color="auto" w:fill="auto"/>
            <w:noWrap/>
            <w:vAlign w:val="center"/>
            <w:hideMark/>
          </w:tcPr>
          <w:p w:rsidR="00B40F47" w:rsidRPr="00F91328"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F91328">
              <w:rPr>
                <w:rFonts w:eastAsia="Times New Roman" w:cs="Arial"/>
                <w:color w:val="000000"/>
                <w:sz w:val="18"/>
                <w:szCs w:val="18"/>
                <w:lang w:eastAsia="ko-KR"/>
              </w:rPr>
              <w:t>64%</w:t>
            </w:r>
          </w:p>
        </w:tc>
      </w:tr>
      <w:tr w:rsidR="00B40F47" w:rsidRPr="00845626" w:rsidTr="00146557">
        <w:trPr>
          <w:trHeight w:val="20"/>
          <w:jc w:val="center"/>
        </w:trPr>
        <w:tc>
          <w:tcPr>
            <w:tcW w:w="3002" w:type="dxa"/>
            <w:tcBorders>
              <w:top w:val="nil"/>
              <w:left w:val="single" w:sz="8" w:space="0" w:color="auto"/>
              <w:bottom w:val="single" w:sz="4" w:space="0" w:color="auto"/>
              <w:right w:val="nil"/>
            </w:tcBorders>
            <w:shd w:val="clear" w:color="auto" w:fill="auto"/>
            <w:noWrap/>
            <w:vAlign w:val="center"/>
            <w:hideMark/>
          </w:tcPr>
          <w:p w:rsidR="00B40F47" w:rsidRPr="00BE0F0B"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BE0F0B">
              <w:rPr>
                <w:rFonts w:eastAsia="Times New Roman" w:cs="Arial"/>
                <w:color w:val="000000"/>
                <w:sz w:val="18"/>
                <w:szCs w:val="18"/>
                <w:lang w:eastAsia="ko-KR"/>
              </w:rPr>
              <w:t>60</w:t>
            </w:r>
          </w:p>
        </w:tc>
        <w:tc>
          <w:tcPr>
            <w:tcW w:w="2529" w:type="dxa"/>
            <w:tcBorders>
              <w:top w:val="nil"/>
              <w:left w:val="single" w:sz="8" w:space="0" w:color="auto"/>
              <w:bottom w:val="single" w:sz="4" w:space="0" w:color="auto"/>
              <w:right w:val="single" w:sz="8" w:space="0" w:color="auto"/>
            </w:tcBorders>
            <w:shd w:val="clear" w:color="auto" w:fill="auto"/>
            <w:noWrap/>
            <w:vAlign w:val="center"/>
            <w:hideMark/>
          </w:tcPr>
          <w:p w:rsidR="00B40F47" w:rsidRPr="00BE0F0B"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BE0F0B">
              <w:rPr>
                <w:rFonts w:eastAsia="Times New Roman" w:cs="Arial"/>
                <w:color w:val="000000"/>
                <w:sz w:val="18"/>
                <w:szCs w:val="18"/>
                <w:lang w:eastAsia="ko-KR"/>
              </w:rPr>
              <w:t>56%</w:t>
            </w:r>
          </w:p>
        </w:tc>
        <w:tc>
          <w:tcPr>
            <w:tcW w:w="2295" w:type="dxa"/>
            <w:tcBorders>
              <w:top w:val="nil"/>
              <w:left w:val="nil"/>
              <w:bottom w:val="single" w:sz="4" w:space="0" w:color="auto"/>
              <w:right w:val="single" w:sz="8" w:space="0" w:color="auto"/>
            </w:tcBorders>
            <w:shd w:val="clear" w:color="auto" w:fill="auto"/>
            <w:noWrap/>
            <w:vAlign w:val="center"/>
            <w:hideMark/>
          </w:tcPr>
          <w:p w:rsidR="00B40F47" w:rsidRPr="00F91328"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F91328">
              <w:rPr>
                <w:rFonts w:eastAsia="Times New Roman" w:cs="Arial"/>
                <w:color w:val="000000"/>
                <w:sz w:val="18"/>
                <w:szCs w:val="18"/>
                <w:lang w:eastAsia="ko-KR"/>
              </w:rPr>
              <w:t>62%</w:t>
            </w:r>
          </w:p>
        </w:tc>
      </w:tr>
      <w:tr w:rsidR="00B40F47" w:rsidRPr="00DB6501" w:rsidTr="00146557">
        <w:trPr>
          <w:trHeight w:val="20"/>
          <w:jc w:val="center"/>
        </w:trPr>
        <w:tc>
          <w:tcPr>
            <w:tcW w:w="3002" w:type="dxa"/>
            <w:tcBorders>
              <w:top w:val="nil"/>
              <w:left w:val="single" w:sz="8" w:space="0" w:color="auto"/>
              <w:bottom w:val="single" w:sz="8" w:space="0" w:color="auto"/>
              <w:right w:val="nil"/>
            </w:tcBorders>
            <w:shd w:val="clear" w:color="auto" w:fill="auto"/>
            <w:noWrap/>
            <w:vAlign w:val="center"/>
            <w:hideMark/>
          </w:tcPr>
          <w:p w:rsidR="00B40F47" w:rsidRPr="00BE0F0B"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BE0F0B">
              <w:rPr>
                <w:rFonts w:eastAsia="Times New Roman" w:cs="Arial"/>
                <w:color w:val="000000"/>
                <w:sz w:val="18"/>
                <w:szCs w:val="18"/>
                <w:lang w:eastAsia="ko-KR"/>
              </w:rPr>
              <w:t>75</w:t>
            </w:r>
          </w:p>
        </w:tc>
        <w:tc>
          <w:tcPr>
            <w:tcW w:w="2529" w:type="dxa"/>
            <w:tcBorders>
              <w:top w:val="nil"/>
              <w:left w:val="single" w:sz="8" w:space="0" w:color="auto"/>
              <w:bottom w:val="single" w:sz="8" w:space="0" w:color="auto"/>
              <w:right w:val="single" w:sz="8" w:space="0" w:color="auto"/>
            </w:tcBorders>
            <w:shd w:val="clear" w:color="auto" w:fill="auto"/>
            <w:noWrap/>
            <w:vAlign w:val="center"/>
            <w:hideMark/>
          </w:tcPr>
          <w:p w:rsidR="00B40F47" w:rsidRPr="00BE0F0B" w:rsidRDefault="00B40F47" w:rsidP="00B40F47">
            <w:pPr>
              <w:overflowPunct w:val="0"/>
              <w:autoSpaceDE w:val="0"/>
              <w:autoSpaceDN w:val="0"/>
              <w:adjustRightInd w:val="0"/>
              <w:spacing w:after="120" w:line="360" w:lineRule="atLeast"/>
              <w:jc w:val="center"/>
              <w:textAlignment w:val="baseline"/>
              <w:rPr>
                <w:rFonts w:eastAsia="Times New Roman" w:cs="Arial"/>
                <w:color w:val="000000"/>
                <w:sz w:val="18"/>
                <w:szCs w:val="18"/>
                <w:lang w:eastAsia="ko-KR"/>
              </w:rPr>
            </w:pPr>
            <w:r w:rsidRPr="00BE0F0B">
              <w:rPr>
                <w:rFonts w:eastAsia="Times New Roman" w:cs="Arial"/>
                <w:color w:val="000000"/>
                <w:sz w:val="18"/>
                <w:szCs w:val="18"/>
                <w:lang w:eastAsia="ko-KR"/>
              </w:rPr>
              <w:t>53%</w:t>
            </w:r>
          </w:p>
        </w:tc>
        <w:tc>
          <w:tcPr>
            <w:tcW w:w="2295" w:type="dxa"/>
            <w:tcBorders>
              <w:top w:val="nil"/>
              <w:left w:val="nil"/>
              <w:bottom w:val="single" w:sz="8" w:space="0" w:color="auto"/>
              <w:right w:val="single" w:sz="8" w:space="0" w:color="auto"/>
            </w:tcBorders>
            <w:shd w:val="clear" w:color="auto" w:fill="auto"/>
            <w:noWrap/>
            <w:vAlign w:val="center"/>
            <w:hideMark/>
          </w:tcPr>
          <w:p w:rsidR="00B40F47" w:rsidRPr="00F91328" w:rsidRDefault="00B40F47" w:rsidP="00B40F47">
            <w:pPr>
              <w:jc w:val="center"/>
              <w:rPr>
                <w:rFonts w:eastAsia="Times New Roman" w:cs="Arial"/>
                <w:color w:val="000000"/>
                <w:sz w:val="18"/>
                <w:szCs w:val="18"/>
                <w:lang w:eastAsia="ko-KR"/>
              </w:rPr>
            </w:pPr>
            <w:r w:rsidRPr="00F91328">
              <w:rPr>
                <w:rFonts w:eastAsia="Times New Roman" w:cs="Arial"/>
                <w:color w:val="000000"/>
                <w:sz w:val="18"/>
                <w:szCs w:val="18"/>
                <w:lang w:eastAsia="ko-KR"/>
              </w:rPr>
              <w:t>59%</w:t>
            </w:r>
          </w:p>
        </w:tc>
      </w:tr>
    </w:tbl>
    <w:p w:rsidR="00B40F47" w:rsidRPr="006B2690" w:rsidRDefault="00B40F47" w:rsidP="00B40F47">
      <w:pPr>
        <w:pStyle w:val="Vertical"/>
      </w:pPr>
    </w:p>
    <w:p w:rsidR="001C644E" w:rsidRDefault="001C644E" w:rsidP="00E97D72">
      <w:pPr>
        <w:pStyle w:val="WPART"/>
      </w:pPr>
      <w:bookmarkStart w:id="21" w:name="_Toc321313041"/>
      <w:r w:rsidRPr="001248A3">
        <w:t>DEER Differences Analysis</w:t>
      </w:r>
      <w:bookmarkEnd w:id="18"/>
      <w:bookmarkEnd w:id="21"/>
    </w:p>
    <w:p w:rsidR="001021E8" w:rsidRDefault="001021E8" w:rsidP="00D22199">
      <w:pPr>
        <w:pStyle w:val="WPPR1"/>
      </w:pPr>
      <w:r>
        <w:t>DEER 2011</w:t>
      </w:r>
    </w:p>
    <w:p w:rsidR="001021E8" w:rsidRDefault="001021E8" w:rsidP="001021E8">
      <w:pPr>
        <w:pStyle w:val="PR2"/>
      </w:pPr>
      <w:r>
        <w:t>This document utilizes DEER 2011</w:t>
      </w:r>
      <w:bookmarkStart w:id="22" w:name="_Ref320803193"/>
      <w:r w:rsidRPr="001131B7">
        <w:rPr>
          <w:rStyle w:val="EndnoteReference"/>
        </w:rPr>
        <w:endnoteReference w:id="4"/>
      </w:r>
      <w:bookmarkEnd w:id="22"/>
      <w:r>
        <w:t xml:space="preserve"> data to accommodate the need to develop the deemed Energy Efficiency Measures</w:t>
      </w:r>
      <w:r w:rsidR="008063EF">
        <w:t xml:space="preserve">.  </w:t>
      </w:r>
      <w:r w:rsidR="00F91328">
        <w:t xml:space="preserve">Table 2 lists the baseline and measure efficiencies for storage water heaters in the DEER 2011 data.  </w:t>
      </w:r>
    </w:p>
    <w:p w:rsidR="00D22199" w:rsidRDefault="00D22199" w:rsidP="00D22199">
      <w:pPr>
        <w:pStyle w:val="WPPR1"/>
      </w:pPr>
      <w:r>
        <w:t>Measure Efficiency</w:t>
      </w:r>
    </w:p>
    <w:p w:rsidR="00D22199" w:rsidRPr="00BD0F74" w:rsidRDefault="00D22199" w:rsidP="00D22199">
      <w:pPr>
        <w:pStyle w:val="WPPR2"/>
      </w:pPr>
      <w:r>
        <w:t xml:space="preserve">The minimum </w:t>
      </w:r>
      <w:r w:rsidRPr="001131B7">
        <w:t xml:space="preserve">qualifying measure efficiencies are similar to the </w:t>
      </w:r>
      <w:r w:rsidR="00DD77B1">
        <w:t>“</w:t>
      </w:r>
      <w:r w:rsidRPr="001131B7">
        <w:t>2011 Database for Energy-</w:t>
      </w:r>
      <w:r w:rsidRPr="00BD0F74">
        <w:t>Efficient Resources (DEER)</w:t>
      </w:r>
      <w:fldSimple w:instr=" NOTEREF _Ref320803193 \f \h  \* MERGEFORMAT ">
        <w:r w:rsidR="00563751" w:rsidRPr="00BD0F74">
          <w:rPr>
            <w:rStyle w:val="EndnoteReference"/>
          </w:rPr>
          <w:t>4</w:t>
        </w:r>
      </w:fldSimple>
      <w:r w:rsidRPr="00BD0F74">
        <w:t xml:space="preserve"> for Use in the California IOU 2013-14 Energy Efficiency </w:t>
      </w:r>
      <w:r w:rsidR="008F1C98" w:rsidRPr="00BD0F74">
        <w:t>Planning</w:t>
      </w:r>
      <w:bookmarkStart w:id="23" w:name="_Ref320696603"/>
      <w:r w:rsidR="00DD77B1" w:rsidRPr="00BD0F74">
        <w:t>”</w:t>
      </w:r>
      <w:bookmarkEnd w:id="23"/>
      <w:r w:rsidRPr="00BD0F74">
        <w:t xml:space="preserve">, with some exceptions.  The following </w:t>
      </w:r>
      <w:r w:rsidR="003F3E17" w:rsidRPr="00BD0F74">
        <w:t>measure efficiencies</w:t>
      </w:r>
      <w:r w:rsidRPr="00BD0F74">
        <w:t xml:space="preserve"> </w:t>
      </w:r>
      <w:r w:rsidR="003F3E17" w:rsidRPr="00BD0F74">
        <w:t>a</w:t>
      </w:r>
      <w:r w:rsidRPr="00BD0F74">
        <w:t xml:space="preserve">re </w:t>
      </w:r>
      <w:r w:rsidR="003F3E17" w:rsidRPr="00BD0F74">
        <w:t>adopted</w:t>
      </w:r>
      <w:r w:rsidRPr="00BD0F74">
        <w:t xml:space="preserve"> after consideration of the high-efficiency storage water heaters listed in the California Energy Commission Energy Efficiency Appliance Database</w:t>
      </w:r>
      <w:bookmarkStart w:id="24" w:name="_Ref320696611"/>
      <w:r w:rsidRPr="00BD0F74">
        <w:rPr>
          <w:rStyle w:val="EndnoteReference"/>
        </w:rPr>
        <w:endnoteReference w:id="5"/>
      </w:r>
      <w:bookmarkEnd w:id="24"/>
      <w:r w:rsidRPr="00BD0F74">
        <w:t xml:space="preserve">:  </w:t>
      </w:r>
    </w:p>
    <w:p w:rsidR="00FF4BAE" w:rsidRPr="00BD0F74" w:rsidRDefault="006B4DB4" w:rsidP="00FF4BAE">
      <w:pPr>
        <w:pStyle w:val="PR3"/>
      </w:pPr>
      <w:r w:rsidRPr="00BD0F74">
        <w:t xml:space="preserve">Small </w:t>
      </w:r>
      <w:r w:rsidR="00FF4BAE" w:rsidRPr="00BD0F74">
        <w:t>(</w:t>
      </w:r>
      <w:r w:rsidR="00FF4BAE" w:rsidRPr="00BD0F74">
        <w:rPr>
          <w:rFonts w:cs="Arial"/>
        </w:rPr>
        <w:t>≤</w:t>
      </w:r>
      <w:r w:rsidR="00FF4BAE" w:rsidRPr="00BD0F74">
        <w:t xml:space="preserve">75 </w:t>
      </w:r>
      <w:proofErr w:type="spellStart"/>
      <w:r w:rsidR="00FF4BAE" w:rsidRPr="00BD0F74">
        <w:t>MBtu</w:t>
      </w:r>
      <w:proofErr w:type="spellEnd"/>
      <w:r w:rsidR="00FF4BAE" w:rsidRPr="00BD0F74">
        <w:t xml:space="preserve">/hr) storage water heater </w:t>
      </w:r>
      <w:r w:rsidRPr="00BD0F74">
        <w:t xml:space="preserve">– </w:t>
      </w:r>
      <w:r w:rsidR="00BD0F74" w:rsidRPr="00BD0F74">
        <w:t xml:space="preserve">the Titles 20 and 24 standard equation for small (&lt;75 </w:t>
      </w:r>
      <w:proofErr w:type="spellStart"/>
      <w:r w:rsidR="00BD0F74" w:rsidRPr="00BD0F74">
        <w:t>MBtu</w:t>
      </w:r>
      <w:proofErr w:type="spellEnd"/>
      <w:r w:rsidR="00BD0F74" w:rsidRPr="00BD0F74">
        <w:t xml:space="preserve">/hr) storage water heaters is adapted to an energy factor equal to </w:t>
      </w:r>
      <w:proofErr w:type="gramStart"/>
      <w:r w:rsidR="00BD0F74" w:rsidRPr="00BD0F74">
        <w:t>{ 0.73</w:t>
      </w:r>
      <w:proofErr w:type="gramEnd"/>
      <w:r w:rsidR="00BD0F74" w:rsidRPr="00BD0F74">
        <w:t xml:space="preserve"> – (0.0019*V) } in this workpaper, where Volume (V) is the rated storage volume.  T</w:t>
      </w:r>
      <w:r w:rsidR="003F3E17" w:rsidRPr="00BD0F74">
        <w:t xml:space="preserve">he </w:t>
      </w:r>
      <w:r w:rsidR="00F91328" w:rsidRPr="00BD0F74">
        <w:t>DEER 2011</w:t>
      </w:r>
      <w:r w:rsidR="003F3E17" w:rsidRPr="00BD0F74">
        <w:t xml:space="preserve"> Database provides data for three tiers of energy factor in each storage tank rated volume (30, 40, 50, 60, and 75 gallons), as shown in Table 1</w:t>
      </w:r>
      <w:r w:rsidR="00BD0F74" w:rsidRPr="00BD0F74">
        <w:t xml:space="preserve"> above</w:t>
      </w:r>
      <w:r w:rsidR="003F3E17" w:rsidRPr="00BD0F74">
        <w:t xml:space="preserve">.  </w:t>
      </w:r>
      <w:r w:rsidRPr="00BD0F74">
        <w:t xml:space="preserve">For many combinations of DEER qualifying efficiency value and tank volume, there </w:t>
      </w:r>
      <w:r w:rsidR="00BD0F74" w:rsidRPr="00BD0F74">
        <w:t>a</w:t>
      </w:r>
      <w:r w:rsidRPr="00BD0F74">
        <w:t>re no storage water heaters that qualif</w:t>
      </w:r>
      <w:r w:rsidR="00BD0F74" w:rsidRPr="00BD0F74">
        <w:t>y</w:t>
      </w:r>
      <w:r w:rsidRPr="00BD0F74">
        <w:t xml:space="preserve">.  So the four DEER values were </w:t>
      </w:r>
      <w:r w:rsidR="00BD0F74" w:rsidRPr="00BD0F74">
        <w:t>reduced</w:t>
      </w:r>
      <w:r w:rsidRPr="00BD0F74">
        <w:t xml:space="preserve"> to a single EF equation that is analogous to the Titles 20 and 24 equation and that provides an EF that is always 0.06 </w:t>
      </w:r>
      <w:r w:rsidR="00BD0F74" w:rsidRPr="00BD0F74">
        <w:t>higher</w:t>
      </w:r>
      <w:r w:rsidRPr="00BD0F74">
        <w:t xml:space="preserve"> than Titles 20 and 24 for any tank volume.</w:t>
      </w:r>
      <w:r w:rsidR="00BD0F74" w:rsidRPr="00BD0F74">
        <w:t xml:space="preserve">  </w:t>
      </w:r>
    </w:p>
    <w:p w:rsidR="00FF4BAE" w:rsidRPr="00BD0F74" w:rsidRDefault="006B4DB4" w:rsidP="006B4DB4">
      <w:pPr>
        <w:pStyle w:val="PR3"/>
      </w:pPr>
      <w:r w:rsidRPr="00BD0F74">
        <w:t>Large (&gt;75 MBtuh)</w:t>
      </w:r>
      <w:r w:rsidR="00FF4BAE" w:rsidRPr="00BD0F74">
        <w:t xml:space="preserve"> Tier 1 storage water heater</w:t>
      </w:r>
      <w:r w:rsidRPr="00BD0F74">
        <w:t xml:space="preserve"> </w:t>
      </w:r>
      <w:r w:rsidR="00FF4BAE" w:rsidRPr="00BD0F74">
        <w:t xml:space="preserve">– the </w:t>
      </w:r>
      <w:r w:rsidR="00F91328" w:rsidRPr="00BD0F74">
        <w:t>DEER 2011</w:t>
      </w:r>
      <w:r w:rsidR="00FF4BAE" w:rsidRPr="00BD0F74">
        <w:t xml:space="preserve"> value of 83% TE is used in this workpaper.  </w:t>
      </w:r>
    </w:p>
    <w:p w:rsidR="00FF283E" w:rsidRDefault="00FF4BAE" w:rsidP="00D22199">
      <w:pPr>
        <w:pStyle w:val="PR3"/>
      </w:pPr>
      <w:r w:rsidRPr="00FF4BAE">
        <w:lastRenderedPageBreak/>
        <w:t xml:space="preserve">Large </w:t>
      </w:r>
      <w:r>
        <w:t xml:space="preserve">Tier 2 </w:t>
      </w:r>
      <w:r w:rsidRPr="00FF4BAE">
        <w:t xml:space="preserve">storage water heater </w:t>
      </w:r>
      <w:r>
        <w:t>–</w:t>
      </w:r>
      <w:r w:rsidRPr="00FF4BAE">
        <w:t xml:space="preserve"> </w:t>
      </w:r>
      <w:r>
        <w:t xml:space="preserve">the </w:t>
      </w:r>
      <w:r w:rsidR="00F91328">
        <w:t>DEER 2011</w:t>
      </w:r>
      <w:r>
        <w:t xml:space="preserve"> value of 90% TE is used in this workpaper.  </w:t>
      </w:r>
    </w:p>
    <w:p w:rsidR="00D22199" w:rsidRDefault="00D22199" w:rsidP="00D22199">
      <w:pPr>
        <w:pStyle w:val="WPPR1"/>
      </w:pPr>
      <w:r>
        <w:t>Baseline Efficiency</w:t>
      </w:r>
    </w:p>
    <w:p w:rsidR="00D22199" w:rsidRDefault="00D22199" w:rsidP="00D22199">
      <w:pPr>
        <w:pStyle w:val="WPPR2"/>
      </w:pPr>
      <w:r>
        <w:t xml:space="preserve">The minimum baseline efficiencies match the </w:t>
      </w:r>
      <w:r w:rsidR="00DD77B1">
        <w:t>“</w:t>
      </w:r>
      <w:r w:rsidR="00D0148E">
        <w:t xml:space="preserve">2011 Database for Energy-Efficient Resources (DEER) for use in the California IOU </w:t>
      </w:r>
      <w:r w:rsidR="00D0148E" w:rsidRPr="00FF283E">
        <w:t>2013-14 Energy Efficiency Planning</w:t>
      </w:r>
      <w:r w:rsidR="00DD77B1">
        <w:t>”</w:t>
      </w:r>
      <w:r w:rsidR="0021125B" w:rsidRPr="006B4DB4">
        <w:rPr>
          <w:vertAlign w:val="superscript"/>
        </w:rPr>
        <w:t>4</w:t>
      </w:r>
      <w:r w:rsidRPr="00FF283E">
        <w:t xml:space="preserve">, which are </w:t>
      </w:r>
      <w:r w:rsidR="00D0148E" w:rsidRPr="00FF283E">
        <w:t xml:space="preserve">consistent with </w:t>
      </w:r>
      <w:r w:rsidRPr="00FF283E">
        <w:t xml:space="preserve">the </w:t>
      </w:r>
      <w:r w:rsidR="00D0148E" w:rsidRPr="00FF283E">
        <w:t>California Titles 20 and 24 standards</w:t>
      </w:r>
      <w:fldSimple w:instr=" NOTEREF _Ref320695554 \f \h  \* MERGEFORMAT ">
        <w:r w:rsidR="00563751" w:rsidRPr="00F10506">
          <w:rPr>
            <w:vertAlign w:val="superscript"/>
          </w:rPr>
          <w:t>1</w:t>
        </w:r>
      </w:fldSimple>
      <w:r w:rsidR="00DD77B1" w:rsidRPr="0021125B">
        <w:rPr>
          <w:vertAlign w:val="superscript"/>
        </w:rPr>
        <w:t>,</w:t>
      </w:r>
      <w:fldSimple w:instr=" NOTEREF _Ref320695579 \f \h  \* MERGEFORMAT ">
        <w:r w:rsidR="00563751" w:rsidRPr="00F10506">
          <w:rPr>
            <w:vertAlign w:val="superscript"/>
          </w:rPr>
          <w:t>2</w:t>
        </w:r>
      </w:fldSimple>
      <w:r w:rsidR="00D0148E" w:rsidRPr="00FF283E">
        <w:t>.</w:t>
      </w:r>
      <w:r w:rsidR="00D0148E">
        <w:t xml:space="preserve">  </w:t>
      </w:r>
    </w:p>
    <w:p w:rsidR="00BE0F0B" w:rsidRDefault="00BE0F0B" w:rsidP="00D22199">
      <w:pPr>
        <w:pStyle w:val="WPPR2"/>
      </w:pPr>
      <w:r>
        <w:t>Small (</w:t>
      </w:r>
      <w:r>
        <w:rPr>
          <w:rFonts w:cs="Arial"/>
        </w:rPr>
        <w:t>≤</w:t>
      </w:r>
      <w:r>
        <w:t xml:space="preserve">75 </w:t>
      </w:r>
      <w:proofErr w:type="spellStart"/>
      <w:r>
        <w:t>MBtu</w:t>
      </w:r>
      <w:proofErr w:type="spellEnd"/>
      <w:r>
        <w:t xml:space="preserve">/hr) storage water heater – the </w:t>
      </w:r>
      <w:r w:rsidR="00F91328">
        <w:t>DEER 2011</w:t>
      </w:r>
      <w:r>
        <w:t xml:space="preserve"> </w:t>
      </w:r>
      <w:r w:rsidR="003F3E17">
        <w:t>equation</w:t>
      </w:r>
      <w:r>
        <w:t xml:space="preserve"> for the baseline energy </w:t>
      </w:r>
      <w:r w:rsidRPr="00BE0F0B">
        <w:t xml:space="preserve">factor </w:t>
      </w:r>
      <w:r>
        <w:t xml:space="preserve">of </w:t>
      </w:r>
      <w:proofErr w:type="gramStart"/>
      <w:r>
        <w:t xml:space="preserve">{ </w:t>
      </w:r>
      <w:r w:rsidRPr="00BE0F0B">
        <w:t>0.</w:t>
      </w:r>
      <w:r>
        <w:t>67</w:t>
      </w:r>
      <w:proofErr w:type="gramEnd"/>
      <w:r w:rsidRPr="00BE0F0B">
        <w:t xml:space="preserve"> – (0.0019*V)</w:t>
      </w:r>
      <w:r>
        <w:t xml:space="preserve"> } is used in this workpaper</w:t>
      </w:r>
      <w:r w:rsidRPr="00BE0F0B">
        <w:t>, where Volume (V) is the rated storage volume in gallons</w:t>
      </w:r>
      <w:r>
        <w:t xml:space="preserve">.  </w:t>
      </w:r>
    </w:p>
    <w:p w:rsidR="00FF4BAE" w:rsidRPr="00BE0F0B" w:rsidRDefault="00FF4BAE" w:rsidP="00D22199">
      <w:pPr>
        <w:pStyle w:val="WPPR2"/>
      </w:pPr>
      <w:r>
        <w:t xml:space="preserve">Large storage water heater – the </w:t>
      </w:r>
      <w:r w:rsidR="00F91328">
        <w:t>DEER 2011</w:t>
      </w:r>
      <w:r>
        <w:t xml:space="preserve"> value of 80% TE is used in this workpaper. </w:t>
      </w:r>
    </w:p>
    <w:p w:rsidR="00D22199" w:rsidRPr="005725D7" w:rsidRDefault="00D22199" w:rsidP="00D22199">
      <w:pPr>
        <w:pStyle w:val="WPPR1"/>
      </w:pPr>
      <w:r w:rsidRPr="005725D7">
        <w:t>Incremental Measure Cost</w:t>
      </w:r>
    </w:p>
    <w:p w:rsidR="000D5E5B" w:rsidRDefault="00D22199" w:rsidP="001C644E">
      <w:pPr>
        <w:pStyle w:val="WPPR2"/>
      </w:pPr>
      <w:r w:rsidRPr="005725D7">
        <w:t xml:space="preserve">Since the efficiencies used here are different from </w:t>
      </w:r>
      <w:r w:rsidR="00DD77B1">
        <w:t xml:space="preserve">those uses for the </w:t>
      </w:r>
      <w:r w:rsidR="00F91328">
        <w:t>DEER 2011</w:t>
      </w:r>
      <w:r w:rsidR="00DD77B1">
        <w:t xml:space="preserve"> database</w:t>
      </w:r>
      <w:r w:rsidRPr="005725D7">
        <w:t>, the incremental measure costs were adjusted as well.  Data w</w:t>
      </w:r>
      <w:r>
        <w:t>ere</w:t>
      </w:r>
      <w:r w:rsidRPr="005725D7">
        <w:t xml:space="preserve"> collected through a survey of vendors that sell </w:t>
      </w:r>
      <w:r>
        <w:t>storage water heaters</w:t>
      </w:r>
      <w:r w:rsidRPr="005725D7">
        <w:t xml:space="preserve"> in California</w:t>
      </w:r>
      <w:r w:rsidR="00800A09">
        <w:t xml:space="preserve"> </w:t>
      </w:r>
      <w:r w:rsidRPr="005725D7">
        <w:t xml:space="preserve">for each of the categories of </w:t>
      </w:r>
      <w:r>
        <w:t xml:space="preserve">storage water heater </w:t>
      </w:r>
      <w:r w:rsidRPr="005725D7">
        <w:t>type</w:t>
      </w:r>
      <w:r>
        <w:t xml:space="preserve">, </w:t>
      </w:r>
      <w:r w:rsidRPr="005725D7">
        <w:t xml:space="preserve">rated input, </w:t>
      </w:r>
      <w:r>
        <w:t>and efficiency</w:t>
      </w:r>
      <w:r w:rsidR="00800A09">
        <w:t xml:space="preserve"> used in this workpaper</w:t>
      </w:r>
      <w:r>
        <w:t xml:space="preserve">.  </w:t>
      </w:r>
      <w:r w:rsidRPr="005725D7">
        <w:t xml:space="preserve"> </w:t>
      </w:r>
    </w:p>
    <w:p w:rsidR="00F91328" w:rsidRDefault="00F91328" w:rsidP="00F91328">
      <w:pPr>
        <w:pStyle w:val="Vertical"/>
      </w:pPr>
    </w:p>
    <w:p w:rsidR="00F91328" w:rsidRPr="00DA636A" w:rsidRDefault="00F91328" w:rsidP="00F91328">
      <w:pPr>
        <w:pStyle w:val="TBL"/>
        <w:keepNext/>
      </w:pPr>
      <w:r w:rsidRPr="00DA636A">
        <w:t>Base and Measure Storage Water Heater Efficiencies in DEER</w:t>
      </w:r>
      <w:r>
        <w:t xml:space="preserve"> 2011</w:t>
      </w:r>
    </w:p>
    <w:tbl>
      <w:tblPr>
        <w:tblStyle w:val="TableGrid"/>
        <w:tblW w:w="9360" w:type="dxa"/>
        <w:jc w:val="center"/>
        <w:tblCellMar>
          <w:top w:w="43" w:type="dxa"/>
          <w:left w:w="115" w:type="dxa"/>
          <w:bottom w:w="43" w:type="dxa"/>
          <w:right w:w="115" w:type="dxa"/>
        </w:tblCellMar>
        <w:tblLook w:val="01E0"/>
      </w:tblPr>
      <w:tblGrid>
        <w:gridCol w:w="2947"/>
        <w:gridCol w:w="1732"/>
        <w:gridCol w:w="1081"/>
        <w:gridCol w:w="2259"/>
        <w:gridCol w:w="1341"/>
      </w:tblGrid>
      <w:tr w:rsidR="00F91328" w:rsidTr="005C65CD">
        <w:trPr>
          <w:trHeight w:val="20"/>
          <w:jc w:val="center"/>
        </w:trPr>
        <w:tc>
          <w:tcPr>
            <w:tcW w:w="2947" w:type="dxa"/>
            <w:vAlign w:val="bottom"/>
          </w:tcPr>
          <w:p w:rsidR="00F91328" w:rsidRPr="00420887" w:rsidRDefault="00F91328" w:rsidP="005C65CD">
            <w:pPr>
              <w:pStyle w:val="Normal1"/>
              <w:spacing w:after="0" w:line="240" w:lineRule="auto"/>
              <w:jc w:val="center"/>
              <w:rPr>
                <w:rFonts w:ascii="Arial" w:hAnsi="Arial" w:cs="Arial"/>
                <w:b/>
                <w:sz w:val="18"/>
                <w:szCs w:val="18"/>
              </w:rPr>
            </w:pPr>
            <w:r>
              <w:rPr>
                <w:rFonts w:ascii="Arial" w:hAnsi="Arial" w:cs="Arial"/>
                <w:b/>
                <w:sz w:val="18"/>
                <w:szCs w:val="18"/>
              </w:rPr>
              <w:t>Equipment Type</w:t>
            </w:r>
          </w:p>
        </w:tc>
        <w:tc>
          <w:tcPr>
            <w:tcW w:w="1732" w:type="dxa"/>
            <w:vAlign w:val="bottom"/>
          </w:tcPr>
          <w:p w:rsidR="00F91328" w:rsidRPr="00420887" w:rsidRDefault="00F91328" w:rsidP="005C65CD">
            <w:pPr>
              <w:pStyle w:val="Normal1"/>
              <w:spacing w:after="0" w:line="240" w:lineRule="auto"/>
              <w:jc w:val="center"/>
              <w:rPr>
                <w:rFonts w:ascii="Arial" w:hAnsi="Arial" w:cs="Arial"/>
                <w:b/>
                <w:sz w:val="18"/>
                <w:szCs w:val="18"/>
              </w:rPr>
            </w:pPr>
            <w:r>
              <w:rPr>
                <w:rFonts w:ascii="Arial" w:hAnsi="Arial" w:cs="Arial"/>
                <w:b/>
                <w:sz w:val="18"/>
                <w:szCs w:val="18"/>
              </w:rPr>
              <w:t>Rated Input (</w:t>
            </w:r>
            <w:proofErr w:type="spellStart"/>
            <w:r>
              <w:rPr>
                <w:rFonts w:ascii="Arial" w:hAnsi="Arial" w:cs="Arial"/>
                <w:b/>
                <w:sz w:val="18"/>
                <w:szCs w:val="18"/>
              </w:rPr>
              <w:t>MBtu</w:t>
            </w:r>
            <w:proofErr w:type="spellEnd"/>
            <w:r>
              <w:rPr>
                <w:rFonts w:ascii="Arial" w:hAnsi="Arial" w:cs="Arial"/>
                <w:b/>
                <w:sz w:val="18"/>
                <w:szCs w:val="18"/>
              </w:rPr>
              <w:t>/hr)</w:t>
            </w:r>
          </w:p>
        </w:tc>
        <w:tc>
          <w:tcPr>
            <w:tcW w:w="1081" w:type="dxa"/>
            <w:vAlign w:val="bottom"/>
          </w:tcPr>
          <w:p w:rsidR="00F91328" w:rsidRPr="00420887" w:rsidRDefault="00F91328" w:rsidP="005C65CD">
            <w:pPr>
              <w:pStyle w:val="Normal1"/>
              <w:spacing w:after="0" w:line="240" w:lineRule="auto"/>
              <w:jc w:val="center"/>
              <w:rPr>
                <w:rFonts w:ascii="Arial" w:hAnsi="Arial" w:cs="Arial"/>
                <w:b/>
                <w:sz w:val="18"/>
                <w:szCs w:val="18"/>
              </w:rPr>
            </w:pPr>
            <w:r>
              <w:rPr>
                <w:rFonts w:ascii="Arial" w:hAnsi="Arial" w:cs="Arial"/>
                <w:b/>
                <w:sz w:val="18"/>
                <w:szCs w:val="18"/>
              </w:rPr>
              <w:t>Efficiency Units</w:t>
            </w:r>
          </w:p>
        </w:tc>
        <w:tc>
          <w:tcPr>
            <w:tcW w:w="2259" w:type="dxa"/>
            <w:vAlign w:val="bottom"/>
          </w:tcPr>
          <w:p w:rsidR="00F91328" w:rsidRPr="00420887" w:rsidRDefault="00F91328" w:rsidP="005C65CD">
            <w:pPr>
              <w:pStyle w:val="Normal1"/>
              <w:spacing w:after="0" w:line="240" w:lineRule="auto"/>
              <w:jc w:val="center"/>
              <w:rPr>
                <w:rFonts w:ascii="Arial" w:hAnsi="Arial" w:cs="Arial"/>
                <w:b/>
                <w:sz w:val="18"/>
                <w:szCs w:val="18"/>
              </w:rPr>
            </w:pPr>
            <w:r>
              <w:rPr>
                <w:rFonts w:ascii="Arial" w:hAnsi="Arial" w:cs="Arial"/>
                <w:b/>
                <w:sz w:val="18"/>
                <w:szCs w:val="18"/>
              </w:rPr>
              <w:t xml:space="preserve">DEER </w:t>
            </w:r>
            <w:r>
              <w:rPr>
                <w:rFonts w:ascii="Arial" w:hAnsi="Arial" w:cs="Arial"/>
                <w:b/>
                <w:sz w:val="18"/>
                <w:szCs w:val="18"/>
              </w:rPr>
              <w:br/>
              <w:t xml:space="preserve">Baseline </w:t>
            </w:r>
            <w:r>
              <w:rPr>
                <w:rFonts w:ascii="Arial" w:hAnsi="Arial" w:cs="Arial"/>
                <w:b/>
                <w:sz w:val="18"/>
                <w:szCs w:val="18"/>
              </w:rPr>
              <w:br/>
              <w:t>Efficiency</w:t>
            </w:r>
          </w:p>
        </w:tc>
        <w:tc>
          <w:tcPr>
            <w:tcW w:w="1341" w:type="dxa"/>
            <w:vAlign w:val="bottom"/>
          </w:tcPr>
          <w:p w:rsidR="00F91328" w:rsidRPr="00420887" w:rsidRDefault="00F91328" w:rsidP="005C65CD">
            <w:pPr>
              <w:pStyle w:val="Normal1"/>
              <w:spacing w:after="0" w:line="240" w:lineRule="auto"/>
              <w:jc w:val="center"/>
              <w:rPr>
                <w:rFonts w:ascii="Arial" w:hAnsi="Arial" w:cs="Arial"/>
                <w:b/>
                <w:sz w:val="18"/>
                <w:szCs w:val="18"/>
              </w:rPr>
            </w:pPr>
            <w:r>
              <w:rPr>
                <w:rFonts w:ascii="Arial" w:hAnsi="Arial" w:cs="Arial"/>
                <w:b/>
                <w:sz w:val="18"/>
                <w:szCs w:val="18"/>
              </w:rPr>
              <w:t xml:space="preserve">DEER </w:t>
            </w:r>
            <w:r>
              <w:rPr>
                <w:rFonts w:ascii="Arial" w:hAnsi="Arial" w:cs="Arial"/>
                <w:b/>
                <w:sz w:val="18"/>
                <w:szCs w:val="18"/>
              </w:rPr>
              <w:br/>
              <w:t xml:space="preserve">Measure </w:t>
            </w:r>
            <w:r>
              <w:rPr>
                <w:rFonts w:ascii="Arial" w:hAnsi="Arial" w:cs="Arial"/>
                <w:b/>
                <w:sz w:val="18"/>
                <w:szCs w:val="18"/>
              </w:rPr>
              <w:br/>
              <w:t>Efficiency</w:t>
            </w:r>
          </w:p>
        </w:tc>
      </w:tr>
      <w:tr w:rsidR="00F91328" w:rsidTr="005C65CD">
        <w:trPr>
          <w:trHeight w:val="20"/>
          <w:jc w:val="center"/>
        </w:trPr>
        <w:tc>
          <w:tcPr>
            <w:tcW w:w="2947" w:type="dxa"/>
            <w:vAlign w:val="center"/>
          </w:tcPr>
          <w:p w:rsidR="00F91328" w:rsidRPr="00E56236" w:rsidRDefault="00F91328" w:rsidP="005C65CD">
            <w:pPr>
              <w:rPr>
                <w:rFonts w:cs="Arial"/>
                <w:sz w:val="18"/>
                <w:szCs w:val="18"/>
              </w:rPr>
            </w:pPr>
            <w:r>
              <w:rPr>
                <w:rFonts w:cs="Arial"/>
                <w:sz w:val="18"/>
                <w:szCs w:val="18"/>
              </w:rPr>
              <w:t>Small, Tier 1</w:t>
            </w:r>
          </w:p>
        </w:tc>
        <w:tc>
          <w:tcPr>
            <w:tcW w:w="1732" w:type="dxa"/>
            <w:vAlign w:val="center"/>
          </w:tcPr>
          <w:p w:rsidR="00F91328" w:rsidRPr="00E7102E" w:rsidRDefault="00F91328" w:rsidP="005C65CD">
            <w:pPr>
              <w:jc w:val="center"/>
              <w:rPr>
                <w:rFonts w:cs="Arial"/>
                <w:sz w:val="18"/>
                <w:szCs w:val="18"/>
              </w:rPr>
            </w:pPr>
            <w:r>
              <w:rPr>
                <w:rFonts w:cs="Arial"/>
                <w:sz w:val="18"/>
                <w:szCs w:val="18"/>
              </w:rPr>
              <w:t>≤ 75</w:t>
            </w:r>
          </w:p>
        </w:tc>
        <w:tc>
          <w:tcPr>
            <w:tcW w:w="1081" w:type="dxa"/>
            <w:vAlign w:val="center"/>
          </w:tcPr>
          <w:p w:rsidR="00F91328" w:rsidRPr="00E7102E" w:rsidRDefault="00F91328" w:rsidP="005C65CD">
            <w:pPr>
              <w:jc w:val="center"/>
              <w:rPr>
                <w:rFonts w:cs="Arial"/>
                <w:sz w:val="18"/>
                <w:szCs w:val="18"/>
              </w:rPr>
            </w:pPr>
            <w:r>
              <w:rPr>
                <w:rFonts w:cs="Arial"/>
                <w:sz w:val="18"/>
                <w:szCs w:val="18"/>
              </w:rPr>
              <w:t>EF</w:t>
            </w:r>
          </w:p>
        </w:tc>
        <w:tc>
          <w:tcPr>
            <w:tcW w:w="2259" w:type="dxa"/>
            <w:vAlign w:val="center"/>
          </w:tcPr>
          <w:p w:rsidR="00F91328" w:rsidRPr="00C82CF9" w:rsidRDefault="00F91328" w:rsidP="005C65CD">
            <w:pPr>
              <w:jc w:val="center"/>
              <w:rPr>
                <w:rFonts w:cs="Arial"/>
                <w:color w:val="000000"/>
                <w:sz w:val="18"/>
              </w:rPr>
            </w:pPr>
            <w:r>
              <w:rPr>
                <w:rFonts w:cs="Arial"/>
                <w:color w:val="000000"/>
                <w:sz w:val="18"/>
              </w:rPr>
              <w:t>0.67-(0.0019*V)</w:t>
            </w:r>
          </w:p>
        </w:tc>
        <w:tc>
          <w:tcPr>
            <w:tcW w:w="1341" w:type="dxa"/>
            <w:vAlign w:val="center"/>
          </w:tcPr>
          <w:p w:rsidR="00F91328" w:rsidRPr="00C82CF9" w:rsidRDefault="00F91328" w:rsidP="005C65CD">
            <w:pPr>
              <w:jc w:val="center"/>
              <w:rPr>
                <w:rFonts w:cs="Arial"/>
                <w:color w:val="000000"/>
                <w:sz w:val="18"/>
              </w:rPr>
            </w:pPr>
            <w:r>
              <w:rPr>
                <w:rFonts w:cs="Arial"/>
                <w:color w:val="000000"/>
                <w:sz w:val="18"/>
              </w:rPr>
              <w:t>0.62</w:t>
            </w:r>
          </w:p>
        </w:tc>
      </w:tr>
      <w:tr w:rsidR="00F91328" w:rsidTr="005C65CD">
        <w:trPr>
          <w:trHeight w:val="20"/>
          <w:jc w:val="center"/>
        </w:trPr>
        <w:tc>
          <w:tcPr>
            <w:tcW w:w="2947" w:type="dxa"/>
            <w:vAlign w:val="center"/>
          </w:tcPr>
          <w:p w:rsidR="00F91328" w:rsidRPr="00E56236" w:rsidRDefault="00F91328" w:rsidP="005C65CD">
            <w:pPr>
              <w:rPr>
                <w:rFonts w:cs="Arial"/>
                <w:sz w:val="18"/>
                <w:szCs w:val="18"/>
              </w:rPr>
            </w:pPr>
            <w:r>
              <w:rPr>
                <w:rFonts w:cs="Arial"/>
                <w:sz w:val="18"/>
                <w:szCs w:val="18"/>
              </w:rPr>
              <w:t>Small, Tier 2 (30, 40, 50 gal.)</w:t>
            </w:r>
          </w:p>
        </w:tc>
        <w:tc>
          <w:tcPr>
            <w:tcW w:w="1732" w:type="dxa"/>
            <w:vAlign w:val="center"/>
          </w:tcPr>
          <w:p w:rsidR="00F91328" w:rsidRPr="00E7102E" w:rsidRDefault="00F91328" w:rsidP="005C65CD">
            <w:pPr>
              <w:jc w:val="center"/>
              <w:rPr>
                <w:rFonts w:cs="Arial"/>
                <w:sz w:val="18"/>
                <w:szCs w:val="18"/>
              </w:rPr>
            </w:pPr>
            <w:r>
              <w:rPr>
                <w:rFonts w:cs="Arial"/>
                <w:sz w:val="18"/>
                <w:szCs w:val="18"/>
              </w:rPr>
              <w:t>≤ 75</w:t>
            </w:r>
          </w:p>
        </w:tc>
        <w:tc>
          <w:tcPr>
            <w:tcW w:w="1081" w:type="dxa"/>
            <w:vAlign w:val="center"/>
          </w:tcPr>
          <w:p w:rsidR="00F91328" w:rsidRPr="00E7102E" w:rsidRDefault="00F91328" w:rsidP="005C65CD">
            <w:pPr>
              <w:jc w:val="center"/>
              <w:rPr>
                <w:rFonts w:cs="Arial"/>
                <w:sz w:val="18"/>
                <w:szCs w:val="18"/>
              </w:rPr>
            </w:pPr>
            <w:r>
              <w:rPr>
                <w:rFonts w:cs="Arial"/>
                <w:sz w:val="18"/>
                <w:szCs w:val="18"/>
              </w:rPr>
              <w:t>EF</w:t>
            </w:r>
          </w:p>
        </w:tc>
        <w:tc>
          <w:tcPr>
            <w:tcW w:w="2259" w:type="dxa"/>
            <w:vAlign w:val="center"/>
          </w:tcPr>
          <w:p w:rsidR="00F91328" w:rsidRPr="00C82CF9" w:rsidRDefault="00F91328" w:rsidP="005C65CD">
            <w:pPr>
              <w:jc w:val="center"/>
              <w:rPr>
                <w:rFonts w:cs="Arial"/>
                <w:color w:val="000000"/>
                <w:sz w:val="18"/>
              </w:rPr>
            </w:pPr>
            <w:r>
              <w:rPr>
                <w:rFonts w:cs="Arial"/>
                <w:color w:val="000000"/>
                <w:sz w:val="18"/>
              </w:rPr>
              <w:t>0.67-(0.0019*V)</w:t>
            </w:r>
          </w:p>
        </w:tc>
        <w:tc>
          <w:tcPr>
            <w:tcW w:w="1341" w:type="dxa"/>
            <w:vAlign w:val="center"/>
          </w:tcPr>
          <w:p w:rsidR="00F91328" w:rsidRPr="00C82CF9" w:rsidRDefault="00F91328" w:rsidP="005C65CD">
            <w:pPr>
              <w:jc w:val="center"/>
              <w:rPr>
                <w:rFonts w:cs="Arial"/>
                <w:color w:val="000000"/>
                <w:sz w:val="18"/>
              </w:rPr>
            </w:pPr>
            <w:r>
              <w:rPr>
                <w:rFonts w:cs="Arial"/>
                <w:color w:val="000000"/>
                <w:sz w:val="18"/>
              </w:rPr>
              <w:t>0.65</w:t>
            </w:r>
          </w:p>
        </w:tc>
      </w:tr>
      <w:tr w:rsidR="00F91328" w:rsidTr="005C65CD">
        <w:trPr>
          <w:trHeight w:val="20"/>
          <w:jc w:val="center"/>
        </w:trPr>
        <w:tc>
          <w:tcPr>
            <w:tcW w:w="2947" w:type="dxa"/>
            <w:vAlign w:val="center"/>
          </w:tcPr>
          <w:p w:rsidR="00F91328" w:rsidRPr="00E56236" w:rsidRDefault="00F91328" w:rsidP="005C65CD">
            <w:pPr>
              <w:rPr>
                <w:rFonts w:cs="Arial"/>
                <w:sz w:val="18"/>
                <w:szCs w:val="18"/>
              </w:rPr>
            </w:pPr>
            <w:r>
              <w:rPr>
                <w:rFonts w:cs="Arial"/>
                <w:sz w:val="18"/>
                <w:szCs w:val="18"/>
              </w:rPr>
              <w:t>Small, Tier 2 (60, 75 gal.)</w:t>
            </w:r>
          </w:p>
        </w:tc>
        <w:tc>
          <w:tcPr>
            <w:tcW w:w="1732" w:type="dxa"/>
            <w:vAlign w:val="center"/>
          </w:tcPr>
          <w:p w:rsidR="00F91328" w:rsidRPr="00E7102E" w:rsidRDefault="00F91328" w:rsidP="005C65CD">
            <w:pPr>
              <w:jc w:val="center"/>
              <w:rPr>
                <w:rFonts w:cs="Arial"/>
                <w:sz w:val="18"/>
                <w:szCs w:val="18"/>
              </w:rPr>
            </w:pPr>
            <w:r>
              <w:rPr>
                <w:rFonts w:cs="Arial"/>
                <w:sz w:val="18"/>
                <w:szCs w:val="18"/>
              </w:rPr>
              <w:t>≤ 75</w:t>
            </w:r>
          </w:p>
        </w:tc>
        <w:tc>
          <w:tcPr>
            <w:tcW w:w="1081" w:type="dxa"/>
            <w:vAlign w:val="center"/>
          </w:tcPr>
          <w:p w:rsidR="00F91328" w:rsidRPr="00E7102E" w:rsidRDefault="00F91328" w:rsidP="005C65CD">
            <w:pPr>
              <w:jc w:val="center"/>
              <w:rPr>
                <w:rFonts w:cs="Arial"/>
                <w:sz w:val="18"/>
                <w:szCs w:val="18"/>
              </w:rPr>
            </w:pPr>
            <w:r>
              <w:rPr>
                <w:rFonts w:cs="Arial"/>
                <w:sz w:val="18"/>
                <w:szCs w:val="18"/>
              </w:rPr>
              <w:t>EF</w:t>
            </w:r>
          </w:p>
        </w:tc>
        <w:tc>
          <w:tcPr>
            <w:tcW w:w="2259" w:type="dxa"/>
            <w:vAlign w:val="center"/>
          </w:tcPr>
          <w:p w:rsidR="00F91328" w:rsidRPr="00C82CF9" w:rsidRDefault="00F91328" w:rsidP="005C65CD">
            <w:pPr>
              <w:jc w:val="center"/>
              <w:rPr>
                <w:rFonts w:cs="Arial"/>
                <w:color w:val="000000"/>
                <w:sz w:val="18"/>
              </w:rPr>
            </w:pPr>
            <w:r>
              <w:rPr>
                <w:rFonts w:cs="Arial"/>
                <w:color w:val="000000"/>
                <w:sz w:val="18"/>
              </w:rPr>
              <w:t>0.67-(0.0019*V)</w:t>
            </w:r>
          </w:p>
        </w:tc>
        <w:tc>
          <w:tcPr>
            <w:tcW w:w="1341" w:type="dxa"/>
            <w:vAlign w:val="center"/>
          </w:tcPr>
          <w:p w:rsidR="00F91328" w:rsidRPr="00C82CF9" w:rsidRDefault="00F91328" w:rsidP="005C65CD">
            <w:pPr>
              <w:jc w:val="center"/>
              <w:rPr>
                <w:rFonts w:cs="Arial"/>
                <w:color w:val="000000"/>
                <w:sz w:val="18"/>
              </w:rPr>
            </w:pPr>
            <w:r>
              <w:rPr>
                <w:rFonts w:cs="Arial"/>
                <w:color w:val="000000"/>
                <w:sz w:val="18"/>
              </w:rPr>
              <w:t>0.66</w:t>
            </w:r>
          </w:p>
        </w:tc>
      </w:tr>
      <w:tr w:rsidR="00F91328" w:rsidTr="005C65CD">
        <w:trPr>
          <w:trHeight w:val="20"/>
          <w:jc w:val="center"/>
        </w:trPr>
        <w:tc>
          <w:tcPr>
            <w:tcW w:w="2947" w:type="dxa"/>
            <w:vAlign w:val="center"/>
          </w:tcPr>
          <w:p w:rsidR="00F91328" w:rsidRPr="00E56236" w:rsidRDefault="00F91328" w:rsidP="005C65CD">
            <w:pPr>
              <w:rPr>
                <w:rFonts w:cs="Arial"/>
                <w:sz w:val="18"/>
                <w:szCs w:val="18"/>
              </w:rPr>
            </w:pPr>
            <w:r>
              <w:rPr>
                <w:rFonts w:cs="Arial"/>
                <w:sz w:val="18"/>
                <w:szCs w:val="18"/>
              </w:rPr>
              <w:t>Small, Tier 3</w:t>
            </w:r>
          </w:p>
        </w:tc>
        <w:tc>
          <w:tcPr>
            <w:tcW w:w="1732" w:type="dxa"/>
            <w:vAlign w:val="center"/>
          </w:tcPr>
          <w:p w:rsidR="00F91328" w:rsidRPr="00E7102E" w:rsidRDefault="00F91328" w:rsidP="005C65CD">
            <w:pPr>
              <w:jc w:val="center"/>
              <w:rPr>
                <w:rFonts w:cs="Arial"/>
                <w:sz w:val="18"/>
                <w:szCs w:val="18"/>
              </w:rPr>
            </w:pPr>
            <w:r>
              <w:rPr>
                <w:rFonts w:cs="Arial"/>
                <w:sz w:val="18"/>
                <w:szCs w:val="18"/>
              </w:rPr>
              <w:t>≤ 75</w:t>
            </w:r>
          </w:p>
        </w:tc>
        <w:tc>
          <w:tcPr>
            <w:tcW w:w="1081" w:type="dxa"/>
            <w:vAlign w:val="center"/>
          </w:tcPr>
          <w:p w:rsidR="00F91328" w:rsidRPr="00E7102E" w:rsidRDefault="00F91328" w:rsidP="005C65CD">
            <w:pPr>
              <w:jc w:val="center"/>
              <w:rPr>
                <w:rFonts w:cs="Arial"/>
                <w:sz w:val="18"/>
                <w:szCs w:val="18"/>
              </w:rPr>
            </w:pPr>
            <w:r>
              <w:rPr>
                <w:rFonts w:cs="Arial"/>
                <w:sz w:val="18"/>
                <w:szCs w:val="18"/>
              </w:rPr>
              <w:t>EF</w:t>
            </w:r>
          </w:p>
        </w:tc>
        <w:tc>
          <w:tcPr>
            <w:tcW w:w="2259" w:type="dxa"/>
            <w:vAlign w:val="center"/>
          </w:tcPr>
          <w:p w:rsidR="00F91328" w:rsidRPr="00C82CF9" w:rsidRDefault="00F91328" w:rsidP="005C65CD">
            <w:pPr>
              <w:jc w:val="center"/>
              <w:rPr>
                <w:rFonts w:cs="Arial"/>
                <w:color w:val="000000"/>
                <w:sz w:val="18"/>
              </w:rPr>
            </w:pPr>
            <w:r>
              <w:rPr>
                <w:rFonts w:cs="Arial"/>
                <w:color w:val="000000"/>
                <w:sz w:val="18"/>
              </w:rPr>
              <w:t>0.67-(0.0019*V)</w:t>
            </w:r>
          </w:p>
        </w:tc>
        <w:tc>
          <w:tcPr>
            <w:tcW w:w="1341" w:type="dxa"/>
            <w:vAlign w:val="center"/>
          </w:tcPr>
          <w:p w:rsidR="00F91328" w:rsidRPr="00C82CF9" w:rsidRDefault="00F91328" w:rsidP="005C65CD">
            <w:pPr>
              <w:jc w:val="center"/>
              <w:rPr>
                <w:rFonts w:cs="Arial"/>
                <w:color w:val="000000"/>
                <w:sz w:val="18"/>
              </w:rPr>
            </w:pPr>
            <w:r>
              <w:rPr>
                <w:rFonts w:cs="Arial"/>
                <w:color w:val="000000"/>
                <w:sz w:val="18"/>
              </w:rPr>
              <w:t>0.70</w:t>
            </w:r>
          </w:p>
        </w:tc>
      </w:tr>
      <w:tr w:rsidR="00F91328" w:rsidTr="005C65CD">
        <w:trPr>
          <w:trHeight w:val="20"/>
          <w:jc w:val="center"/>
        </w:trPr>
        <w:tc>
          <w:tcPr>
            <w:tcW w:w="2947" w:type="dxa"/>
          </w:tcPr>
          <w:p w:rsidR="00F91328" w:rsidRPr="00E56236" w:rsidRDefault="00F91328" w:rsidP="005C65CD">
            <w:pPr>
              <w:rPr>
                <w:rFonts w:cs="Arial"/>
                <w:sz w:val="18"/>
                <w:szCs w:val="18"/>
              </w:rPr>
            </w:pPr>
            <w:r>
              <w:rPr>
                <w:rFonts w:cs="Arial"/>
                <w:sz w:val="18"/>
                <w:szCs w:val="18"/>
              </w:rPr>
              <w:t>Large, Tier 1 (non-condensing)</w:t>
            </w:r>
          </w:p>
        </w:tc>
        <w:tc>
          <w:tcPr>
            <w:tcW w:w="1732" w:type="dxa"/>
            <w:vAlign w:val="center"/>
          </w:tcPr>
          <w:p w:rsidR="00F91328" w:rsidRPr="00E56236" w:rsidRDefault="00F91328" w:rsidP="005C65CD">
            <w:pPr>
              <w:jc w:val="center"/>
              <w:rPr>
                <w:rFonts w:cs="Arial"/>
                <w:sz w:val="18"/>
                <w:szCs w:val="18"/>
              </w:rPr>
            </w:pPr>
            <w:r>
              <w:rPr>
                <w:rFonts w:cs="Arial"/>
                <w:sz w:val="18"/>
                <w:szCs w:val="18"/>
              </w:rPr>
              <w:t xml:space="preserve">&gt; </w:t>
            </w:r>
            <w:r w:rsidRPr="00E56236">
              <w:rPr>
                <w:rFonts w:cs="Arial"/>
                <w:sz w:val="18"/>
                <w:szCs w:val="18"/>
              </w:rPr>
              <w:t>75</w:t>
            </w:r>
          </w:p>
        </w:tc>
        <w:tc>
          <w:tcPr>
            <w:tcW w:w="1081" w:type="dxa"/>
            <w:vAlign w:val="center"/>
          </w:tcPr>
          <w:p w:rsidR="00F91328" w:rsidRPr="00E7102E" w:rsidRDefault="00F91328" w:rsidP="005C65CD">
            <w:pPr>
              <w:jc w:val="center"/>
              <w:rPr>
                <w:rFonts w:cs="Arial"/>
                <w:sz w:val="18"/>
                <w:szCs w:val="18"/>
              </w:rPr>
            </w:pPr>
            <w:r>
              <w:rPr>
                <w:rFonts w:cs="Arial"/>
                <w:sz w:val="18"/>
                <w:szCs w:val="18"/>
              </w:rPr>
              <w:t>TE</w:t>
            </w:r>
          </w:p>
        </w:tc>
        <w:tc>
          <w:tcPr>
            <w:tcW w:w="2259" w:type="dxa"/>
            <w:vAlign w:val="center"/>
          </w:tcPr>
          <w:p w:rsidR="00F91328" w:rsidRPr="00C82CF9" w:rsidRDefault="00F91328" w:rsidP="005C65CD">
            <w:pPr>
              <w:jc w:val="center"/>
              <w:rPr>
                <w:rFonts w:cs="Arial"/>
                <w:color w:val="000000"/>
                <w:sz w:val="18"/>
              </w:rPr>
            </w:pPr>
            <w:r w:rsidRPr="00C82CF9">
              <w:rPr>
                <w:rFonts w:cs="Arial"/>
                <w:color w:val="000000"/>
                <w:sz w:val="18"/>
              </w:rPr>
              <w:t>80%</w:t>
            </w:r>
          </w:p>
        </w:tc>
        <w:tc>
          <w:tcPr>
            <w:tcW w:w="1341" w:type="dxa"/>
            <w:vAlign w:val="center"/>
          </w:tcPr>
          <w:p w:rsidR="00F91328" w:rsidRPr="00C82CF9" w:rsidRDefault="00F91328" w:rsidP="005C65CD">
            <w:pPr>
              <w:jc w:val="center"/>
              <w:rPr>
                <w:rFonts w:cs="Arial"/>
                <w:color w:val="000000"/>
                <w:sz w:val="18"/>
              </w:rPr>
            </w:pPr>
            <w:r w:rsidRPr="00C82CF9">
              <w:rPr>
                <w:rFonts w:cs="Arial"/>
                <w:color w:val="000000"/>
                <w:sz w:val="18"/>
              </w:rPr>
              <w:t>8</w:t>
            </w:r>
            <w:r>
              <w:rPr>
                <w:rFonts w:cs="Arial"/>
                <w:color w:val="000000"/>
                <w:sz w:val="18"/>
              </w:rPr>
              <w:t>3</w:t>
            </w:r>
            <w:r w:rsidRPr="00C82CF9">
              <w:rPr>
                <w:rFonts w:cs="Arial"/>
                <w:color w:val="000000"/>
                <w:sz w:val="18"/>
              </w:rPr>
              <w:t>%</w:t>
            </w:r>
          </w:p>
        </w:tc>
      </w:tr>
      <w:tr w:rsidR="00F91328" w:rsidTr="005C65CD">
        <w:trPr>
          <w:trHeight w:val="20"/>
          <w:jc w:val="center"/>
        </w:trPr>
        <w:tc>
          <w:tcPr>
            <w:tcW w:w="2947" w:type="dxa"/>
          </w:tcPr>
          <w:p w:rsidR="00F91328" w:rsidRPr="00E56236" w:rsidRDefault="00F91328" w:rsidP="005C65CD">
            <w:pPr>
              <w:rPr>
                <w:rFonts w:cs="Arial"/>
                <w:sz w:val="18"/>
                <w:szCs w:val="18"/>
              </w:rPr>
            </w:pPr>
            <w:r>
              <w:rPr>
                <w:rFonts w:cs="Arial"/>
                <w:sz w:val="18"/>
                <w:szCs w:val="18"/>
              </w:rPr>
              <w:t>Large, Tier 2 (condensing)</w:t>
            </w:r>
          </w:p>
        </w:tc>
        <w:tc>
          <w:tcPr>
            <w:tcW w:w="1732" w:type="dxa"/>
            <w:vAlign w:val="center"/>
          </w:tcPr>
          <w:p w:rsidR="00F91328" w:rsidRPr="00E7102E" w:rsidRDefault="00F91328" w:rsidP="005C65CD">
            <w:pPr>
              <w:jc w:val="center"/>
              <w:rPr>
                <w:rFonts w:cs="Arial"/>
                <w:sz w:val="18"/>
                <w:szCs w:val="18"/>
              </w:rPr>
            </w:pPr>
            <w:r>
              <w:rPr>
                <w:rFonts w:cs="Arial"/>
                <w:sz w:val="18"/>
                <w:szCs w:val="18"/>
              </w:rPr>
              <w:t>&gt; 75</w:t>
            </w:r>
          </w:p>
        </w:tc>
        <w:tc>
          <w:tcPr>
            <w:tcW w:w="1081" w:type="dxa"/>
            <w:vAlign w:val="center"/>
          </w:tcPr>
          <w:p w:rsidR="00F91328" w:rsidRPr="00E7102E" w:rsidRDefault="00F91328" w:rsidP="005C65CD">
            <w:pPr>
              <w:jc w:val="center"/>
              <w:rPr>
                <w:rFonts w:cs="Arial"/>
                <w:sz w:val="18"/>
                <w:szCs w:val="18"/>
              </w:rPr>
            </w:pPr>
            <w:r>
              <w:rPr>
                <w:rFonts w:cs="Arial"/>
                <w:sz w:val="18"/>
                <w:szCs w:val="18"/>
              </w:rPr>
              <w:t>TE</w:t>
            </w:r>
          </w:p>
        </w:tc>
        <w:tc>
          <w:tcPr>
            <w:tcW w:w="2259" w:type="dxa"/>
            <w:vAlign w:val="center"/>
          </w:tcPr>
          <w:p w:rsidR="00F91328" w:rsidRPr="00C82CF9" w:rsidRDefault="00F91328" w:rsidP="005C65CD">
            <w:pPr>
              <w:jc w:val="center"/>
              <w:rPr>
                <w:rFonts w:cs="Arial"/>
                <w:color w:val="000000"/>
                <w:sz w:val="18"/>
              </w:rPr>
            </w:pPr>
            <w:r w:rsidRPr="00C82CF9">
              <w:rPr>
                <w:rFonts w:cs="Arial"/>
                <w:color w:val="000000"/>
                <w:sz w:val="18"/>
              </w:rPr>
              <w:t>80%</w:t>
            </w:r>
          </w:p>
        </w:tc>
        <w:tc>
          <w:tcPr>
            <w:tcW w:w="1341" w:type="dxa"/>
            <w:vAlign w:val="center"/>
          </w:tcPr>
          <w:p w:rsidR="00F91328" w:rsidRPr="00C82CF9" w:rsidRDefault="00F91328" w:rsidP="005C65CD">
            <w:pPr>
              <w:jc w:val="center"/>
              <w:rPr>
                <w:rFonts w:cs="Arial"/>
                <w:color w:val="000000"/>
                <w:sz w:val="18"/>
              </w:rPr>
            </w:pPr>
            <w:r>
              <w:rPr>
                <w:rFonts w:cs="Arial"/>
                <w:color w:val="000000"/>
                <w:sz w:val="18"/>
              </w:rPr>
              <w:t>90</w:t>
            </w:r>
            <w:r w:rsidRPr="00C82CF9">
              <w:rPr>
                <w:rFonts w:cs="Arial"/>
                <w:color w:val="000000"/>
                <w:sz w:val="18"/>
              </w:rPr>
              <w:t>%</w:t>
            </w:r>
          </w:p>
        </w:tc>
      </w:tr>
    </w:tbl>
    <w:p w:rsidR="00F91328" w:rsidRDefault="00F91328" w:rsidP="00F91328">
      <w:pPr>
        <w:pStyle w:val="Vertical"/>
        <w:jc w:val="left"/>
      </w:pPr>
      <w:r>
        <w:t>V is the rated volume in gallons.</w:t>
      </w:r>
    </w:p>
    <w:p w:rsidR="00F91328" w:rsidRPr="00F91328" w:rsidRDefault="00F91328" w:rsidP="00F91328">
      <w:pPr>
        <w:pStyle w:val="Vertical"/>
      </w:pPr>
    </w:p>
    <w:p w:rsidR="003F2BB3" w:rsidRDefault="001C644E" w:rsidP="00E97D72">
      <w:pPr>
        <w:pStyle w:val="WPART"/>
      </w:pPr>
      <w:bookmarkStart w:id="25" w:name="_Toc214003087"/>
      <w:bookmarkStart w:id="26" w:name="_Toc321313042"/>
      <w:r>
        <w:t>Code Analysis</w:t>
      </w:r>
      <w:bookmarkEnd w:id="25"/>
      <w:bookmarkEnd w:id="26"/>
    </w:p>
    <w:p w:rsidR="000D5E5B" w:rsidRPr="003F2BB3" w:rsidRDefault="009C5C1A" w:rsidP="000D5E5B">
      <w:pPr>
        <w:pStyle w:val="WPPR1"/>
      </w:pPr>
      <w:r>
        <w:t xml:space="preserve">The minimum baseline efficiencies </w:t>
      </w:r>
      <w:r w:rsidRPr="002E7DC6">
        <w:t xml:space="preserve">are </w:t>
      </w:r>
      <w:r>
        <w:t xml:space="preserve">consistent with the </w:t>
      </w:r>
      <w:r w:rsidRPr="00BA170E">
        <w:t>California Titles 20 and 24 standards</w:t>
      </w:r>
      <w:fldSimple w:instr=" NOTEREF _Ref320695554 \f \h  \* MERGEFORMAT ">
        <w:r w:rsidR="00563751" w:rsidRPr="00F10506">
          <w:rPr>
            <w:vertAlign w:val="superscript"/>
          </w:rPr>
          <w:t>1</w:t>
        </w:r>
      </w:fldSimple>
      <w:proofErr w:type="gramStart"/>
      <w:r w:rsidR="00F147ED" w:rsidRPr="0021125B">
        <w:rPr>
          <w:vertAlign w:val="superscript"/>
        </w:rPr>
        <w:t>,</w:t>
      </w:r>
      <w:proofErr w:type="gramEnd"/>
      <w:r w:rsidR="007D3F02">
        <w:fldChar w:fldCharType="begin"/>
      </w:r>
      <w:r w:rsidR="00165883">
        <w:instrText xml:space="preserve"> NOTEREF _Ref320695579 \f \h  \* MERGEFORMAT </w:instrText>
      </w:r>
      <w:r w:rsidR="007D3F02">
        <w:fldChar w:fldCharType="separate"/>
      </w:r>
      <w:r w:rsidR="00563751" w:rsidRPr="00F10506">
        <w:rPr>
          <w:vertAlign w:val="superscript"/>
        </w:rPr>
        <w:t>2</w:t>
      </w:r>
      <w:r w:rsidR="007D3F02">
        <w:fldChar w:fldCharType="end"/>
      </w:r>
      <w:r>
        <w:t xml:space="preserve">.  The minimum qualifying measure efficiencies exceed the </w:t>
      </w:r>
      <w:r w:rsidRPr="00BA170E">
        <w:t>California Titles 20 and 24 standards</w:t>
      </w:r>
      <w:fldSimple w:instr=" NOTEREF _Ref320695554 \f \h  \* MERGEFORMAT ">
        <w:r w:rsidR="00563751" w:rsidRPr="00F10506">
          <w:rPr>
            <w:vertAlign w:val="superscript"/>
          </w:rPr>
          <w:t>1</w:t>
        </w:r>
      </w:fldSimple>
      <w:proofErr w:type="gramStart"/>
      <w:r w:rsidR="00800A09" w:rsidRPr="0021125B">
        <w:rPr>
          <w:vertAlign w:val="superscript"/>
        </w:rPr>
        <w:t>,</w:t>
      </w:r>
      <w:proofErr w:type="gramEnd"/>
      <w:r w:rsidR="007D3F02">
        <w:fldChar w:fldCharType="begin"/>
      </w:r>
      <w:r w:rsidR="00165883">
        <w:instrText xml:space="preserve"> NOTEREF _Ref320695579 \f \h  \* MERGEFORMAT </w:instrText>
      </w:r>
      <w:r w:rsidR="007D3F02">
        <w:fldChar w:fldCharType="separate"/>
      </w:r>
      <w:r w:rsidR="00563751" w:rsidRPr="00F10506">
        <w:rPr>
          <w:vertAlign w:val="superscript"/>
        </w:rPr>
        <w:t>2</w:t>
      </w:r>
      <w:r w:rsidR="007D3F02">
        <w:fldChar w:fldCharType="end"/>
      </w:r>
      <w:r>
        <w:t xml:space="preserve">.  </w:t>
      </w:r>
    </w:p>
    <w:p w:rsidR="001C644E" w:rsidRPr="00F75C17" w:rsidRDefault="001C644E" w:rsidP="00E97D72">
      <w:pPr>
        <w:pStyle w:val="WPART"/>
      </w:pPr>
      <w:bookmarkStart w:id="27" w:name="_Toc321313043"/>
      <w:r>
        <w:t>Measure Effective Useful Life</w:t>
      </w:r>
      <w:bookmarkEnd w:id="27"/>
    </w:p>
    <w:p w:rsidR="007D169B" w:rsidRPr="007D169B" w:rsidRDefault="007D169B" w:rsidP="000D5E5B">
      <w:pPr>
        <w:pStyle w:val="PR1"/>
      </w:pPr>
      <w:bookmarkStart w:id="28" w:name="_Toc214003089"/>
      <w:r w:rsidRPr="007D169B">
        <w:t>The effective useful life (EUL) for s</w:t>
      </w:r>
      <w:r w:rsidR="00800A09">
        <w:t>torage water heaters</w:t>
      </w:r>
      <w:r w:rsidRPr="007D169B">
        <w:t xml:space="preserve"> of </w:t>
      </w:r>
      <w:r>
        <w:t>15</w:t>
      </w:r>
      <w:r w:rsidRPr="007D169B">
        <w:t xml:space="preserve"> years is taken from </w:t>
      </w:r>
      <w:r w:rsidR="00F91328">
        <w:t>DEER 2011</w:t>
      </w:r>
      <w:r w:rsidRPr="007D169B">
        <w:t xml:space="preserve"> update</w:t>
      </w:r>
      <w:r w:rsidRPr="007D169B">
        <w:rPr>
          <w:rStyle w:val="EndnoteReference"/>
        </w:rPr>
        <w:endnoteReference w:id="6"/>
      </w:r>
      <w:r w:rsidRPr="007D169B">
        <w:t>.</w:t>
      </w:r>
      <w:r w:rsidR="00800A09">
        <w:t xml:space="preserve">  </w:t>
      </w:r>
    </w:p>
    <w:p w:rsidR="001C644E" w:rsidRDefault="001C644E" w:rsidP="00E97D72">
      <w:pPr>
        <w:pStyle w:val="WPART"/>
      </w:pPr>
      <w:bookmarkStart w:id="29" w:name="_Toc321313044"/>
      <w:r w:rsidRPr="001248A3">
        <w:t xml:space="preserve">Net-to-Gross </w:t>
      </w:r>
      <w:r>
        <w:t>Ratios</w:t>
      </w:r>
      <w:r w:rsidRPr="001248A3">
        <w:t xml:space="preserve"> for Different Program </w:t>
      </w:r>
      <w:r>
        <w:t>Strategies</w:t>
      </w:r>
      <w:bookmarkEnd w:id="28"/>
      <w:bookmarkEnd w:id="29"/>
    </w:p>
    <w:p w:rsidR="00791963" w:rsidRDefault="00800A09" w:rsidP="00791963">
      <w:pPr>
        <w:pStyle w:val="PR1"/>
        <w:numPr>
          <w:ilvl w:val="2"/>
          <w:numId w:val="36"/>
        </w:numPr>
      </w:pPr>
      <w:r>
        <w:t xml:space="preserve">The </w:t>
      </w:r>
      <w:r w:rsidR="00F91328">
        <w:t>DEER 2011</w:t>
      </w:r>
      <w:r w:rsidR="007D169B" w:rsidRPr="00FF283E">
        <w:t xml:space="preserve"> </w:t>
      </w:r>
      <w:r>
        <w:t>documents</w:t>
      </w:r>
      <w:r w:rsidR="007D169B" w:rsidRPr="00FF283E">
        <w:t xml:space="preserve"> recommend a </w:t>
      </w:r>
      <w:r>
        <w:t>n</w:t>
      </w:r>
      <w:r w:rsidR="007D169B" w:rsidRPr="00FF283E">
        <w:t>et-to-</w:t>
      </w:r>
      <w:r>
        <w:t>g</w:t>
      </w:r>
      <w:r w:rsidR="007D169B" w:rsidRPr="00FF283E">
        <w:t xml:space="preserve">ross ratio </w:t>
      </w:r>
      <w:r>
        <w:t xml:space="preserve">(NTGR) </w:t>
      </w:r>
      <w:r w:rsidR="007D169B" w:rsidRPr="00FF283E">
        <w:t>of 0.6</w:t>
      </w:r>
      <w:r w:rsidR="008749EB">
        <w:t>0</w:t>
      </w:r>
      <w:r w:rsidR="007D169B" w:rsidRPr="00FF283E">
        <w:t xml:space="preserve"> for all </w:t>
      </w:r>
      <w:r>
        <w:t xml:space="preserve">downstream service hot water boilers, which includes the </w:t>
      </w:r>
      <w:r w:rsidR="007D169B" w:rsidRPr="00FF283E">
        <w:t>equipment covered under this program</w:t>
      </w:r>
      <w:r w:rsidR="007D169B" w:rsidRPr="00FF283E">
        <w:rPr>
          <w:rStyle w:val="EndnoteReference"/>
        </w:rPr>
        <w:endnoteReference w:id="7"/>
      </w:r>
      <w:r w:rsidR="00CA1EEB">
        <w:t>.</w:t>
      </w:r>
      <w:r w:rsidR="007D169B" w:rsidRPr="00FF283E">
        <w:t xml:space="preserve">  </w:t>
      </w:r>
    </w:p>
    <w:p w:rsidR="009C5C1A" w:rsidRPr="00FF283E" w:rsidRDefault="00791963" w:rsidP="00791963">
      <w:pPr>
        <w:pStyle w:val="PR1"/>
      </w:pPr>
      <w:r>
        <w:lastRenderedPageBreak/>
        <w:t xml:space="preserve">The </w:t>
      </w:r>
      <w:r w:rsidR="00F91328">
        <w:t>DEER 2011</w:t>
      </w:r>
      <w:r>
        <w:t xml:space="preserve"> documents recommend a net-to-gross ratio (NTGR) of 0.70 for new commercial technologies, which would include Tier 2 condensing </w:t>
      </w:r>
      <w:r w:rsidR="00C935BD">
        <w:t>storage</w:t>
      </w:r>
      <w:r>
        <w:t xml:space="preserve"> water heaters.  </w:t>
      </w:r>
    </w:p>
    <w:p w:rsidR="001C644E" w:rsidRDefault="001C644E" w:rsidP="00E97D72">
      <w:pPr>
        <w:pStyle w:val="WPART"/>
      </w:pPr>
      <w:bookmarkStart w:id="31" w:name="_Toc321313045"/>
      <w:r w:rsidRPr="009E3B25">
        <w:t xml:space="preserve">Gross Realization </w:t>
      </w:r>
      <w:smartTag w:uri="urn:schemas-microsoft-com:office:smarttags" w:element="stockticker">
        <w:r w:rsidRPr="009E3B25">
          <w:t>Rate</w:t>
        </w:r>
      </w:smartTag>
      <w:bookmarkEnd w:id="31"/>
    </w:p>
    <w:p w:rsidR="005737C4" w:rsidRPr="00FF283E" w:rsidRDefault="005737C4" w:rsidP="005737C4">
      <w:pPr>
        <w:pStyle w:val="WPPR1"/>
      </w:pPr>
      <w:r w:rsidRPr="00FF283E">
        <w:t xml:space="preserve">Gross realization rate of 1.00 </w:t>
      </w:r>
      <w:r w:rsidR="00BE0F0B">
        <w:t>is</w:t>
      </w:r>
      <w:r w:rsidRPr="00FF283E">
        <w:t xml:space="preserve"> applied to the measures in this document.  </w:t>
      </w:r>
    </w:p>
    <w:p w:rsidR="001C644E" w:rsidRDefault="001C644E" w:rsidP="00E97D72">
      <w:pPr>
        <w:pStyle w:val="WPART"/>
      </w:pPr>
      <w:bookmarkStart w:id="32" w:name="_Toc321313046"/>
      <w:r>
        <w:t>Time-of-Use Adjustment Factor</w:t>
      </w:r>
      <w:bookmarkEnd w:id="32"/>
    </w:p>
    <w:p w:rsidR="00CD56EA" w:rsidRDefault="00CD56EA" w:rsidP="00CD56EA">
      <w:pPr>
        <w:pStyle w:val="WPPR1"/>
      </w:pPr>
      <w:r>
        <w:t>N/A</w:t>
      </w:r>
    </w:p>
    <w:p w:rsidR="001C644E" w:rsidRDefault="001C644E" w:rsidP="00CF0E83">
      <w:pPr>
        <w:pStyle w:val="WPSCT"/>
        <w:keepNext/>
      </w:pPr>
      <w:bookmarkStart w:id="33" w:name="_Toc214003090"/>
      <w:bookmarkStart w:id="34" w:name="_Toc321313047"/>
      <w:r>
        <w:t>Energy Savings &amp; Demand Reduction Calculations</w:t>
      </w:r>
      <w:bookmarkEnd w:id="33"/>
      <w:bookmarkEnd w:id="34"/>
    </w:p>
    <w:p w:rsidR="001C644E" w:rsidRDefault="001C644E" w:rsidP="003F2BB3">
      <w:pPr>
        <w:pStyle w:val="WPART"/>
      </w:pPr>
      <w:bookmarkStart w:id="35" w:name="_Toc214003093"/>
      <w:bookmarkStart w:id="36" w:name="_Toc321313048"/>
      <w:r>
        <w:t>Load Shape</w:t>
      </w:r>
      <w:bookmarkEnd w:id="35"/>
      <w:r>
        <w:t>s</w:t>
      </w:r>
      <w:bookmarkEnd w:id="36"/>
    </w:p>
    <w:p w:rsidR="00CD56EA" w:rsidRDefault="00CD56EA" w:rsidP="00CD56EA">
      <w:pPr>
        <w:pStyle w:val="WPPR1"/>
      </w:pPr>
      <w:r>
        <w:t>N/A</w:t>
      </w:r>
    </w:p>
    <w:p w:rsidR="006D042A" w:rsidRDefault="006D042A" w:rsidP="006D042A">
      <w:pPr>
        <w:pStyle w:val="WPART"/>
      </w:pPr>
      <w:bookmarkStart w:id="37" w:name="_Toc321313049"/>
      <w:bookmarkStart w:id="38" w:name="_Toc214003096"/>
      <w:r>
        <w:t>Energy Savings</w:t>
      </w:r>
      <w:bookmarkEnd w:id="37"/>
    </w:p>
    <w:p w:rsidR="009D5B6C" w:rsidRDefault="00E56236" w:rsidP="008F0ABF">
      <w:pPr>
        <w:pStyle w:val="WPPR1"/>
      </w:pPr>
      <w:r>
        <w:t xml:space="preserve">Annual Gas Energy Savings.  </w:t>
      </w:r>
    </w:p>
    <w:p w:rsidR="00884825" w:rsidRDefault="008F0ABF" w:rsidP="00F10506">
      <w:pPr>
        <w:pStyle w:val="PR2"/>
      </w:pPr>
      <w:r>
        <w:t xml:space="preserve">The annual gas energy savings are based on </w:t>
      </w:r>
      <w:r w:rsidR="00F91328">
        <w:t>DEER 2011</w:t>
      </w:r>
      <w:r w:rsidR="0021125B" w:rsidRPr="00F91328">
        <w:rPr>
          <w:vertAlign w:val="superscript"/>
        </w:rPr>
        <w:t>4</w:t>
      </w:r>
      <w:r w:rsidRPr="005725D7">
        <w:t>,</w:t>
      </w:r>
      <w:r w:rsidR="00E56236">
        <w:t xml:space="preserve"> with changes to the </w:t>
      </w:r>
      <w:r>
        <w:t>measure efficiency values based on the CEC Appliance Database</w:t>
      </w:r>
      <w:fldSimple w:instr=" NOTEREF _Ref320696611 \h  \* MERGEFORMAT ">
        <w:r w:rsidR="00563751" w:rsidRPr="00F10506">
          <w:rPr>
            <w:vertAlign w:val="superscript"/>
          </w:rPr>
          <w:t>5</w:t>
        </w:r>
      </w:fldSimple>
      <w:r>
        <w:t xml:space="preserve">.  Table </w:t>
      </w:r>
      <w:r w:rsidR="00800A09">
        <w:t>2</w:t>
      </w:r>
      <w:r>
        <w:t xml:space="preserve"> lists the baseline and measure efficiencies for </w:t>
      </w:r>
      <w:r w:rsidR="00E56236">
        <w:t>storage water heaters</w:t>
      </w:r>
      <w:r>
        <w:t xml:space="preserve"> in the </w:t>
      </w:r>
      <w:r w:rsidR="00800A09">
        <w:t>“</w:t>
      </w:r>
      <w:r>
        <w:t>2011 DEER for Use in the California IOU 2013-14 Energy Efficiency Planning</w:t>
      </w:r>
      <w:r w:rsidR="00800A09">
        <w:t>”</w:t>
      </w:r>
      <w:r w:rsidR="0021125B" w:rsidRPr="00F91328">
        <w:rPr>
          <w:vertAlign w:val="superscript"/>
        </w:rPr>
        <w:t>4</w:t>
      </w:r>
      <w:r>
        <w:t xml:space="preserve">.  </w:t>
      </w:r>
    </w:p>
    <w:p w:rsidR="00884825" w:rsidRDefault="00143ABD" w:rsidP="00F10506">
      <w:pPr>
        <w:pStyle w:val="PR3"/>
      </w:pPr>
      <w:r>
        <w:t xml:space="preserve">No small 75-gallon storage water heaters listed in the CEC Appliance Database met the Tier 1, Tier 2, or Tier 3 qualifying efficiencies.  </w:t>
      </w:r>
    </w:p>
    <w:p w:rsidR="00884825" w:rsidRDefault="00143ABD" w:rsidP="00F10506">
      <w:pPr>
        <w:pStyle w:val="PR3"/>
      </w:pPr>
      <w:r>
        <w:t xml:space="preserve">Very few 60-gallon storage water heaters in the CEC Appliance Database met the Tier 2 and none met the Tier 3 qualifying efficiencies.  </w:t>
      </w:r>
    </w:p>
    <w:p w:rsidR="00884825" w:rsidRDefault="00143ABD" w:rsidP="00F10506">
      <w:pPr>
        <w:pStyle w:val="PR3"/>
      </w:pPr>
      <w:r>
        <w:t xml:space="preserve">Very few 30, 40, or 50-gallon storage water heaters in the CEC Appliance Database met the Tier 3 qualifying efficiency.  </w:t>
      </w:r>
    </w:p>
    <w:p w:rsidR="00884825" w:rsidRDefault="00CF0E83" w:rsidP="00F10506">
      <w:pPr>
        <w:pStyle w:val="PR3"/>
      </w:pPr>
      <w:r>
        <w:t xml:space="preserve">The large Tier 1 storage water heater minimum thermal efficiency (TE) is 83%as seen in DEER </w:t>
      </w:r>
      <w:r w:rsidR="008F1C98">
        <w:t>data</w:t>
      </w:r>
      <w:r>
        <w:t xml:space="preserve">.  </w:t>
      </w:r>
    </w:p>
    <w:p w:rsidR="00884825" w:rsidRDefault="002163B2" w:rsidP="00F10506">
      <w:pPr>
        <w:pStyle w:val="PR3"/>
      </w:pPr>
      <w:r>
        <w:t xml:space="preserve">The large Tier 2 storage water heater minimum thermal efficiency (TE) is 90% as seen in DEER data.  </w:t>
      </w:r>
    </w:p>
    <w:p w:rsidR="00800A09" w:rsidRDefault="00800A09" w:rsidP="008F0ABF">
      <w:pPr>
        <w:pStyle w:val="Vertical"/>
      </w:pPr>
    </w:p>
    <w:p w:rsidR="008F0ABF" w:rsidRPr="00DA636A" w:rsidRDefault="008F0ABF" w:rsidP="00800A09">
      <w:pPr>
        <w:pStyle w:val="TBL"/>
        <w:keepNext/>
      </w:pPr>
      <w:bookmarkStart w:id="39" w:name="_Toc319421663"/>
      <w:bookmarkStart w:id="40" w:name="_Ref320698799"/>
      <w:bookmarkStart w:id="41" w:name="_Ref320804977"/>
      <w:bookmarkStart w:id="42" w:name="_Toc321313064"/>
      <w:r w:rsidRPr="00DA636A">
        <w:t>Base and Measure S</w:t>
      </w:r>
      <w:r w:rsidR="00E52FD5" w:rsidRPr="00DA636A">
        <w:t>torage Water</w:t>
      </w:r>
      <w:r w:rsidRPr="00DA636A">
        <w:t xml:space="preserve"> Heat</w:t>
      </w:r>
      <w:r w:rsidR="00E52FD5" w:rsidRPr="00DA636A">
        <w:t>er</w:t>
      </w:r>
      <w:r w:rsidRPr="00DA636A">
        <w:t xml:space="preserve"> Efficiencies in DEER</w:t>
      </w:r>
      <w:bookmarkEnd w:id="39"/>
      <w:bookmarkEnd w:id="40"/>
      <w:bookmarkEnd w:id="41"/>
      <w:r w:rsidR="009D5B6C">
        <w:t xml:space="preserve"> 2011</w:t>
      </w:r>
      <w:bookmarkEnd w:id="42"/>
    </w:p>
    <w:tbl>
      <w:tblPr>
        <w:tblStyle w:val="TableGrid"/>
        <w:tblW w:w="9360" w:type="dxa"/>
        <w:jc w:val="center"/>
        <w:tblCellMar>
          <w:top w:w="43" w:type="dxa"/>
          <w:left w:w="115" w:type="dxa"/>
          <w:bottom w:w="43" w:type="dxa"/>
          <w:right w:w="115" w:type="dxa"/>
        </w:tblCellMar>
        <w:tblLook w:val="01E0"/>
      </w:tblPr>
      <w:tblGrid>
        <w:gridCol w:w="2947"/>
        <w:gridCol w:w="1732"/>
        <w:gridCol w:w="1081"/>
        <w:gridCol w:w="2259"/>
        <w:gridCol w:w="1341"/>
      </w:tblGrid>
      <w:tr w:rsidR="008F0ABF" w:rsidTr="009C360A">
        <w:trPr>
          <w:trHeight w:val="20"/>
          <w:jc w:val="center"/>
        </w:trPr>
        <w:tc>
          <w:tcPr>
            <w:tcW w:w="2947" w:type="dxa"/>
            <w:vAlign w:val="bottom"/>
          </w:tcPr>
          <w:p w:rsidR="008F0ABF" w:rsidRPr="00420887" w:rsidRDefault="008F0ABF" w:rsidP="00E56236">
            <w:pPr>
              <w:pStyle w:val="Normal1"/>
              <w:spacing w:after="0" w:line="240" w:lineRule="auto"/>
              <w:jc w:val="center"/>
              <w:rPr>
                <w:rFonts w:ascii="Arial" w:hAnsi="Arial" w:cs="Arial"/>
                <w:b/>
                <w:sz w:val="18"/>
                <w:szCs w:val="18"/>
              </w:rPr>
            </w:pPr>
            <w:r>
              <w:rPr>
                <w:rFonts w:ascii="Arial" w:hAnsi="Arial" w:cs="Arial"/>
                <w:b/>
                <w:sz w:val="18"/>
                <w:szCs w:val="18"/>
              </w:rPr>
              <w:t>Equipment Type</w:t>
            </w:r>
          </w:p>
        </w:tc>
        <w:tc>
          <w:tcPr>
            <w:tcW w:w="1732" w:type="dxa"/>
            <w:vAlign w:val="bottom"/>
          </w:tcPr>
          <w:p w:rsidR="008F0ABF" w:rsidRPr="00420887" w:rsidRDefault="008F0ABF" w:rsidP="00E56236">
            <w:pPr>
              <w:pStyle w:val="Normal1"/>
              <w:spacing w:after="0" w:line="240" w:lineRule="auto"/>
              <w:jc w:val="center"/>
              <w:rPr>
                <w:rFonts w:ascii="Arial" w:hAnsi="Arial" w:cs="Arial"/>
                <w:b/>
                <w:sz w:val="18"/>
                <w:szCs w:val="18"/>
              </w:rPr>
            </w:pPr>
            <w:r>
              <w:rPr>
                <w:rFonts w:ascii="Arial" w:hAnsi="Arial" w:cs="Arial"/>
                <w:b/>
                <w:sz w:val="18"/>
                <w:szCs w:val="18"/>
              </w:rPr>
              <w:t>Rated Input (</w:t>
            </w:r>
            <w:proofErr w:type="spellStart"/>
            <w:r>
              <w:rPr>
                <w:rFonts w:ascii="Arial" w:hAnsi="Arial" w:cs="Arial"/>
                <w:b/>
                <w:sz w:val="18"/>
                <w:szCs w:val="18"/>
              </w:rPr>
              <w:t>MBtu</w:t>
            </w:r>
            <w:proofErr w:type="spellEnd"/>
            <w:r>
              <w:rPr>
                <w:rFonts w:ascii="Arial" w:hAnsi="Arial" w:cs="Arial"/>
                <w:b/>
                <w:sz w:val="18"/>
                <w:szCs w:val="18"/>
              </w:rPr>
              <w:t>/hr)</w:t>
            </w:r>
          </w:p>
        </w:tc>
        <w:tc>
          <w:tcPr>
            <w:tcW w:w="1081" w:type="dxa"/>
            <w:vAlign w:val="bottom"/>
          </w:tcPr>
          <w:p w:rsidR="008F0ABF" w:rsidRPr="00420887" w:rsidRDefault="008F0ABF" w:rsidP="00E56236">
            <w:pPr>
              <w:pStyle w:val="Normal1"/>
              <w:spacing w:after="0" w:line="240" w:lineRule="auto"/>
              <w:jc w:val="center"/>
              <w:rPr>
                <w:rFonts w:ascii="Arial" w:hAnsi="Arial" w:cs="Arial"/>
                <w:b/>
                <w:sz w:val="18"/>
                <w:szCs w:val="18"/>
              </w:rPr>
            </w:pPr>
            <w:r>
              <w:rPr>
                <w:rFonts w:ascii="Arial" w:hAnsi="Arial" w:cs="Arial"/>
                <w:b/>
                <w:sz w:val="18"/>
                <w:szCs w:val="18"/>
              </w:rPr>
              <w:t>Efficiency Units</w:t>
            </w:r>
          </w:p>
        </w:tc>
        <w:tc>
          <w:tcPr>
            <w:tcW w:w="2259" w:type="dxa"/>
            <w:vAlign w:val="bottom"/>
          </w:tcPr>
          <w:p w:rsidR="008F0ABF" w:rsidRPr="00420887" w:rsidRDefault="002163B2" w:rsidP="006068F6">
            <w:pPr>
              <w:pStyle w:val="Normal1"/>
              <w:spacing w:after="0" w:line="240" w:lineRule="auto"/>
              <w:jc w:val="center"/>
              <w:rPr>
                <w:rFonts w:ascii="Arial" w:hAnsi="Arial" w:cs="Arial"/>
                <w:b/>
                <w:sz w:val="18"/>
                <w:szCs w:val="18"/>
              </w:rPr>
            </w:pPr>
            <w:r>
              <w:rPr>
                <w:rFonts w:ascii="Arial" w:hAnsi="Arial" w:cs="Arial"/>
                <w:b/>
                <w:sz w:val="18"/>
                <w:szCs w:val="18"/>
              </w:rPr>
              <w:t xml:space="preserve">DEER </w:t>
            </w:r>
            <w:r w:rsidR="006068F6">
              <w:rPr>
                <w:rFonts w:ascii="Arial" w:hAnsi="Arial" w:cs="Arial"/>
                <w:b/>
                <w:sz w:val="18"/>
                <w:szCs w:val="18"/>
              </w:rPr>
              <w:br/>
            </w:r>
            <w:r w:rsidR="008F0ABF">
              <w:rPr>
                <w:rFonts w:ascii="Arial" w:hAnsi="Arial" w:cs="Arial"/>
                <w:b/>
                <w:sz w:val="18"/>
                <w:szCs w:val="18"/>
              </w:rPr>
              <w:t>Base</w:t>
            </w:r>
            <w:r>
              <w:rPr>
                <w:rFonts w:ascii="Arial" w:hAnsi="Arial" w:cs="Arial"/>
                <w:b/>
                <w:sz w:val="18"/>
                <w:szCs w:val="18"/>
              </w:rPr>
              <w:t>line</w:t>
            </w:r>
            <w:r w:rsidR="006068F6">
              <w:rPr>
                <w:rFonts w:ascii="Arial" w:hAnsi="Arial" w:cs="Arial"/>
                <w:b/>
                <w:sz w:val="18"/>
                <w:szCs w:val="18"/>
              </w:rPr>
              <w:t xml:space="preserve"> </w:t>
            </w:r>
            <w:r w:rsidR="006068F6">
              <w:rPr>
                <w:rFonts w:ascii="Arial" w:hAnsi="Arial" w:cs="Arial"/>
                <w:b/>
                <w:sz w:val="18"/>
                <w:szCs w:val="18"/>
              </w:rPr>
              <w:br/>
            </w:r>
            <w:r w:rsidR="008F0ABF">
              <w:rPr>
                <w:rFonts w:ascii="Arial" w:hAnsi="Arial" w:cs="Arial"/>
                <w:b/>
                <w:sz w:val="18"/>
                <w:szCs w:val="18"/>
              </w:rPr>
              <w:t>Efficiency</w:t>
            </w:r>
          </w:p>
        </w:tc>
        <w:tc>
          <w:tcPr>
            <w:tcW w:w="1341" w:type="dxa"/>
            <w:vAlign w:val="bottom"/>
          </w:tcPr>
          <w:p w:rsidR="008F0ABF" w:rsidRPr="00420887" w:rsidRDefault="002163B2" w:rsidP="006068F6">
            <w:pPr>
              <w:pStyle w:val="Normal1"/>
              <w:spacing w:after="0" w:line="240" w:lineRule="auto"/>
              <w:jc w:val="center"/>
              <w:rPr>
                <w:rFonts w:ascii="Arial" w:hAnsi="Arial" w:cs="Arial"/>
                <w:b/>
                <w:sz w:val="18"/>
                <w:szCs w:val="18"/>
              </w:rPr>
            </w:pPr>
            <w:r>
              <w:rPr>
                <w:rFonts w:ascii="Arial" w:hAnsi="Arial" w:cs="Arial"/>
                <w:b/>
                <w:sz w:val="18"/>
                <w:szCs w:val="18"/>
              </w:rPr>
              <w:t xml:space="preserve">DEER </w:t>
            </w:r>
            <w:r w:rsidR="006068F6">
              <w:rPr>
                <w:rFonts w:ascii="Arial" w:hAnsi="Arial" w:cs="Arial"/>
                <w:b/>
                <w:sz w:val="18"/>
                <w:szCs w:val="18"/>
              </w:rPr>
              <w:br/>
            </w:r>
            <w:r>
              <w:rPr>
                <w:rFonts w:ascii="Arial" w:hAnsi="Arial" w:cs="Arial"/>
                <w:b/>
                <w:sz w:val="18"/>
                <w:szCs w:val="18"/>
              </w:rPr>
              <w:t xml:space="preserve">Measure </w:t>
            </w:r>
            <w:r w:rsidR="006068F6">
              <w:rPr>
                <w:rFonts w:ascii="Arial" w:hAnsi="Arial" w:cs="Arial"/>
                <w:b/>
                <w:sz w:val="18"/>
                <w:szCs w:val="18"/>
              </w:rPr>
              <w:br/>
            </w:r>
            <w:r w:rsidR="008F0ABF">
              <w:rPr>
                <w:rFonts w:ascii="Arial" w:hAnsi="Arial" w:cs="Arial"/>
                <w:b/>
                <w:sz w:val="18"/>
                <w:szCs w:val="18"/>
              </w:rPr>
              <w:t>Efficiency</w:t>
            </w:r>
          </w:p>
        </w:tc>
      </w:tr>
      <w:tr w:rsidR="008F0ABF" w:rsidTr="009C360A">
        <w:trPr>
          <w:trHeight w:val="20"/>
          <w:jc w:val="center"/>
        </w:trPr>
        <w:tc>
          <w:tcPr>
            <w:tcW w:w="2947" w:type="dxa"/>
            <w:vAlign w:val="center"/>
          </w:tcPr>
          <w:p w:rsidR="008F0ABF" w:rsidRPr="00E56236" w:rsidRDefault="00E56236" w:rsidP="00E56236">
            <w:pPr>
              <w:rPr>
                <w:rFonts w:cs="Arial"/>
                <w:sz w:val="18"/>
                <w:szCs w:val="18"/>
              </w:rPr>
            </w:pPr>
            <w:r>
              <w:rPr>
                <w:rFonts w:cs="Arial"/>
                <w:sz w:val="18"/>
                <w:szCs w:val="18"/>
              </w:rPr>
              <w:t>Small</w:t>
            </w:r>
            <w:r w:rsidR="00143ABD">
              <w:rPr>
                <w:rFonts w:cs="Arial"/>
                <w:sz w:val="18"/>
                <w:szCs w:val="18"/>
              </w:rPr>
              <w:t>, Tier 1</w:t>
            </w:r>
          </w:p>
        </w:tc>
        <w:tc>
          <w:tcPr>
            <w:tcW w:w="1732" w:type="dxa"/>
            <w:vAlign w:val="center"/>
          </w:tcPr>
          <w:p w:rsidR="008F0ABF" w:rsidRPr="00E7102E" w:rsidRDefault="00E56236" w:rsidP="00E56236">
            <w:pPr>
              <w:jc w:val="center"/>
              <w:rPr>
                <w:rFonts w:cs="Arial"/>
                <w:sz w:val="18"/>
                <w:szCs w:val="18"/>
              </w:rPr>
            </w:pPr>
            <w:r>
              <w:rPr>
                <w:rFonts w:cs="Arial"/>
                <w:sz w:val="18"/>
                <w:szCs w:val="18"/>
              </w:rPr>
              <w:t>≤ 75</w:t>
            </w:r>
          </w:p>
        </w:tc>
        <w:tc>
          <w:tcPr>
            <w:tcW w:w="1081" w:type="dxa"/>
            <w:vAlign w:val="center"/>
          </w:tcPr>
          <w:p w:rsidR="008F0ABF" w:rsidRPr="00E7102E" w:rsidRDefault="00E56236" w:rsidP="00E56236">
            <w:pPr>
              <w:jc w:val="center"/>
              <w:rPr>
                <w:rFonts w:cs="Arial"/>
                <w:sz w:val="18"/>
                <w:szCs w:val="18"/>
              </w:rPr>
            </w:pPr>
            <w:r>
              <w:rPr>
                <w:rFonts w:cs="Arial"/>
                <w:sz w:val="18"/>
                <w:szCs w:val="18"/>
              </w:rPr>
              <w:t>EF</w:t>
            </w:r>
          </w:p>
        </w:tc>
        <w:tc>
          <w:tcPr>
            <w:tcW w:w="2259" w:type="dxa"/>
            <w:vAlign w:val="center"/>
          </w:tcPr>
          <w:p w:rsidR="008F0ABF" w:rsidRPr="00C82CF9" w:rsidRDefault="00E56236" w:rsidP="00E56236">
            <w:pPr>
              <w:jc w:val="center"/>
              <w:rPr>
                <w:rFonts w:cs="Arial"/>
                <w:color w:val="000000"/>
                <w:sz w:val="18"/>
              </w:rPr>
            </w:pPr>
            <w:r>
              <w:rPr>
                <w:rFonts w:cs="Arial"/>
                <w:color w:val="000000"/>
                <w:sz w:val="18"/>
              </w:rPr>
              <w:t>0.67-(0.0019*V)</w:t>
            </w:r>
          </w:p>
        </w:tc>
        <w:tc>
          <w:tcPr>
            <w:tcW w:w="1341" w:type="dxa"/>
            <w:vAlign w:val="center"/>
          </w:tcPr>
          <w:p w:rsidR="008F0ABF" w:rsidRPr="00C82CF9" w:rsidRDefault="00E56236" w:rsidP="00E56236">
            <w:pPr>
              <w:jc w:val="center"/>
              <w:rPr>
                <w:rFonts w:cs="Arial"/>
                <w:color w:val="000000"/>
                <w:sz w:val="18"/>
              </w:rPr>
            </w:pPr>
            <w:r>
              <w:rPr>
                <w:rFonts w:cs="Arial"/>
                <w:color w:val="000000"/>
                <w:sz w:val="18"/>
              </w:rPr>
              <w:t>0.62</w:t>
            </w:r>
          </w:p>
        </w:tc>
      </w:tr>
      <w:tr w:rsidR="00143ABD" w:rsidTr="001A75DA">
        <w:trPr>
          <w:trHeight w:val="20"/>
          <w:jc w:val="center"/>
        </w:trPr>
        <w:tc>
          <w:tcPr>
            <w:tcW w:w="2947" w:type="dxa"/>
            <w:vAlign w:val="center"/>
          </w:tcPr>
          <w:p w:rsidR="00143ABD" w:rsidRPr="00E56236" w:rsidRDefault="00143ABD" w:rsidP="00143ABD">
            <w:pPr>
              <w:rPr>
                <w:rFonts w:cs="Arial"/>
                <w:sz w:val="18"/>
                <w:szCs w:val="18"/>
              </w:rPr>
            </w:pPr>
            <w:r>
              <w:rPr>
                <w:rFonts w:cs="Arial"/>
                <w:sz w:val="18"/>
                <w:szCs w:val="18"/>
              </w:rPr>
              <w:t>Small, Tier 2 (30, 40, 50 gal.)</w:t>
            </w:r>
          </w:p>
        </w:tc>
        <w:tc>
          <w:tcPr>
            <w:tcW w:w="1732" w:type="dxa"/>
            <w:vAlign w:val="center"/>
          </w:tcPr>
          <w:p w:rsidR="00143ABD" w:rsidRPr="00E7102E" w:rsidRDefault="00143ABD" w:rsidP="001A75DA">
            <w:pPr>
              <w:jc w:val="center"/>
              <w:rPr>
                <w:rFonts w:cs="Arial"/>
                <w:sz w:val="18"/>
                <w:szCs w:val="18"/>
              </w:rPr>
            </w:pPr>
            <w:r>
              <w:rPr>
                <w:rFonts w:cs="Arial"/>
                <w:sz w:val="18"/>
                <w:szCs w:val="18"/>
              </w:rPr>
              <w:t>≤ 75</w:t>
            </w:r>
          </w:p>
        </w:tc>
        <w:tc>
          <w:tcPr>
            <w:tcW w:w="1081" w:type="dxa"/>
            <w:vAlign w:val="center"/>
          </w:tcPr>
          <w:p w:rsidR="00143ABD" w:rsidRPr="00E7102E" w:rsidRDefault="00143ABD" w:rsidP="001A75DA">
            <w:pPr>
              <w:jc w:val="center"/>
              <w:rPr>
                <w:rFonts w:cs="Arial"/>
                <w:sz w:val="18"/>
                <w:szCs w:val="18"/>
              </w:rPr>
            </w:pPr>
            <w:r>
              <w:rPr>
                <w:rFonts w:cs="Arial"/>
                <w:sz w:val="18"/>
                <w:szCs w:val="18"/>
              </w:rPr>
              <w:t>EF</w:t>
            </w:r>
          </w:p>
        </w:tc>
        <w:tc>
          <w:tcPr>
            <w:tcW w:w="2259" w:type="dxa"/>
            <w:vAlign w:val="center"/>
          </w:tcPr>
          <w:p w:rsidR="00143ABD" w:rsidRPr="00C82CF9" w:rsidRDefault="00143ABD" w:rsidP="001A75DA">
            <w:pPr>
              <w:jc w:val="center"/>
              <w:rPr>
                <w:rFonts w:cs="Arial"/>
                <w:color w:val="000000"/>
                <w:sz w:val="18"/>
              </w:rPr>
            </w:pPr>
            <w:r>
              <w:rPr>
                <w:rFonts w:cs="Arial"/>
                <w:color w:val="000000"/>
                <w:sz w:val="18"/>
              </w:rPr>
              <w:t>0.67-(0.0019*V)</w:t>
            </w:r>
          </w:p>
        </w:tc>
        <w:tc>
          <w:tcPr>
            <w:tcW w:w="1341" w:type="dxa"/>
            <w:vAlign w:val="center"/>
          </w:tcPr>
          <w:p w:rsidR="00143ABD" w:rsidRPr="00C82CF9" w:rsidRDefault="00143ABD" w:rsidP="001A75DA">
            <w:pPr>
              <w:jc w:val="center"/>
              <w:rPr>
                <w:rFonts w:cs="Arial"/>
                <w:color w:val="000000"/>
                <w:sz w:val="18"/>
              </w:rPr>
            </w:pPr>
            <w:r>
              <w:rPr>
                <w:rFonts w:cs="Arial"/>
                <w:color w:val="000000"/>
                <w:sz w:val="18"/>
              </w:rPr>
              <w:t>0.65</w:t>
            </w:r>
          </w:p>
        </w:tc>
      </w:tr>
      <w:tr w:rsidR="00143ABD" w:rsidTr="001A75DA">
        <w:trPr>
          <w:trHeight w:val="20"/>
          <w:jc w:val="center"/>
        </w:trPr>
        <w:tc>
          <w:tcPr>
            <w:tcW w:w="2947" w:type="dxa"/>
            <w:vAlign w:val="center"/>
          </w:tcPr>
          <w:p w:rsidR="00143ABD" w:rsidRPr="00E56236" w:rsidRDefault="00143ABD" w:rsidP="00143ABD">
            <w:pPr>
              <w:rPr>
                <w:rFonts w:cs="Arial"/>
                <w:sz w:val="18"/>
                <w:szCs w:val="18"/>
              </w:rPr>
            </w:pPr>
            <w:r>
              <w:rPr>
                <w:rFonts w:cs="Arial"/>
                <w:sz w:val="18"/>
                <w:szCs w:val="18"/>
              </w:rPr>
              <w:t>Small, Tier 2 (60, 75 gal.)</w:t>
            </w:r>
          </w:p>
        </w:tc>
        <w:tc>
          <w:tcPr>
            <w:tcW w:w="1732" w:type="dxa"/>
            <w:vAlign w:val="center"/>
          </w:tcPr>
          <w:p w:rsidR="00143ABD" w:rsidRPr="00E7102E" w:rsidRDefault="00143ABD" w:rsidP="001A75DA">
            <w:pPr>
              <w:jc w:val="center"/>
              <w:rPr>
                <w:rFonts w:cs="Arial"/>
                <w:sz w:val="18"/>
                <w:szCs w:val="18"/>
              </w:rPr>
            </w:pPr>
            <w:r>
              <w:rPr>
                <w:rFonts w:cs="Arial"/>
                <w:sz w:val="18"/>
                <w:szCs w:val="18"/>
              </w:rPr>
              <w:t>≤ 75</w:t>
            </w:r>
          </w:p>
        </w:tc>
        <w:tc>
          <w:tcPr>
            <w:tcW w:w="1081" w:type="dxa"/>
            <w:vAlign w:val="center"/>
          </w:tcPr>
          <w:p w:rsidR="00143ABD" w:rsidRPr="00E7102E" w:rsidRDefault="00143ABD" w:rsidP="001A75DA">
            <w:pPr>
              <w:jc w:val="center"/>
              <w:rPr>
                <w:rFonts w:cs="Arial"/>
                <w:sz w:val="18"/>
                <w:szCs w:val="18"/>
              </w:rPr>
            </w:pPr>
            <w:r>
              <w:rPr>
                <w:rFonts w:cs="Arial"/>
                <w:sz w:val="18"/>
                <w:szCs w:val="18"/>
              </w:rPr>
              <w:t>EF</w:t>
            </w:r>
          </w:p>
        </w:tc>
        <w:tc>
          <w:tcPr>
            <w:tcW w:w="2259" w:type="dxa"/>
            <w:vAlign w:val="center"/>
          </w:tcPr>
          <w:p w:rsidR="00143ABD" w:rsidRPr="00C82CF9" w:rsidRDefault="00143ABD" w:rsidP="001A75DA">
            <w:pPr>
              <w:jc w:val="center"/>
              <w:rPr>
                <w:rFonts w:cs="Arial"/>
                <w:color w:val="000000"/>
                <w:sz w:val="18"/>
              </w:rPr>
            </w:pPr>
            <w:r>
              <w:rPr>
                <w:rFonts w:cs="Arial"/>
                <w:color w:val="000000"/>
                <w:sz w:val="18"/>
              </w:rPr>
              <w:t>0.67-(0.0019*V)</w:t>
            </w:r>
          </w:p>
        </w:tc>
        <w:tc>
          <w:tcPr>
            <w:tcW w:w="1341" w:type="dxa"/>
            <w:vAlign w:val="center"/>
          </w:tcPr>
          <w:p w:rsidR="00143ABD" w:rsidRPr="00C82CF9" w:rsidRDefault="00143ABD" w:rsidP="00143ABD">
            <w:pPr>
              <w:jc w:val="center"/>
              <w:rPr>
                <w:rFonts w:cs="Arial"/>
                <w:color w:val="000000"/>
                <w:sz w:val="18"/>
              </w:rPr>
            </w:pPr>
            <w:r>
              <w:rPr>
                <w:rFonts w:cs="Arial"/>
                <w:color w:val="000000"/>
                <w:sz w:val="18"/>
              </w:rPr>
              <w:t>0.66</w:t>
            </w:r>
          </w:p>
        </w:tc>
      </w:tr>
      <w:tr w:rsidR="00143ABD" w:rsidTr="001A75DA">
        <w:trPr>
          <w:trHeight w:val="20"/>
          <w:jc w:val="center"/>
        </w:trPr>
        <w:tc>
          <w:tcPr>
            <w:tcW w:w="2947" w:type="dxa"/>
            <w:vAlign w:val="center"/>
          </w:tcPr>
          <w:p w:rsidR="00143ABD" w:rsidRPr="00E56236" w:rsidRDefault="00143ABD" w:rsidP="001A75DA">
            <w:pPr>
              <w:rPr>
                <w:rFonts w:cs="Arial"/>
                <w:sz w:val="18"/>
                <w:szCs w:val="18"/>
              </w:rPr>
            </w:pPr>
            <w:r>
              <w:rPr>
                <w:rFonts w:cs="Arial"/>
                <w:sz w:val="18"/>
                <w:szCs w:val="18"/>
              </w:rPr>
              <w:t>Small, Tier 3</w:t>
            </w:r>
          </w:p>
        </w:tc>
        <w:tc>
          <w:tcPr>
            <w:tcW w:w="1732" w:type="dxa"/>
            <w:vAlign w:val="center"/>
          </w:tcPr>
          <w:p w:rsidR="00143ABD" w:rsidRPr="00E7102E" w:rsidRDefault="00143ABD" w:rsidP="001A75DA">
            <w:pPr>
              <w:jc w:val="center"/>
              <w:rPr>
                <w:rFonts w:cs="Arial"/>
                <w:sz w:val="18"/>
                <w:szCs w:val="18"/>
              </w:rPr>
            </w:pPr>
            <w:r>
              <w:rPr>
                <w:rFonts w:cs="Arial"/>
                <w:sz w:val="18"/>
                <w:szCs w:val="18"/>
              </w:rPr>
              <w:t>≤ 75</w:t>
            </w:r>
          </w:p>
        </w:tc>
        <w:tc>
          <w:tcPr>
            <w:tcW w:w="1081" w:type="dxa"/>
            <w:vAlign w:val="center"/>
          </w:tcPr>
          <w:p w:rsidR="00143ABD" w:rsidRPr="00E7102E" w:rsidRDefault="00143ABD" w:rsidP="001A75DA">
            <w:pPr>
              <w:jc w:val="center"/>
              <w:rPr>
                <w:rFonts w:cs="Arial"/>
                <w:sz w:val="18"/>
                <w:szCs w:val="18"/>
              </w:rPr>
            </w:pPr>
            <w:r>
              <w:rPr>
                <w:rFonts w:cs="Arial"/>
                <w:sz w:val="18"/>
                <w:szCs w:val="18"/>
              </w:rPr>
              <w:t>EF</w:t>
            </w:r>
          </w:p>
        </w:tc>
        <w:tc>
          <w:tcPr>
            <w:tcW w:w="2259" w:type="dxa"/>
            <w:vAlign w:val="center"/>
          </w:tcPr>
          <w:p w:rsidR="00143ABD" w:rsidRPr="00C82CF9" w:rsidRDefault="00143ABD" w:rsidP="001A75DA">
            <w:pPr>
              <w:jc w:val="center"/>
              <w:rPr>
                <w:rFonts w:cs="Arial"/>
                <w:color w:val="000000"/>
                <w:sz w:val="18"/>
              </w:rPr>
            </w:pPr>
            <w:r>
              <w:rPr>
                <w:rFonts w:cs="Arial"/>
                <w:color w:val="000000"/>
                <w:sz w:val="18"/>
              </w:rPr>
              <w:t>0.67-(0.0019*V)</w:t>
            </w:r>
          </w:p>
        </w:tc>
        <w:tc>
          <w:tcPr>
            <w:tcW w:w="1341" w:type="dxa"/>
            <w:vAlign w:val="center"/>
          </w:tcPr>
          <w:p w:rsidR="00143ABD" w:rsidRPr="00C82CF9" w:rsidRDefault="00143ABD" w:rsidP="00143ABD">
            <w:pPr>
              <w:jc w:val="center"/>
              <w:rPr>
                <w:rFonts w:cs="Arial"/>
                <w:color w:val="000000"/>
                <w:sz w:val="18"/>
              </w:rPr>
            </w:pPr>
            <w:r>
              <w:rPr>
                <w:rFonts w:cs="Arial"/>
                <w:color w:val="000000"/>
                <w:sz w:val="18"/>
              </w:rPr>
              <w:t>0.70</w:t>
            </w:r>
          </w:p>
        </w:tc>
      </w:tr>
      <w:tr w:rsidR="00143ABD" w:rsidTr="009C360A">
        <w:trPr>
          <w:trHeight w:val="20"/>
          <w:jc w:val="center"/>
        </w:trPr>
        <w:tc>
          <w:tcPr>
            <w:tcW w:w="2947" w:type="dxa"/>
          </w:tcPr>
          <w:p w:rsidR="00143ABD" w:rsidRPr="00E56236" w:rsidRDefault="00143ABD" w:rsidP="00E56236">
            <w:pPr>
              <w:rPr>
                <w:rFonts w:cs="Arial"/>
                <w:sz w:val="18"/>
                <w:szCs w:val="18"/>
              </w:rPr>
            </w:pPr>
            <w:r>
              <w:rPr>
                <w:rFonts w:cs="Arial"/>
                <w:sz w:val="18"/>
                <w:szCs w:val="18"/>
              </w:rPr>
              <w:t>Large, Tier 1 (non-condensing)</w:t>
            </w:r>
          </w:p>
        </w:tc>
        <w:tc>
          <w:tcPr>
            <w:tcW w:w="1732" w:type="dxa"/>
            <w:vAlign w:val="center"/>
          </w:tcPr>
          <w:p w:rsidR="00143ABD" w:rsidRPr="00E56236" w:rsidRDefault="00143ABD" w:rsidP="00E56236">
            <w:pPr>
              <w:jc w:val="center"/>
              <w:rPr>
                <w:rFonts w:cs="Arial"/>
                <w:sz w:val="18"/>
                <w:szCs w:val="18"/>
              </w:rPr>
            </w:pPr>
            <w:r>
              <w:rPr>
                <w:rFonts w:cs="Arial"/>
                <w:sz w:val="18"/>
                <w:szCs w:val="18"/>
              </w:rPr>
              <w:t xml:space="preserve">&gt; </w:t>
            </w:r>
            <w:r w:rsidRPr="00E56236">
              <w:rPr>
                <w:rFonts w:cs="Arial"/>
                <w:sz w:val="18"/>
                <w:szCs w:val="18"/>
              </w:rPr>
              <w:t>75</w:t>
            </w:r>
          </w:p>
        </w:tc>
        <w:tc>
          <w:tcPr>
            <w:tcW w:w="1081" w:type="dxa"/>
            <w:vAlign w:val="center"/>
          </w:tcPr>
          <w:p w:rsidR="00143ABD" w:rsidRPr="00E7102E" w:rsidRDefault="00143ABD" w:rsidP="00E56236">
            <w:pPr>
              <w:jc w:val="center"/>
              <w:rPr>
                <w:rFonts w:cs="Arial"/>
                <w:sz w:val="18"/>
                <w:szCs w:val="18"/>
              </w:rPr>
            </w:pPr>
            <w:r>
              <w:rPr>
                <w:rFonts w:cs="Arial"/>
                <w:sz w:val="18"/>
                <w:szCs w:val="18"/>
              </w:rPr>
              <w:t>TE</w:t>
            </w:r>
          </w:p>
        </w:tc>
        <w:tc>
          <w:tcPr>
            <w:tcW w:w="2259" w:type="dxa"/>
            <w:vAlign w:val="center"/>
          </w:tcPr>
          <w:p w:rsidR="00143ABD" w:rsidRPr="00C82CF9" w:rsidRDefault="00143ABD" w:rsidP="00E56236">
            <w:pPr>
              <w:jc w:val="center"/>
              <w:rPr>
                <w:rFonts w:cs="Arial"/>
                <w:color w:val="000000"/>
                <w:sz w:val="18"/>
              </w:rPr>
            </w:pPr>
            <w:r w:rsidRPr="00C82CF9">
              <w:rPr>
                <w:rFonts w:cs="Arial"/>
                <w:color w:val="000000"/>
                <w:sz w:val="18"/>
              </w:rPr>
              <w:t>80%</w:t>
            </w:r>
          </w:p>
        </w:tc>
        <w:tc>
          <w:tcPr>
            <w:tcW w:w="1341" w:type="dxa"/>
            <w:vAlign w:val="center"/>
          </w:tcPr>
          <w:p w:rsidR="00143ABD" w:rsidRPr="00C82CF9" w:rsidRDefault="00143ABD" w:rsidP="00E56236">
            <w:pPr>
              <w:jc w:val="center"/>
              <w:rPr>
                <w:rFonts w:cs="Arial"/>
                <w:color w:val="000000"/>
                <w:sz w:val="18"/>
              </w:rPr>
            </w:pPr>
            <w:r w:rsidRPr="00C82CF9">
              <w:rPr>
                <w:rFonts w:cs="Arial"/>
                <w:color w:val="000000"/>
                <w:sz w:val="18"/>
              </w:rPr>
              <w:t>8</w:t>
            </w:r>
            <w:r>
              <w:rPr>
                <w:rFonts w:cs="Arial"/>
                <w:color w:val="000000"/>
                <w:sz w:val="18"/>
              </w:rPr>
              <w:t>3</w:t>
            </w:r>
            <w:r w:rsidRPr="00C82CF9">
              <w:rPr>
                <w:rFonts w:cs="Arial"/>
                <w:color w:val="000000"/>
                <w:sz w:val="18"/>
              </w:rPr>
              <w:t>%</w:t>
            </w:r>
          </w:p>
        </w:tc>
      </w:tr>
      <w:tr w:rsidR="00143ABD" w:rsidTr="009C360A">
        <w:trPr>
          <w:trHeight w:val="20"/>
          <w:jc w:val="center"/>
        </w:trPr>
        <w:tc>
          <w:tcPr>
            <w:tcW w:w="2947" w:type="dxa"/>
          </w:tcPr>
          <w:p w:rsidR="00143ABD" w:rsidRPr="00E56236" w:rsidRDefault="00143ABD" w:rsidP="00E56236">
            <w:pPr>
              <w:rPr>
                <w:rFonts w:cs="Arial"/>
                <w:sz w:val="18"/>
                <w:szCs w:val="18"/>
              </w:rPr>
            </w:pPr>
            <w:r>
              <w:rPr>
                <w:rFonts w:cs="Arial"/>
                <w:sz w:val="18"/>
                <w:szCs w:val="18"/>
              </w:rPr>
              <w:t>Large, Tier 2 (condensing)</w:t>
            </w:r>
          </w:p>
        </w:tc>
        <w:tc>
          <w:tcPr>
            <w:tcW w:w="1732" w:type="dxa"/>
            <w:vAlign w:val="center"/>
          </w:tcPr>
          <w:p w:rsidR="00143ABD" w:rsidRPr="00E7102E" w:rsidRDefault="00143ABD" w:rsidP="00E56236">
            <w:pPr>
              <w:jc w:val="center"/>
              <w:rPr>
                <w:rFonts w:cs="Arial"/>
                <w:sz w:val="18"/>
                <w:szCs w:val="18"/>
              </w:rPr>
            </w:pPr>
            <w:r>
              <w:rPr>
                <w:rFonts w:cs="Arial"/>
                <w:sz w:val="18"/>
                <w:szCs w:val="18"/>
              </w:rPr>
              <w:t>&gt; 75</w:t>
            </w:r>
          </w:p>
        </w:tc>
        <w:tc>
          <w:tcPr>
            <w:tcW w:w="1081" w:type="dxa"/>
            <w:vAlign w:val="center"/>
          </w:tcPr>
          <w:p w:rsidR="00143ABD" w:rsidRPr="00E7102E" w:rsidRDefault="00143ABD" w:rsidP="00E56236">
            <w:pPr>
              <w:jc w:val="center"/>
              <w:rPr>
                <w:rFonts w:cs="Arial"/>
                <w:sz w:val="18"/>
                <w:szCs w:val="18"/>
              </w:rPr>
            </w:pPr>
            <w:r>
              <w:rPr>
                <w:rFonts w:cs="Arial"/>
                <w:sz w:val="18"/>
                <w:szCs w:val="18"/>
              </w:rPr>
              <w:t>TE</w:t>
            </w:r>
          </w:p>
        </w:tc>
        <w:tc>
          <w:tcPr>
            <w:tcW w:w="2259" w:type="dxa"/>
            <w:vAlign w:val="center"/>
          </w:tcPr>
          <w:p w:rsidR="00143ABD" w:rsidRPr="00C82CF9" w:rsidRDefault="00143ABD" w:rsidP="00E56236">
            <w:pPr>
              <w:jc w:val="center"/>
              <w:rPr>
                <w:rFonts w:cs="Arial"/>
                <w:color w:val="000000"/>
                <w:sz w:val="18"/>
              </w:rPr>
            </w:pPr>
            <w:r w:rsidRPr="00C82CF9">
              <w:rPr>
                <w:rFonts w:cs="Arial"/>
                <w:color w:val="000000"/>
                <w:sz w:val="18"/>
              </w:rPr>
              <w:t>80%</w:t>
            </w:r>
          </w:p>
        </w:tc>
        <w:tc>
          <w:tcPr>
            <w:tcW w:w="1341" w:type="dxa"/>
            <w:vAlign w:val="center"/>
          </w:tcPr>
          <w:p w:rsidR="00143ABD" w:rsidRPr="00C82CF9" w:rsidRDefault="00143ABD" w:rsidP="00E56236">
            <w:pPr>
              <w:jc w:val="center"/>
              <w:rPr>
                <w:rFonts w:cs="Arial"/>
                <w:color w:val="000000"/>
                <w:sz w:val="18"/>
              </w:rPr>
            </w:pPr>
            <w:r>
              <w:rPr>
                <w:rFonts w:cs="Arial"/>
                <w:color w:val="000000"/>
                <w:sz w:val="18"/>
              </w:rPr>
              <w:t>90</w:t>
            </w:r>
            <w:r w:rsidRPr="00C82CF9">
              <w:rPr>
                <w:rFonts w:cs="Arial"/>
                <w:color w:val="000000"/>
                <w:sz w:val="18"/>
              </w:rPr>
              <w:t>%</w:t>
            </w:r>
          </w:p>
        </w:tc>
      </w:tr>
    </w:tbl>
    <w:p w:rsidR="008F0ABF" w:rsidRDefault="009C360A" w:rsidP="00E56236">
      <w:pPr>
        <w:pStyle w:val="Vertical"/>
        <w:jc w:val="left"/>
      </w:pPr>
      <w:r>
        <w:t>V is the rated volume in gallons</w:t>
      </w:r>
      <w:r w:rsidR="008F1C98">
        <w:t>.</w:t>
      </w:r>
    </w:p>
    <w:p w:rsidR="00146557" w:rsidRPr="00146557" w:rsidRDefault="00146557" w:rsidP="00146557">
      <w:pPr>
        <w:pStyle w:val="Vertical"/>
      </w:pPr>
    </w:p>
    <w:p w:rsidR="009D5B6C" w:rsidRDefault="00E52FD5" w:rsidP="00CA1EEB">
      <w:pPr>
        <w:pStyle w:val="WPPR1"/>
      </w:pPr>
      <w:r>
        <w:t xml:space="preserve">Storage Water Heater </w:t>
      </w:r>
      <w:r w:rsidR="00E56236">
        <w:t>Efficiencies</w:t>
      </w:r>
      <w:r w:rsidR="009D5B6C">
        <w:t xml:space="preserve"> in CEC Database</w:t>
      </w:r>
      <w:r w:rsidR="00E56236">
        <w:t xml:space="preserve">.  </w:t>
      </w:r>
    </w:p>
    <w:p w:rsidR="00884825" w:rsidRDefault="00800A09" w:rsidP="00F10506">
      <w:pPr>
        <w:pStyle w:val="PR2"/>
      </w:pPr>
      <w:r>
        <w:lastRenderedPageBreak/>
        <w:t xml:space="preserve">Table 3 </w:t>
      </w:r>
      <w:r w:rsidR="008F0ABF">
        <w:t xml:space="preserve">shows the range of </w:t>
      </w:r>
      <w:r w:rsidR="00E52FD5">
        <w:t>storage water heater</w:t>
      </w:r>
      <w:r w:rsidR="008F0ABF">
        <w:t xml:space="preserve"> efficiencies found in the CEC Appliance Database</w:t>
      </w:r>
      <w:r w:rsidR="007D3F02">
        <w:rPr>
          <w:highlight w:val="yellow"/>
        </w:rPr>
        <w:fldChar w:fldCharType="begin"/>
      </w:r>
      <w:r w:rsidR="00CA1EEB">
        <w:instrText xml:space="preserve"> NOTEREF _Ref320696611 \f \h </w:instrText>
      </w:r>
      <w:r w:rsidR="007D3F02">
        <w:rPr>
          <w:highlight w:val="yellow"/>
        </w:rPr>
      </w:r>
      <w:r w:rsidR="007D3F02">
        <w:rPr>
          <w:highlight w:val="yellow"/>
        </w:rPr>
        <w:fldChar w:fldCharType="separate"/>
      </w:r>
      <w:r w:rsidR="00563751" w:rsidRPr="00563751">
        <w:rPr>
          <w:rStyle w:val="EndnoteReference"/>
        </w:rPr>
        <w:t>5</w:t>
      </w:r>
      <w:r w:rsidR="007D3F02">
        <w:rPr>
          <w:highlight w:val="yellow"/>
        </w:rPr>
        <w:fldChar w:fldCharType="end"/>
      </w:r>
      <w:r w:rsidR="008F0ABF">
        <w:t xml:space="preserve">.  </w:t>
      </w:r>
      <w:r w:rsidR="00435117">
        <w:t xml:space="preserve">No small storage water heaters with 75-gallon tank volume </w:t>
      </w:r>
      <w:r w:rsidR="008F0ABF">
        <w:t xml:space="preserve">were found that met the </w:t>
      </w:r>
      <w:r w:rsidR="00F91328">
        <w:t>DEER 2011</w:t>
      </w:r>
      <w:r w:rsidR="008F0ABF">
        <w:t xml:space="preserve"> qualifying efficiency standard</w:t>
      </w:r>
      <w:r w:rsidR="00435117">
        <w:t xml:space="preserve">.  </w:t>
      </w:r>
    </w:p>
    <w:p w:rsidR="00884825" w:rsidRDefault="00884825" w:rsidP="00F10506">
      <w:pPr>
        <w:pStyle w:val="Vertical"/>
      </w:pPr>
    </w:p>
    <w:p w:rsidR="008F0ABF" w:rsidRPr="00DA636A" w:rsidRDefault="00E52FD5" w:rsidP="00DA636A">
      <w:pPr>
        <w:pStyle w:val="TBL"/>
      </w:pPr>
      <w:bookmarkStart w:id="43" w:name="_Toc319421664"/>
      <w:bookmarkStart w:id="44" w:name="_Toc321313065"/>
      <w:r w:rsidRPr="00DA636A">
        <w:t xml:space="preserve">Storage Water Heater </w:t>
      </w:r>
      <w:r w:rsidR="008F0ABF" w:rsidRPr="00DA636A">
        <w:t>Efficiency Ranges from California Energy Commission A</w:t>
      </w:r>
      <w:r w:rsidR="008F0ABF" w:rsidRPr="00DA636A">
        <w:t>p</w:t>
      </w:r>
      <w:r w:rsidR="008F0ABF" w:rsidRPr="00DA636A">
        <w:t>pliance Efficiency Database</w:t>
      </w:r>
      <w:bookmarkEnd w:id="43"/>
      <w:r w:rsidR="007D3F02" w:rsidRPr="001131B7">
        <w:rPr>
          <w:highlight w:val="yellow"/>
          <w:vertAlign w:val="superscript"/>
        </w:rPr>
        <w:fldChar w:fldCharType="begin"/>
      </w:r>
      <w:r w:rsidR="00CA1EEB" w:rsidRPr="001131B7">
        <w:rPr>
          <w:vertAlign w:val="superscript"/>
        </w:rPr>
        <w:instrText xml:space="preserve"> NOTEREF _Ref320696611 \f \h </w:instrText>
      </w:r>
      <w:r w:rsidR="001131B7">
        <w:rPr>
          <w:highlight w:val="yellow"/>
          <w:vertAlign w:val="superscript"/>
        </w:rPr>
        <w:instrText xml:space="preserve"> \* MERGEFORMAT </w:instrText>
      </w:r>
      <w:r w:rsidR="007D3F02" w:rsidRPr="001131B7">
        <w:rPr>
          <w:highlight w:val="yellow"/>
          <w:vertAlign w:val="superscript"/>
        </w:rPr>
      </w:r>
      <w:r w:rsidR="007D3F02" w:rsidRPr="001131B7">
        <w:rPr>
          <w:highlight w:val="yellow"/>
          <w:vertAlign w:val="superscript"/>
        </w:rPr>
        <w:fldChar w:fldCharType="separate"/>
      </w:r>
      <w:r w:rsidR="00563751" w:rsidRPr="00563751">
        <w:rPr>
          <w:rStyle w:val="EndnoteReference"/>
        </w:rPr>
        <w:t>5</w:t>
      </w:r>
      <w:bookmarkEnd w:id="44"/>
      <w:r w:rsidR="007D3F02" w:rsidRPr="001131B7">
        <w:rPr>
          <w:highlight w:val="yellow"/>
          <w:vertAlign w:val="superscript"/>
        </w:rPr>
        <w:fldChar w:fldCharType="end"/>
      </w:r>
    </w:p>
    <w:tbl>
      <w:tblPr>
        <w:tblStyle w:val="TableGrid"/>
        <w:tblW w:w="9360" w:type="dxa"/>
        <w:jc w:val="center"/>
        <w:tblCellMar>
          <w:top w:w="43" w:type="dxa"/>
          <w:left w:w="115" w:type="dxa"/>
          <w:bottom w:w="43" w:type="dxa"/>
          <w:right w:w="115" w:type="dxa"/>
        </w:tblCellMar>
        <w:tblLook w:val="01E0"/>
      </w:tblPr>
      <w:tblGrid>
        <w:gridCol w:w="3420"/>
        <w:gridCol w:w="1800"/>
        <w:gridCol w:w="1620"/>
        <w:gridCol w:w="1324"/>
        <w:gridCol w:w="1196"/>
      </w:tblGrid>
      <w:tr w:rsidR="008F0ABF" w:rsidTr="00E56236">
        <w:trPr>
          <w:trHeight w:val="20"/>
          <w:jc w:val="center"/>
        </w:trPr>
        <w:tc>
          <w:tcPr>
            <w:tcW w:w="3420" w:type="dxa"/>
            <w:vAlign w:val="bottom"/>
          </w:tcPr>
          <w:p w:rsidR="008F0ABF" w:rsidRPr="00420887" w:rsidRDefault="008F0ABF" w:rsidP="00E56236">
            <w:pPr>
              <w:pStyle w:val="Normal1"/>
              <w:spacing w:after="0" w:line="240" w:lineRule="auto"/>
              <w:jc w:val="center"/>
              <w:rPr>
                <w:rFonts w:ascii="Arial" w:hAnsi="Arial" w:cs="Arial"/>
                <w:b/>
                <w:sz w:val="18"/>
                <w:szCs w:val="18"/>
              </w:rPr>
            </w:pPr>
            <w:r>
              <w:rPr>
                <w:rFonts w:ascii="Arial" w:hAnsi="Arial" w:cs="Arial"/>
                <w:b/>
                <w:sz w:val="18"/>
                <w:szCs w:val="18"/>
              </w:rPr>
              <w:t>Equipment Type</w:t>
            </w:r>
          </w:p>
        </w:tc>
        <w:tc>
          <w:tcPr>
            <w:tcW w:w="1800" w:type="dxa"/>
            <w:vAlign w:val="bottom"/>
          </w:tcPr>
          <w:p w:rsidR="008F0ABF" w:rsidRPr="00420887" w:rsidRDefault="008F0ABF" w:rsidP="00E56236">
            <w:pPr>
              <w:pStyle w:val="Normal1"/>
              <w:spacing w:after="0" w:line="240" w:lineRule="auto"/>
              <w:jc w:val="center"/>
              <w:rPr>
                <w:rFonts w:ascii="Arial" w:hAnsi="Arial" w:cs="Arial"/>
                <w:b/>
                <w:sz w:val="18"/>
                <w:szCs w:val="18"/>
              </w:rPr>
            </w:pPr>
            <w:r>
              <w:rPr>
                <w:rFonts w:ascii="Arial" w:hAnsi="Arial" w:cs="Arial"/>
                <w:b/>
                <w:sz w:val="18"/>
                <w:szCs w:val="18"/>
              </w:rPr>
              <w:t>Rated Input (</w:t>
            </w:r>
            <w:proofErr w:type="spellStart"/>
            <w:r>
              <w:rPr>
                <w:rFonts w:ascii="Arial" w:hAnsi="Arial" w:cs="Arial"/>
                <w:b/>
                <w:sz w:val="18"/>
                <w:szCs w:val="18"/>
              </w:rPr>
              <w:t>MBtu</w:t>
            </w:r>
            <w:proofErr w:type="spellEnd"/>
            <w:r>
              <w:rPr>
                <w:rFonts w:ascii="Arial" w:hAnsi="Arial" w:cs="Arial"/>
                <w:b/>
                <w:sz w:val="18"/>
                <w:szCs w:val="18"/>
              </w:rPr>
              <w:t>/hr)</w:t>
            </w:r>
          </w:p>
        </w:tc>
        <w:tc>
          <w:tcPr>
            <w:tcW w:w="1620" w:type="dxa"/>
            <w:vAlign w:val="bottom"/>
          </w:tcPr>
          <w:p w:rsidR="008F0ABF" w:rsidRPr="00420887" w:rsidRDefault="008F0ABF" w:rsidP="00E56236">
            <w:pPr>
              <w:pStyle w:val="Normal1"/>
              <w:spacing w:after="0" w:line="240" w:lineRule="auto"/>
              <w:jc w:val="center"/>
              <w:rPr>
                <w:rFonts w:ascii="Arial" w:hAnsi="Arial" w:cs="Arial"/>
                <w:b/>
                <w:sz w:val="18"/>
                <w:szCs w:val="18"/>
              </w:rPr>
            </w:pPr>
            <w:r>
              <w:rPr>
                <w:rFonts w:ascii="Arial" w:hAnsi="Arial" w:cs="Arial"/>
                <w:b/>
                <w:sz w:val="18"/>
                <w:szCs w:val="18"/>
              </w:rPr>
              <w:t>Efficiency Units</w:t>
            </w:r>
          </w:p>
        </w:tc>
        <w:tc>
          <w:tcPr>
            <w:tcW w:w="1324" w:type="dxa"/>
            <w:vAlign w:val="bottom"/>
          </w:tcPr>
          <w:p w:rsidR="008F0ABF" w:rsidRPr="00420887" w:rsidRDefault="008F0ABF" w:rsidP="00E56236">
            <w:pPr>
              <w:pStyle w:val="Normal1"/>
              <w:spacing w:after="0" w:line="240" w:lineRule="auto"/>
              <w:jc w:val="center"/>
              <w:rPr>
                <w:rFonts w:ascii="Arial" w:hAnsi="Arial" w:cs="Arial"/>
                <w:b/>
                <w:sz w:val="18"/>
                <w:szCs w:val="18"/>
              </w:rPr>
            </w:pPr>
            <w:r>
              <w:rPr>
                <w:rFonts w:ascii="Arial" w:hAnsi="Arial" w:cs="Arial"/>
                <w:b/>
                <w:sz w:val="18"/>
                <w:szCs w:val="18"/>
              </w:rPr>
              <w:t>Minimum Efficiency</w:t>
            </w:r>
          </w:p>
        </w:tc>
        <w:tc>
          <w:tcPr>
            <w:tcW w:w="1196" w:type="dxa"/>
            <w:vAlign w:val="bottom"/>
          </w:tcPr>
          <w:p w:rsidR="008F0ABF" w:rsidRPr="00420887" w:rsidRDefault="008F0ABF" w:rsidP="00E56236">
            <w:pPr>
              <w:pStyle w:val="Normal1"/>
              <w:spacing w:after="0" w:line="240" w:lineRule="auto"/>
              <w:jc w:val="center"/>
              <w:rPr>
                <w:rFonts w:ascii="Arial" w:hAnsi="Arial" w:cs="Arial"/>
                <w:b/>
                <w:sz w:val="18"/>
                <w:szCs w:val="18"/>
              </w:rPr>
            </w:pPr>
            <w:r>
              <w:rPr>
                <w:rFonts w:ascii="Arial" w:hAnsi="Arial" w:cs="Arial"/>
                <w:b/>
                <w:sz w:val="18"/>
                <w:szCs w:val="18"/>
              </w:rPr>
              <w:t>Maximum Efficiency</w:t>
            </w:r>
          </w:p>
        </w:tc>
      </w:tr>
      <w:tr w:rsidR="00435117" w:rsidTr="00E56236">
        <w:trPr>
          <w:trHeight w:val="20"/>
          <w:jc w:val="center"/>
        </w:trPr>
        <w:tc>
          <w:tcPr>
            <w:tcW w:w="3420" w:type="dxa"/>
            <w:vAlign w:val="center"/>
          </w:tcPr>
          <w:p w:rsidR="00435117" w:rsidRPr="00E56236" w:rsidRDefault="00435117" w:rsidP="00CF0E83">
            <w:pPr>
              <w:rPr>
                <w:rFonts w:cs="Arial"/>
                <w:sz w:val="18"/>
                <w:szCs w:val="18"/>
              </w:rPr>
            </w:pPr>
            <w:r>
              <w:rPr>
                <w:rFonts w:cs="Arial"/>
                <w:sz w:val="18"/>
                <w:szCs w:val="18"/>
              </w:rPr>
              <w:t>Small</w:t>
            </w:r>
          </w:p>
        </w:tc>
        <w:tc>
          <w:tcPr>
            <w:tcW w:w="1800" w:type="dxa"/>
            <w:vAlign w:val="center"/>
          </w:tcPr>
          <w:p w:rsidR="00435117" w:rsidRPr="00E7102E" w:rsidRDefault="00435117" w:rsidP="00435117">
            <w:pPr>
              <w:jc w:val="center"/>
              <w:rPr>
                <w:rFonts w:cs="Arial"/>
                <w:sz w:val="18"/>
                <w:szCs w:val="18"/>
              </w:rPr>
            </w:pPr>
            <w:r>
              <w:rPr>
                <w:rFonts w:cs="Arial"/>
                <w:sz w:val="18"/>
                <w:szCs w:val="18"/>
              </w:rPr>
              <w:t xml:space="preserve">30 </w:t>
            </w:r>
            <w:r w:rsidRPr="00E7102E">
              <w:rPr>
                <w:rFonts w:cs="Arial"/>
                <w:sz w:val="18"/>
                <w:szCs w:val="18"/>
              </w:rPr>
              <w:t xml:space="preserve">– </w:t>
            </w:r>
            <w:r>
              <w:rPr>
                <w:rFonts w:cs="Arial"/>
                <w:sz w:val="18"/>
                <w:szCs w:val="18"/>
              </w:rPr>
              <w:t>199</w:t>
            </w:r>
          </w:p>
        </w:tc>
        <w:tc>
          <w:tcPr>
            <w:tcW w:w="1620" w:type="dxa"/>
            <w:vAlign w:val="center"/>
          </w:tcPr>
          <w:p w:rsidR="00435117" w:rsidRPr="00E7102E" w:rsidRDefault="00435117" w:rsidP="00E56236">
            <w:pPr>
              <w:jc w:val="center"/>
              <w:rPr>
                <w:rFonts w:cs="Arial"/>
                <w:sz w:val="18"/>
                <w:szCs w:val="18"/>
              </w:rPr>
            </w:pPr>
            <w:r>
              <w:rPr>
                <w:rFonts w:cs="Arial"/>
                <w:sz w:val="18"/>
                <w:szCs w:val="18"/>
              </w:rPr>
              <w:t>EF</w:t>
            </w:r>
          </w:p>
        </w:tc>
        <w:tc>
          <w:tcPr>
            <w:tcW w:w="1324" w:type="dxa"/>
            <w:vAlign w:val="center"/>
          </w:tcPr>
          <w:p w:rsidR="00435117" w:rsidRPr="00E7102E" w:rsidRDefault="00435117" w:rsidP="00435117">
            <w:pPr>
              <w:jc w:val="center"/>
              <w:rPr>
                <w:rFonts w:cs="Arial"/>
                <w:sz w:val="18"/>
                <w:szCs w:val="18"/>
              </w:rPr>
            </w:pPr>
            <w:r>
              <w:rPr>
                <w:rFonts w:cs="Arial"/>
                <w:sz w:val="18"/>
                <w:szCs w:val="18"/>
              </w:rPr>
              <w:t>0.48</w:t>
            </w:r>
          </w:p>
        </w:tc>
        <w:tc>
          <w:tcPr>
            <w:tcW w:w="1196" w:type="dxa"/>
            <w:vAlign w:val="center"/>
          </w:tcPr>
          <w:p w:rsidR="00435117" w:rsidRPr="00E7102E" w:rsidRDefault="00435117" w:rsidP="00E56236">
            <w:pPr>
              <w:jc w:val="center"/>
              <w:rPr>
                <w:rFonts w:cs="Arial"/>
                <w:sz w:val="18"/>
                <w:szCs w:val="18"/>
              </w:rPr>
            </w:pPr>
            <w:r>
              <w:rPr>
                <w:rFonts w:cs="Arial"/>
                <w:sz w:val="18"/>
                <w:szCs w:val="18"/>
              </w:rPr>
              <w:t>0.90</w:t>
            </w:r>
          </w:p>
        </w:tc>
      </w:tr>
      <w:tr w:rsidR="00435117" w:rsidTr="00E56236">
        <w:trPr>
          <w:trHeight w:val="20"/>
          <w:jc w:val="center"/>
        </w:trPr>
        <w:tc>
          <w:tcPr>
            <w:tcW w:w="3420" w:type="dxa"/>
          </w:tcPr>
          <w:p w:rsidR="00435117" w:rsidRPr="00E56236" w:rsidRDefault="00435117" w:rsidP="00CF0E83">
            <w:pPr>
              <w:rPr>
                <w:rFonts w:cs="Arial"/>
                <w:sz w:val="18"/>
                <w:szCs w:val="18"/>
              </w:rPr>
            </w:pPr>
            <w:r>
              <w:rPr>
                <w:rFonts w:cs="Arial"/>
                <w:sz w:val="18"/>
                <w:szCs w:val="18"/>
              </w:rPr>
              <w:t>Large, Tier 1 (non-condensing)</w:t>
            </w:r>
          </w:p>
        </w:tc>
        <w:tc>
          <w:tcPr>
            <w:tcW w:w="1800" w:type="dxa"/>
            <w:vAlign w:val="center"/>
          </w:tcPr>
          <w:p w:rsidR="00435117" w:rsidRPr="00E7102E" w:rsidRDefault="00B405A6" w:rsidP="00B405A6">
            <w:pPr>
              <w:jc w:val="center"/>
              <w:rPr>
                <w:rFonts w:cs="Arial"/>
                <w:sz w:val="18"/>
                <w:szCs w:val="18"/>
              </w:rPr>
            </w:pPr>
            <w:r>
              <w:rPr>
                <w:rFonts w:cs="Arial"/>
                <w:sz w:val="18"/>
                <w:szCs w:val="18"/>
              </w:rPr>
              <w:t>75</w:t>
            </w:r>
            <w:r w:rsidR="00435117" w:rsidRPr="00E7102E">
              <w:rPr>
                <w:rFonts w:cs="Arial"/>
                <w:sz w:val="18"/>
                <w:szCs w:val="18"/>
              </w:rPr>
              <w:t xml:space="preserve"> – </w:t>
            </w:r>
            <w:r w:rsidR="00435117">
              <w:rPr>
                <w:rFonts w:cs="Arial"/>
                <w:sz w:val="18"/>
                <w:szCs w:val="18"/>
              </w:rPr>
              <w:t>2,</w:t>
            </w:r>
            <w:r>
              <w:rPr>
                <w:rFonts w:cs="Arial"/>
                <w:sz w:val="18"/>
                <w:szCs w:val="18"/>
              </w:rPr>
              <w:t>4</w:t>
            </w:r>
            <w:r w:rsidR="00435117">
              <w:rPr>
                <w:rFonts w:cs="Arial"/>
                <w:sz w:val="18"/>
                <w:szCs w:val="18"/>
              </w:rPr>
              <w:t>00</w:t>
            </w:r>
          </w:p>
        </w:tc>
        <w:tc>
          <w:tcPr>
            <w:tcW w:w="1620" w:type="dxa"/>
            <w:vAlign w:val="center"/>
          </w:tcPr>
          <w:p w:rsidR="00435117" w:rsidRPr="00E7102E" w:rsidRDefault="00435117" w:rsidP="00E56236">
            <w:pPr>
              <w:jc w:val="center"/>
              <w:rPr>
                <w:rFonts w:cs="Arial"/>
                <w:sz w:val="18"/>
                <w:szCs w:val="18"/>
              </w:rPr>
            </w:pPr>
            <w:r>
              <w:rPr>
                <w:rFonts w:cs="Arial"/>
                <w:sz w:val="18"/>
                <w:szCs w:val="18"/>
              </w:rPr>
              <w:t>TE</w:t>
            </w:r>
          </w:p>
        </w:tc>
        <w:tc>
          <w:tcPr>
            <w:tcW w:w="1324" w:type="dxa"/>
            <w:vAlign w:val="center"/>
          </w:tcPr>
          <w:p w:rsidR="00435117" w:rsidRPr="00C6353F" w:rsidRDefault="00B405A6" w:rsidP="00E56236">
            <w:pPr>
              <w:jc w:val="center"/>
              <w:rPr>
                <w:rFonts w:cs="Arial"/>
                <w:color w:val="000000"/>
                <w:sz w:val="18"/>
              </w:rPr>
            </w:pPr>
            <w:r>
              <w:rPr>
                <w:rFonts w:cs="Arial"/>
                <w:color w:val="000000"/>
                <w:sz w:val="18"/>
              </w:rPr>
              <w:t>8</w:t>
            </w:r>
            <w:r w:rsidR="00435117" w:rsidRPr="00C6353F">
              <w:rPr>
                <w:rFonts w:cs="Arial"/>
                <w:color w:val="000000"/>
                <w:sz w:val="18"/>
              </w:rPr>
              <w:t>0</w:t>
            </w:r>
            <w:r>
              <w:rPr>
                <w:rFonts w:cs="Arial"/>
                <w:color w:val="000000"/>
                <w:sz w:val="18"/>
              </w:rPr>
              <w:t>.0</w:t>
            </w:r>
            <w:r w:rsidR="00435117" w:rsidRPr="00C6353F">
              <w:rPr>
                <w:rFonts w:cs="Arial"/>
                <w:color w:val="000000"/>
                <w:sz w:val="18"/>
              </w:rPr>
              <w:t>%</w:t>
            </w:r>
          </w:p>
        </w:tc>
        <w:tc>
          <w:tcPr>
            <w:tcW w:w="1196" w:type="dxa"/>
            <w:vAlign w:val="center"/>
          </w:tcPr>
          <w:p w:rsidR="00435117" w:rsidRPr="00C6353F" w:rsidRDefault="00435117" w:rsidP="00B405A6">
            <w:pPr>
              <w:jc w:val="center"/>
              <w:rPr>
                <w:rFonts w:cs="Arial"/>
                <w:color w:val="000000"/>
                <w:sz w:val="18"/>
              </w:rPr>
            </w:pPr>
            <w:r w:rsidRPr="00C6353F">
              <w:rPr>
                <w:rFonts w:cs="Arial"/>
                <w:color w:val="000000"/>
                <w:sz w:val="18"/>
              </w:rPr>
              <w:t>8</w:t>
            </w:r>
            <w:r w:rsidR="00B405A6">
              <w:rPr>
                <w:rFonts w:cs="Arial"/>
                <w:color w:val="000000"/>
                <w:sz w:val="18"/>
              </w:rPr>
              <w:t>3.8</w:t>
            </w:r>
            <w:r w:rsidRPr="00C6353F">
              <w:rPr>
                <w:rFonts w:cs="Arial"/>
                <w:color w:val="000000"/>
                <w:sz w:val="18"/>
              </w:rPr>
              <w:t>%</w:t>
            </w:r>
          </w:p>
        </w:tc>
      </w:tr>
      <w:tr w:rsidR="00435117" w:rsidTr="00E56236">
        <w:trPr>
          <w:trHeight w:val="20"/>
          <w:jc w:val="center"/>
        </w:trPr>
        <w:tc>
          <w:tcPr>
            <w:tcW w:w="3420" w:type="dxa"/>
          </w:tcPr>
          <w:p w:rsidR="00435117" w:rsidRPr="00E56236" w:rsidRDefault="00435117" w:rsidP="00CF0E83">
            <w:pPr>
              <w:rPr>
                <w:rFonts w:cs="Arial"/>
                <w:sz w:val="18"/>
                <w:szCs w:val="18"/>
              </w:rPr>
            </w:pPr>
            <w:r>
              <w:rPr>
                <w:rFonts w:cs="Arial"/>
                <w:sz w:val="18"/>
                <w:szCs w:val="18"/>
              </w:rPr>
              <w:t>Large, Tier 2 (condensing)</w:t>
            </w:r>
          </w:p>
        </w:tc>
        <w:tc>
          <w:tcPr>
            <w:tcW w:w="1800" w:type="dxa"/>
            <w:vAlign w:val="center"/>
          </w:tcPr>
          <w:p w:rsidR="00435117" w:rsidRPr="00E7102E" w:rsidRDefault="00B405A6" w:rsidP="00B405A6">
            <w:pPr>
              <w:jc w:val="center"/>
              <w:rPr>
                <w:rFonts w:cs="Arial"/>
                <w:sz w:val="18"/>
                <w:szCs w:val="18"/>
              </w:rPr>
            </w:pPr>
            <w:r>
              <w:rPr>
                <w:rFonts w:cs="Arial"/>
                <w:sz w:val="18"/>
                <w:szCs w:val="18"/>
              </w:rPr>
              <w:t>76</w:t>
            </w:r>
            <w:r w:rsidR="00435117" w:rsidRPr="00E7102E">
              <w:rPr>
                <w:rFonts w:cs="Arial"/>
                <w:sz w:val="18"/>
                <w:szCs w:val="18"/>
              </w:rPr>
              <w:t xml:space="preserve"> – </w:t>
            </w:r>
            <w:r>
              <w:rPr>
                <w:rFonts w:cs="Arial"/>
                <w:sz w:val="18"/>
                <w:szCs w:val="18"/>
              </w:rPr>
              <w:t>399</w:t>
            </w:r>
          </w:p>
        </w:tc>
        <w:tc>
          <w:tcPr>
            <w:tcW w:w="1620" w:type="dxa"/>
            <w:vAlign w:val="center"/>
          </w:tcPr>
          <w:p w:rsidR="00435117" w:rsidRPr="00E7102E" w:rsidRDefault="00435117" w:rsidP="00E56236">
            <w:pPr>
              <w:jc w:val="center"/>
              <w:rPr>
                <w:rFonts w:cs="Arial"/>
                <w:sz w:val="18"/>
                <w:szCs w:val="18"/>
              </w:rPr>
            </w:pPr>
            <w:r>
              <w:rPr>
                <w:rFonts w:cs="Arial"/>
                <w:sz w:val="18"/>
                <w:szCs w:val="18"/>
              </w:rPr>
              <w:t>TE</w:t>
            </w:r>
          </w:p>
        </w:tc>
        <w:tc>
          <w:tcPr>
            <w:tcW w:w="1324" w:type="dxa"/>
            <w:vAlign w:val="center"/>
          </w:tcPr>
          <w:p w:rsidR="00435117" w:rsidRPr="00C6353F" w:rsidRDefault="00B405A6" w:rsidP="00B405A6">
            <w:pPr>
              <w:jc w:val="center"/>
              <w:rPr>
                <w:rFonts w:cs="Arial"/>
                <w:color w:val="000000"/>
                <w:sz w:val="18"/>
              </w:rPr>
            </w:pPr>
            <w:r>
              <w:rPr>
                <w:rFonts w:cs="Arial"/>
                <w:color w:val="000000"/>
                <w:sz w:val="18"/>
              </w:rPr>
              <w:t>86.9</w:t>
            </w:r>
            <w:r w:rsidR="00435117" w:rsidRPr="00C6353F">
              <w:rPr>
                <w:rFonts w:cs="Arial"/>
                <w:color w:val="000000"/>
                <w:sz w:val="18"/>
              </w:rPr>
              <w:t>%</w:t>
            </w:r>
          </w:p>
        </w:tc>
        <w:tc>
          <w:tcPr>
            <w:tcW w:w="1196" w:type="dxa"/>
            <w:vAlign w:val="center"/>
          </w:tcPr>
          <w:p w:rsidR="00435117" w:rsidRPr="00C6353F" w:rsidRDefault="00B405A6" w:rsidP="00B405A6">
            <w:pPr>
              <w:jc w:val="center"/>
              <w:rPr>
                <w:rFonts w:cs="Arial"/>
                <w:color w:val="000000"/>
                <w:sz w:val="18"/>
              </w:rPr>
            </w:pPr>
            <w:r>
              <w:rPr>
                <w:rFonts w:cs="Arial"/>
                <w:color w:val="000000"/>
                <w:sz w:val="18"/>
              </w:rPr>
              <w:t>99.0</w:t>
            </w:r>
            <w:r w:rsidR="00435117" w:rsidRPr="00C6353F">
              <w:rPr>
                <w:rFonts w:cs="Arial"/>
                <w:color w:val="000000"/>
                <w:sz w:val="18"/>
              </w:rPr>
              <w:t>%</w:t>
            </w:r>
          </w:p>
        </w:tc>
      </w:tr>
    </w:tbl>
    <w:p w:rsidR="008F0ABF" w:rsidRDefault="008F0ABF" w:rsidP="008F0ABF">
      <w:pPr>
        <w:pStyle w:val="Vertical"/>
      </w:pPr>
    </w:p>
    <w:p w:rsidR="00B12705" w:rsidRDefault="00E56236" w:rsidP="008F0ABF">
      <w:pPr>
        <w:pStyle w:val="WPPR1"/>
      </w:pPr>
      <w:r w:rsidRPr="00CF0E83">
        <w:t>Standard Efficiencies.</w:t>
      </w:r>
      <w:r>
        <w:t xml:space="preserve">  </w:t>
      </w:r>
    </w:p>
    <w:p w:rsidR="008F0ABF" w:rsidRDefault="008F0ABF" w:rsidP="00B12705">
      <w:pPr>
        <w:pStyle w:val="PR2"/>
      </w:pPr>
      <w:r w:rsidRPr="003E4CDC">
        <w:t>T</w:t>
      </w:r>
      <w:r>
        <w:t xml:space="preserve">able </w:t>
      </w:r>
      <w:r w:rsidR="00800A09">
        <w:t>4</w:t>
      </w:r>
      <w:r>
        <w:t xml:space="preserve"> lists the </w:t>
      </w:r>
      <w:r w:rsidRPr="00BA170E">
        <w:t>California Titles 20 and 24 standards</w:t>
      </w:r>
      <w:r w:rsidR="00DA636A">
        <w:t xml:space="preserve"> </w:t>
      </w:r>
      <w:r w:rsidR="00642EC1">
        <w:t xml:space="preserve">for water heaters having a rated input in </w:t>
      </w:r>
      <w:proofErr w:type="spellStart"/>
      <w:r w:rsidR="00642EC1">
        <w:t>MBtu</w:t>
      </w:r>
      <w:proofErr w:type="spellEnd"/>
      <w:r w:rsidR="00642EC1">
        <w:t>/hr which is less than 4 times the rated volume in gallons (</w:t>
      </w:r>
      <w:r w:rsidR="00FC5ACD">
        <w:t xml:space="preserve">that is, the rated </w:t>
      </w:r>
      <w:r w:rsidR="00642EC1">
        <w:t xml:space="preserve">input to volume ratio </w:t>
      </w:r>
      <w:r w:rsidR="00FC5ACD">
        <w:t>is less than</w:t>
      </w:r>
      <w:r w:rsidR="00642EC1">
        <w:t xml:space="preserve"> 4,000 Btu/ga</w:t>
      </w:r>
      <w:r w:rsidR="00642EC1" w:rsidRPr="009C360A">
        <w:t>l)</w:t>
      </w:r>
      <w:r w:rsidRPr="009C360A">
        <w:t xml:space="preserve">.  </w:t>
      </w:r>
      <w:r w:rsidR="009C360A" w:rsidRPr="009C360A">
        <w:t>Al</w:t>
      </w:r>
      <w:r w:rsidRPr="009C360A">
        <w:t xml:space="preserve">so, the efficiencies </w:t>
      </w:r>
      <w:r w:rsidR="00CF3A8F">
        <w:t xml:space="preserve">of the storage water heaters </w:t>
      </w:r>
      <w:r w:rsidRPr="009C360A">
        <w:t>found in the CEC Appliance Database all meet these standards.</w:t>
      </w:r>
      <w:r>
        <w:t xml:space="preserve">  </w:t>
      </w:r>
    </w:p>
    <w:p w:rsidR="00642EC1" w:rsidRDefault="00642EC1" w:rsidP="008F0ABF">
      <w:pPr>
        <w:pStyle w:val="Vertical"/>
      </w:pPr>
    </w:p>
    <w:p w:rsidR="008F0ABF" w:rsidRPr="00DA636A" w:rsidRDefault="008F0ABF" w:rsidP="00F10506">
      <w:pPr>
        <w:pStyle w:val="TBL"/>
        <w:keepNext/>
      </w:pPr>
      <w:bookmarkStart w:id="45" w:name="_Toc319421665"/>
      <w:bookmarkStart w:id="46" w:name="_Toc321313066"/>
      <w:r w:rsidRPr="00DA636A">
        <w:t>California Title 20 and 24 Gas Appliance Standards</w:t>
      </w:r>
      <w:bookmarkEnd w:id="45"/>
      <w:r w:rsidR="007D3F02" w:rsidRPr="0021125B">
        <w:rPr>
          <w:highlight w:val="yellow"/>
          <w:vertAlign w:val="superscript"/>
        </w:rPr>
        <w:fldChar w:fldCharType="begin"/>
      </w:r>
      <w:r w:rsidR="00DF468C" w:rsidRPr="0021125B">
        <w:rPr>
          <w:vertAlign w:val="superscript"/>
        </w:rPr>
        <w:instrText xml:space="preserve"> NOTEREF _Ref320695554 \f \h </w:instrText>
      </w:r>
      <w:r w:rsidR="00F147ED" w:rsidRPr="0021125B">
        <w:rPr>
          <w:highlight w:val="yellow"/>
          <w:vertAlign w:val="superscript"/>
        </w:rPr>
        <w:instrText xml:space="preserve"> \* MERGEFORMAT </w:instrText>
      </w:r>
      <w:r w:rsidR="007D3F02" w:rsidRPr="0021125B">
        <w:rPr>
          <w:highlight w:val="yellow"/>
          <w:vertAlign w:val="superscript"/>
        </w:rPr>
      </w:r>
      <w:r w:rsidR="007D3F02" w:rsidRPr="0021125B">
        <w:rPr>
          <w:highlight w:val="yellow"/>
          <w:vertAlign w:val="superscript"/>
        </w:rPr>
        <w:fldChar w:fldCharType="separate"/>
      </w:r>
      <w:r w:rsidR="00563751" w:rsidRPr="0021125B">
        <w:rPr>
          <w:rStyle w:val="EndnoteReference"/>
        </w:rPr>
        <w:t>1</w:t>
      </w:r>
      <w:r w:rsidR="007D3F02" w:rsidRPr="0021125B">
        <w:rPr>
          <w:highlight w:val="yellow"/>
          <w:vertAlign w:val="superscript"/>
        </w:rPr>
        <w:fldChar w:fldCharType="end"/>
      </w:r>
      <w:r w:rsidR="00DF468C" w:rsidRPr="0021125B">
        <w:rPr>
          <w:vertAlign w:val="superscript"/>
        </w:rPr>
        <w:t>,</w:t>
      </w:r>
      <w:fldSimple w:instr=" NOTEREF _Ref320695579 \f \h  \* MERGEFORMAT ">
        <w:r w:rsidR="00563751" w:rsidRPr="00F10506">
          <w:rPr>
            <w:vertAlign w:val="superscript"/>
          </w:rPr>
          <w:t>2</w:t>
        </w:r>
        <w:bookmarkEnd w:id="46"/>
      </w:fldSimple>
    </w:p>
    <w:tbl>
      <w:tblPr>
        <w:tblStyle w:val="TableGrid"/>
        <w:tblW w:w="9590" w:type="dxa"/>
        <w:jc w:val="center"/>
        <w:tblCellMar>
          <w:top w:w="43" w:type="dxa"/>
          <w:left w:w="115" w:type="dxa"/>
          <w:bottom w:w="43" w:type="dxa"/>
          <w:right w:w="115" w:type="dxa"/>
        </w:tblCellMar>
        <w:tblLook w:val="01E0"/>
      </w:tblPr>
      <w:tblGrid>
        <w:gridCol w:w="2455"/>
        <w:gridCol w:w="1260"/>
        <w:gridCol w:w="1439"/>
        <w:gridCol w:w="1081"/>
        <w:gridCol w:w="1530"/>
        <w:gridCol w:w="1825"/>
      </w:tblGrid>
      <w:tr w:rsidR="00E363EC" w:rsidTr="00E363EC">
        <w:trPr>
          <w:trHeight w:val="20"/>
          <w:jc w:val="center"/>
        </w:trPr>
        <w:tc>
          <w:tcPr>
            <w:tcW w:w="2455" w:type="dxa"/>
            <w:vAlign w:val="bottom"/>
          </w:tcPr>
          <w:p w:rsidR="00E363EC" w:rsidRPr="00420887" w:rsidRDefault="00E363EC" w:rsidP="00E56236">
            <w:pPr>
              <w:pStyle w:val="Normal1"/>
              <w:spacing w:after="0" w:line="240" w:lineRule="auto"/>
              <w:jc w:val="center"/>
              <w:rPr>
                <w:rFonts w:ascii="Arial" w:hAnsi="Arial" w:cs="Arial"/>
                <w:b/>
                <w:sz w:val="18"/>
                <w:szCs w:val="18"/>
              </w:rPr>
            </w:pPr>
            <w:r>
              <w:rPr>
                <w:rFonts w:ascii="Arial" w:hAnsi="Arial" w:cs="Arial"/>
                <w:b/>
                <w:sz w:val="18"/>
                <w:szCs w:val="18"/>
              </w:rPr>
              <w:t>Equipment Type</w:t>
            </w:r>
          </w:p>
        </w:tc>
        <w:tc>
          <w:tcPr>
            <w:tcW w:w="1260" w:type="dxa"/>
            <w:vAlign w:val="bottom"/>
          </w:tcPr>
          <w:p w:rsidR="00E363EC" w:rsidRPr="00420887" w:rsidRDefault="00E363EC" w:rsidP="00E56236">
            <w:pPr>
              <w:pStyle w:val="Normal1"/>
              <w:spacing w:after="0" w:line="240" w:lineRule="auto"/>
              <w:jc w:val="center"/>
              <w:rPr>
                <w:rFonts w:ascii="Arial" w:hAnsi="Arial" w:cs="Arial"/>
                <w:b/>
                <w:sz w:val="18"/>
                <w:szCs w:val="18"/>
              </w:rPr>
            </w:pPr>
            <w:r>
              <w:rPr>
                <w:rFonts w:ascii="Arial" w:hAnsi="Arial" w:cs="Arial"/>
                <w:b/>
                <w:sz w:val="18"/>
                <w:szCs w:val="18"/>
              </w:rPr>
              <w:t>Rated Input (</w:t>
            </w:r>
            <w:proofErr w:type="spellStart"/>
            <w:r>
              <w:rPr>
                <w:rFonts w:ascii="Arial" w:hAnsi="Arial" w:cs="Arial"/>
                <w:b/>
                <w:sz w:val="18"/>
                <w:szCs w:val="18"/>
              </w:rPr>
              <w:t>MBtu</w:t>
            </w:r>
            <w:proofErr w:type="spellEnd"/>
            <w:r>
              <w:rPr>
                <w:rFonts w:ascii="Arial" w:hAnsi="Arial" w:cs="Arial"/>
                <w:b/>
                <w:sz w:val="18"/>
                <w:szCs w:val="18"/>
              </w:rPr>
              <w:t>/hr)</w:t>
            </w:r>
          </w:p>
        </w:tc>
        <w:tc>
          <w:tcPr>
            <w:tcW w:w="1439" w:type="dxa"/>
            <w:vAlign w:val="bottom"/>
          </w:tcPr>
          <w:p w:rsidR="00E363EC" w:rsidRPr="00420887" w:rsidRDefault="00E363EC" w:rsidP="00C95106">
            <w:pPr>
              <w:pStyle w:val="Normal1"/>
              <w:spacing w:after="0" w:line="240" w:lineRule="auto"/>
              <w:jc w:val="center"/>
              <w:rPr>
                <w:rFonts w:ascii="Arial" w:hAnsi="Arial" w:cs="Arial"/>
                <w:b/>
                <w:sz w:val="18"/>
                <w:szCs w:val="18"/>
              </w:rPr>
            </w:pPr>
            <w:r>
              <w:rPr>
                <w:rFonts w:ascii="Arial" w:hAnsi="Arial" w:cs="Arial"/>
                <w:b/>
                <w:sz w:val="18"/>
                <w:szCs w:val="18"/>
              </w:rPr>
              <w:t>Rated Volume (gal)</w:t>
            </w:r>
          </w:p>
        </w:tc>
        <w:tc>
          <w:tcPr>
            <w:tcW w:w="1081" w:type="dxa"/>
            <w:vAlign w:val="bottom"/>
          </w:tcPr>
          <w:p w:rsidR="00E363EC" w:rsidRPr="00420887" w:rsidRDefault="00E363EC" w:rsidP="00E56236">
            <w:pPr>
              <w:pStyle w:val="Normal1"/>
              <w:spacing w:after="0" w:line="240" w:lineRule="auto"/>
              <w:jc w:val="center"/>
              <w:rPr>
                <w:rFonts w:ascii="Arial" w:hAnsi="Arial" w:cs="Arial"/>
                <w:b/>
                <w:sz w:val="18"/>
                <w:szCs w:val="18"/>
              </w:rPr>
            </w:pPr>
            <w:r>
              <w:rPr>
                <w:rFonts w:ascii="Arial" w:hAnsi="Arial" w:cs="Arial"/>
                <w:b/>
                <w:sz w:val="18"/>
                <w:szCs w:val="18"/>
              </w:rPr>
              <w:t>Efficiency Units</w:t>
            </w:r>
          </w:p>
        </w:tc>
        <w:tc>
          <w:tcPr>
            <w:tcW w:w="1530" w:type="dxa"/>
            <w:vAlign w:val="bottom"/>
          </w:tcPr>
          <w:p w:rsidR="00E363EC" w:rsidRPr="00420887" w:rsidRDefault="00E363EC" w:rsidP="00CF0E83">
            <w:pPr>
              <w:pStyle w:val="Normal1"/>
              <w:spacing w:after="0" w:line="240" w:lineRule="auto"/>
              <w:jc w:val="center"/>
              <w:rPr>
                <w:rFonts w:ascii="Arial" w:hAnsi="Arial" w:cs="Arial"/>
                <w:b/>
                <w:sz w:val="18"/>
                <w:szCs w:val="18"/>
              </w:rPr>
            </w:pPr>
            <w:r>
              <w:rPr>
                <w:rFonts w:ascii="Arial" w:hAnsi="Arial" w:cs="Arial"/>
                <w:b/>
                <w:sz w:val="18"/>
                <w:szCs w:val="18"/>
              </w:rPr>
              <w:t>Minimum Eff</w:t>
            </w:r>
            <w:r>
              <w:rPr>
                <w:rFonts w:ascii="Arial" w:hAnsi="Arial" w:cs="Arial"/>
                <w:b/>
                <w:sz w:val="18"/>
                <w:szCs w:val="18"/>
              </w:rPr>
              <w:t>i</w:t>
            </w:r>
            <w:r>
              <w:rPr>
                <w:rFonts w:ascii="Arial" w:hAnsi="Arial" w:cs="Arial"/>
                <w:b/>
                <w:sz w:val="18"/>
                <w:szCs w:val="18"/>
              </w:rPr>
              <w:t>ciency</w:t>
            </w:r>
          </w:p>
        </w:tc>
        <w:tc>
          <w:tcPr>
            <w:tcW w:w="1825" w:type="dxa"/>
          </w:tcPr>
          <w:p w:rsidR="00E363EC" w:rsidRDefault="00E363EC" w:rsidP="00CF0E83">
            <w:pPr>
              <w:pStyle w:val="Normal1"/>
              <w:spacing w:after="0" w:line="240" w:lineRule="auto"/>
              <w:jc w:val="center"/>
              <w:rPr>
                <w:rFonts w:ascii="Arial" w:hAnsi="Arial" w:cs="Arial"/>
                <w:b/>
                <w:sz w:val="18"/>
                <w:szCs w:val="18"/>
              </w:rPr>
            </w:pPr>
            <w:r>
              <w:rPr>
                <w:rFonts w:ascii="Arial" w:hAnsi="Arial" w:cs="Arial"/>
                <w:b/>
                <w:sz w:val="18"/>
                <w:szCs w:val="18"/>
              </w:rPr>
              <w:t>Maximum Standby Loss (Btu/hr)</w:t>
            </w:r>
          </w:p>
        </w:tc>
      </w:tr>
      <w:tr w:rsidR="00E363EC" w:rsidTr="00E363EC">
        <w:trPr>
          <w:trHeight w:val="20"/>
          <w:jc w:val="center"/>
        </w:trPr>
        <w:tc>
          <w:tcPr>
            <w:tcW w:w="2455" w:type="dxa"/>
            <w:vAlign w:val="center"/>
          </w:tcPr>
          <w:p w:rsidR="00E363EC" w:rsidRPr="00420887" w:rsidRDefault="00E363EC" w:rsidP="00E56236">
            <w:pPr>
              <w:rPr>
                <w:rFonts w:cs="Arial"/>
                <w:sz w:val="18"/>
              </w:rPr>
            </w:pPr>
            <w:r>
              <w:rPr>
                <w:rFonts w:cs="Arial"/>
                <w:sz w:val="18"/>
                <w:szCs w:val="18"/>
              </w:rPr>
              <w:t>Small federally-regulated</w:t>
            </w:r>
          </w:p>
        </w:tc>
        <w:tc>
          <w:tcPr>
            <w:tcW w:w="1260" w:type="dxa"/>
            <w:vAlign w:val="center"/>
          </w:tcPr>
          <w:p w:rsidR="00E363EC" w:rsidRPr="00E7102E" w:rsidRDefault="00011BD0" w:rsidP="00E56236">
            <w:pPr>
              <w:jc w:val="center"/>
              <w:rPr>
                <w:rFonts w:cs="Arial"/>
                <w:sz w:val="18"/>
                <w:szCs w:val="18"/>
              </w:rPr>
            </w:pPr>
            <w:r>
              <w:rPr>
                <w:rFonts w:cs="Arial"/>
                <w:sz w:val="18"/>
                <w:szCs w:val="18"/>
              </w:rPr>
              <w:t>≤ 75</w:t>
            </w:r>
          </w:p>
        </w:tc>
        <w:tc>
          <w:tcPr>
            <w:tcW w:w="1439" w:type="dxa"/>
            <w:vAlign w:val="center"/>
          </w:tcPr>
          <w:p w:rsidR="00E363EC" w:rsidRPr="00E7102E" w:rsidRDefault="00E363EC" w:rsidP="00E363EC">
            <w:pPr>
              <w:jc w:val="center"/>
              <w:rPr>
                <w:rFonts w:cs="Arial"/>
                <w:sz w:val="18"/>
                <w:szCs w:val="18"/>
              </w:rPr>
            </w:pPr>
            <w:r>
              <w:rPr>
                <w:rFonts w:cs="Arial"/>
                <w:sz w:val="18"/>
                <w:szCs w:val="18"/>
              </w:rPr>
              <w:t>Unspecified</w:t>
            </w:r>
          </w:p>
        </w:tc>
        <w:tc>
          <w:tcPr>
            <w:tcW w:w="1081" w:type="dxa"/>
            <w:vAlign w:val="center"/>
          </w:tcPr>
          <w:p w:rsidR="00E363EC" w:rsidRPr="00E7102E" w:rsidRDefault="00E363EC" w:rsidP="00E56236">
            <w:pPr>
              <w:jc w:val="center"/>
              <w:rPr>
                <w:rFonts w:cs="Arial"/>
                <w:sz w:val="18"/>
                <w:szCs w:val="18"/>
              </w:rPr>
            </w:pPr>
            <w:r>
              <w:rPr>
                <w:rFonts w:cs="Arial"/>
                <w:sz w:val="18"/>
                <w:szCs w:val="18"/>
              </w:rPr>
              <w:t>EF</w:t>
            </w:r>
          </w:p>
        </w:tc>
        <w:tc>
          <w:tcPr>
            <w:tcW w:w="1530" w:type="dxa"/>
            <w:vAlign w:val="center"/>
          </w:tcPr>
          <w:p w:rsidR="00E363EC" w:rsidRPr="00C82CF9" w:rsidRDefault="00E363EC" w:rsidP="00E56236">
            <w:pPr>
              <w:jc w:val="center"/>
              <w:rPr>
                <w:rFonts w:cs="Arial"/>
                <w:color w:val="000000"/>
                <w:sz w:val="18"/>
              </w:rPr>
            </w:pPr>
            <w:r>
              <w:rPr>
                <w:rFonts w:cs="Arial"/>
                <w:color w:val="000000"/>
                <w:sz w:val="18"/>
              </w:rPr>
              <w:t>0.67-(0.0019*V)</w:t>
            </w:r>
          </w:p>
        </w:tc>
        <w:tc>
          <w:tcPr>
            <w:tcW w:w="1825" w:type="dxa"/>
          </w:tcPr>
          <w:p w:rsidR="00E363EC" w:rsidRDefault="00E363EC" w:rsidP="00E56236">
            <w:pPr>
              <w:jc w:val="center"/>
              <w:rPr>
                <w:rFonts w:cs="Arial"/>
                <w:color w:val="000000"/>
                <w:sz w:val="18"/>
              </w:rPr>
            </w:pPr>
          </w:p>
        </w:tc>
      </w:tr>
      <w:tr w:rsidR="00E363EC" w:rsidTr="00E363EC">
        <w:trPr>
          <w:trHeight w:val="20"/>
          <w:jc w:val="center"/>
        </w:trPr>
        <w:tc>
          <w:tcPr>
            <w:tcW w:w="2455" w:type="dxa"/>
            <w:vAlign w:val="center"/>
          </w:tcPr>
          <w:p w:rsidR="00E363EC" w:rsidRDefault="00E363EC" w:rsidP="00E56236">
            <w:pPr>
              <w:rPr>
                <w:rFonts w:cs="Arial"/>
                <w:sz w:val="18"/>
                <w:szCs w:val="18"/>
              </w:rPr>
            </w:pPr>
            <w:r>
              <w:rPr>
                <w:rFonts w:cs="Arial"/>
                <w:sz w:val="18"/>
                <w:szCs w:val="18"/>
              </w:rPr>
              <w:t>Small non-federal regulated</w:t>
            </w:r>
          </w:p>
        </w:tc>
        <w:tc>
          <w:tcPr>
            <w:tcW w:w="1260" w:type="dxa"/>
            <w:vAlign w:val="center"/>
          </w:tcPr>
          <w:p w:rsidR="00E363EC" w:rsidRPr="00E7102E" w:rsidRDefault="00E363EC" w:rsidP="00E56236">
            <w:pPr>
              <w:jc w:val="center"/>
              <w:rPr>
                <w:rFonts w:cs="Arial"/>
                <w:sz w:val="18"/>
                <w:szCs w:val="18"/>
              </w:rPr>
            </w:pPr>
            <w:r>
              <w:rPr>
                <w:rFonts w:cs="Arial"/>
                <w:sz w:val="18"/>
                <w:szCs w:val="18"/>
              </w:rPr>
              <w:t>≤ 75</w:t>
            </w:r>
          </w:p>
        </w:tc>
        <w:tc>
          <w:tcPr>
            <w:tcW w:w="1439" w:type="dxa"/>
            <w:vAlign w:val="center"/>
          </w:tcPr>
          <w:p w:rsidR="00E363EC" w:rsidRPr="00E7102E" w:rsidRDefault="00E363EC" w:rsidP="00E363EC">
            <w:pPr>
              <w:jc w:val="center"/>
              <w:rPr>
                <w:rFonts w:cs="Arial"/>
                <w:sz w:val="18"/>
                <w:szCs w:val="18"/>
              </w:rPr>
            </w:pPr>
            <w:r>
              <w:rPr>
                <w:rFonts w:cs="Arial"/>
                <w:sz w:val="18"/>
                <w:szCs w:val="18"/>
              </w:rPr>
              <w:t>&lt; 20</w:t>
            </w:r>
          </w:p>
        </w:tc>
        <w:tc>
          <w:tcPr>
            <w:tcW w:w="1081" w:type="dxa"/>
            <w:vAlign w:val="center"/>
          </w:tcPr>
          <w:p w:rsidR="00E363EC" w:rsidRPr="00E7102E" w:rsidRDefault="00E363EC" w:rsidP="00E56236">
            <w:pPr>
              <w:jc w:val="center"/>
              <w:rPr>
                <w:rFonts w:cs="Arial"/>
                <w:sz w:val="18"/>
                <w:szCs w:val="18"/>
              </w:rPr>
            </w:pPr>
            <w:r>
              <w:rPr>
                <w:rFonts w:cs="Arial"/>
                <w:sz w:val="18"/>
                <w:szCs w:val="18"/>
              </w:rPr>
              <w:t>EF</w:t>
            </w:r>
          </w:p>
        </w:tc>
        <w:tc>
          <w:tcPr>
            <w:tcW w:w="1530" w:type="dxa"/>
            <w:vAlign w:val="center"/>
          </w:tcPr>
          <w:p w:rsidR="00E363EC" w:rsidRPr="00C82CF9" w:rsidRDefault="00E363EC" w:rsidP="00C95106">
            <w:pPr>
              <w:jc w:val="center"/>
              <w:rPr>
                <w:rFonts w:cs="Arial"/>
                <w:color w:val="000000"/>
                <w:sz w:val="18"/>
              </w:rPr>
            </w:pPr>
            <w:r>
              <w:rPr>
                <w:rFonts w:cs="Arial"/>
                <w:color w:val="000000"/>
                <w:sz w:val="18"/>
              </w:rPr>
              <w:t>0.62-(0.0019*V)</w:t>
            </w:r>
          </w:p>
        </w:tc>
        <w:tc>
          <w:tcPr>
            <w:tcW w:w="1825" w:type="dxa"/>
          </w:tcPr>
          <w:p w:rsidR="00E363EC" w:rsidRDefault="00E363EC" w:rsidP="00C95106">
            <w:pPr>
              <w:jc w:val="center"/>
              <w:rPr>
                <w:rFonts w:cs="Arial"/>
                <w:color w:val="000000"/>
                <w:sz w:val="18"/>
              </w:rPr>
            </w:pPr>
          </w:p>
        </w:tc>
      </w:tr>
      <w:tr w:rsidR="00E363EC" w:rsidTr="00E363EC">
        <w:trPr>
          <w:trHeight w:val="20"/>
          <w:jc w:val="center"/>
        </w:trPr>
        <w:tc>
          <w:tcPr>
            <w:tcW w:w="2455" w:type="dxa"/>
          </w:tcPr>
          <w:p w:rsidR="00E363EC" w:rsidRPr="00420887" w:rsidRDefault="00E363EC" w:rsidP="00E56236">
            <w:pPr>
              <w:rPr>
                <w:rFonts w:cs="Arial"/>
                <w:sz w:val="18"/>
                <w:szCs w:val="18"/>
              </w:rPr>
            </w:pPr>
            <w:r>
              <w:rPr>
                <w:rFonts w:cs="Arial"/>
                <w:sz w:val="18"/>
                <w:szCs w:val="18"/>
              </w:rPr>
              <w:t>Small non-federal regulated</w:t>
            </w:r>
          </w:p>
        </w:tc>
        <w:tc>
          <w:tcPr>
            <w:tcW w:w="1260" w:type="dxa"/>
            <w:vAlign w:val="center"/>
          </w:tcPr>
          <w:p w:rsidR="00E363EC" w:rsidRPr="00E7102E" w:rsidRDefault="00E363EC" w:rsidP="00E56236">
            <w:pPr>
              <w:jc w:val="center"/>
              <w:rPr>
                <w:rFonts w:cs="Arial"/>
                <w:sz w:val="18"/>
                <w:szCs w:val="18"/>
              </w:rPr>
            </w:pPr>
            <w:r>
              <w:rPr>
                <w:rFonts w:cs="Arial"/>
                <w:sz w:val="18"/>
                <w:szCs w:val="18"/>
              </w:rPr>
              <w:t>≤ 75</w:t>
            </w:r>
          </w:p>
        </w:tc>
        <w:tc>
          <w:tcPr>
            <w:tcW w:w="1439" w:type="dxa"/>
            <w:vAlign w:val="center"/>
          </w:tcPr>
          <w:p w:rsidR="00E363EC" w:rsidRPr="00E7102E" w:rsidRDefault="00E363EC" w:rsidP="00E363EC">
            <w:pPr>
              <w:jc w:val="center"/>
              <w:rPr>
                <w:rFonts w:cs="Arial"/>
                <w:sz w:val="18"/>
                <w:szCs w:val="18"/>
              </w:rPr>
            </w:pPr>
            <w:r>
              <w:rPr>
                <w:rFonts w:cs="Arial"/>
                <w:sz w:val="18"/>
                <w:szCs w:val="18"/>
              </w:rPr>
              <w:t>&gt; 100</w:t>
            </w:r>
          </w:p>
        </w:tc>
        <w:tc>
          <w:tcPr>
            <w:tcW w:w="1081" w:type="dxa"/>
            <w:vAlign w:val="center"/>
          </w:tcPr>
          <w:p w:rsidR="00E363EC" w:rsidRPr="00E7102E" w:rsidRDefault="00E363EC" w:rsidP="00E56236">
            <w:pPr>
              <w:jc w:val="center"/>
              <w:rPr>
                <w:rFonts w:cs="Arial"/>
                <w:sz w:val="18"/>
                <w:szCs w:val="18"/>
              </w:rPr>
            </w:pPr>
            <w:r>
              <w:rPr>
                <w:rFonts w:cs="Arial"/>
                <w:sz w:val="18"/>
                <w:szCs w:val="18"/>
              </w:rPr>
              <w:t>EF</w:t>
            </w:r>
          </w:p>
        </w:tc>
        <w:tc>
          <w:tcPr>
            <w:tcW w:w="1530" w:type="dxa"/>
            <w:vAlign w:val="center"/>
          </w:tcPr>
          <w:p w:rsidR="00E363EC" w:rsidRPr="00C82CF9" w:rsidRDefault="00E363EC" w:rsidP="00C95106">
            <w:pPr>
              <w:jc w:val="center"/>
              <w:rPr>
                <w:rFonts w:cs="Arial"/>
                <w:color w:val="000000"/>
                <w:sz w:val="18"/>
              </w:rPr>
            </w:pPr>
            <w:r>
              <w:rPr>
                <w:rFonts w:cs="Arial"/>
                <w:color w:val="000000"/>
                <w:sz w:val="18"/>
              </w:rPr>
              <w:t>0.62-(0.0019*V)</w:t>
            </w:r>
          </w:p>
        </w:tc>
        <w:tc>
          <w:tcPr>
            <w:tcW w:w="1825" w:type="dxa"/>
          </w:tcPr>
          <w:p w:rsidR="00E363EC" w:rsidRDefault="00E363EC" w:rsidP="00C95106">
            <w:pPr>
              <w:jc w:val="center"/>
              <w:rPr>
                <w:rFonts w:cs="Arial"/>
                <w:color w:val="000000"/>
                <w:sz w:val="18"/>
              </w:rPr>
            </w:pPr>
          </w:p>
        </w:tc>
      </w:tr>
      <w:tr w:rsidR="00E363EC" w:rsidTr="00E363EC">
        <w:trPr>
          <w:trHeight w:val="20"/>
          <w:jc w:val="center"/>
        </w:trPr>
        <w:tc>
          <w:tcPr>
            <w:tcW w:w="2455" w:type="dxa"/>
          </w:tcPr>
          <w:p w:rsidR="00E363EC" w:rsidRPr="00420887" w:rsidRDefault="00E363EC" w:rsidP="00E56236">
            <w:pPr>
              <w:rPr>
                <w:rFonts w:cs="Arial"/>
                <w:sz w:val="18"/>
                <w:szCs w:val="18"/>
              </w:rPr>
            </w:pPr>
            <w:r>
              <w:rPr>
                <w:rFonts w:cs="Arial"/>
                <w:sz w:val="18"/>
                <w:szCs w:val="18"/>
              </w:rPr>
              <w:t>Large</w:t>
            </w:r>
          </w:p>
        </w:tc>
        <w:tc>
          <w:tcPr>
            <w:tcW w:w="1260" w:type="dxa"/>
            <w:vAlign w:val="center"/>
          </w:tcPr>
          <w:p w:rsidR="00E363EC" w:rsidRDefault="00E363EC" w:rsidP="00E363EC">
            <w:pPr>
              <w:jc w:val="center"/>
              <w:rPr>
                <w:rFonts w:cs="Arial"/>
                <w:sz w:val="18"/>
                <w:szCs w:val="18"/>
              </w:rPr>
            </w:pPr>
            <w:r>
              <w:rPr>
                <w:rFonts w:cs="Arial"/>
                <w:sz w:val="18"/>
                <w:szCs w:val="18"/>
              </w:rPr>
              <w:t>≤ 155</w:t>
            </w:r>
          </w:p>
        </w:tc>
        <w:tc>
          <w:tcPr>
            <w:tcW w:w="1439" w:type="dxa"/>
          </w:tcPr>
          <w:p w:rsidR="00E363EC" w:rsidRDefault="00E363EC" w:rsidP="00E56236">
            <w:pPr>
              <w:jc w:val="center"/>
              <w:rPr>
                <w:rFonts w:cs="Arial"/>
                <w:sz w:val="18"/>
                <w:szCs w:val="18"/>
              </w:rPr>
            </w:pPr>
            <w:r>
              <w:rPr>
                <w:rFonts w:cs="Arial"/>
                <w:sz w:val="18"/>
                <w:szCs w:val="18"/>
              </w:rPr>
              <w:t>Unspecified</w:t>
            </w:r>
          </w:p>
        </w:tc>
        <w:tc>
          <w:tcPr>
            <w:tcW w:w="1081" w:type="dxa"/>
            <w:vAlign w:val="center"/>
          </w:tcPr>
          <w:p w:rsidR="00E363EC" w:rsidRDefault="00E363EC" w:rsidP="00E56236">
            <w:pPr>
              <w:jc w:val="center"/>
              <w:rPr>
                <w:rFonts w:cs="Arial"/>
                <w:sz w:val="18"/>
                <w:szCs w:val="18"/>
              </w:rPr>
            </w:pPr>
            <w:r>
              <w:rPr>
                <w:rFonts w:cs="Arial"/>
                <w:sz w:val="18"/>
                <w:szCs w:val="18"/>
              </w:rPr>
              <w:t>TE</w:t>
            </w:r>
          </w:p>
        </w:tc>
        <w:tc>
          <w:tcPr>
            <w:tcW w:w="1530" w:type="dxa"/>
            <w:vAlign w:val="center"/>
          </w:tcPr>
          <w:p w:rsidR="00E363EC" w:rsidRDefault="00E363EC" w:rsidP="00E56236">
            <w:pPr>
              <w:jc w:val="center"/>
              <w:rPr>
                <w:rFonts w:cs="Arial"/>
                <w:color w:val="000000"/>
                <w:sz w:val="18"/>
              </w:rPr>
            </w:pPr>
            <w:r>
              <w:rPr>
                <w:rFonts w:cs="Arial"/>
                <w:color w:val="000000"/>
                <w:sz w:val="18"/>
              </w:rPr>
              <w:t>80%</w:t>
            </w:r>
          </w:p>
        </w:tc>
        <w:tc>
          <w:tcPr>
            <w:tcW w:w="1825" w:type="dxa"/>
          </w:tcPr>
          <w:p w:rsidR="00E363EC" w:rsidRDefault="00E363EC" w:rsidP="00E56236">
            <w:pPr>
              <w:jc w:val="center"/>
              <w:rPr>
                <w:rFonts w:cs="Arial"/>
                <w:color w:val="000000"/>
                <w:sz w:val="18"/>
              </w:rPr>
            </w:pPr>
            <w:r>
              <w:rPr>
                <w:rFonts w:cs="Arial"/>
                <w:color w:val="000000"/>
                <w:sz w:val="18"/>
              </w:rPr>
              <w:t>Q/800 + 110</w:t>
            </w:r>
            <w:r>
              <w:rPr>
                <w:rFonts w:cs="Arial"/>
                <w:color w:val="000000"/>
                <w:sz w:val="18"/>
              </w:rPr>
              <w:sym w:font="Symbol" w:char="F0D6"/>
            </w:r>
            <w:r>
              <w:rPr>
                <w:rFonts w:cs="Arial"/>
                <w:color w:val="000000"/>
                <w:sz w:val="18"/>
              </w:rPr>
              <w:t>V</w:t>
            </w:r>
          </w:p>
        </w:tc>
      </w:tr>
      <w:tr w:rsidR="00E363EC" w:rsidTr="00E363EC">
        <w:trPr>
          <w:trHeight w:val="20"/>
          <w:jc w:val="center"/>
        </w:trPr>
        <w:tc>
          <w:tcPr>
            <w:tcW w:w="2455" w:type="dxa"/>
          </w:tcPr>
          <w:p w:rsidR="00E363EC" w:rsidRPr="00420887" w:rsidRDefault="00E363EC" w:rsidP="00E56236">
            <w:pPr>
              <w:rPr>
                <w:rFonts w:cs="Arial"/>
                <w:sz w:val="18"/>
                <w:szCs w:val="18"/>
              </w:rPr>
            </w:pPr>
            <w:r>
              <w:rPr>
                <w:rFonts w:cs="Arial"/>
                <w:sz w:val="18"/>
                <w:szCs w:val="18"/>
              </w:rPr>
              <w:t>Large</w:t>
            </w:r>
          </w:p>
        </w:tc>
        <w:tc>
          <w:tcPr>
            <w:tcW w:w="1260" w:type="dxa"/>
            <w:vAlign w:val="center"/>
          </w:tcPr>
          <w:p w:rsidR="00E363EC" w:rsidRDefault="00E363EC" w:rsidP="00E56236">
            <w:pPr>
              <w:jc w:val="center"/>
              <w:rPr>
                <w:rFonts w:cs="Arial"/>
                <w:sz w:val="18"/>
                <w:szCs w:val="18"/>
              </w:rPr>
            </w:pPr>
            <w:r>
              <w:rPr>
                <w:rFonts w:cs="Arial"/>
                <w:sz w:val="18"/>
                <w:szCs w:val="18"/>
              </w:rPr>
              <w:t>&gt; 155</w:t>
            </w:r>
          </w:p>
        </w:tc>
        <w:tc>
          <w:tcPr>
            <w:tcW w:w="1439" w:type="dxa"/>
          </w:tcPr>
          <w:p w:rsidR="00E363EC" w:rsidRDefault="00E363EC" w:rsidP="00E56236">
            <w:pPr>
              <w:jc w:val="center"/>
              <w:rPr>
                <w:rFonts w:cs="Arial"/>
                <w:sz w:val="18"/>
                <w:szCs w:val="18"/>
              </w:rPr>
            </w:pPr>
            <w:r>
              <w:rPr>
                <w:rFonts w:cs="Arial"/>
                <w:sz w:val="18"/>
                <w:szCs w:val="18"/>
              </w:rPr>
              <w:t>Unspecified</w:t>
            </w:r>
          </w:p>
        </w:tc>
        <w:tc>
          <w:tcPr>
            <w:tcW w:w="1081" w:type="dxa"/>
            <w:vAlign w:val="center"/>
          </w:tcPr>
          <w:p w:rsidR="00E363EC" w:rsidRDefault="00E363EC" w:rsidP="00E56236">
            <w:pPr>
              <w:jc w:val="center"/>
              <w:rPr>
                <w:rFonts w:cs="Arial"/>
                <w:sz w:val="18"/>
                <w:szCs w:val="18"/>
              </w:rPr>
            </w:pPr>
            <w:r>
              <w:rPr>
                <w:rFonts w:cs="Arial"/>
                <w:sz w:val="18"/>
                <w:szCs w:val="18"/>
              </w:rPr>
              <w:t>TE</w:t>
            </w:r>
          </w:p>
        </w:tc>
        <w:tc>
          <w:tcPr>
            <w:tcW w:w="1530" w:type="dxa"/>
            <w:vAlign w:val="center"/>
          </w:tcPr>
          <w:p w:rsidR="00E363EC" w:rsidRDefault="00E363EC" w:rsidP="00E56236">
            <w:pPr>
              <w:jc w:val="center"/>
              <w:rPr>
                <w:rFonts w:cs="Arial"/>
                <w:color w:val="000000"/>
                <w:sz w:val="18"/>
              </w:rPr>
            </w:pPr>
            <w:r>
              <w:rPr>
                <w:rFonts w:cs="Arial"/>
                <w:color w:val="000000"/>
                <w:sz w:val="18"/>
              </w:rPr>
              <w:t>80%</w:t>
            </w:r>
          </w:p>
        </w:tc>
        <w:tc>
          <w:tcPr>
            <w:tcW w:w="1825" w:type="dxa"/>
          </w:tcPr>
          <w:p w:rsidR="00E363EC" w:rsidRDefault="00E363EC" w:rsidP="00E56236">
            <w:pPr>
              <w:jc w:val="center"/>
              <w:rPr>
                <w:rFonts w:cs="Arial"/>
                <w:color w:val="000000"/>
                <w:sz w:val="18"/>
              </w:rPr>
            </w:pPr>
            <w:r>
              <w:rPr>
                <w:rFonts w:cs="Arial"/>
                <w:color w:val="000000"/>
                <w:sz w:val="18"/>
              </w:rPr>
              <w:t>Q/800 + 110</w:t>
            </w:r>
            <w:r>
              <w:rPr>
                <w:rFonts w:cs="Arial"/>
                <w:color w:val="000000"/>
                <w:sz w:val="18"/>
              </w:rPr>
              <w:sym w:font="Symbol" w:char="F0D6"/>
            </w:r>
            <w:r>
              <w:rPr>
                <w:rFonts w:cs="Arial"/>
                <w:color w:val="000000"/>
                <w:sz w:val="18"/>
              </w:rPr>
              <w:t>V</w:t>
            </w:r>
          </w:p>
        </w:tc>
      </w:tr>
    </w:tbl>
    <w:p w:rsidR="008F0ABF" w:rsidRDefault="00E363EC" w:rsidP="00E363EC">
      <w:pPr>
        <w:pStyle w:val="Vertical"/>
        <w:jc w:val="left"/>
      </w:pPr>
      <w:r>
        <w:t>V is the rated volume in gallons; Q is the rated input is Btu/hr</w:t>
      </w:r>
    </w:p>
    <w:p w:rsidR="00146557" w:rsidRPr="00146557" w:rsidRDefault="00146557" w:rsidP="00146557">
      <w:pPr>
        <w:pStyle w:val="Vertical"/>
      </w:pPr>
    </w:p>
    <w:p w:rsidR="00B12705" w:rsidRDefault="00E56236" w:rsidP="008F0ABF">
      <w:pPr>
        <w:pStyle w:val="WPPR1"/>
      </w:pPr>
      <w:r>
        <w:t xml:space="preserve">Baseline and Measure Efficiencies.  </w:t>
      </w:r>
    </w:p>
    <w:p w:rsidR="008F0ABF" w:rsidRDefault="008F0ABF" w:rsidP="00B12705">
      <w:pPr>
        <w:pStyle w:val="PR2"/>
      </w:pPr>
      <w:r>
        <w:t xml:space="preserve">Table </w:t>
      </w:r>
      <w:r w:rsidR="00800A09">
        <w:t>5</w:t>
      </w:r>
      <w:r>
        <w:t xml:space="preserve"> lists the efficiency units and efficiency values recommended for </w:t>
      </w:r>
      <w:r w:rsidR="00E56236">
        <w:t>storage water heaters</w:t>
      </w:r>
      <w:r>
        <w:t xml:space="preserve">.  The minimum baseline efficiencies and efficiency units match the </w:t>
      </w:r>
      <w:r w:rsidRPr="00BA170E">
        <w:t xml:space="preserve">California Titles 20 and 24 </w:t>
      </w:r>
      <w:r w:rsidR="00DA636A" w:rsidRPr="00BA170E">
        <w:t>standards</w:t>
      </w:r>
      <w:fldSimple w:instr=" NOTEREF _Ref320695554 \f \h  \* MERGEFORMAT ">
        <w:r w:rsidR="00563751" w:rsidRPr="00F10506">
          <w:rPr>
            <w:vertAlign w:val="superscript"/>
          </w:rPr>
          <w:t>1</w:t>
        </w:r>
      </w:fldSimple>
      <w:proofErr w:type="gramStart"/>
      <w:r w:rsidR="005330BF" w:rsidRPr="0021125B">
        <w:rPr>
          <w:vertAlign w:val="superscript"/>
        </w:rPr>
        <w:t>,</w:t>
      </w:r>
      <w:proofErr w:type="gramEnd"/>
      <w:r w:rsidR="007D3F02">
        <w:fldChar w:fldCharType="begin"/>
      </w:r>
      <w:r w:rsidR="00165883">
        <w:instrText xml:space="preserve"> NOTEREF _Ref320695579 \f \h  \* MERGEFORMAT </w:instrText>
      </w:r>
      <w:r w:rsidR="007D3F02">
        <w:fldChar w:fldCharType="separate"/>
      </w:r>
      <w:r w:rsidR="00563751" w:rsidRPr="00F10506">
        <w:rPr>
          <w:vertAlign w:val="superscript"/>
        </w:rPr>
        <w:t>2</w:t>
      </w:r>
      <w:r w:rsidR="007D3F02">
        <w:fldChar w:fldCharType="end"/>
      </w:r>
      <w:r w:rsidR="00DA636A" w:rsidRPr="00FF283E">
        <w:t>.</w:t>
      </w:r>
      <w:r w:rsidR="00DA636A">
        <w:t xml:space="preserve">  </w:t>
      </w:r>
      <w:r>
        <w:t xml:space="preserve">The qualifying measure efficiencies have the following changes compared to the </w:t>
      </w:r>
      <w:r w:rsidR="009D5B6C">
        <w:t>DEER</w:t>
      </w:r>
      <w:r w:rsidR="006068F6">
        <w:t xml:space="preserve"> </w:t>
      </w:r>
      <w:r w:rsidR="009D5B6C">
        <w:t>2011</w:t>
      </w:r>
      <w:r w:rsidR="0021125B" w:rsidRPr="008445D3">
        <w:rPr>
          <w:vertAlign w:val="superscript"/>
        </w:rPr>
        <w:t>4</w:t>
      </w:r>
      <w:r w:rsidR="00006C52">
        <w:t>:</w:t>
      </w:r>
      <w:r>
        <w:t xml:space="preserve">  </w:t>
      </w:r>
    </w:p>
    <w:p w:rsidR="00CF3A8F" w:rsidRDefault="00CF3A8F" w:rsidP="00CF3A8F">
      <w:pPr>
        <w:pStyle w:val="WPPR3"/>
      </w:pPr>
      <w:r>
        <w:t xml:space="preserve">The small storage water heater minimum energy factor (EF) has been changed from a fixed value of 0.62 to a calculated value of 0.73-(0.0019*V), where </w:t>
      </w:r>
      <w:r w:rsidRPr="006B2690">
        <w:t>Volume (V) is the rated storage volume in gallons</w:t>
      </w:r>
      <w:r>
        <w:t xml:space="preserve">.  This formula is analogous to the formula used in </w:t>
      </w:r>
      <w:r w:rsidRPr="006B2690">
        <w:t xml:space="preserve">the California Titles 20 and 24 </w:t>
      </w:r>
      <w:r>
        <w:t xml:space="preserve">standards </w:t>
      </w:r>
      <w:r w:rsidRPr="006B2690">
        <w:t>effective January 20, 2004</w:t>
      </w:r>
      <w:fldSimple w:instr=" NOTEREF _Ref320695554 \f \h  \* MERGEFORMAT ">
        <w:r w:rsidR="00563751" w:rsidRPr="00F10506">
          <w:rPr>
            <w:vertAlign w:val="superscript"/>
          </w:rPr>
          <w:t>1</w:t>
        </w:r>
      </w:fldSimple>
      <w:proofErr w:type="gramStart"/>
      <w:r w:rsidR="005330BF" w:rsidRPr="0021125B">
        <w:rPr>
          <w:vertAlign w:val="superscript"/>
        </w:rPr>
        <w:t>,</w:t>
      </w:r>
      <w:proofErr w:type="gramEnd"/>
      <w:r w:rsidR="007D3F02">
        <w:fldChar w:fldCharType="begin"/>
      </w:r>
      <w:r w:rsidR="00165883">
        <w:instrText xml:space="preserve"> NOTEREF _Ref320695579 \f \h  \* MERGEFORMAT </w:instrText>
      </w:r>
      <w:r w:rsidR="007D3F02">
        <w:fldChar w:fldCharType="separate"/>
      </w:r>
      <w:r w:rsidR="00563751" w:rsidRPr="00F10506">
        <w:rPr>
          <w:vertAlign w:val="superscript"/>
        </w:rPr>
        <w:t>2</w:t>
      </w:r>
      <w:r w:rsidR="007D3F02">
        <w:fldChar w:fldCharType="end"/>
      </w:r>
      <w:r w:rsidR="00DA636A">
        <w:t xml:space="preserve">, </w:t>
      </w:r>
      <w:r>
        <w:t>and it provides an energy factor</w:t>
      </w:r>
      <w:r w:rsidRPr="006B2690">
        <w:t xml:space="preserve"> that is </w:t>
      </w:r>
      <w:r w:rsidR="00143ABD">
        <w:t xml:space="preserve">uniformly </w:t>
      </w:r>
      <w:r w:rsidRPr="006B2690">
        <w:t xml:space="preserve">0.06 </w:t>
      </w:r>
      <w:r>
        <w:t xml:space="preserve">higher than the California standard.  This approach makes the energy savings more uniform across storage tank rated volumes and greatly increases the availability of qualifying equipment in across the full range of storage tank rated volumes from 30 to 75 gallons.  </w:t>
      </w:r>
    </w:p>
    <w:p w:rsidR="000862C0" w:rsidRDefault="000862C0" w:rsidP="000862C0">
      <w:pPr>
        <w:pStyle w:val="WPPR4"/>
      </w:pPr>
      <w:r>
        <w:t xml:space="preserve">Figure 1 shows that there are 27 30-gallon small storage water heaters with energy factor exceeding the calculated value of 0.673 (the standard is 0.613).  </w:t>
      </w:r>
    </w:p>
    <w:p w:rsidR="000862C0" w:rsidRDefault="000862C0" w:rsidP="000862C0">
      <w:pPr>
        <w:pStyle w:val="WPPR4"/>
      </w:pPr>
      <w:r>
        <w:t xml:space="preserve">Figure 2 shows that there are 94 40-gallon small storage water heaters with energy factor exceeding the calculated value of 0.654 (the standard is 0.594).  </w:t>
      </w:r>
    </w:p>
    <w:p w:rsidR="000862C0" w:rsidRDefault="000862C0" w:rsidP="000862C0">
      <w:pPr>
        <w:pStyle w:val="WPPR4"/>
      </w:pPr>
      <w:r>
        <w:lastRenderedPageBreak/>
        <w:t xml:space="preserve">Figure 3 shows that there are 132 50-gallon small storage water heaters with energy factor exceeding the calculated value of 0.635 (the standard is 0.575).  </w:t>
      </w:r>
    </w:p>
    <w:p w:rsidR="000862C0" w:rsidRDefault="000862C0" w:rsidP="000862C0">
      <w:pPr>
        <w:pStyle w:val="WPPR4"/>
      </w:pPr>
      <w:r>
        <w:t xml:space="preserve">Figure 4 shows that there are 29 60-gallon small storage water heaters with energy factor exceeding the calculated value of 0.616 (the standard is 0.556).  </w:t>
      </w:r>
    </w:p>
    <w:p w:rsidR="000862C0" w:rsidRDefault="000862C0" w:rsidP="000862C0">
      <w:pPr>
        <w:pStyle w:val="WPPR4"/>
      </w:pPr>
      <w:r>
        <w:t xml:space="preserve">Figure 5 shows that there are 23 75-gallon small storage water heaters with energy factor exceeding the calculated value of 0.588 (the standard is 0.528).  </w:t>
      </w:r>
    </w:p>
    <w:p w:rsidR="00CF3A8F" w:rsidRDefault="00CF3A8F" w:rsidP="00CF3A8F">
      <w:pPr>
        <w:pStyle w:val="WPPR3"/>
      </w:pPr>
      <w:r>
        <w:t>The large Tier 1 storage water heater minimum thermal efficiency (TE) is 83</w:t>
      </w:r>
      <w:r w:rsidR="0007541B">
        <w:t>%</w:t>
      </w:r>
      <w:r w:rsidR="0082641C">
        <w:t>; and the Tier 2</w:t>
      </w:r>
      <w:r w:rsidR="0082641C" w:rsidRPr="0082641C">
        <w:t xml:space="preserve"> </w:t>
      </w:r>
      <w:r w:rsidR="0082641C">
        <w:t xml:space="preserve">storage water heater minimum thermal efficiency is 90%, </w:t>
      </w:r>
      <w:r>
        <w:t xml:space="preserve">as seen in </w:t>
      </w:r>
      <w:r w:rsidR="0007541B">
        <w:t>DEER data</w:t>
      </w:r>
      <w:r>
        <w:t xml:space="preserve">.  </w:t>
      </w:r>
    </w:p>
    <w:p w:rsidR="00D07ED6" w:rsidRDefault="00D07ED6" w:rsidP="00D07ED6">
      <w:pPr>
        <w:pStyle w:val="WPPR4"/>
      </w:pPr>
      <w:r>
        <w:t xml:space="preserve">Figure 6 </w:t>
      </w:r>
      <w:proofErr w:type="gramStart"/>
      <w:r>
        <w:t>shows</w:t>
      </w:r>
      <w:proofErr w:type="gramEnd"/>
      <w:r>
        <w:t xml:space="preserve"> that there are 132 large non-condensing storage water heater models with thermal efficiency at or above 83%.  </w:t>
      </w:r>
    </w:p>
    <w:p w:rsidR="00884825" w:rsidRDefault="00D07ED6" w:rsidP="00F10506">
      <w:pPr>
        <w:pStyle w:val="WPPR4"/>
      </w:pPr>
      <w:r>
        <w:t xml:space="preserve">Figure 7 </w:t>
      </w:r>
      <w:proofErr w:type="gramStart"/>
      <w:r>
        <w:t>shows</w:t>
      </w:r>
      <w:proofErr w:type="gramEnd"/>
      <w:r>
        <w:t xml:space="preserve"> that there are 106 large condensing storage water heater models with thermal efficiency at or above 90%.  </w:t>
      </w:r>
    </w:p>
    <w:p w:rsidR="008F0ABF" w:rsidRDefault="008F0ABF" w:rsidP="008F0ABF">
      <w:pPr>
        <w:pStyle w:val="Vertical"/>
      </w:pPr>
    </w:p>
    <w:p w:rsidR="008F0ABF" w:rsidRPr="00DA636A" w:rsidRDefault="008F0ABF" w:rsidP="00DA636A">
      <w:pPr>
        <w:pStyle w:val="TBL"/>
      </w:pPr>
      <w:bookmarkStart w:id="47" w:name="_Toc319421666"/>
      <w:bookmarkStart w:id="48" w:name="_Toc321313067"/>
      <w:r w:rsidRPr="00DA636A">
        <w:t xml:space="preserve">Baseline and Qualifying Measure Efficiencies for </w:t>
      </w:r>
      <w:r w:rsidR="009C360A" w:rsidRPr="00DA636A">
        <w:t>Storage W</w:t>
      </w:r>
      <w:r w:rsidR="00E56236" w:rsidRPr="00DA636A">
        <w:t xml:space="preserve">ater </w:t>
      </w:r>
      <w:r w:rsidR="009C360A" w:rsidRPr="00DA636A">
        <w:t>H</w:t>
      </w:r>
      <w:r w:rsidR="00E56236" w:rsidRPr="00DA636A">
        <w:t>eaters</w:t>
      </w:r>
      <w:bookmarkEnd w:id="47"/>
      <w:bookmarkEnd w:id="48"/>
    </w:p>
    <w:tbl>
      <w:tblPr>
        <w:tblStyle w:val="TableGrid"/>
        <w:tblW w:w="9360" w:type="dxa"/>
        <w:jc w:val="center"/>
        <w:tblCellMar>
          <w:top w:w="43" w:type="dxa"/>
          <w:left w:w="115" w:type="dxa"/>
          <w:bottom w:w="43" w:type="dxa"/>
          <w:right w:w="115" w:type="dxa"/>
        </w:tblCellMar>
        <w:tblLook w:val="01E0"/>
      </w:tblPr>
      <w:tblGrid>
        <w:gridCol w:w="2790"/>
        <w:gridCol w:w="1260"/>
        <w:gridCol w:w="1260"/>
        <w:gridCol w:w="1980"/>
        <w:gridCol w:w="2070"/>
      </w:tblGrid>
      <w:tr w:rsidR="009C360A" w:rsidTr="009C360A">
        <w:trPr>
          <w:trHeight w:val="20"/>
          <w:jc w:val="center"/>
        </w:trPr>
        <w:tc>
          <w:tcPr>
            <w:tcW w:w="2790" w:type="dxa"/>
            <w:vAlign w:val="bottom"/>
          </w:tcPr>
          <w:p w:rsidR="009C360A" w:rsidRPr="00420887" w:rsidRDefault="009C360A" w:rsidP="001A75DA">
            <w:pPr>
              <w:pStyle w:val="Normal1"/>
              <w:spacing w:after="0" w:line="240" w:lineRule="auto"/>
              <w:jc w:val="center"/>
              <w:rPr>
                <w:rFonts w:ascii="Arial" w:hAnsi="Arial" w:cs="Arial"/>
                <w:b/>
                <w:sz w:val="18"/>
                <w:szCs w:val="18"/>
              </w:rPr>
            </w:pPr>
            <w:r>
              <w:rPr>
                <w:rFonts w:ascii="Arial" w:hAnsi="Arial" w:cs="Arial"/>
                <w:b/>
                <w:sz w:val="18"/>
                <w:szCs w:val="18"/>
              </w:rPr>
              <w:t>Equipment Type</w:t>
            </w:r>
          </w:p>
        </w:tc>
        <w:tc>
          <w:tcPr>
            <w:tcW w:w="1260" w:type="dxa"/>
            <w:vAlign w:val="bottom"/>
          </w:tcPr>
          <w:p w:rsidR="009C360A" w:rsidRPr="00420887" w:rsidRDefault="009C360A" w:rsidP="001A75DA">
            <w:pPr>
              <w:pStyle w:val="Normal1"/>
              <w:spacing w:after="0" w:line="240" w:lineRule="auto"/>
              <w:jc w:val="center"/>
              <w:rPr>
                <w:rFonts w:ascii="Arial" w:hAnsi="Arial" w:cs="Arial"/>
                <w:b/>
                <w:sz w:val="18"/>
                <w:szCs w:val="18"/>
              </w:rPr>
            </w:pPr>
            <w:r>
              <w:rPr>
                <w:rFonts w:ascii="Arial" w:hAnsi="Arial" w:cs="Arial"/>
                <w:b/>
                <w:sz w:val="18"/>
                <w:szCs w:val="18"/>
              </w:rPr>
              <w:t>Rated Input (</w:t>
            </w:r>
            <w:proofErr w:type="spellStart"/>
            <w:r>
              <w:rPr>
                <w:rFonts w:ascii="Arial" w:hAnsi="Arial" w:cs="Arial"/>
                <w:b/>
                <w:sz w:val="18"/>
                <w:szCs w:val="18"/>
              </w:rPr>
              <w:t>MBtu</w:t>
            </w:r>
            <w:proofErr w:type="spellEnd"/>
            <w:r>
              <w:rPr>
                <w:rFonts w:ascii="Arial" w:hAnsi="Arial" w:cs="Arial"/>
                <w:b/>
                <w:sz w:val="18"/>
                <w:szCs w:val="18"/>
              </w:rPr>
              <w:t>/hr)</w:t>
            </w:r>
          </w:p>
        </w:tc>
        <w:tc>
          <w:tcPr>
            <w:tcW w:w="1260" w:type="dxa"/>
            <w:vAlign w:val="bottom"/>
          </w:tcPr>
          <w:p w:rsidR="009C360A" w:rsidRPr="00420887" w:rsidRDefault="009C360A" w:rsidP="001A75DA">
            <w:pPr>
              <w:pStyle w:val="Normal1"/>
              <w:spacing w:after="0" w:line="240" w:lineRule="auto"/>
              <w:jc w:val="center"/>
              <w:rPr>
                <w:rFonts w:ascii="Arial" w:hAnsi="Arial" w:cs="Arial"/>
                <w:b/>
                <w:sz w:val="18"/>
                <w:szCs w:val="18"/>
              </w:rPr>
            </w:pPr>
            <w:r>
              <w:rPr>
                <w:rFonts w:ascii="Arial" w:hAnsi="Arial" w:cs="Arial"/>
                <w:b/>
                <w:sz w:val="18"/>
                <w:szCs w:val="18"/>
              </w:rPr>
              <w:t>Efficiency Units</w:t>
            </w:r>
          </w:p>
        </w:tc>
        <w:tc>
          <w:tcPr>
            <w:tcW w:w="1980" w:type="dxa"/>
            <w:vAlign w:val="bottom"/>
          </w:tcPr>
          <w:p w:rsidR="009C360A" w:rsidRPr="00420887" w:rsidRDefault="009C360A" w:rsidP="009C360A">
            <w:pPr>
              <w:pStyle w:val="Normal1"/>
              <w:spacing w:after="0" w:line="240" w:lineRule="auto"/>
              <w:jc w:val="center"/>
              <w:rPr>
                <w:rFonts w:ascii="Arial" w:hAnsi="Arial" w:cs="Arial"/>
                <w:b/>
                <w:sz w:val="18"/>
                <w:szCs w:val="18"/>
              </w:rPr>
            </w:pPr>
            <w:r>
              <w:rPr>
                <w:rFonts w:ascii="Arial" w:hAnsi="Arial" w:cs="Arial"/>
                <w:b/>
                <w:sz w:val="18"/>
                <w:szCs w:val="18"/>
              </w:rPr>
              <w:t>Base Efficiency</w:t>
            </w:r>
          </w:p>
        </w:tc>
        <w:tc>
          <w:tcPr>
            <w:tcW w:w="2070" w:type="dxa"/>
            <w:vAlign w:val="bottom"/>
          </w:tcPr>
          <w:p w:rsidR="009C360A" w:rsidRPr="00420887" w:rsidRDefault="009C360A" w:rsidP="001A75DA">
            <w:pPr>
              <w:pStyle w:val="Normal1"/>
              <w:spacing w:after="0" w:line="240" w:lineRule="auto"/>
              <w:jc w:val="center"/>
              <w:rPr>
                <w:rFonts w:ascii="Arial" w:hAnsi="Arial" w:cs="Arial"/>
                <w:b/>
                <w:sz w:val="18"/>
                <w:szCs w:val="18"/>
              </w:rPr>
            </w:pPr>
            <w:r>
              <w:rPr>
                <w:rFonts w:ascii="Arial" w:hAnsi="Arial" w:cs="Arial"/>
                <w:b/>
                <w:sz w:val="18"/>
                <w:szCs w:val="18"/>
              </w:rPr>
              <w:t>Qualifying Efficiency</w:t>
            </w:r>
          </w:p>
        </w:tc>
      </w:tr>
      <w:tr w:rsidR="009C360A" w:rsidTr="009C360A">
        <w:trPr>
          <w:trHeight w:val="20"/>
          <w:jc w:val="center"/>
        </w:trPr>
        <w:tc>
          <w:tcPr>
            <w:tcW w:w="2790" w:type="dxa"/>
            <w:vAlign w:val="center"/>
          </w:tcPr>
          <w:p w:rsidR="009C360A" w:rsidRPr="009F48F6" w:rsidRDefault="009C360A" w:rsidP="001A75DA">
            <w:pPr>
              <w:rPr>
                <w:rFonts w:cs="Arial"/>
                <w:sz w:val="18"/>
                <w:szCs w:val="18"/>
              </w:rPr>
            </w:pPr>
            <w:r w:rsidRPr="009F48F6">
              <w:rPr>
                <w:rFonts w:cs="Arial"/>
                <w:sz w:val="18"/>
                <w:szCs w:val="18"/>
              </w:rPr>
              <w:t>Small</w:t>
            </w:r>
            <w:r w:rsidR="00310F01" w:rsidRPr="009F48F6">
              <w:rPr>
                <w:rFonts w:cs="Arial"/>
                <w:sz w:val="18"/>
                <w:szCs w:val="18"/>
              </w:rPr>
              <w:t xml:space="preserve"> (30-75 gallon)</w:t>
            </w:r>
          </w:p>
        </w:tc>
        <w:tc>
          <w:tcPr>
            <w:tcW w:w="1260" w:type="dxa"/>
            <w:vAlign w:val="center"/>
          </w:tcPr>
          <w:p w:rsidR="009C360A" w:rsidRPr="009F48F6" w:rsidRDefault="009C360A" w:rsidP="001A75DA">
            <w:pPr>
              <w:overflowPunct w:val="0"/>
              <w:autoSpaceDE w:val="0"/>
              <w:autoSpaceDN w:val="0"/>
              <w:adjustRightInd w:val="0"/>
              <w:spacing w:after="120" w:line="360" w:lineRule="atLeast"/>
              <w:jc w:val="center"/>
              <w:textAlignment w:val="baseline"/>
              <w:rPr>
                <w:rFonts w:cs="Arial"/>
                <w:sz w:val="18"/>
                <w:szCs w:val="18"/>
              </w:rPr>
            </w:pPr>
            <w:r w:rsidRPr="009F48F6">
              <w:rPr>
                <w:rFonts w:cs="Arial" w:hint="eastAsia"/>
                <w:sz w:val="18"/>
                <w:szCs w:val="18"/>
              </w:rPr>
              <w:t>≤</w:t>
            </w:r>
            <w:r w:rsidRPr="009F48F6">
              <w:rPr>
                <w:rFonts w:cs="Arial"/>
                <w:sz w:val="18"/>
                <w:szCs w:val="18"/>
              </w:rPr>
              <w:t xml:space="preserve"> 75</w:t>
            </w:r>
          </w:p>
        </w:tc>
        <w:tc>
          <w:tcPr>
            <w:tcW w:w="1260" w:type="dxa"/>
            <w:vAlign w:val="center"/>
          </w:tcPr>
          <w:p w:rsidR="009C360A" w:rsidRPr="009F48F6" w:rsidRDefault="009C360A" w:rsidP="001A75DA">
            <w:pPr>
              <w:overflowPunct w:val="0"/>
              <w:autoSpaceDE w:val="0"/>
              <w:autoSpaceDN w:val="0"/>
              <w:adjustRightInd w:val="0"/>
              <w:spacing w:after="120" w:line="360" w:lineRule="atLeast"/>
              <w:jc w:val="center"/>
              <w:textAlignment w:val="baseline"/>
              <w:rPr>
                <w:rFonts w:cs="Arial"/>
                <w:sz w:val="18"/>
                <w:szCs w:val="18"/>
              </w:rPr>
            </w:pPr>
            <w:r w:rsidRPr="009F48F6">
              <w:rPr>
                <w:rFonts w:cs="Arial"/>
                <w:sz w:val="18"/>
                <w:szCs w:val="18"/>
              </w:rPr>
              <w:t>EF</w:t>
            </w:r>
          </w:p>
        </w:tc>
        <w:tc>
          <w:tcPr>
            <w:tcW w:w="1980" w:type="dxa"/>
            <w:vAlign w:val="center"/>
          </w:tcPr>
          <w:p w:rsidR="009C360A" w:rsidRPr="009F48F6" w:rsidRDefault="009C360A" w:rsidP="001A75DA">
            <w:pPr>
              <w:overflowPunct w:val="0"/>
              <w:autoSpaceDE w:val="0"/>
              <w:autoSpaceDN w:val="0"/>
              <w:adjustRightInd w:val="0"/>
              <w:spacing w:after="120" w:line="360" w:lineRule="atLeast"/>
              <w:jc w:val="center"/>
              <w:textAlignment w:val="baseline"/>
              <w:rPr>
                <w:rFonts w:cs="Arial"/>
                <w:color w:val="000000"/>
                <w:sz w:val="18"/>
              </w:rPr>
            </w:pPr>
            <w:r w:rsidRPr="009F48F6">
              <w:rPr>
                <w:rFonts w:cs="Arial"/>
                <w:color w:val="000000"/>
                <w:sz w:val="18"/>
              </w:rPr>
              <w:t>0.67-(0.0019*V)</w:t>
            </w:r>
          </w:p>
        </w:tc>
        <w:tc>
          <w:tcPr>
            <w:tcW w:w="2070" w:type="dxa"/>
            <w:vAlign w:val="center"/>
          </w:tcPr>
          <w:p w:rsidR="009C360A" w:rsidRPr="009F48F6" w:rsidRDefault="009C360A" w:rsidP="009C360A">
            <w:pPr>
              <w:overflowPunct w:val="0"/>
              <w:autoSpaceDE w:val="0"/>
              <w:autoSpaceDN w:val="0"/>
              <w:adjustRightInd w:val="0"/>
              <w:spacing w:after="120" w:line="360" w:lineRule="atLeast"/>
              <w:jc w:val="center"/>
              <w:textAlignment w:val="baseline"/>
              <w:rPr>
                <w:rFonts w:cs="Arial"/>
                <w:color w:val="000000"/>
                <w:sz w:val="18"/>
              </w:rPr>
            </w:pPr>
            <w:r w:rsidRPr="009F48F6">
              <w:rPr>
                <w:rFonts w:cs="Arial"/>
                <w:color w:val="000000"/>
                <w:sz w:val="18"/>
              </w:rPr>
              <w:t>0.73-(0.0019*V)</w:t>
            </w:r>
          </w:p>
        </w:tc>
      </w:tr>
      <w:tr w:rsidR="009C360A" w:rsidTr="009C360A">
        <w:trPr>
          <w:trHeight w:val="20"/>
          <w:jc w:val="center"/>
        </w:trPr>
        <w:tc>
          <w:tcPr>
            <w:tcW w:w="2790" w:type="dxa"/>
          </w:tcPr>
          <w:p w:rsidR="009C360A" w:rsidRPr="00E56236" w:rsidRDefault="009C360A" w:rsidP="001A75DA">
            <w:pPr>
              <w:rPr>
                <w:rFonts w:cs="Arial"/>
                <w:sz w:val="18"/>
                <w:szCs w:val="18"/>
              </w:rPr>
            </w:pPr>
            <w:r>
              <w:rPr>
                <w:rFonts w:cs="Arial"/>
                <w:sz w:val="18"/>
                <w:szCs w:val="18"/>
              </w:rPr>
              <w:t>Large, Tier 1 (non-condensing)</w:t>
            </w:r>
          </w:p>
        </w:tc>
        <w:tc>
          <w:tcPr>
            <w:tcW w:w="1260" w:type="dxa"/>
            <w:vAlign w:val="center"/>
          </w:tcPr>
          <w:p w:rsidR="009C360A" w:rsidRPr="00E56236" w:rsidRDefault="009C360A" w:rsidP="001A75DA">
            <w:pPr>
              <w:jc w:val="center"/>
              <w:rPr>
                <w:rFonts w:cs="Arial"/>
                <w:sz w:val="18"/>
                <w:szCs w:val="18"/>
              </w:rPr>
            </w:pPr>
            <w:r>
              <w:rPr>
                <w:rFonts w:cs="Arial"/>
                <w:sz w:val="18"/>
                <w:szCs w:val="18"/>
              </w:rPr>
              <w:t xml:space="preserve">&gt; </w:t>
            </w:r>
            <w:r w:rsidRPr="00E56236">
              <w:rPr>
                <w:rFonts w:cs="Arial"/>
                <w:sz w:val="18"/>
                <w:szCs w:val="18"/>
              </w:rPr>
              <w:t>75</w:t>
            </w:r>
          </w:p>
        </w:tc>
        <w:tc>
          <w:tcPr>
            <w:tcW w:w="1260" w:type="dxa"/>
            <w:vAlign w:val="center"/>
          </w:tcPr>
          <w:p w:rsidR="009C360A" w:rsidRPr="00E7102E" w:rsidRDefault="009C360A" w:rsidP="001A75DA">
            <w:pPr>
              <w:jc w:val="center"/>
              <w:rPr>
                <w:rFonts w:cs="Arial"/>
                <w:sz w:val="18"/>
                <w:szCs w:val="18"/>
              </w:rPr>
            </w:pPr>
            <w:r>
              <w:rPr>
                <w:rFonts w:cs="Arial"/>
                <w:sz w:val="18"/>
                <w:szCs w:val="18"/>
              </w:rPr>
              <w:t>TE</w:t>
            </w:r>
          </w:p>
        </w:tc>
        <w:tc>
          <w:tcPr>
            <w:tcW w:w="1980" w:type="dxa"/>
            <w:vAlign w:val="center"/>
          </w:tcPr>
          <w:p w:rsidR="009C360A" w:rsidRPr="00C82CF9" w:rsidRDefault="009C360A" w:rsidP="001A75DA">
            <w:pPr>
              <w:jc w:val="center"/>
              <w:rPr>
                <w:rFonts w:cs="Arial"/>
                <w:color w:val="000000"/>
                <w:sz w:val="18"/>
              </w:rPr>
            </w:pPr>
            <w:r w:rsidRPr="00C82CF9">
              <w:rPr>
                <w:rFonts w:cs="Arial"/>
                <w:color w:val="000000"/>
                <w:sz w:val="18"/>
              </w:rPr>
              <w:t>80%</w:t>
            </w:r>
          </w:p>
        </w:tc>
        <w:tc>
          <w:tcPr>
            <w:tcW w:w="2070" w:type="dxa"/>
            <w:vAlign w:val="center"/>
          </w:tcPr>
          <w:p w:rsidR="009C360A" w:rsidRPr="00C82CF9" w:rsidRDefault="009C360A" w:rsidP="001A75DA">
            <w:pPr>
              <w:jc w:val="center"/>
              <w:rPr>
                <w:rFonts w:cs="Arial"/>
                <w:color w:val="000000"/>
                <w:sz w:val="18"/>
              </w:rPr>
            </w:pPr>
            <w:r w:rsidRPr="00C82CF9">
              <w:rPr>
                <w:rFonts w:cs="Arial"/>
                <w:color w:val="000000"/>
                <w:sz w:val="18"/>
              </w:rPr>
              <w:t>8</w:t>
            </w:r>
            <w:r>
              <w:rPr>
                <w:rFonts w:cs="Arial"/>
                <w:color w:val="000000"/>
                <w:sz w:val="18"/>
              </w:rPr>
              <w:t>3</w:t>
            </w:r>
            <w:r w:rsidRPr="00C82CF9">
              <w:rPr>
                <w:rFonts w:cs="Arial"/>
                <w:color w:val="000000"/>
                <w:sz w:val="18"/>
              </w:rPr>
              <w:t>%</w:t>
            </w:r>
          </w:p>
        </w:tc>
      </w:tr>
      <w:tr w:rsidR="009C360A" w:rsidTr="009C360A">
        <w:trPr>
          <w:trHeight w:val="20"/>
          <w:jc w:val="center"/>
        </w:trPr>
        <w:tc>
          <w:tcPr>
            <w:tcW w:w="2790" w:type="dxa"/>
          </w:tcPr>
          <w:p w:rsidR="009C360A" w:rsidRPr="00E56236" w:rsidRDefault="009C360A" w:rsidP="001A75DA">
            <w:pPr>
              <w:rPr>
                <w:rFonts w:cs="Arial"/>
                <w:sz w:val="18"/>
                <w:szCs w:val="18"/>
              </w:rPr>
            </w:pPr>
            <w:r>
              <w:rPr>
                <w:rFonts w:cs="Arial"/>
                <w:sz w:val="18"/>
                <w:szCs w:val="18"/>
              </w:rPr>
              <w:t>Large, Tier 2 (condensing)</w:t>
            </w:r>
          </w:p>
        </w:tc>
        <w:tc>
          <w:tcPr>
            <w:tcW w:w="1260" w:type="dxa"/>
            <w:vAlign w:val="center"/>
          </w:tcPr>
          <w:p w:rsidR="009C360A" w:rsidRPr="00E7102E" w:rsidRDefault="009C360A" w:rsidP="001A75DA">
            <w:pPr>
              <w:jc w:val="center"/>
              <w:rPr>
                <w:rFonts w:cs="Arial"/>
                <w:sz w:val="18"/>
                <w:szCs w:val="18"/>
              </w:rPr>
            </w:pPr>
            <w:r>
              <w:rPr>
                <w:rFonts w:cs="Arial"/>
                <w:sz w:val="18"/>
                <w:szCs w:val="18"/>
              </w:rPr>
              <w:t>&gt; 75</w:t>
            </w:r>
          </w:p>
        </w:tc>
        <w:tc>
          <w:tcPr>
            <w:tcW w:w="1260" w:type="dxa"/>
            <w:vAlign w:val="center"/>
          </w:tcPr>
          <w:p w:rsidR="009C360A" w:rsidRPr="00E7102E" w:rsidRDefault="009C360A" w:rsidP="001A75DA">
            <w:pPr>
              <w:jc w:val="center"/>
              <w:rPr>
                <w:rFonts w:cs="Arial"/>
                <w:sz w:val="18"/>
                <w:szCs w:val="18"/>
              </w:rPr>
            </w:pPr>
            <w:r>
              <w:rPr>
                <w:rFonts w:cs="Arial"/>
                <w:sz w:val="18"/>
                <w:szCs w:val="18"/>
              </w:rPr>
              <w:t>TE</w:t>
            </w:r>
          </w:p>
        </w:tc>
        <w:tc>
          <w:tcPr>
            <w:tcW w:w="1980" w:type="dxa"/>
            <w:vAlign w:val="center"/>
          </w:tcPr>
          <w:p w:rsidR="009C360A" w:rsidRPr="00C82CF9" w:rsidRDefault="009C360A" w:rsidP="001A75DA">
            <w:pPr>
              <w:jc w:val="center"/>
              <w:rPr>
                <w:rFonts w:cs="Arial"/>
                <w:color w:val="000000"/>
                <w:sz w:val="18"/>
              </w:rPr>
            </w:pPr>
            <w:r w:rsidRPr="00C82CF9">
              <w:rPr>
                <w:rFonts w:cs="Arial"/>
                <w:color w:val="000000"/>
                <w:sz w:val="18"/>
              </w:rPr>
              <w:t>80%</w:t>
            </w:r>
          </w:p>
        </w:tc>
        <w:tc>
          <w:tcPr>
            <w:tcW w:w="2070" w:type="dxa"/>
            <w:vAlign w:val="center"/>
          </w:tcPr>
          <w:p w:rsidR="009C360A" w:rsidRPr="00C82CF9" w:rsidRDefault="009C360A" w:rsidP="001A75DA">
            <w:pPr>
              <w:jc w:val="center"/>
              <w:rPr>
                <w:rFonts w:cs="Arial"/>
                <w:color w:val="000000"/>
                <w:sz w:val="18"/>
              </w:rPr>
            </w:pPr>
            <w:r>
              <w:rPr>
                <w:rFonts w:cs="Arial"/>
                <w:color w:val="000000"/>
                <w:sz w:val="18"/>
              </w:rPr>
              <w:t>90</w:t>
            </w:r>
            <w:r w:rsidRPr="00C82CF9">
              <w:rPr>
                <w:rFonts w:cs="Arial"/>
                <w:color w:val="000000"/>
                <w:sz w:val="18"/>
              </w:rPr>
              <w:t>%</w:t>
            </w:r>
          </w:p>
        </w:tc>
      </w:tr>
    </w:tbl>
    <w:p w:rsidR="00DB6501" w:rsidRDefault="009C360A" w:rsidP="00DA636A">
      <w:pPr>
        <w:pStyle w:val="Vertical"/>
        <w:jc w:val="left"/>
      </w:pPr>
      <w:r>
        <w:t>V is the rated volume in gallons</w:t>
      </w:r>
    </w:p>
    <w:p w:rsidR="00DA636A" w:rsidRPr="00146557" w:rsidRDefault="00DA636A" w:rsidP="00146557">
      <w:pPr>
        <w:pStyle w:val="Vertical"/>
      </w:pPr>
    </w:p>
    <w:p w:rsidR="00DA636A" w:rsidRPr="00146557" w:rsidRDefault="00DA636A" w:rsidP="00146557">
      <w:pPr>
        <w:pStyle w:val="Vertical"/>
      </w:pPr>
    </w:p>
    <w:p w:rsidR="008F0ABF" w:rsidRDefault="001A75DA" w:rsidP="00146557">
      <w:pPr>
        <w:pStyle w:val="Vertical"/>
        <w:keepNext/>
      </w:pPr>
      <w:r w:rsidRPr="001A75DA">
        <w:rPr>
          <w:noProof/>
        </w:rPr>
        <w:t xml:space="preserve">  </w:t>
      </w:r>
      <w:r w:rsidRPr="001A75DA">
        <w:rPr>
          <w:noProof/>
        </w:rPr>
        <w:drawing>
          <wp:inline distT="0" distB="0" distL="0" distR="0">
            <wp:extent cx="4442460" cy="25450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42460" cy="2545080"/>
                    </a:xfrm>
                    <a:prstGeom prst="rect">
                      <a:avLst/>
                    </a:prstGeom>
                    <a:noFill/>
                    <a:ln>
                      <a:noFill/>
                    </a:ln>
                  </pic:spPr>
                </pic:pic>
              </a:graphicData>
            </a:graphic>
          </wp:inline>
        </w:drawing>
      </w:r>
    </w:p>
    <w:p w:rsidR="008F0ABF" w:rsidRDefault="001A75DA" w:rsidP="008F0ABF">
      <w:pPr>
        <w:pStyle w:val="FIG"/>
        <w:numPr>
          <w:ilvl w:val="0"/>
          <w:numId w:val="38"/>
        </w:numPr>
        <w:jc w:val="center"/>
      </w:pPr>
      <w:bookmarkStart w:id="49" w:name="_Toc316560443"/>
      <w:bookmarkStart w:id="50" w:name="_Toc319421658"/>
      <w:bookmarkStart w:id="51" w:name="_Toc321313056"/>
      <w:r>
        <w:t xml:space="preserve">Energy Factor for 30-gallon Small Storage Water Heaters in the </w:t>
      </w:r>
      <w:r w:rsidR="008F0ABF">
        <w:t>CEC Appliance Efficiency Database</w:t>
      </w:r>
      <w:bookmarkEnd w:id="49"/>
      <w:bookmarkEnd w:id="50"/>
      <w:bookmarkEnd w:id="51"/>
    </w:p>
    <w:p w:rsidR="008F0ABF" w:rsidRDefault="008F0ABF" w:rsidP="008F0ABF">
      <w:pPr>
        <w:pStyle w:val="Vertical"/>
      </w:pPr>
    </w:p>
    <w:p w:rsidR="008F0ABF" w:rsidRDefault="008F0ABF" w:rsidP="008F0ABF">
      <w:pPr>
        <w:pStyle w:val="Vertical"/>
      </w:pPr>
    </w:p>
    <w:p w:rsidR="008F0ABF" w:rsidRDefault="001A75DA" w:rsidP="008F0ABF">
      <w:pPr>
        <w:pStyle w:val="Vertical"/>
      </w:pPr>
      <w:r w:rsidRPr="001A75DA">
        <w:rPr>
          <w:noProof/>
        </w:rPr>
        <w:lastRenderedPageBreak/>
        <w:drawing>
          <wp:inline distT="0" distB="0" distL="0" distR="0">
            <wp:extent cx="4425315" cy="2673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5315" cy="2673985"/>
                    </a:xfrm>
                    <a:prstGeom prst="rect">
                      <a:avLst/>
                    </a:prstGeom>
                    <a:noFill/>
                    <a:ln>
                      <a:noFill/>
                    </a:ln>
                  </pic:spPr>
                </pic:pic>
              </a:graphicData>
            </a:graphic>
          </wp:inline>
        </w:drawing>
      </w:r>
    </w:p>
    <w:p w:rsidR="008F0ABF" w:rsidRDefault="001A75DA" w:rsidP="008F0ABF">
      <w:pPr>
        <w:pStyle w:val="FIG"/>
        <w:numPr>
          <w:ilvl w:val="0"/>
          <w:numId w:val="38"/>
        </w:numPr>
        <w:jc w:val="center"/>
      </w:pPr>
      <w:bookmarkStart w:id="52" w:name="_Toc316560444"/>
      <w:bookmarkStart w:id="53" w:name="_Toc319421659"/>
      <w:bookmarkStart w:id="54" w:name="_Toc321313057"/>
      <w:r>
        <w:t>Energy Factor for 40-gallon Small Storage Water Heaters in the CEC Appliance Efficiency Database</w:t>
      </w:r>
      <w:bookmarkEnd w:id="52"/>
      <w:bookmarkEnd w:id="53"/>
      <w:bookmarkEnd w:id="54"/>
    </w:p>
    <w:p w:rsidR="008F0ABF" w:rsidRDefault="008F0ABF" w:rsidP="001A75DA">
      <w:pPr>
        <w:pStyle w:val="Vertical"/>
      </w:pPr>
    </w:p>
    <w:p w:rsidR="008F0ABF" w:rsidRDefault="008F0ABF" w:rsidP="001A75DA">
      <w:pPr>
        <w:pStyle w:val="Vertical"/>
      </w:pPr>
    </w:p>
    <w:p w:rsidR="008F0ABF" w:rsidRDefault="001A75DA" w:rsidP="001A75DA">
      <w:pPr>
        <w:pStyle w:val="Vertical"/>
      </w:pPr>
      <w:r w:rsidRPr="001A75DA">
        <w:rPr>
          <w:noProof/>
        </w:rPr>
        <w:drawing>
          <wp:inline distT="0" distB="0" distL="0" distR="0">
            <wp:extent cx="4425315" cy="26739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5315" cy="2673985"/>
                    </a:xfrm>
                    <a:prstGeom prst="rect">
                      <a:avLst/>
                    </a:prstGeom>
                    <a:noFill/>
                    <a:ln>
                      <a:noFill/>
                    </a:ln>
                  </pic:spPr>
                </pic:pic>
              </a:graphicData>
            </a:graphic>
          </wp:inline>
        </w:drawing>
      </w:r>
    </w:p>
    <w:p w:rsidR="001A75DA" w:rsidRDefault="001A75DA" w:rsidP="001A75DA">
      <w:pPr>
        <w:pStyle w:val="FIG"/>
        <w:numPr>
          <w:ilvl w:val="0"/>
          <w:numId w:val="38"/>
        </w:numPr>
        <w:jc w:val="center"/>
      </w:pPr>
      <w:bookmarkStart w:id="55" w:name="_Toc321313058"/>
      <w:r>
        <w:t>Energy Factor for 50-gallon Small Storage Water Heaters in the CEC Appliance Efficiency Database</w:t>
      </w:r>
      <w:bookmarkEnd w:id="55"/>
    </w:p>
    <w:p w:rsidR="008F0ABF" w:rsidRDefault="008F0ABF" w:rsidP="008F0ABF">
      <w:pPr>
        <w:pStyle w:val="Vertical"/>
      </w:pPr>
    </w:p>
    <w:p w:rsidR="008F0ABF" w:rsidRDefault="008F0ABF" w:rsidP="008F0ABF">
      <w:pPr>
        <w:pStyle w:val="Vertical"/>
      </w:pPr>
    </w:p>
    <w:p w:rsidR="008F0ABF" w:rsidRDefault="00297C4B" w:rsidP="008F0ABF">
      <w:pPr>
        <w:pStyle w:val="Vertical"/>
      </w:pPr>
      <w:r w:rsidRPr="00297C4B">
        <w:rPr>
          <w:noProof/>
        </w:rPr>
        <w:lastRenderedPageBreak/>
        <w:drawing>
          <wp:inline distT="0" distB="0" distL="0" distR="0">
            <wp:extent cx="4425315" cy="26739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5315" cy="2673985"/>
                    </a:xfrm>
                    <a:prstGeom prst="rect">
                      <a:avLst/>
                    </a:prstGeom>
                    <a:noFill/>
                    <a:ln>
                      <a:noFill/>
                    </a:ln>
                  </pic:spPr>
                </pic:pic>
              </a:graphicData>
            </a:graphic>
          </wp:inline>
        </w:drawing>
      </w:r>
    </w:p>
    <w:p w:rsidR="001A75DA" w:rsidRDefault="001A75DA" w:rsidP="001A75DA">
      <w:pPr>
        <w:pStyle w:val="FIG"/>
        <w:numPr>
          <w:ilvl w:val="0"/>
          <w:numId w:val="38"/>
        </w:numPr>
        <w:jc w:val="center"/>
      </w:pPr>
      <w:bookmarkStart w:id="56" w:name="_Toc321313059"/>
      <w:r>
        <w:t>Energy Factor for 60-gallon Small Storage Water Heaters in the CEC Appliance Efficiency Database</w:t>
      </w:r>
      <w:bookmarkEnd w:id="56"/>
    </w:p>
    <w:p w:rsidR="008F0ABF" w:rsidRDefault="008F0ABF" w:rsidP="008F0ABF">
      <w:pPr>
        <w:pStyle w:val="Vertical"/>
      </w:pPr>
    </w:p>
    <w:p w:rsidR="008F0ABF" w:rsidRDefault="008F0ABF" w:rsidP="008F0ABF">
      <w:pPr>
        <w:pStyle w:val="Vertical"/>
      </w:pPr>
    </w:p>
    <w:p w:rsidR="008F0ABF" w:rsidRDefault="00CC21F7" w:rsidP="008F0ABF">
      <w:pPr>
        <w:pStyle w:val="Vertical"/>
      </w:pPr>
      <w:r w:rsidRPr="00CC21F7">
        <w:rPr>
          <w:noProof/>
        </w:rPr>
        <w:drawing>
          <wp:inline distT="0" distB="0" distL="0" distR="0">
            <wp:extent cx="4425315" cy="26739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5315" cy="2673985"/>
                    </a:xfrm>
                    <a:prstGeom prst="rect">
                      <a:avLst/>
                    </a:prstGeom>
                    <a:noFill/>
                    <a:ln>
                      <a:noFill/>
                    </a:ln>
                  </pic:spPr>
                </pic:pic>
              </a:graphicData>
            </a:graphic>
          </wp:inline>
        </w:drawing>
      </w:r>
    </w:p>
    <w:p w:rsidR="006068F6" w:rsidRDefault="001A75DA" w:rsidP="006068F6">
      <w:pPr>
        <w:pStyle w:val="FIG"/>
        <w:numPr>
          <w:ilvl w:val="0"/>
          <w:numId w:val="38"/>
        </w:numPr>
        <w:jc w:val="center"/>
      </w:pPr>
      <w:bookmarkStart w:id="57" w:name="_Toc321313060"/>
      <w:r>
        <w:t>Energy Factor for 75-gallon Small Storage Water Heaters in the CEC Appliance Efficiency Database</w:t>
      </w:r>
      <w:bookmarkEnd w:id="57"/>
    </w:p>
    <w:p w:rsidR="00884825" w:rsidRDefault="00884825" w:rsidP="00F10506">
      <w:pPr>
        <w:pStyle w:val="Vertical"/>
      </w:pPr>
    </w:p>
    <w:p w:rsidR="00884825" w:rsidRDefault="00884825" w:rsidP="00F10506">
      <w:pPr>
        <w:pStyle w:val="Vertical"/>
      </w:pPr>
    </w:p>
    <w:p w:rsidR="00884825" w:rsidRDefault="00884825" w:rsidP="00F10506">
      <w:pPr>
        <w:pStyle w:val="Vertical"/>
      </w:pPr>
      <w:r w:rsidRPr="00F10506">
        <w:rPr>
          <w:noProof/>
        </w:rPr>
        <w:lastRenderedPageBreak/>
        <w:drawing>
          <wp:inline distT="0" distB="0" distL="0" distR="0">
            <wp:extent cx="4580255"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D07ED6" w:rsidRDefault="00D07ED6" w:rsidP="00D07ED6">
      <w:pPr>
        <w:pStyle w:val="FIG"/>
        <w:numPr>
          <w:ilvl w:val="0"/>
          <w:numId w:val="38"/>
        </w:numPr>
        <w:jc w:val="center"/>
      </w:pPr>
      <w:bookmarkStart w:id="58" w:name="_Toc321313061"/>
      <w:r>
        <w:t>Thermal Efficiency for Non-condensing Large Storage Water Heaters in the CEC Appliance Efficiency Database</w:t>
      </w:r>
      <w:bookmarkEnd w:id="58"/>
    </w:p>
    <w:p w:rsidR="00884825" w:rsidRDefault="00884825" w:rsidP="00F10506">
      <w:pPr>
        <w:pStyle w:val="Vertical"/>
      </w:pPr>
    </w:p>
    <w:p w:rsidR="00884825" w:rsidRDefault="00884825" w:rsidP="00F10506">
      <w:pPr>
        <w:pStyle w:val="Vertical"/>
      </w:pPr>
    </w:p>
    <w:p w:rsidR="00884825" w:rsidRDefault="00884825" w:rsidP="00F10506">
      <w:pPr>
        <w:pStyle w:val="Vertical"/>
      </w:pPr>
      <w:r w:rsidRPr="00F10506">
        <w:rPr>
          <w:noProof/>
        </w:rPr>
        <w:drawing>
          <wp:inline distT="0" distB="0" distL="0" distR="0">
            <wp:extent cx="458025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D07ED6" w:rsidRDefault="00D07ED6" w:rsidP="00D07ED6">
      <w:pPr>
        <w:pStyle w:val="FIG"/>
        <w:numPr>
          <w:ilvl w:val="0"/>
          <w:numId w:val="38"/>
        </w:numPr>
        <w:jc w:val="center"/>
      </w:pPr>
      <w:bookmarkStart w:id="59" w:name="_Toc321313062"/>
      <w:r>
        <w:t>Thermal Efficiency for Condensing Large Storage Water Heaters in the CEC Appliance E</w:t>
      </w:r>
      <w:r>
        <w:t>f</w:t>
      </w:r>
      <w:r>
        <w:t>ficiency Database</w:t>
      </w:r>
      <w:bookmarkEnd w:id="59"/>
    </w:p>
    <w:p w:rsidR="00884825" w:rsidRDefault="00884825" w:rsidP="00F10506">
      <w:pPr>
        <w:pStyle w:val="Vertical"/>
      </w:pPr>
    </w:p>
    <w:p w:rsidR="008F0ABF" w:rsidRDefault="008F0ABF" w:rsidP="008F0ABF">
      <w:pPr>
        <w:pStyle w:val="WPPR1"/>
      </w:pPr>
      <w:r>
        <w:t>Energy Savings Calculation</w:t>
      </w:r>
    </w:p>
    <w:p w:rsidR="008F0ABF" w:rsidRPr="00976D87" w:rsidRDefault="008F0ABF" w:rsidP="008F0ABF">
      <w:pPr>
        <w:pStyle w:val="WPPR2"/>
      </w:pPr>
      <w:r w:rsidRPr="00976D87">
        <w:t xml:space="preserve">For calculating energy savings, the following assumptions are used:  </w:t>
      </w:r>
    </w:p>
    <w:p w:rsidR="008F0ABF" w:rsidRDefault="008F0ABF" w:rsidP="008F0ABF">
      <w:pPr>
        <w:pStyle w:val="WPPR3"/>
      </w:pPr>
      <w:r>
        <w:t xml:space="preserve">The energy savings calculated for </w:t>
      </w:r>
      <w:r w:rsidR="00F91328">
        <w:t>DEER 2011</w:t>
      </w:r>
      <w:r w:rsidR="0021125B" w:rsidRPr="009F48F6">
        <w:rPr>
          <w:vertAlign w:val="superscript"/>
        </w:rPr>
        <w:t>4</w:t>
      </w:r>
      <w:r>
        <w:t xml:space="preserve"> are </w:t>
      </w:r>
      <w:r w:rsidR="00016FCA">
        <w:t xml:space="preserve">correct except for the small storage water heater </w:t>
      </w:r>
      <w:r>
        <w:t xml:space="preserve">measure efficiency values.  </w:t>
      </w:r>
    </w:p>
    <w:p w:rsidR="008F0ABF" w:rsidRDefault="008F0ABF" w:rsidP="008F0ABF">
      <w:pPr>
        <w:pStyle w:val="WPPR3"/>
      </w:pPr>
      <w:r>
        <w:t xml:space="preserve">The </w:t>
      </w:r>
      <w:r w:rsidR="005008B9">
        <w:t xml:space="preserve">average </w:t>
      </w:r>
      <w:r>
        <w:t>e</w:t>
      </w:r>
      <w:r w:rsidRPr="00976D87">
        <w:t xml:space="preserve">fficiency </w:t>
      </w:r>
      <w:r>
        <w:t xml:space="preserve">for the baseline </w:t>
      </w:r>
      <w:r w:rsidR="0007541B">
        <w:t xml:space="preserve">products </w:t>
      </w:r>
      <w:r>
        <w:t xml:space="preserve">is </w:t>
      </w:r>
      <w:r w:rsidR="005008B9">
        <w:t xml:space="preserve">California Title 20 code </w:t>
      </w:r>
      <w:r w:rsidR="002D466A">
        <w:t>standards</w:t>
      </w:r>
      <w:r>
        <w:t xml:space="preserve">.  </w:t>
      </w:r>
    </w:p>
    <w:p w:rsidR="008F0ABF" w:rsidRPr="00976D87" w:rsidRDefault="008F0ABF" w:rsidP="005008B9">
      <w:pPr>
        <w:pStyle w:val="WPPR3"/>
      </w:pPr>
      <w:r>
        <w:t xml:space="preserve">The average efficiency for the </w:t>
      </w:r>
      <w:r w:rsidR="0007541B">
        <w:t xml:space="preserve">qualifying products </w:t>
      </w:r>
      <w:r>
        <w:t xml:space="preserve">is the </w:t>
      </w:r>
      <w:r w:rsidR="0007541B">
        <w:t xml:space="preserve">measure </w:t>
      </w:r>
      <w:r>
        <w:t xml:space="preserve">efficiency.  </w:t>
      </w:r>
    </w:p>
    <w:p w:rsidR="008F0ABF" w:rsidRPr="00976D87" w:rsidRDefault="008F0ABF" w:rsidP="008F0ABF">
      <w:pPr>
        <w:pStyle w:val="WPPR2"/>
      </w:pPr>
      <w:r w:rsidRPr="00976D87">
        <w:lastRenderedPageBreak/>
        <w:t xml:space="preserve">With these assumptions, the energy saved by a high-efficiency </w:t>
      </w:r>
      <w:r>
        <w:t xml:space="preserve">measure </w:t>
      </w:r>
      <w:r w:rsidR="005008B9">
        <w:t>storage water heater</w:t>
      </w:r>
      <w:r w:rsidRPr="00976D87">
        <w:t xml:space="preserve"> can be calculated as follows:  </w:t>
      </w:r>
    </w:p>
    <w:p w:rsidR="008F0ABF" w:rsidRPr="00976D87" w:rsidRDefault="008F0ABF" w:rsidP="008F0ABF">
      <w:pPr>
        <w:pStyle w:val="Vertical"/>
      </w:pPr>
    </w:p>
    <w:p w:rsidR="008F0ABF" w:rsidRPr="00976D87" w:rsidRDefault="008F0ABF" w:rsidP="008F0ABF">
      <w:pPr>
        <w:pStyle w:val="Vertical"/>
        <w:rPr>
          <w:i/>
        </w:rPr>
      </w:pPr>
      <w:r w:rsidRPr="00976D87">
        <w:rPr>
          <w:i/>
        </w:rPr>
        <w:t>∆Q</w:t>
      </w:r>
      <w:r w:rsidRPr="00290F6A">
        <w:rPr>
          <w:i/>
          <w:vertAlign w:val="subscript"/>
        </w:rPr>
        <w:t>3-4</w:t>
      </w:r>
      <w:r w:rsidRPr="00976D87">
        <w:rPr>
          <w:i/>
        </w:rPr>
        <w:t xml:space="preserve"> = ∆Q</w:t>
      </w:r>
      <w:r>
        <w:rPr>
          <w:i/>
          <w:vertAlign w:val="subscript"/>
        </w:rPr>
        <w:t>1-2</w:t>
      </w:r>
      <w:r w:rsidRPr="00976D87">
        <w:rPr>
          <w:i/>
        </w:rPr>
        <w:t xml:space="preserve"> </w:t>
      </w:r>
      <w:r>
        <w:rPr>
          <w:i/>
        </w:rPr>
        <w:t>x</w:t>
      </w:r>
      <w:r w:rsidRPr="00976D87">
        <w:rPr>
          <w:i/>
        </w:rPr>
        <w:t xml:space="preserve"> (1</w:t>
      </w:r>
      <w:r>
        <w:rPr>
          <w:i/>
        </w:rPr>
        <w:t>/</w:t>
      </w:r>
      <w:r w:rsidRPr="00976D87">
        <w:rPr>
          <w:i/>
        </w:rPr>
        <w:t>E</w:t>
      </w:r>
      <w:r>
        <w:rPr>
          <w:i/>
          <w:vertAlign w:val="subscript"/>
        </w:rPr>
        <w:t>3</w:t>
      </w:r>
      <w:r>
        <w:rPr>
          <w:i/>
        </w:rPr>
        <w:t>-1/</w:t>
      </w:r>
      <w:r w:rsidRPr="00976D87">
        <w:rPr>
          <w:i/>
        </w:rPr>
        <w:t>E</w:t>
      </w:r>
      <w:r>
        <w:rPr>
          <w:i/>
          <w:vertAlign w:val="subscript"/>
        </w:rPr>
        <w:t>4</w:t>
      </w:r>
      <w:r w:rsidRPr="00976D87">
        <w:rPr>
          <w:i/>
        </w:rPr>
        <w:t>)</w:t>
      </w:r>
      <w:r>
        <w:rPr>
          <w:i/>
        </w:rPr>
        <w:t xml:space="preserve"> /</w:t>
      </w:r>
      <w:r w:rsidRPr="00976D87">
        <w:rPr>
          <w:i/>
        </w:rPr>
        <w:t xml:space="preserve"> (1</w:t>
      </w:r>
      <w:r>
        <w:rPr>
          <w:i/>
        </w:rPr>
        <w:t>/</w:t>
      </w:r>
      <w:r w:rsidRPr="00976D87">
        <w:rPr>
          <w:i/>
        </w:rPr>
        <w:t>E</w:t>
      </w:r>
      <w:r>
        <w:rPr>
          <w:i/>
          <w:vertAlign w:val="subscript"/>
        </w:rPr>
        <w:t>1</w:t>
      </w:r>
      <w:r>
        <w:rPr>
          <w:i/>
        </w:rPr>
        <w:t>-1/</w:t>
      </w:r>
      <w:r w:rsidRPr="00976D87">
        <w:rPr>
          <w:i/>
        </w:rPr>
        <w:t>E</w:t>
      </w:r>
      <w:r>
        <w:rPr>
          <w:i/>
          <w:vertAlign w:val="subscript"/>
        </w:rPr>
        <w:t>2</w:t>
      </w:r>
      <w:r w:rsidRPr="00976D87">
        <w:rPr>
          <w:i/>
        </w:rPr>
        <w:t>)</w:t>
      </w:r>
      <w:r w:rsidRPr="00976D87">
        <w:rPr>
          <w:i/>
        </w:rPr>
        <w:tab/>
      </w:r>
      <w:r w:rsidRPr="00976D87">
        <w:rPr>
          <w:i/>
        </w:rPr>
        <w:tab/>
      </w:r>
      <w:r w:rsidRPr="00976D87">
        <w:rPr>
          <w:i/>
        </w:rPr>
        <w:tab/>
      </w:r>
      <w:r w:rsidR="00146557">
        <w:rPr>
          <w:i/>
        </w:rPr>
        <w:tab/>
      </w:r>
      <w:r w:rsidR="00146557">
        <w:rPr>
          <w:i/>
        </w:rPr>
        <w:tab/>
      </w:r>
      <w:r w:rsidR="00146557">
        <w:rPr>
          <w:i/>
        </w:rPr>
        <w:tab/>
      </w:r>
      <w:r>
        <w:rPr>
          <w:i/>
        </w:rPr>
        <w:tab/>
      </w:r>
      <w:r w:rsidRPr="00976D87">
        <w:rPr>
          <w:i/>
        </w:rPr>
        <w:tab/>
      </w:r>
      <w:r w:rsidRPr="00976D87">
        <w:rPr>
          <w:i/>
        </w:rPr>
        <w:tab/>
        <w:t>Eqn-1</w:t>
      </w:r>
    </w:p>
    <w:p w:rsidR="00884825" w:rsidRDefault="0021125B" w:rsidP="00F10506">
      <w:pPr>
        <w:pStyle w:val="WPPR3"/>
        <w:numPr>
          <w:ilvl w:val="0"/>
          <w:numId w:val="0"/>
        </w:numPr>
        <w:ind w:left="1584"/>
      </w:pPr>
      <w:proofErr w:type="gramStart"/>
      <w:r>
        <w:t>where</w:t>
      </w:r>
      <w:proofErr w:type="gramEnd"/>
    </w:p>
    <w:p w:rsidR="008F0ABF" w:rsidRPr="00976D87" w:rsidRDefault="008F0ABF" w:rsidP="008F0ABF">
      <w:pPr>
        <w:pStyle w:val="WPPR3"/>
      </w:pPr>
      <w:r w:rsidRPr="00976D87">
        <w:rPr>
          <w:i/>
        </w:rPr>
        <w:t>∆Q</w:t>
      </w:r>
      <w:r w:rsidRPr="00976D87">
        <w:t xml:space="preserve"> – Energy Saved (therms/yr).  Savings which results from installing the high-efficiency </w:t>
      </w:r>
      <w:r>
        <w:t>measure equipment</w:t>
      </w:r>
      <w:r w:rsidRPr="00976D87">
        <w:t xml:space="preserve">.  </w:t>
      </w:r>
    </w:p>
    <w:p w:rsidR="008F0ABF" w:rsidRPr="00976D87" w:rsidRDefault="008F0ABF" w:rsidP="008F0ABF">
      <w:pPr>
        <w:pStyle w:val="WPPR3"/>
      </w:pPr>
      <w:r w:rsidRPr="00290F6A">
        <w:rPr>
          <w:i/>
        </w:rPr>
        <w:t>E</w:t>
      </w:r>
      <w:r w:rsidRPr="00976D87">
        <w:t xml:space="preserve"> – Efficiency (%).  Efficiency of </w:t>
      </w:r>
      <w:r>
        <w:t>equipment in appropriate efficiency units (</w:t>
      </w:r>
      <w:r w:rsidR="005008B9">
        <w:t>energy factor, thermal e</w:t>
      </w:r>
      <w:r>
        <w:t xml:space="preserve">fficiency, etc.).  </w:t>
      </w:r>
    </w:p>
    <w:p w:rsidR="008F0ABF" w:rsidRDefault="008F0ABF" w:rsidP="008F0ABF">
      <w:pPr>
        <w:pStyle w:val="WPPR3"/>
      </w:pPr>
      <w:r>
        <w:rPr>
          <w:i/>
        </w:rPr>
        <w:t>Subscript 1</w:t>
      </w:r>
      <w:r w:rsidRPr="00290F6A">
        <w:t xml:space="preserve"> = </w:t>
      </w:r>
      <w:r w:rsidR="00F91328">
        <w:t>DEER 2011</w:t>
      </w:r>
      <w:r>
        <w:t xml:space="preserve"> baseline </w:t>
      </w:r>
      <w:r w:rsidRPr="00976D87">
        <w:t>(reference</w:t>
      </w:r>
      <w:r>
        <w:t>)</w:t>
      </w:r>
      <w:r w:rsidRPr="00976D87">
        <w:t xml:space="preserve"> </w:t>
      </w:r>
      <w:r>
        <w:t>equipment</w:t>
      </w:r>
    </w:p>
    <w:p w:rsidR="008F0ABF" w:rsidRDefault="008F0ABF" w:rsidP="008F0ABF">
      <w:pPr>
        <w:pStyle w:val="WPPR3"/>
      </w:pPr>
      <w:r>
        <w:rPr>
          <w:i/>
        </w:rPr>
        <w:t>Subscript 2</w:t>
      </w:r>
      <w:r w:rsidRPr="00290F6A">
        <w:t xml:space="preserve"> = </w:t>
      </w:r>
      <w:r w:rsidR="00F91328">
        <w:t>DEER 2011</w:t>
      </w:r>
      <w:r>
        <w:t xml:space="preserve"> measure</w:t>
      </w:r>
      <w:r w:rsidRPr="00290F6A">
        <w:t xml:space="preserve"> </w:t>
      </w:r>
      <w:r>
        <w:t>(</w:t>
      </w:r>
      <w:r w:rsidRPr="00976D87">
        <w:t>new high-efficiency</w:t>
      </w:r>
      <w:r>
        <w:t>) equipment</w:t>
      </w:r>
    </w:p>
    <w:p w:rsidR="008F0ABF" w:rsidRDefault="008F0ABF" w:rsidP="008F0ABF">
      <w:pPr>
        <w:pStyle w:val="WPPR3"/>
      </w:pPr>
      <w:r>
        <w:rPr>
          <w:i/>
        </w:rPr>
        <w:t>Subscript 3</w:t>
      </w:r>
      <w:r w:rsidRPr="00290F6A">
        <w:t xml:space="preserve"> = </w:t>
      </w:r>
      <w:r>
        <w:t>Adjusted baseline</w:t>
      </w:r>
      <w:r w:rsidRPr="00290F6A">
        <w:t xml:space="preserve"> </w:t>
      </w:r>
      <w:r>
        <w:t>equipment value</w:t>
      </w:r>
    </w:p>
    <w:p w:rsidR="008F0ABF" w:rsidRDefault="008F0ABF" w:rsidP="008F0ABF">
      <w:pPr>
        <w:pStyle w:val="WPPR3"/>
      </w:pPr>
      <w:r>
        <w:rPr>
          <w:i/>
        </w:rPr>
        <w:t>Subscript 4</w:t>
      </w:r>
      <w:r w:rsidRPr="00290F6A">
        <w:t xml:space="preserve"> = </w:t>
      </w:r>
      <w:r>
        <w:t>Adjusted measure</w:t>
      </w:r>
      <w:r w:rsidRPr="00290F6A">
        <w:t xml:space="preserve"> </w:t>
      </w:r>
      <w:r>
        <w:t>equipment value</w:t>
      </w:r>
    </w:p>
    <w:p w:rsidR="005008B9" w:rsidRDefault="005008B9" w:rsidP="005008B9">
      <w:pPr>
        <w:pStyle w:val="WPPR2"/>
      </w:pPr>
      <w:r>
        <w:t xml:space="preserve">The energy savings calculated for </w:t>
      </w:r>
      <w:r w:rsidR="00F91328">
        <w:t>DEER 2011</w:t>
      </w:r>
      <w:r w:rsidR="0021125B" w:rsidRPr="009F48F6">
        <w:rPr>
          <w:vertAlign w:val="superscript"/>
        </w:rPr>
        <w:t>4</w:t>
      </w:r>
      <w:r>
        <w:t xml:space="preserve"> are averaged across 20 building types to produce a single value for the entire </w:t>
      </w:r>
      <w:proofErr w:type="spellStart"/>
      <w:r>
        <w:t>SoCalGas</w:t>
      </w:r>
      <w:proofErr w:type="spellEnd"/>
      <w:r>
        <w:t xml:space="preserve"> service territory for each equipment type</w:t>
      </w:r>
      <w:r w:rsidR="008445D3">
        <w:t>.</w:t>
      </w:r>
      <w:bookmarkStart w:id="60" w:name="_GoBack"/>
      <w:bookmarkEnd w:id="60"/>
      <w:r w:rsidR="009701E7">
        <w:t xml:space="preserve">  </w:t>
      </w:r>
      <w:r w:rsidR="00146557">
        <w:t xml:space="preserve">The energy savings data and calculations are included in an Excel file embedded as Attachment A.  </w:t>
      </w:r>
    </w:p>
    <w:p w:rsidR="005008B9" w:rsidRDefault="005008B9" w:rsidP="005008B9">
      <w:pPr>
        <w:pStyle w:val="WPPR3"/>
      </w:pPr>
      <w:r>
        <w:t xml:space="preserve">Only existing building vintages are used for the calculations.  </w:t>
      </w:r>
    </w:p>
    <w:p w:rsidR="005008B9" w:rsidRDefault="005008B9" w:rsidP="005008B9">
      <w:pPr>
        <w:pStyle w:val="WPPR3"/>
      </w:pPr>
      <w:r>
        <w:t xml:space="preserve">Table </w:t>
      </w:r>
      <w:r w:rsidR="00146557">
        <w:t>6</w:t>
      </w:r>
      <w:r>
        <w:t xml:space="preserve"> lists the base efficiencies, measure efficiencies, and calculated values for the three measure efficiencies used in the DEER calculations for each of the five small storage tank rated volumes (30, 40, 50, 60, and 75 gallons).</w:t>
      </w:r>
    </w:p>
    <w:p w:rsidR="005008B9" w:rsidRDefault="005008B9" w:rsidP="005008B9">
      <w:pPr>
        <w:pStyle w:val="WPPR3"/>
      </w:pPr>
      <w:r>
        <w:t xml:space="preserve">Table </w:t>
      </w:r>
      <w:r w:rsidR="00146557">
        <w:t>6</w:t>
      </w:r>
      <w:r>
        <w:t xml:space="preserve"> also lists the adjusted base efficiencies, measure efficiencies, and calculated values corresponding to the measure efficiencies used in the DEER calculations for each of the five small storage tank rated volumes (30, 40, 50, 60, and 75 gallons).</w:t>
      </w:r>
    </w:p>
    <w:p w:rsidR="005008B9" w:rsidRDefault="005008B9" w:rsidP="005008B9">
      <w:pPr>
        <w:pStyle w:val="WPPR3"/>
      </w:pPr>
      <w:r>
        <w:t xml:space="preserve">Table </w:t>
      </w:r>
      <w:r w:rsidR="00146557">
        <w:t>7</w:t>
      </w:r>
      <w:r>
        <w:t xml:space="preserve"> compares the annual energy savings from the </w:t>
      </w:r>
      <w:r w:rsidR="00F91328">
        <w:t>DEER 2011</w:t>
      </w:r>
      <w:r>
        <w:t xml:space="preserve"> calculations and the adjusted values used here.  For large storage water heaters, the </w:t>
      </w:r>
      <w:r w:rsidR="00F91328">
        <w:t>DEER 2011</w:t>
      </w:r>
      <w:r>
        <w:t xml:space="preserve"> calculation values are averaged across the 20 building types to determine the adjusted values used here.  </w:t>
      </w:r>
    </w:p>
    <w:p w:rsidR="008F0ABF" w:rsidRDefault="008F0ABF" w:rsidP="008F0ABF">
      <w:pPr>
        <w:pStyle w:val="Vertical"/>
      </w:pPr>
    </w:p>
    <w:p w:rsidR="008F0ABF" w:rsidRPr="008445D3" w:rsidRDefault="008F0ABF" w:rsidP="00DA636A">
      <w:pPr>
        <w:pStyle w:val="TBL"/>
      </w:pPr>
      <w:bookmarkStart w:id="61" w:name="_Toc319421667"/>
      <w:bookmarkStart w:id="62" w:name="_Toc321313068"/>
      <w:r w:rsidRPr="008445D3">
        <w:t>Calculation of Annual Energy Savings by Equipment Type</w:t>
      </w:r>
      <w:bookmarkEnd w:id="61"/>
      <w:bookmarkEnd w:id="62"/>
    </w:p>
    <w:tbl>
      <w:tblPr>
        <w:tblStyle w:val="TableGrid"/>
        <w:tblW w:w="9360" w:type="dxa"/>
        <w:jc w:val="center"/>
        <w:tblCellMar>
          <w:top w:w="43" w:type="dxa"/>
          <w:left w:w="115" w:type="dxa"/>
          <w:bottom w:w="43" w:type="dxa"/>
          <w:right w:w="115" w:type="dxa"/>
        </w:tblCellMar>
        <w:tblLook w:val="01E0"/>
      </w:tblPr>
      <w:tblGrid>
        <w:gridCol w:w="924"/>
        <w:gridCol w:w="1133"/>
        <w:gridCol w:w="1133"/>
        <w:gridCol w:w="1867"/>
        <w:gridCol w:w="1243"/>
        <w:gridCol w:w="1279"/>
        <w:gridCol w:w="1781"/>
      </w:tblGrid>
      <w:tr w:rsidR="00565B56" w:rsidRPr="008445D3" w:rsidTr="00016FCA">
        <w:trPr>
          <w:trHeight w:val="20"/>
          <w:jc w:val="center"/>
        </w:trPr>
        <w:tc>
          <w:tcPr>
            <w:tcW w:w="924" w:type="dxa"/>
            <w:vAlign w:val="bottom"/>
          </w:tcPr>
          <w:p w:rsidR="00565B56" w:rsidRPr="008445D3" w:rsidRDefault="00565B56" w:rsidP="00565B56">
            <w:pPr>
              <w:pStyle w:val="Normal1"/>
              <w:spacing w:after="0" w:line="240" w:lineRule="auto"/>
              <w:jc w:val="center"/>
              <w:rPr>
                <w:rFonts w:ascii="Arial" w:hAnsi="Arial" w:cs="Arial"/>
                <w:b/>
                <w:sz w:val="18"/>
                <w:szCs w:val="18"/>
              </w:rPr>
            </w:pPr>
          </w:p>
        </w:tc>
        <w:tc>
          <w:tcPr>
            <w:tcW w:w="4133" w:type="dxa"/>
            <w:gridSpan w:val="3"/>
            <w:vAlign w:val="bottom"/>
          </w:tcPr>
          <w:p w:rsidR="00565B56" w:rsidRPr="008445D3" w:rsidRDefault="00F91328" w:rsidP="00565B56">
            <w:pPr>
              <w:pStyle w:val="Normal1"/>
              <w:spacing w:after="0" w:line="240" w:lineRule="auto"/>
              <w:jc w:val="center"/>
              <w:rPr>
                <w:rFonts w:ascii="Arial" w:hAnsi="Arial" w:cs="Arial"/>
                <w:b/>
                <w:color w:val="000000"/>
                <w:sz w:val="18"/>
                <w:szCs w:val="18"/>
              </w:rPr>
            </w:pPr>
            <w:r w:rsidRPr="008445D3">
              <w:rPr>
                <w:rFonts w:ascii="Arial" w:hAnsi="Arial" w:cs="Arial"/>
                <w:b/>
                <w:color w:val="000000"/>
                <w:sz w:val="18"/>
                <w:szCs w:val="18"/>
              </w:rPr>
              <w:t>DEER 2011</w:t>
            </w:r>
          </w:p>
        </w:tc>
        <w:tc>
          <w:tcPr>
            <w:tcW w:w="4303" w:type="dxa"/>
            <w:gridSpan w:val="3"/>
            <w:vAlign w:val="bottom"/>
          </w:tcPr>
          <w:p w:rsidR="00565B56" w:rsidRPr="008445D3" w:rsidRDefault="00565B56" w:rsidP="00565B56">
            <w:pPr>
              <w:pStyle w:val="Normal1"/>
              <w:spacing w:after="0" w:line="240" w:lineRule="auto"/>
              <w:jc w:val="center"/>
              <w:rPr>
                <w:rFonts w:ascii="Arial" w:hAnsi="Arial" w:cs="Arial"/>
                <w:b/>
                <w:color w:val="000000"/>
                <w:sz w:val="18"/>
                <w:szCs w:val="18"/>
              </w:rPr>
            </w:pPr>
            <w:r w:rsidRPr="008445D3">
              <w:rPr>
                <w:rFonts w:ascii="Arial" w:hAnsi="Arial" w:cs="Arial"/>
                <w:b/>
                <w:color w:val="000000"/>
                <w:sz w:val="18"/>
                <w:szCs w:val="18"/>
              </w:rPr>
              <w:t>Adjusted Values</w:t>
            </w:r>
          </w:p>
        </w:tc>
      </w:tr>
      <w:tr w:rsidR="00565B56" w:rsidRPr="008445D3" w:rsidTr="00016FCA">
        <w:trPr>
          <w:trHeight w:val="20"/>
          <w:jc w:val="center"/>
        </w:trPr>
        <w:tc>
          <w:tcPr>
            <w:tcW w:w="924" w:type="dxa"/>
            <w:vAlign w:val="bottom"/>
          </w:tcPr>
          <w:p w:rsidR="00565B56" w:rsidRPr="008445D3" w:rsidRDefault="00565B56" w:rsidP="00565B56">
            <w:pPr>
              <w:pStyle w:val="Normal1"/>
              <w:spacing w:after="0" w:line="240" w:lineRule="auto"/>
              <w:jc w:val="center"/>
              <w:rPr>
                <w:rFonts w:ascii="Arial" w:hAnsi="Arial" w:cs="Arial"/>
                <w:b/>
                <w:sz w:val="18"/>
                <w:szCs w:val="18"/>
              </w:rPr>
            </w:pPr>
            <w:r w:rsidRPr="008445D3">
              <w:rPr>
                <w:rFonts w:ascii="Arial" w:hAnsi="Arial" w:cs="Arial"/>
                <w:b/>
                <w:sz w:val="18"/>
                <w:szCs w:val="18"/>
              </w:rPr>
              <w:t>Rated Volume (gal)</w:t>
            </w:r>
          </w:p>
        </w:tc>
        <w:tc>
          <w:tcPr>
            <w:tcW w:w="1133" w:type="dxa"/>
            <w:vAlign w:val="bottom"/>
          </w:tcPr>
          <w:p w:rsidR="00565B56" w:rsidRPr="008445D3" w:rsidRDefault="00565B56" w:rsidP="00565B56">
            <w:pPr>
              <w:pStyle w:val="Normal1"/>
              <w:spacing w:after="0" w:line="240" w:lineRule="auto"/>
              <w:jc w:val="center"/>
              <w:rPr>
                <w:rFonts w:ascii="Arial" w:hAnsi="Arial" w:cs="Arial"/>
                <w:b/>
                <w:sz w:val="18"/>
                <w:szCs w:val="18"/>
              </w:rPr>
            </w:pPr>
            <w:r w:rsidRPr="008445D3">
              <w:rPr>
                <w:rFonts w:ascii="Arial" w:hAnsi="Arial" w:cs="Arial"/>
                <w:b/>
                <w:color w:val="000000"/>
                <w:sz w:val="18"/>
                <w:szCs w:val="18"/>
              </w:rPr>
              <w:t xml:space="preserve">Base </w:t>
            </w:r>
            <w:r w:rsidR="00016FCA" w:rsidRPr="008445D3">
              <w:rPr>
                <w:rFonts w:ascii="Arial" w:hAnsi="Arial" w:cs="Arial"/>
                <w:b/>
                <w:color w:val="000000"/>
                <w:sz w:val="18"/>
                <w:szCs w:val="18"/>
              </w:rPr>
              <w:br/>
            </w:r>
            <w:r w:rsidRPr="008445D3">
              <w:rPr>
                <w:rFonts w:ascii="Arial" w:hAnsi="Arial" w:cs="Arial"/>
                <w:b/>
                <w:color w:val="000000"/>
                <w:sz w:val="18"/>
                <w:szCs w:val="18"/>
              </w:rPr>
              <w:t>Efficiency</w:t>
            </w:r>
          </w:p>
        </w:tc>
        <w:tc>
          <w:tcPr>
            <w:tcW w:w="1133" w:type="dxa"/>
            <w:vAlign w:val="bottom"/>
          </w:tcPr>
          <w:p w:rsidR="00565B56" w:rsidRPr="008445D3" w:rsidRDefault="00565B56" w:rsidP="00565B56">
            <w:pPr>
              <w:pStyle w:val="Normal1"/>
              <w:spacing w:after="0" w:line="240" w:lineRule="auto"/>
              <w:jc w:val="center"/>
              <w:rPr>
                <w:rFonts w:ascii="Arial" w:hAnsi="Arial" w:cs="Arial"/>
                <w:b/>
                <w:sz w:val="18"/>
                <w:szCs w:val="18"/>
              </w:rPr>
            </w:pPr>
            <w:r w:rsidRPr="008445D3">
              <w:rPr>
                <w:rFonts w:ascii="Arial" w:hAnsi="Arial" w:cs="Arial"/>
                <w:b/>
                <w:color w:val="000000"/>
                <w:sz w:val="18"/>
                <w:szCs w:val="18"/>
              </w:rPr>
              <w:t>Measure Efficiency</w:t>
            </w:r>
          </w:p>
        </w:tc>
        <w:tc>
          <w:tcPr>
            <w:tcW w:w="1867" w:type="dxa"/>
            <w:vAlign w:val="bottom"/>
          </w:tcPr>
          <w:p w:rsidR="00565B56" w:rsidRPr="008445D3" w:rsidRDefault="00565B56" w:rsidP="00565B56">
            <w:pPr>
              <w:pStyle w:val="Normal1"/>
              <w:spacing w:after="0" w:line="240" w:lineRule="auto"/>
              <w:jc w:val="center"/>
              <w:rPr>
                <w:rFonts w:ascii="Arial" w:hAnsi="Arial" w:cs="Arial"/>
                <w:b/>
                <w:sz w:val="18"/>
                <w:szCs w:val="18"/>
              </w:rPr>
            </w:pPr>
            <w:r w:rsidRPr="008445D3">
              <w:rPr>
                <w:rFonts w:ascii="Arial" w:hAnsi="Arial" w:cs="Arial"/>
                <w:b/>
                <w:color w:val="000000"/>
                <w:sz w:val="18"/>
                <w:szCs w:val="18"/>
              </w:rPr>
              <w:t>Annual Energy Savings (therms/yr/MBtuh)</w:t>
            </w:r>
          </w:p>
        </w:tc>
        <w:tc>
          <w:tcPr>
            <w:tcW w:w="1243" w:type="dxa"/>
            <w:vAlign w:val="bottom"/>
          </w:tcPr>
          <w:p w:rsidR="00565B56" w:rsidRPr="008445D3" w:rsidRDefault="00565B56" w:rsidP="00565B56">
            <w:pPr>
              <w:jc w:val="center"/>
              <w:rPr>
                <w:rFonts w:cs="Arial"/>
                <w:b/>
                <w:color w:val="000000"/>
                <w:sz w:val="18"/>
                <w:szCs w:val="18"/>
              </w:rPr>
            </w:pPr>
            <w:r w:rsidRPr="008445D3">
              <w:rPr>
                <w:rFonts w:cs="Arial"/>
                <w:b/>
                <w:color w:val="000000"/>
                <w:sz w:val="18"/>
                <w:szCs w:val="18"/>
              </w:rPr>
              <w:t xml:space="preserve">Base </w:t>
            </w:r>
            <w:r w:rsidR="00016FCA" w:rsidRPr="008445D3">
              <w:rPr>
                <w:rFonts w:cs="Arial"/>
                <w:b/>
                <w:color w:val="000000"/>
                <w:sz w:val="18"/>
                <w:szCs w:val="18"/>
              </w:rPr>
              <w:br/>
            </w:r>
            <w:r w:rsidRPr="008445D3">
              <w:rPr>
                <w:rFonts w:cs="Arial"/>
                <w:b/>
                <w:color w:val="000000"/>
                <w:sz w:val="18"/>
                <w:szCs w:val="18"/>
              </w:rPr>
              <w:t>Efficiency</w:t>
            </w:r>
          </w:p>
        </w:tc>
        <w:tc>
          <w:tcPr>
            <w:tcW w:w="1279" w:type="dxa"/>
            <w:vAlign w:val="bottom"/>
          </w:tcPr>
          <w:p w:rsidR="00565B56" w:rsidRPr="008445D3" w:rsidRDefault="00565B56" w:rsidP="00565B56">
            <w:pPr>
              <w:pStyle w:val="Normal1"/>
              <w:spacing w:after="0" w:line="240" w:lineRule="auto"/>
              <w:jc w:val="center"/>
              <w:rPr>
                <w:rFonts w:ascii="Arial" w:hAnsi="Arial" w:cs="Arial"/>
                <w:b/>
                <w:sz w:val="18"/>
                <w:szCs w:val="18"/>
              </w:rPr>
            </w:pPr>
            <w:r w:rsidRPr="008445D3">
              <w:rPr>
                <w:rFonts w:ascii="Arial" w:hAnsi="Arial" w:cs="Arial"/>
                <w:b/>
                <w:color w:val="000000"/>
                <w:sz w:val="18"/>
                <w:szCs w:val="18"/>
              </w:rPr>
              <w:t xml:space="preserve">Measure </w:t>
            </w:r>
            <w:r w:rsidR="00016FCA" w:rsidRPr="008445D3">
              <w:rPr>
                <w:rFonts w:ascii="Arial" w:hAnsi="Arial" w:cs="Arial"/>
                <w:b/>
                <w:color w:val="000000"/>
                <w:sz w:val="18"/>
                <w:szCs w:val="18"/>
              </w:rPr>
              <w:br/>
            </w:r>
            <w:r w:rsidRPr="008445D3">
              <w:rPr>
                <w:rFonts w:ascii="Arial" w:hAnsi="Arial" w:cs="Arial"/>
                <w:b/>
                <w:color w:val="000000"/>
                <w:sz w:val="18"/>
                <w:szCs w:val="18"/>
              </w:rPr>
              <w:t>Efficiency</w:t>
            </w:r>
          </w:p>
        </w:tc>
        <w:tc>
          <w:tcPr>
            <w:tcW w:w="1781" w:type="dxa"/>
            <w:vAlign w:val="bottom"/>
          </w:tcPr>
          <w:p w:rsidR="00565B56" w:rsidRPr="008445D3" w:rsidRDefault="00565B56" w:rsidP="00565B56">
            <w:pPr>
              <w:pStyle w:val="Normal1"/>
              <w:spacing w:after="0" w:line="240" w:lineRule="auto"/>
              <w:jc w:val="center"/>
              <w:rPr>
                <w:rFonts w:ascii="Arial" w:hAnsi="Arial" w:cs="Arial"/>
                <w:b/>
                <w:sz w:val="18"/>
                <w:szCs w:val="18"/>
              </w:rPr>
            </w:pPr>
            <w:r w:rsidRPr="008445D3">
              <w:rPr>
                <w:rFonts w:ascii="Arial" w:hAnsi="Arial" w:cs="Arial"/>
                <w:b/>
                <w:color w:val="000000"/>
                <w:sz w:val="18"/>
                <w:szCs w:val="18"/>
              </w:rPr>
              <w:t>Annual Energy Savings (therms/yr/MBtuh)</w:t>
            </w:r>
          </w:p>
        </w:tc>
      </w:tr>
      <w:tr w:rsidR="00565B56" w:rsidRPr="008445D3" w:rsidTr="00016FCA">
        <w:trPr>
          <w:trHeight w:val="20"/>
          <w:jc w:val="center"/>
        </w:trPr>
        <w:tc>
          <w:tcPr>
            <w:tcW w:w="924" w:type="dxa"/>
            <w:vAlign w:val="center"/>
          </w:tcPr>
          <w:p w:rsidR="00565B56" w:rsidRPr="008445D3" w:rsidRDefault="00565B56" w:rsidP="00565B56">
            <w:pPr>
              <w:jc w:val="center"/>
              <w:rPr>
                <w:rFonts w:ascii="Calibri" w:hAnsi="Calibri" w:cs="Calibri"/>
                <w:color w:val="000000"/>
                <w:sz w:val="22"/>
                <w:szCs w:val="22"/>
              </w:rPr>
            </w:pPr>
            <w:r w:rsidRPr="008445D3">
              <w:rPr>
                <w:rFonts w:ascii="Calibri" w:hAnsi="Calibri" w:cs="Calibri"/>
                <w:color w:val="000000"/>
                <w:sz w:val="22"/>
                <w:szCs w:val="22"/>
              </w:rPr>
              <w:t>30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0.613</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0.62</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0.271</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0.613</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0.673</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2.143</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30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0.613</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0.65</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1.175</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0.613</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0.673</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1.840</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30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0.613</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0.7</w:t>
            </w:r>
            <w:r w:rsidR="00097B5D" w:rsidRPr="008445D3">
              <w:rPr>
                <w:rFonts w:ascii="Calibri" w:hAnsi="Calibri" w:cs="Calibri"/>
                <w:color w:val="000000"/>
                <w:sz w:val="22"/>
                <w:szCs w:val="22"/>
              </w:rPr>
              <w:t>0</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1.536</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0.613</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0.673</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1.102</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40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0.594</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0.62</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0.400</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0.594</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0.654</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0.875</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40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0.594</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0.67</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1.402</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0.594</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0.654</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1.134</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40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0.594</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0.7</w:t>
            </w:r>
            <w:r w:rsidR="00097B5D" w:rsidRPr="008445D3">
              <w:rPr>
                <w:rFonts w:ascii="Calibri" w:hAnsi="Calibri" w:cs="Calibri"/>
                <w:color w:val="000000"/>
                <w:sz w:val="22"/>
                <w:szCs w:val="22"/>
              </w:rPr>
              <w:t>0</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1.556</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0.594</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0.654</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0.943</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lastRenderedPageBreak/>
              <w:t>50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0.575</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0.62</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0.462</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0.575</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0.635</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0.601</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50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0.575</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0.67</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1.359</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0.575</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0.635</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0.906</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50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0.575</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0.7</w:t>
            </w:r>
            <w:r w:rsidR="00097B5D" w:rsidRPr="008445D3">
              <w:rPr>
                <w:rFonts w:ascii="Calibri" w:hAnsi="Calibri" w:cs="Calibri"/>
                <w:color w:val="000000"/>
                <w:sz w:val="22"/>
                <w:szCs w:val="22"/>
              </w:rPr>
              <w:t>0</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1.482</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0.575</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0.635</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0.784</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60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0.556</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0.62</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0.295</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0.556</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0.616</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0.279</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60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0.556</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0.66</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1.417</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0.556</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0.616</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0.876</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60</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0.556</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0.7</w:t>
            </w:r>
            <w:r w:rsidR="00097B5D" w:rsidRPr="008445D3">
              <w:rPr>
                <w:rFonts w:ascii="Calibri" w:hAnsi="Calibri" w:cs="Calibri"/>
                <w:color w:val="000000"/>
                <w:sz w:val="22"/>
                <w:szCs w:val="22"/>
              </w:rPr>
              <w:t>0</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1.553</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0.556</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0.616</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0.735</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75</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0.5275</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0.62</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1.158</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0.5275</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0.5875</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0.792</w:t>
            </w:r>
          </w:p>
        </w:tc>
      </w:tr>
      <w:tr w:rsidR="00565B56" w:rsidRPr="008445D3"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75</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0.5275</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0.66</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1.469</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0.5275</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0.5875</w:t>
            </w:r>
          </w:p>
        </w:tc>
        <w:tc>
          <w:tcPr>
            <w:tcW w:w="1781"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0.747</w:t>
            </w:r>
          </w:p>
        </w:tc>
      </w:tr>
      <w:tr w:rsidR="00565B56" w:rsidRPr="00E7102E" w:rsidTr="00016FCA">
        <w:trPr>
          <w:trHeight w:val="20"/>
          <w:jc w:val="center"/>
        </w:trPr>
        <w:tc>
          <w:tcPr>
            <w:tcW w:w="924"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75</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0.5275</w:t>
            </w:r>
          </w:p>
        </w:tc>
        <w:tc>
          <w:tcPr>
            <w:tcW w:w="113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0.7</w:t>
            </w:r>
            <w:r w:rsidR="00097B5D" w:rsidRPr="008445D3">
              <w:rPr>
                <w:rFonts w:ascii="Calibri" w:hAnsi="Calibri" w:cs="Calibri"/>
                <w:color w:val="000000"/>
                <w:sz w:val="22"/>
                <w:szCs w:val="22"/>
              </w:rPr>
              <w:t>0</w:t>
            </w:r>
          </w:p>
        </w:tc>
        <w:tc>
          <w:tcPr>
            <w:tcW w:w="1867"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1.576</w:t>
            </w:r>
          </w:p>
        </w:tc>
        <w:tc>
          <w:tcPr>
            <w:tcW w:w="1243"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0.5275</w:t>
            </w:r>
          </w:p>
        </w:tc>
        <w:tc>
          <w:tcPr>
            <w:tcW w:w="1279" w:type="dxa"/>
            <w:vAlign w:val="center"/>
          </w:tcPr>
          <w:p w:rsidR="00565B56" w:rsidRPr="008445D3" w:rsidRDefault="00565B56" w:rsidP="00565B56">
            <w:pPr>
              <w:overflowPunct w:val="0"/>
              <w:autoSpaceDE w:val="0"/>
              <w:autoSpaceDN w:val="0"/>
              <w:adjustRightInd w:val="0"/>
              <w:spacing w:after="120" w:line="360" w:lineRule="atLeast"/>
              <w:jc w:val="center"/>
              <w:textAlignment w:val="baseline"/>
              <w:rPr>
                <w:rFonts w:ascii="Calibri" w:hAnsi="Calibri" w:cs="Calibri"/>
                <w:color w:val="000000"/>
                <w:sz w:val="22"/>
                <w:szCs w:val="22"/>
              </w:rPr>
            </w:pPr>
            <w:r w:rsidRPr="008445D3">
              <w:rPr>
                <w:rFonts w:ascii="Calibri" w:hAnsi="Calibri" w:cs="Calibri"/>
                <w:color w:val="000000"/>
                <w:sz w:val="22"/>
                <w:szCs w:val="22"/>
              </w:rPr>
              <w:t>0.5875</w:t>
            </w:r>
          </w:p>
        </w:tc>
        <w:tc>
          <w:tcPr>
            <w:tcW w:w="1781" w:type="dxa"/>
            <w:vAlign w:val="center"/>
          </w:tcPr>
          <w:p w:rsidR="00565B56" w:rsidRDefault="00565B56" w:rsidP="00565B56">
            <w:pPr>
              <w:jc w:val="center"/>
              <w:rPr>
                <w:rFonts w:ascii="Calibri" w:hAnsi="Calibri" w:cs="Calibri"/>
                <w:color w:val="000000"/>
                <w:sz w:val="22"/>
                <w:szCs w:val="22"/>
              </w:rPr>
            </w:pPr>
            <w:r w:rsidRPr="008445D3">
              <w:rPr>
                <w:rFonts w:ascii="Calibri" w:hAnsi="Calibri" w:cs="Calibri"/>
                <w:color w:val="000000"/>
                <w:sz w:val="22"/>
                <w:szCs w:val="22"/>
              </w:rPr>
              <w:t>0.653</w:t>
            </w:r>
          </w:p>
        </w:tc>
      </w:tr>
    </w:tbl>
    <w:p w:rsidR="008F0ABF" w:rsidRDefault="008F0ABF" w:rsidP="008F0ABF">
      <w:pPr>
        <w:pStyle w:val="Vertical"/>
      </w:pPr>
    </w:p>
    <w:p w:rsidR="00565B56" w:rsidRDefault="00565B56" w:rsidP="00565B56">
      <w:pPr>
        <w:pStyle w:val="Vertical"/>
      </w:pPr>
    </w:p>
    <w:p w:rsidR="00565B56" w:rsidRPr="00DA636A" w:rsidRDefault="00016FCA" w:rsidP="00DA636A">
      <w:pPr>
        <w:pStyle w:val="TBL"/>
      </w:pPr>
      <w:bookmarkStart w:id="63" w:name="_Toc321313069"/>
      <w:r w:rsidRPr="00DA636A">
        <w:t>Annual Energy Savings by Equipment Type</w:t>
      </w:r>
      <w:bookmarkEnd w:id="63"/>
    </w:p>
    <w:tbl>
      <w:tblPr>
        <w:tblStyle w:val="TableGrid"/>
        <w:tblW w:w="9360" w:type="dxa"/>
        <w:jc w:val="center"/>
        <w:tblCellMar>
          <w:top w:w="43" w:type="dxa"/>
          <w:left w:w="115" w:type="dxa"/>
          <w:bottom w:w="43" w:type="dxa"/>
          <w:right w:w="115" w:type="dxa"/>
        </w:tblCellMar>
        <w:tblLook w:val="01E0"/>
      </w:tblPr>
      <w:tblGrid>
        <w:gridCol w:w="2880"/>
        <w:gridCol w:w="2205"/>
        <w:gridCol w:w="2025"/>
        <w:gridCol w:w="2250"/>
      </w:tblGrid>
      <w:tr w:rsidR="00016FCA" w:rsidTr="00016FCA">
        <w:trPr>
          <w:trHeight w:val="20"/>
          <w:jc w:val="center"/>
        </w:trPr>
        <w:tc>
          <w:tcPr>
            <w:tcW w:w="2880" w:type="dxa"/>
            <w:vAlign w:val="bottom"/>
          </w:tcPr>
          <w:p w:rsidR="00016FCA" w:rsidRDefault="00016FCA" w:rsidP="00565B56">
            <w:pPr>
              <w:pStyle w:val="Normal1"/>
              <w:spacing w:after="0" w:line="240" w:lineRule="auto"/>
              <w:jc w:val="center"/>
              <w:rPr>
                <w:rFonts w:ascii="Arial" w:hAnsi="Arial" w:cs="Arial"/>
                <w:b/>
                <w:sz w:val="18"/>
                <w:szCs w:val="18"/>
              </w:rPr>
            </w:pPr>
          </w:p>
        </w:tc>
        <w:tc>
          <w:tcPr>
            <w:tcW w:w="2205" w:type="dxa"/>
            <w:vAlign w:val="bottom"/>
          </w:tcPr>
          <w:p w:rsidR="00016FCA" w:rsidRDefault="00016FCA" w:rsidP="00565B56">
            <w:pPr>
              <w:pStyle w:val="Normal1"/>
              <w:spacing w:after="0" w:line="240" w:lineRule="auto"/>
              <w:jc w:val="center"/>
              <w:rPr>
                <w:rFonts w:ascii="Arial" w:hAnsi="Arial" w:cs="Arial"/>
                <w:b/>
                <w:sz w:val="18"/>
                <w:szCs w:val="18"/>
              </w:rPr>
            </w:pPr>
          </w:p>
        </w:tc>
        <w:tc>
          <w:tcPr>
            <w:tcW w:w="4275" w:type="dxa"/>
            <w:gridSpan w:val="2"/>
            <w:vAlign w:val="bottom"/>
          </w:tcPr>
          <w:p w:rsidR="00016FCA" w:rsidRDefault="00016FCA" w:rsidP="00565B56">
            <w:pPr>
              <w:pStyle w:val="Normal1"/>
              <w:spacing w:after="0" w:line="240" w:lineRule="auto"/>
              <w:jc w:val="center"/>
              <w:rPr>
                <w:rFonts w:ascii="Arial" w:hAnsi="Arial" w:cs="Arial"/>
                <w:b/>
                <w:sz w:val="18"/>
                <w:szCs w:val="18"/>
              </w:rPr>
            </w:pPr>
            <w:r w:rsidRPr="00565B56">
              <w:rPr>
                <w:rFonts w:ascii="Arial" w:hAnsi="Arial" w:cs="Arial"/>
                <w:b/>
                <w:color w:val="000000"/>
                <w:sz w:val="18"/>
                <w:szCs w:val="18"/>
              </w:rPr>
              <w:t>Annual Energy Savings (therms/yr/MBtuh)</w:t>
            </w:r>
          </w:p>
        </w:tc>
      </w:tr>
      <w:tr w:rsidR="00016FCA" w:rsidTr="00016FCA">
        <w:trPr>
          <w:trHeight w:val="20"/>
          <w:jc w:val="center"/>
        </w:trPr>
        <w:tc>
          <w:tcPr>
            <w:tcW w:w="2880" w:type="dxa"/>
            <w:vAlign w:val="bottom"/>
          </w:tcPr>
          <w:p w:rsidR="00016FCA" w:rsidRPr="00420887" w:rsidRDefault="00016FCA" w:rsidP="00565B56">
            <w:pPr>
              <w:pStyle w:val="Normal1"/>
              <w:spacing w:after="0" w:line="240" w:lineRule="auto"/>
              <w:jc w:val="center"/>
              <w:rPr>
                <w:rFonts w:ascii="Arial" w:hAnsi="Arial" w:cs="Arial"/>
                <w:b/>
                <w:sz w:val="18"/>
                <w:szCs w:val="18"/>
              </w:rPr>
            </w:pPr>
            <w:r>
              <w:rPr>
                <w:rFonts w:ascii="Arial" w:hAnsi="Arial" w:cs="Arial"/>
                <w:b/>
                <w:sz w:val="18"/>
                <w:szCs w:val="18"/>
              </w:rPr>
              <w:t>Equipment Type</w:t>
            </w:r>
          </w:p>
        </w:tc>
        <w:tc>
          <w:tcPr>
            <w:tcW w:w="2205" w:type="dxa"/>
            <w:vAlign w:val="bottom"/>
          </w:tcPr>
          <w:p w:rsidR="00016FCA" w:rsidRPr="00420887" w:rsidRDefault="00016FCA" w:rsidP="00565B56">
            <w:pPr>
              <w:pStyle w:val="Normal1"/>
              <w:spacing w:after="0" w:line="240" w:lineRule="auto"/>
              <w:jc w:val="center"/>
              <w:rPr>
                <w:rFonts w:ascii="Arial" w:hAnsi="Arial" w:cs="Arial"/>
                <w:b/>
                <w:sz w:val="18"/>
                <w:szCs w:val="18"/>
              </w:rPr>
            </w:pPr>
            <w:r>
              <w:rPr>
                <w:rFonts w:ascii="Arial" w:hAnsi="Arial" w:cs="Arial"/>
                <w:b/>
                <w:sz w:val="18"/>
                <w:szCs w:val="18"/>
              </w:rPr>
              <w:t>Rated Input (</w:t>
            </w:r>
            <w:proofErr w:type="spellStart"/>
            <w:r>
              <w:rPr>
                <w:rFonts w:ascii="Arial" w:hAnsi="Arial" w:cs="Arial"/>
                <w:b/>
                <w:sz w:val="18"/>
                <w:szCs w:val="18"/>
              </w:rPr>
              <w:t>MBtu</w:t>
            </w:r>
            <w:proofErr w:type="spellEnd"/>
            <w:r>
              <w:rPr>
                <w:rFonts w:ascii="Arial" w:hAnsi="Arial" w:cs="Arial"/>
                <w:b/>
                <w:sz w:val="18"/>
                <w:szCs w:val="18"/>
              </w:rPr>
              <w:t>/hr)</w:t>
            </w:r>
          </w:p>
        </w:tc>
        <w:tc>
          <w:tcPr>
            <w:tcW w:w="2025" w:type="dxa"/>
            <w:vAlign w:val="bottom"/>
          </w:tcPr>
          <w:p w:rsidR="00016FCA" w:rsidRPr="00420887" w:rsidRDefault="00F91328" w:rsidP="00565B56">
            <w:pPr>
              <w:pStyle w:val="Normal1"/>
              <w:spacing w:after="0" w:line="240" w:lineRule="auto"/>
              <w:jc w:val="center"/>
              <w:rPr>
                <w:rFonts w:ascii="Arial" w:hAnsi="Arial" w:cs="Arial"/>
                <w:b/>
                <w:sz w:val="18"/>
                <w:szCs w:val="18"/>
              </w:rPr>
            </w:pPr>
            <w:r>
              <w:rPr>
                <w:rFonts w:ascii="Arial" w:hAnsi="Arial" w:cs="Arial"/>
                <w:b/>
                <w:sz w:val="18"/>
                <w:szCs w:val="18"/>
              </w:rPr>
              <w:t>DEER 2011</w:t>
            </w:r>
            <w:r w:rsidR="00016FCA">
              <w:rPr>
                <w:rFonts w:ascii="Arial" w:hAnsi="Arial" w:cs="Arial"/>
                <w:b/>
                <w:sz w:val="18"/>
                <w:szCs w:val="18"/>
              </w:rPr>
              <w:t xml:space="preserve"> </w:t>
            </w:r>
          </w:p>
        </w:tc>
        <w:tc>
          <w:tcPr>
            <w:tcW w:w="2250" w:type="dxa"/>
            <w:vAlign w:val="bottom"/>
          </w:tcPr>
          <w:p w:rsidR="00016FCA" w:rsidRPr="00420887" w:rsidRDefault="00016FCA" w:rsidP="00565B56">
            <w:pPr>
              <w:pStyle w:val="Normal1"/>
              <w:spacing w:after="0" w:line="240" w:lineRule="auto"/>
              <w:jc w:val="center"/>
              <w:rPr>
                <w:rFonts w:ascii="Arial" w:hAnsi="Arial" w:cs="Arial"/>
                <w:b/>
                <w:sz w:val="18"/>
                <w:szCs w:val="18"/>
              </w:rPr>
            </w:pPr>
            <w:r w:rsidRPr="00565B56">
              <w:rPr>
                <w:rFonts w:ascii="Arial" w:hAnsi="Arial" w:cs="Arial"/>
                <w:b/>
                <w:color w:val="000000"/>
                <w:sz w:val="18"/>
                <w:szCs w:val="18"/>
              </w:rPr>
              <w:t>Adjusted Values</w:t>
            </w:r>
          </w:p>
        </w:tc>
      </w:tr>
      <w:tr w:rsidR="00016FCA" w:rsidTr="00016FCA">
        <w:trPr>
          <w:trHeight w:val="20"/>
          <w:jc w:val="center"/>
        </w:trPr>
        <w:tc>
          <w:tcPr>
            <w:tcW w:w="2880" w:type="dxa"/>
            <w:vAlign w:val="center"/>
          </w:tcPr>
          <w:p w:rsidR="00016FCA" w:rsidRPr="008445D3" w:rsidRDefault="00016FCA" w:rsidP="00565B56">
            <w:pPr>
              <w:rPr>
                <w:rFonts w:cs="Arial"/>
                <w:sz w:val="18"/>
                <w:szCs w:val="18"/>
              </w:rPr>
            </w:pPr>
            <w:r w:rsidRPr="008445D3">
              <w:rPr>
                <w:rFonts w:cs="Arial"/>
                <w:sz w:val="18"/>
                <w:szCs w:val="18"/>
              </w:rPr>
              <w:t>Small (30-75 gallon)</w:t>
            </w:r>
          </w:p>
        </w:tc>
        <w:tc>
          <w:tcPr>
            <w:tcW w:w="2205" w:type="dxa"/>
            <w:vAlign w:val="center"/>
          </w:tcPr>
          <w:p w:rsidR="00016FCA" w:rsidRPr="008445D3" w:rsidRDefault="00016FCA" w:rsidP="00565B56">
            <w:pPr>
              <w:overflowPunct w:val="0"/>
              <w:autoSpaceDE w:val="0"/>
              <w:autoSpaceDN w:val="0"/>
              <w:adjustRightInd w:val="0"/>
              <w:spacing w:after="120" w:line="360" w:lineRule="atLeast"/>
              <w:jc w:val="center"/>
              <w:textAlignment w:val="baseline"/>
              <w:rPr>
                <w:rFonts w:cs="Arial"/>
                <w:sz w:val="18"/>
                <w:szCs w:val="18"/>
              </w:rPr>
            </w:pPr>
            <w:r w:rsidRPr="008445D3">
              <w:rPr>
                <w:rFonts w:cs="Arial" w:hint="eastAsia"/>
                <w:sz w:val="18"/>
                <w:szCs w:val="18"/>
              </w:rPr>
              <w:t>≤</w:t>
            </w:r>
            <w:r w:rsidRPr="008445D3">
              <w:rPr>
                <w:rFonts w:cs="Arial"/>
                <w:sz w:val="18"/>
                <w:szCs w:val="18"/>
              </w:rPr>
              <w:t xml:space="preserve"> 75</w:t>
            </w:r>
          </w:p>
        </w:tc>
        <w:tc>
          <w:tcPr>
            <w:tcW w:w="2025" w:type="dxa"/>
            <w:vAlign w:val="center"/>
          </w:tcPr>
          <w:p w:rsidR="00016FCA" w:rsidRPr="008445D3" w:rsidRDefault="00016FCA" w:rsidP="00565B56">
            <w:pPr>
              <w:overflowPunct w:val="0"/>
              <w:autoSpaceDE w:val="0"/>
              <w:autoSpaceDN w:val="0"/>
              <w:adjustRightInd w:val="0"/>
              <w:spacing w:after="120" w:line="360" w:lineRule="atLeast"/>
              <w:jc w:val="center"/>
              <w:textAlignment w:val="baseline"/>
              <w:rPr>
                <w:rFonts w:cs="Arial"/>
                <w:sz w:val="18"/>
                <w:szCs w:val="18"/>
              </w:rPr>
            </w:pPr>
            <w:r w:rsidRPr="008445D3">
              <w:rPr>
                <w:rFonts w:cs="Arial"/>
                <w:sz w:val="18"/>
                <w:szCs w:val="18"/>
              </w:rPr>
              <w:t>1.14</w:t>
            </w:r>
          </w:p>
        </w:tc>
        <w:tc>
          <w:tcPr>
            <w:tcW w:w="2250" w:type="dxa"/>
            <w:vAlign w:val="center"/>
          </w:tcPr>
          <w:p w:rsidR="00016FCA" w:rsidRPr="008445D3" w:rsidRDefault="00016FCA" w:rsidP="00565B56">
            <w:pPr>
              <w:overflowPunct w:val="0"/>
              <w:autoSpaceDE w:val="0"/>
              <w:autoSpaceDN w:val="0"/>
              <w:adjustRightInd w:val="0"/>
              <w:spacing w:after="120" w:line="360" w:lineRule="atLeast"/>
              <w:jc w:val="center"/>
              <w:textAlignment w:val="baseline"/>
              <w:rPr>
                <w:rFonts w:cs="Arial"/>
                <w:b/>
                <w:color w:val="000000"/>
                <w:sz w:val="18"/>
              </w:rPr>
            </w:pPr>
            <w:r w:rsidRPr="008445D3">
              <w:rPr>
                <w:rFonts w:cs="Arial"/>
                <w:b/>
                <w:color w:val="000000"/>
                <w:sz w:val="18"/>
              </w:rPr>
              <w:t>0.96</w:t>
            </w:r>
          </w:p>
        </w:tc>
      </w:tr>
      <w:tr w:rsidR="00016FCA" w:rsidTr="00016FCA">
        <w:trPr>
          <w:trHeight w:val="20"/>
          <w:jc w:val="center"/>
        </w:trPr>
        <w:tc>
          <w:tcPr>
            <w:tcW w:w="2880" w:type="dxa"/>
          </w:tcPr>
          <w:p w:rsidR="00016FCA" w:rsidRPr="008445D3" w:rsidRDefault="00016FCA" w:rsidP="00565B56">
            <w:pPr>
              <w:rPr>
                <w:rFonts w:cs="Arial"/>
                <w:sz w:val="18"/>
                <w:szCs w:val="18"/>
              </w:rPr>
            </w:pPr>
            <w:r w:rsidRPr="008445D3">
              <w:rPr>
                <w:rFonts w:cs="Arial"/>
                <w:sz w:val="18"/>
                <w:szCs w:val="18"/>
              </w:rPr>
              <w:t>Large, Tier 1 (non-condensing)</w:t>
            </w:r>
          </w:p>
        </w:tc>
        <w:tc>
          <w:tcPr>
            <w:tcW w:w="2205" w:type="dxa"/>
            <w:vAlign w:val="center"/>
          </w:tcPr>
          <w:p w:rsidR="00016FCA" w:rsidRPr="008445D3" w:rsidRDefault="00016FCA" w:rsidP="00565B56">
            <w:pPr>
              <w:jc w:val="center"/>
              <w:rPr>
                <w:rFonts w:cs="Arial"/>
                <w:sz w:val="18"/>
                <w:szCs w:val="18"/>
              </w:rPr>
            </w:pPr>
            <w:r w:rsidRPr="008445D3">
              <w:rPr>
                <w:rFonts w:cs="Arial"/>
                <w:sz w:val="18"/>
                <w:szCs w:val="18"/>
              </w:rPr>
              <w:t>&gt; 75</w:t>
            </w:r>
          </w:p>
        </w:tc>
        <w:tc>
          <w:tcPr>
            <w:tcW w:w="2025" w:type="dxa"/>
            <w:vAlign w:val="center"/>
          </w:tcPr>
          <w:p w:rsidR="00016FCA" w:rsidRPr="008445D3" w:rsidRDefault="00016FCA" w:rsidP="00565B56">
            <w:pPr>
              <w:jc w:val="center"/>
              <w:rPr>
                <w:rFonts w:cs="Arial"/>
                <w:sz w:val="18"/>
                <w:szCs w:val="18"/>
              </w:rPr>
            </w:pPr>
            <w:r w:rsidRPr="008445D3">
              <w:rPr>
                <w:rFonts w:cs="Arial"/>
                <w:color w:val="000000"/>
                <w:sz w:val="18"/>
              </w:rPr>
              <w:t>0.6</w:t>
            </w:r>
            <w:r w:rsidR="008445D3">
              <w:rPr>
                <w:rFonts w:cs="Arial"/>
                <w:color w:val="000000"/>
                <w:sz w:val="18"/>
              </w:rPr>
              <w:t>3</w:t>
            </w:r>
          </w:p>
        </w:tc>
        <w:tc>
          <w:tcPr>
            <w:tcW w:w="2250" w:type="dxa"/>
            <w:vAlign w:val="center"/>
          </w:tcPr>
          <w:p w:rsidR="00016FCA" w:rsidRPr="008445D3" w:rsidRDefault="00016FCA" w:rsidP="00565B56">
            <w:pPr>
              <w:jc w:val="center"/>
              <w:rPr>
                <w:rFonts w:cs="Arial"/>
                <w:b/>
                <w:color w:val="000000"/>
                <w:sz w:val="18"/>
              </w:rPr>
            </w:pPr>
            <w:r w:rsidRPr="008445D3">
              <w:rPr>
                <w:rFonts w:cs="Arial"/>
                <w:b/>
                <w:color w:val="000000"/>
                <w:sz w:val="18"/>
              </w:rPr>
              <w:t>0.6</w:t>
            </w:r>
            <w:r w:rsidR="008445D3">
              <w:rPr>
                <w:rFonts w:cs="Arial"/>
                <w:b/>
                <w:color w:val="000000"/>
                <w:sz w:val="18"/>
              </w:rPr>
              <w:t>3</w:t>
            </w:r>
          </w:p>
        </w:tc>
      </w:tr>
      <w:tr w:rsidR="00016FCA" w:rsidTr="00016FCA">
        <w:trPr>
          <w:trHeight w:val="20"/>
          <w:jc w:val="center"/>
        </w:trPr>
        <w:tc>
          <w:tcPr>
            <w:tcW w:w="2880" w:type="dxa"/>
          </w:tcPr>
          <w:p w:rsidR="00016FCA" w:rsidRPr="008445D3" w:rsidRDefault="00016FCA" w:rsidP="00565B56">
            <w:pPr>
              <w:rPr>
                <w:rFonts w:cs="Arial"/>
                <w:sz w:val="18"/>
                <w:szCs w:val="18"/>
              </w:rPr>
            </w:pPr>
            <w:r w:rsidRPr="008445D3">
              <w:rPr>
                <w:rFonts w:cs="Arial"/>
                <w:sz w:val="18"/>
                <w:szCs w:val="18"/>
              </w:rPr>
              <w:t>Large, Tier 2 (condensing)</w:t>
            </w:r>
          </w:p>
        </w:tc>
        <w:tc>
          <w:tcPr>
            <w:tcW w:w="2205" w:type="dxa"/>
            <w:vAlign w:val="center"/>
          </w:tcPr>
          <w:p w:rsidR="00016FCA" w:rsidRPr="008445D3" w:rsidRDefault="00016FCA" w:rsidP="00565B56">
            <w:pPr>
              <w:jc w:val="center"/>
              <w:rPr>
                <w:rFonts w:cs="Arial"/>
                <w:sz w:val="18"/>
                <w:szCs w:val="18"/>
              </w:rPr>
            </w:pPr>
            <w:r w:rsidRPr="008445D3">
              <w:rPr>
                <w:rFonts w:cs="Arial"/>
                <w:sz w:val="18"/>
                <w:szCs w:val="18"/>
              </w:rPr>
              <w:t>&gt; 75</w:t>
            </w:r>
          </w:p>
        </w:tc>
        <w:tc>
          <w:tcPr>
            <w:tcW w:w="2025" w:type="dxa"/>
            <w:vAlign w:val="center"/>
          </w:tcPr>
          <w:p w:rsidR="00016FCA" w:rsidRPr="008445D3" w:rsidRDefault="00016FCA" w:rsidP="00565B56">
            <w:pPr>
              <w:jc w:val="center"/>
              <w:rPr>
                <w:rFonts w:cs="Arial"/>
                <w:sz w:val="18"/>
                <w:szCs w:val="18"/>
              </w:rPr>
            </w:pPr>
            <w:r w:rsidRPr="008445D3">
              <w:rPr>
                <w:rFonts w:cs="Arial"/>
                <w:color w:val="000000"/>
                <w:sz w:val="18"/>
              </w:rPr>
              <w:t>1.93</w:t>
            </w:r>
          </w:p>
        </w:tc>
        <w:tc>
          <w:tcPr>
            <w:tcW w:w="2250" w:type="dxa"/>
            <w:vAlign w:val="center"/>
          </w:tcPr>
          <w:p w:rsidR="00016FCA" w:rsidRPr="008445D3" w:rsidRDefault="00016FCA" w:rsidP="008445D3">
            <w:pPr>
              <w:jc w:val="center"/>
              <w:rPr>
                <w:rFonts w:cs="Arial"/>
                <w:b/>
                <w:color w:val="000000"/>
                <w:sz w:val="18"/>
              </w:rPr>
            </w:pPr>
            <w:r w:rsidRPr="008445D3">
              <w:rPr>
                <w:rFonts w:cs="Arial"/>
                <w:b/>
                <w:color w:val="000000"/>
                <w:sz w:val="18"/>
              </w:rPr>
              <w:t>1.93</w:t>
            </w:r>
          </w:p>
        </w:tc>
      </w:tr>
    </w:tbl>
    <w:p w:rsidR="00565B56" w:rsidRDefault="00565B56" w:rsidP="00565B56">
      <w:pPr>
        <w:pStyle w:val="Vertical"/>
      </w:pPr>
    </w:p>
    <w:p w:rsidR="000D5E5B" w:rsidRDefault="000D5E5B" w:rsidP="00E4107A">
      <w:pPr>
        <w:pStyle w:val="Vertical"/>
      </w:pPr>
    </w:p>
    <w:p w:rsidR="001C644E" w:rsidRDefault="001C644E" w:rsidP="00016FCA">
      <w:pPr>
        <w:pStyle w:val="WPSCT"/>
        <w:keepNext/>
      </w:pPr>
      <w:bookmarkStart w:id="64" w:name="_Toc321313050"/>
      <w:r>
        <w:t>Base Case &amp; Measure Costs</w:t>
      </w:r>
      <w:bookmarkEnd w:id="38"/>
      <w:bookmarkEnd w:id="64"/>
    </w:p>
    <w:p w:rsidR="001C644E" w:rsidRDefault="001C644E" w:rsidP="003F2BB3">
      <w:pPr>
        <w:pStyle w:val="WPART"/>
      </w:pPr>
      <w:bookmarkStart w:id="65" w:name="_Toc214003097"/>
      <w:bookmarkStart w:id="66" w:name="_Toc321313051"/>
      <w:r>
        <w:t>Base Case Cost</w:t>
      </w:r>
      <w:bookmarkEnd w:id="65"/>
      <w:bookmarkEnd w:id="66"/>
    </w:p>
    <w:p w:rsidR="00565B56" w:rsidRDefault="008F0ABF" w:rsidP="008F0ABF">
      <w:pPr>
        <w:pStyle w:val="PR1"/>
      </w:pPr>
      <w:bookmarkStart w:id="67" w:name="_Toc214003099"/>
      <w:r>
        <w:t>When the customer is replacing equipment on burnout (</w:t>
      </w:r>
      <w:r w:rsidRPr="001E027B">
        <w:t>ROB)</w:t>
      </w:r>
      <w:r w:rsidR="00AB5978">
        <w:t xml:space="preserve"> or buying new equipment (NEW)</w:t>
      </w:r>
      <w:r w:rsidRPr="001E027B">
        <w:t xml:space="preserve">, the customer must buy a new </w:t>
      </w:r>
      <w:r w:rsidR="00E52FD5">
        <w:t>storage water heater</w:t>
      </w:r>
      <w:r w:rsidRPr="001E027B">
        <w:t xml:space="preserve"> to continue operating, so the base </w:t>
      </w:r>
      <w:r w:rsidR="00AB5978">
        <w:t>case</w:t>
      </w:r>
      <w:r w:rsidRPr="001E027B">
        <w:t xml:space="preserve"> cost is that of a baseline (standard) </w:t>
      </w:r>
      <w:r w:rsidR="00E52FD5">
        <w:t>storage water heater</w:t>
      </w:r>
      <w:r w:rsidRPr="001E027B">
        <w:t xml:space="preserve">.  </w:t>
      </w:r>
    </w:p>
    <w:p w:rsidR="00AB5978" w:rsidRDefault="00AB5978" w:rsidP="008F0ABF">
      <w:pPr>
        <w:pStyle w:val="PR1"/>
      </w:pPr>
      <w:r>
        <w:t xml:space="preserve">The base case costs are shown in Table 8 below.  </w:t>
      </w:r>
    </w:p>
    <w:p w:rsidR="00AB5978" w:rsidRDefault="00AB5978" w:rsidP="00AB5978">
      <w:pPr>
        <w:pStyle w:val="WPPR2"/>
      </w:pPr>
      <w:r>
        <w:t xml:space="preserve">The upper section of the table lists the 2008 DEER cost data taken from </w:t>
      </w:r>
      <w:r w:rsidRPr="00785F98">
        <w:t xml:space="preserve">the </w:t>
      </w:r>
      <w:r>
        <w:t>“</w:t>
      </w:r>
      <w:r w:rsidRPr="00785F98">
        <w:t>2011 Database for Energy-Efficient Resources (DEER) for Use in the California IOU 2013-14 Energy Efficiency Planning</w:t>
      </w:r>
      <w:r>
        <w:t>”</w:t>
      </w:r>
      <w:r>
        <w:rPr>
          <w:vertAlign w:val="superscript"/>
        </w:rPr>
        <w:t>4</w:t>
      </w:r>
      <w:r>
        <w:t xml:space="preserve">.  </w:t>
      </w:r>
      <w:r w:rsidR="00042CD0">
        <w:t xml:space="preserve">DEER reported the cost per storage water heater, not the cost per </w:t>
      </w:r>
      <w:proofErr w:type="spellStart"/>
      <w:r w:rsidR="00042CD0">
        <w:t>MBtu</w:t>
      </w:r>
      <w:proofErr w:type="spellEnd"/>
      <w:r w:rsidR="00042CD0">
        <w:t xml:space="preserve">/hr.  </w:t>
      </w:r>
      <w:r w:rsidR="004919C3" w:rsidRPr="004919C3">
        <w:t>T</w:t>
      </w:r>
      <w:r w:rsidR="004919C3">
        <w:t xml:space="preserve">he </w:t>
      </w:r>
      <w:r w:rsidR="00042CD0">
        <w:t xml:space="preserve">base case </w:t>
      </w:r>
      <w:r w:rsidR="004919C3">
        <w:t xml:space="preserve">equipment efficiency values </w:t>
      </w:r>
      <w:r w:rsidRPr="004919C3">
        <w:t xml:space="preserve">used for the DEER cost data </w:t>
      </w:r>
      <w:r w:rsidR="004919C3">
        <w:t xml:space="preserve">analysis </w:t>
      </w:r>
      <w:r w:rsidRPr="004919C3">
        <w:t xml:space="preserve">match the </w:t>
      </w:r>
      <w:r w:rsidR="00042CD0">
        <w:t xml:space="preserve">base case </w:t>
      </w:r>
      <w:r w:rsidRPr="004919C3">
        <w:t xml:space="preserve">equipment efficiency ranges </w:t>
      </w:r>
      <w:r w:rsidR="004919C3">
        <w:t xml:space="preserve">reported for DEER above </w:t>
      </w:r>
      <w:r w:rsidR="00042CD0">
        <w:t>and</w:t>
      </w:r>
      <w:r w:rsidR="004919C3">
        <w:t xml:space="preserve"> those </w:t>
      </w:r>
      <w:r w:rsidRPr="004919C3">
        <w:t>used in this workpaper.</w:t>
      </w:r>
      <w:r>
        <w:t xml:space="preserve">  </w:t>
      </w:r>
    </w:p>
    <w:p w:rsidR="00AB5978" w:rsidRPr="001E027B" w:rsidRDefault="00AB5978" w:rsidP="008F0ABF">
      <w:pPr>
        <w:pStyle w:val="WPPR2"/>
      </w:pPr>
      <w:r>
        <w:lastRenderedPageBreak/>
        <w:t xml:space="preserve">The </w:t>
      </w:r>
      <w:r w:rsidR="00042CD0">
        <w:t xml:space="preserve">middle and </w:t>
      </w:r>
      <w:r>
        <w:t>lower section</w:t>
      </w:r>
      <w:r w:rsidR="00042CD0">
        <w:t>s</w:t>
      </w:r>
      <w:r>
        <w:t xml:space="preserve"> of the table list the results of a </w:t>
      </w:r>
      <w:r w:rsidRPr="00CC2314">
        <w:t xml:space="preserve">survey of equipment vendors that sell </w:t>
      </w:r>
      <w:r>
        <w:t>storage water heater</w:t>
      </w:r>
      <w:r w:rsidRPr="00CC2314">
        <w:t>s in California</w:t>
      </w:r>
      <w:r>
        <w:t xml:space="preserve">.  </w:t>
      </w:r>
      <w:r w:rsidR="00042CD0">
        <w:t xml:space="preserve">The middle section provides the cost per storage water heater, for comparison to the DEER data.  The lower section provides the cost per </w:t>
      </w:r>
      <w:proofErr w:type="spellStart"/>
      <w:r w:rsidR="00042CD0">
        <w:t>MBtu</w:t>
      </w:r>
      <w:proofErr w:type="spellEnd"/>
      <w:r w:rsidR="00042CD0">
        <w:t xml:space="preserve">/hr.  </w:t>
      </w:r>
      <w:r w:rsidRPr="008F6C15">
        <w:t xml:space="preserve">The vendor calls produced data for </w:t>
      </w:r>
      <w:r>
        <w:t>most</w:t>
      </w:r>
      <w:r w:rsidRPr="00785F98">
        <w:t xml:space="preserve"> of the categories of boiler type, rated input, and efficiency</w:t>
      </w:r>
      <w:r>
        <w:t xml:space="preserve"> used in this workpaper</w:t>
      </w:r>
      <w:r w:rsidRPr="00785F98">
        <w:t xml:space="preserve">. </w:t>
      </w:r>
      <w:r w:rsidRPr="008F6C15">
        <w:t xml:space="preserve"> </w:t>
      </w:r>
      <w:r w:rsidRPr="00785F98">
        <w:t xml:space="preserve">The </w:t>
      </w:r>
      <w:r>
        <w:t>base measure</w:t>
      </w:r>
      <w:r w:rsidRPr="00785F98">
        <w:t xml:space="preserve"> cost</w:t>
      </w:r>
      <w:r>
        <w:t>s</w:t>
      </w:r>
      <w:r w:rsidRPr="00785F98">
        <w:t xml:space="preserve"> shown in Table </w:t>
      </w:r>
      <w:r>
        <w:t>8</w:t>
      </w:r>
      <w:r w:rsidRPr="00785F98">
        <w:t xml:space="preserve"> represent a</w:t>
      </w:r>
      <w:r>
        <w:t xml:space="preserve">n </w:t>
      </w:r>
      <w:r w:rsidRPr="00785F98">
        <w:t xml:space="preserve">arithmetic average of the equipment cost per </w:t>
      </w:r>
      <w:proofErr w:type="spellStart"/>
      <w:r w:rsidRPr="00785F98">
        <w:t>MBtu</w:t>
      </w:r>
      <w:proofErr w:type="spellEnd"/>
      <w:r w:rsidRPr="00785F98">
        <w:t xml:space="preserve">/hr in each category. </w:t>
      </w:r>
      <w:r>
        <w:t xml:space="preserve"> </w:t>
      </w:r>
      <w:r w:rsidRPr="008F6C15">
        <w:t xml:space="preserve">The </w:t>
      </w:r>
      <w:r w:rsidR="00485CEB">
        <w:t xml:space="preserve">cost </w:t>
      </w:r>
      <w:r w:rsidRPr="008F6C15">
        <w:t xml:space="preserve">data </w:t>
      </w:r>
      <w:r>
        <w:t xml:space="preserve">and calculations </w:t>
      </w:r>
      <w:r w:rsidRPr="008F6C15">
        <w:t xml:space="preserve">are included in </w:t>
      </w:r>
      <w:r>
        <w:t xml:space="preserve">an Excel file embedded as </w:t>
      </w:r>
      <w:r w:rsidRPr="008F6C15">
        <w:t xml:space="preserve">Attachment </w:t>
      </w:r>
      <w:r>
        <w:t>B</w:t>
      </w:r>
      <w:r w:rsidRPr="008F6C15">
        <w:t xml:space="preserve">.  </w:t>
      </w:r>
    </w:p>
    <w:p w:rsidR="008F0ABF" w:rsidRDefault="008F0ABF" w:rsidP="008F0ABF">
      <w:pPr>
        <w:pStyle w:val="WPART"/>
        <w:keepNext w:val="0"/>
      </w:pPr>
      <w:bookmarkStart w:id="68" w:name="_Toc214003098"/>
      <w:bookmarkStart w:id="69" w:name="_Toc319421691"/>
      <w:bookmarkStart w:id="70" w:name="_Toc321313052"/>
      <w:r>
        <w:t>Gross Measure Cost</w:t>
      </w:r>
      <w:bookmarkEnd w:id="68"/>
      <w:bookmarkEnd w:id="69"/>
      <w:bookmarkEnd w:id="70"/>
    </w:p>
    <w:p w:rsidR="00AB5978" w:rsidRDefault="008F0ABF" w:rsidP="00AB5978">
      <w:pPr>
        <w:pStyle w:val="PR1"/>
      </w:pPr>
      <w:r w:rsidRPr="001E027B">
        <w:t>T</w:t>
      </w:r>
      <w:r w:rsidR="00AB5978" w:rsidRPr="00323119">
        <w:t>he gross measure costs</w:t>
      </w:r>
      <w:r w:rsidR="00AB5978" w:rsidRPr="00236090">
        <w:t xml:space="preserve"> </w:t>
      </w:r>
      <w:r w:rsidR="00AB5978">
        <w:t>include the cost of the equipment, excluding installation and start-up costs.  For the purposes of determining incremental measure costs, the installation and start-up costs</w:t>
      </w:r>
      <w:r w:rsidR="00AB5978" w:rsidRPr="00323119" w:rsidDel="00236090">
        <w:t xml:space="preserve"> </w:t>
      </w:r>
      <w:r w:rsidR="00AB5978">
        <w:t xml:space="preserve">are assumed to be the same for the base case and measure equipment.  </w:t>
      </w:r>
    </w:p>
    <w:p w:rsidR="00AB5978" w:rsidRDefault="00AB5978" w:rsidP="00AB5978">
      <w:pPr>
        <w:pStyle w:val="WPPR1"/>
      </w:pPr>
      <w:r>
        <w:t>The gross measure costs are shown in Table 8 below</w:t>
      </w:r>
      <w:r w:rsidRPr="006D6704">
        <w:t>.</w:t>
      </w:r>
      <w:r>
        <w:t xml:space="preserve">  </w:t>
      </w:r>
    </w:p>
    <w:p w:rsidR="00884825" w:rsidRDefault="004C49C2" w:rsidP="00AB5978">
      <w:pPr>
        <w:pStyle w:val="WPPR2"/>
      </w:pPr>
      <w:r>
        <w:t>T</w:t>
      </w:r>
      <w:r w:rsidR="00AB5978">
        <w:t xml:space="preserve">he 2008 DEER cost data </w:t>
      </w:r>
      <w:r>
        <w:t>(</w:t>
      </w:r>
      <w:r w:rsidR="00AB5978">
        <w:t xml:space="preserve">taken from </w:t>
      </w:r>
      <w:r w:rsidR="00AB5978" w:rsidRPr="00785F98">
        <w:t xml:space="preserve">the </w:t>
      </w:r>
      <w:r w:rsidR="00AB5978">
        <w:t>“</w:t>
      </w:r>
      <w:r w:rsidR="00AB5978" w:rsidRPr="00785F98">
        <w:t>2011 Database for Energy-Efficient Resources (DEER) for Use in the California IOU 2013-14 Energy Efficiency Planning</w:t>
      </w:r>
      <w:r w:rsidR="00AB5978">
        <w:t>”</w:t>
      </w:r>
      <w:r w:rsidR="00AB5978">
        <w:rPr>
          <w:vertAlign w:val="superscript"/>
        </w:rPr>
        <w:t>4</w:t>
      </w:r>
      <w:r>
        <w:t xml:space="preserve">) are </w:t>
      </w:r>
      <w:r w:rsidR="00042CD0">
        <w:t xml:space="preserve">reported </w:t>
      </w:r>
      <w:r>
        <w:t xml:space="preserve">as </w:t>
      </w:r>
      <w:r w:rsidR="00042CD0">
        <w:t xml:space="preserve">the cost per storage water heater, not the cost per </w:t>
      </w:r>
      <w:proofErr w:type="spellStart"/>
      <w:r w:rsidR="00042CD0">
        <w:t>MBtu</w:t>
      </w:r>
      <w:proofErr w:type="spellEnd"/>
      <w:r w:rsidR="00042CD0">
        <w:t xml:space="preserve">/hr.  </w:t>
      </w:r>
      <w:r w:rsidR="00884825">
        <w:t xml:space="preserve">Because the input rates are not provided in DEER cost data, </w:t>
      </w:r>
      <w:r w:rsidR="00510ACA">
        <w:t>cost</w:t>
      </w:r>
      <w:r w:rsidR="00884825">
        <w:t xml:space="preserve">/MBtuh cannot be calculated, and thus </w:t>
      </w:r>
      <w:r w:rsidR="0021125B">
        <w:t xml:space="preserve">these </w:t>
      </w:r>
      <w:r w:rsidR="00884825">
        <w:t xml:space="preserve">DEER data </w:t>
      </w:r>
      <w:r w:rsidR="0021125B">
        <w:t>are</w:t>
      </w:r>
      <w:r w:rsidR="00884825">
        <w:t xml:space="preserve"> not used</w:t>
      </w:r>
      <w:r w:rsidR="0021125B">
        <w:t xml:space="preserve"> for determining the incremental measure cost</w:t>
      </w:r>
      <w:r w:rsidR="00884825">
        <w:t>.</w:t>
      </w:r>
      <w:r w:rsidR="0021125B">
        <w:t xml:space="preserve">  </w:t>
      </w:r>
    </w:p>
    <w:p w:rsidR="008F0ABF" w:rsidRPr="00042CD0" w:rsidRDefault="00AB5978" w:rsidP="00AB5978">
      <w:pPr>
        <w:pStyle w:val="WPPR2"/>
      </w:pPr>
      <w:r w:rsidRPr="00042CD0">
        <w:t>T</w:t>
      </w:r>
      <w:r w:rsidR="00884825">
        <w:t>able 8</w:t>
      </w:r>
      <w:r w:rsidRPr="00042CD0">
        <w:t xml:space="preserve"> lists the results of a survey of equipment vendors that sell </w:t>
      </w:r>
      <w:r w:rsidR="00042CD0">
        <w:t>storage water heaters</w:t>
      </w:r>
      <w:r w:rsidRPr="00042CD0">
        <w:t xml:space="preserve"> in California.  </w:t>
      </w:r>
      <w:r w:rsidR="00510ACA">
        <w:t>It also includes some cost data from SCG rebate applications for storage water heater measures.</w:t>
      </w:r>
      <w:r w:rsidR="00510ACA" w:rsidRPr="00042CD0">
        <w:t xml:space="preserve">  </w:t>
      </w:r>
      <w:r w:rsidR="00042CD0">
        <w:t xml:space="preserve">The </w:t>
      </w:r>
      <w:r w:rsidR="00E55CBB">
        <w:t>table</w:t>
      </w:r>
      <w:r w:rsidR="00042CD0">
        <w:t xml:space="preserve"> provi</w:t>
      </w:r>
      <w:r w:rsidR="00485CEB">
        <w:t>d</w:t>
      </w:r>
      <w:r w:rsidR="00042CD0">
        <w:t xml:space="preserve">es the cost per </w:t>
      </w:r>
      <w:proofErr w:type="spellStart"/>
      <w:r w:rsidR="00042CD0">
        <w:t>MBtu</w:t>
      </w:r>
      <w:proofErr w:type="spellEnd"/>
      <w:r w:rsidR="00042CD0">
        <w:t xml:space="preserve">/hr.  </w:t>
      </w:r>
      <w:r w:rsidRPr="00042CD0">
        <w:t xml:space="preserve">The gross measure costs shown in Table 8 represent an arithmetic average of the equipment </w:t>
      </w:r>
      <w:r w:rsidR="003205D2">
        <w:t xml:space="preserve">cost </w:t>
      </w:r>
      <w:r w:rsidRPr="00042CD0">
        <w:t xml:space="preserve">per </w:t>
      </w:r>
      <w:proofErr w:type="spellStart"/>
      <w:r w:rsidRPr="00042CD0">
        <w:t>MBtu</w:t>
      </w:r>
      <w:proofErr w:type="spellEnd"/>
      <w:r w:rsidRPr="00042CD0">
        <w:t xml:space="preserve">/hr in each category.  The cost data and calculations are included in an Excel file embedded as Attachment B.  </w:t>
      </w:r>
      <w:r w:rsidR="00E55CBB">
        <w:t>For comparison, the 2008 DEER cost data are also included in Attachment B</w:t>
      </w:r>
      <w:r w:rsidR="008F0ABF" w:rsidRPr="00042CD0">
        <w:t xml:space="preserve">.  </w:t>
      </w:r>
    </w:p>
    <w:p w:rsidR="008F0ABF" w:rsidRPr="00042CD0" w:rsidRDefault="008F0ABF" w:rsidP="008F0ABF">
      <w:pPr>
        <w:pStyle w:val="WPART"/>
        <w:keepNext w:val="0"/>
      </w:pPr>
      <w:bookmarkStart w:id="71" w:name="_Toc319421692"/>
      <w:bookmarkStart w:id="72" w:name="_Toc321313053"/>
      <w:r w:rsidRPr="00042CD0">
        <w:t>Incremental Measure Cost</w:t>
      </w:r>
      <w:bookmarkEnd w:id="71"/>
      <w:bookmarkEnd w:id="72"/>
    </w:p>
    <w:p w:rsidR="008F0ABF" w:rsidRPr="00AB5978" w:rsidRDefault="008F0ABF" w:rsidP="008F0ABF">
      <w:pPr>
        <w:pStyle w:val="PR1"/>
      </w:pPr>
      <w:r w:rsidRPr="00AB5978">
        <w:t xml:space="preserve">The incremental measure cost (IMC) is the difference between the cost of the average baseline unit and the average high efficiency </w:t>
      </w:r>
      <w:r w:rsidR="00485CEB">
        <w:t>measure</w:t>
      </w:r>
      <w:r w:rsidRPr="00AB5978">
        <w:t xml:space="preserve">.  </w:t>
      </w:r>
    </w:p>
    <w:p w:rsidR="009127B8" w:rsidRDefault="008F0ABF" w:rsidP="008F0ABF">
      <w:pPr>
        <w:pStyle w:val="PR1"/>
      </w:pPr>
      <w:r w:rsidRPr="00AB5978">
        <w:t xml:space="preserve">The incremental measure costs are shown in Table </w:t>
      </w:r>
      <w:r w:rsidR="00AB5978" w:rsidRPr="00AB5978">
        <w:t xml:space="preserve">8 below.  </w:t>
      </w:r>
    </w:p>
    <w:p w:rsidR="009127B8" w:rsidRPr="00AB5978" w:rsidRDefault="009127B8" w:rsidP="008F0ABF">
      <w:pPr>
        <w:pStyle w:val="Vertical"/>
      </w:pPr>
    </w:p>
    <w:p w:rsidR="008F0ABF" w:rsidRPr="00AB5978" w:rsidRDefault="00AB5978" w:rsidP="009127B8">
      <w:pPr>
        <w:pStyle w:val="TBL"/>
        <w:keepNext/>
      </w:pPr>
      <w:bookmarkStart w:id="73" w:name="_Toc319421669"/>
      <w:bookmarkStart w:id="74" w:name="_Toc321313070"/>
      <w:r w:rsidRPr="00AB5978">
        <w:t xml:space="preserve">Gross and </w:t>
      </w:r>
      <w:r w:rsidR="008F0ABF" w:rsidRPr="00AB5978">
        <w:t>Incremental Measure Cost by Equipment Type</w:t>
      </w:r>
      <w:bookmarkEnd w:id="73"/>
      <w:bookmarkEnd w:id="74"/>
    </w:p>
    <w:tbl>
      <w:tblPr>
        <w:tblStyle w:val="TableGrid"/>
        <w:tblW w:w="9360" w:type="dxa"/>
        <w:jc w:val="center"/>
        <w:tblLayout w:type="fixed"/>
        <w:tblCellMar>
          <w:top w:w="43" w:type="dxa"/>
          <w:left w:w="115" w:type="dxa"/>
          <w:bottom w:w="43" w:type="dxa"/>
          <w:right w:w="115" w:type="dxa"/>
        </w:tblCellMar>
        <w:tblLook w:val="01E0"/>
      </w:tblPr>
      <w:tblGrid>
        <w:gridCol w:w="5235"/>
        <w:gridCol w:w="1375"/>
        <w:gridCol w:w="1375"/>
        <w:gridCol w:w="1375"/>
      </w:tblGrid>
      <w:tr w:rsidR="009127B8" w:rsidRPr="00420887" w:rsidTr="009127B8">
        <w:trPr>
          <w:trHeight w:val="20"/>
          <w:jc w:val="center"/>
        </w:trPr>
        <w:tc>
          <w:tcPr>
            <w:tcW w:w="5235" w:type="dxa"/>
            <w:vAlign w:val="bottom"/>
          </w:tcPr>
          <w:p w:rsidR="009127B8" w:rsidRPr="005E2341" w:rsidRDefault="009127B8" w:rsidP="009127B8">
            <w:pPr>
              <w:pStyle w:val="Normal1"/>
              <w:spacing w:after="0" w:line="240" w:lineRule="auto"/>
              <w:rPr>
                <w:rFonts w:ascii="Arial" w:hAnsi="Arial" w:cs="Arial"/>
                <w:b/>
                <w:sz w:val="18"/>
                <w:szCs w:val="18"/>
              </w:rPr>
            </w:pPr>
            <w:r w:rsidRPr="005E2341">
              <w:rPr>
                <w:rFonts w:ascii="Arial" w:hAnsi="Arial" w:cs="Arial"/>
                <w:b/>
                <w:sz w:val="18"/>
                <w:szCs w:val="18"/>
              </w:rPr>
              <w:t>Equipment Type</w:t>
            </w:r>
          </w:p>
        </w:tc>
        <w:tc>
          <w:tcPr>
            <w:tcW w:w="1375" w:type="dxa"/>
            <w:vAlign w:val="center"/>
          </w:tcPr>
          <w:p w:rsidR="009127B8" w:rsidRPr="00D62A22" w:rsidRDefault="009127B8" w:rsidP="00AB5978">
            <w:pPr>
              <w:pStyle w:val="Normal1"/>
              <w:spacing w:after="0" w:line="240" w:lineRule="auto"/>
              <w:jc w:val="center"/>
              <w:rPr>
                <w:rFonts w:ascii="Arial" w:hAnsi="Arial" w:cs="Arial"/>
                <w:b/>
                <w:sz w:val="18"/>
                <w:szCs w:val="18"/>
              </w:rPr>
            </w:pPr>
            <w:r w:rsidRPr="00D62A22">
              <w:rPr>
                <w:rFonts w:ascii="Arial" w:hAnsi="Arial" w:cs="Arial"/>
                <w:b/>
                <w:sz w:val="18"/>
                <w:szCs w:val="18"/>
              </w:rPr>
              <w:t>Small</w:t>
            </w:r>
          </w:p>
        </w:tc>
        <w:tc>
          <w:tcPr>
            <w:tcW w:w="1375" w:type="dxa"/>
            <w:vAlign w:val="bottom"/>
          </w:tcPr>
          <w:p w:rsidR="009127B8" w:rsidRPr="00D62A22" w:rsidRDefault="009127B8" w:rsidP="00AB5978">
            <w:pPr>
              <w:pStyle w:val="Normal1"/>
              <w:spacing w:after="0" w:line="240" w:lineRule="auto"/>
              <w:jc w:val="center"/>
              <w:rPr>
                <w:rFonts w:ascii="Arial" w:hAnsi="Arial" w:cs="Arial"/>
                <w:b/>
                <w:sz w:val="18"/>
                <w:szCs w:val="18"/>
              </w:rPr>
            </w:pPr>
            <w:r w:rsidRPr="00D62A22">
              <w:rPr>
                <w:rFonts w:ascii="Arial" w:hAnsi="Arial" w:cs="Arial"/>
                <w:b/>
                <w:sz w:val="18"/>
                <w:szCs w:val="18"/>
              </w:rPr>
              <w:t>Large Tier 1</w:t>
            </w:r>
          </w:p>
        </w:tc>
        <w:tc>
          <w:tcPr>
            <w:tcW w:w="1375" w:type="dxa"/>
            <w:vAlign w:val="center"/>
          </w:tcPr>
          <w:p w:rsidR="009127B8" w:rsidRPr="00D62A22" w:rsidRDefault="009127B8" w:rsidP="00AB5978">
            <w:pPr>
              <w:pStyle w:val="Normal1"/>
              <w:spacing w:after="0" w:line="240" w:lineRule="auto"/>
              <w:jc w:val="center"/>
              <w:rPr>
                <w:rFonts w:ascii="Arial" w:hAnsi="Arial" w:cs="Arial"/>
                <w:b/>
                <w:sz w:val="18"/>
                <w:szCs w:val="18"/>
              </w:rPr>
            </w:pPr>
            <w:r w:rsidRPr="00D62A22">
              <w:rPr>
                <w:rFonts w:ascii="Arial" w:hAnsi="Arial" w:cs="Arial"/>
                <w:b/>
                <w:sz w:val="18"/>
                <w:szCs w:val="18"/>
              </w:rPr>
              <w:t>Large Tier 2</w:t>
            </w:r>
          </w:p>
        </w:tc>
      </w:tr>
      <w:tr w:rsidR="00AB5978" w:rsidRPr="00420887" w:rsidTr="009127B8">
        <w:trPr>
          <w:trHeight w:val="20"/>
          <w:jc w:val="center"/>
        </w:trPr>
        <w:tc>
          <w:tcPr>
            <w:tcW w:w="5235" w:type="dxa"/>
            <w:vAlign w:val="center"/>
          </w:tcPr>
          <w:p w:rsidR="00AB5978" w:rsidRPr="005E2341" w:rsidRDefault="00E13A76" w:rsidP="00AB5978">
            <w:pPr>
              <w:pStyle w:val="Normal1"/>
              <w:spacing w:after="0" w:line="240" w:lineRule="auto"/>
              <w:jc w:val="right"/>
              <w:rPr>
                <w:rFonts w:ascii="Arial" w:hAnsi="Arial" w:cs="Arial"/>
                <w:b/>
                <w:sz w:val="18"/>
                <w:szCs w:val="18"/>
              </w:rPr>
            </w:pPr>
            <w:r>
              <w:rPr>
                <w:rFonts w:ascii="Arial" w:hAnsi="Arial" w:cs="Arial"/>
                <w:b/>
                <w:sz w:val="18"/>
                <w:szCs w:val="18"/>
              </w:rPr>
              <w:t>Rated Input (</w:t>
            </w:r>
            <w:proofErr w:type="spellStart"/>
            <w:r w:rsidR="00AB5978" w:rsidRPr="005E2341">
              <w:rPr>
                <w:rFonts w:ascii="Arial" w:hAnsi="Arial" w:cs="Arial"/>
                <w:b/>
                <w:sz w:val="18"/>
                <w:szCs w:val="18"/>
              </w:rPr>
              <w:t>MBtu</w:t>
            </w:r>
            <w:proofErr w:type="spellEnd"/>
            <w:r w:rsidR="00AB5978" w:rsidRPr="005E2341">
              <w:rPr>
                <w:rFonts w:ascii="Arial" w:hAnsi="Arial" w:cs="Arial"/>
                <w:b/>
                <w:sz w:val="18"/>
                <w:szCs w:val="18"/>
              </w:rPr>
              <w:t xml:space="preserve">/hr) </w:t>
            </w:r>
            <w:r w:rsidR="00AB5978" w:rsidRPr="005E2341">
              <w:rPr>
                <w:rFonts w:ascii="Arial" w:hAnsi="Arial" w:cs="Arial"/>
                <w:b/>
                <w:sz w:val="18"/>
                <w:szCs w:val="18"/>
              </w:rPr>
              <w:sym w:font="Wingdings" w:char="F0E0"/>
            </w:r>
          </w:p>
        </w:tc>
        <w:tc>
          <w:tcPr>
            <w:tcW w:w="1375" w:type="dxa"/>
            <w:vAlign w:val="center"/>
          </w:tcPr>
          <w:p w:rsidR="00AB5978" w:rsidRPr="00D62A22" w:rsidRDefault="00AB5978" w:rsidP="00AB5978">
            <w:pPr>
              <w:pStyle w:val="Normal1"/>
              <w:spacing w:after="0" w:line="240" w:lineRule="auto"/>
              <w:jc w:val="center"/>
              <w:rPr>
                <w:rFonts w:ascii="Arial" w:hAnsi="Arial" w:cs="Arial"/>
                <w:b/>
                <w:sz w:val="18"/>
                <w:szCs w:val="18"/>
              </w:rPr>
            </w:pPr>
            <w:r w:rsidRPr="00D62A22">
              <w:rPr>
                <w:rFonts w:ascii="Arial" w:hAnsi="Arial" w:cs="Arial" w:hint="eastAsia"/>
                <w:b/>
                <w:sz w:val="18"/>
                <w:szCs w:val="18"/>
              </w:rPr>
              <w:t>≤</w:t>
            </w:r>
            <w:r w:rsidRPr="00D62A22">
              <w:rPr>
                <w:rFonts w:ascii="Arial" w:hAnsi="Arial" w:cs="Arial"/>
                <w:b/>
                <w:sz w:val="18"/>
                <w:szCs w:val="18"/>
              </w:rPr>
              <w:t xml:space="preserve"> 75</w:t>
            </w:r>
          </w:p>
        </w:tc>
        <w:tc>
          <w:tcPr>
            <w:tcW w:w="1375" w:type="dxa"/>
            <w:vAlign w:val="bottom"/>
          </w:tcPr>
          <w:p w:rsidR="00AB5978" w:rsidRPr="00D62A22" w:rsidRDefault="00AB5978" w:rsidP="00AB5978">
            <w:pPr>
              <w:pStyle w:val="Normal1"/>
              <w:spacing w:after="0" w:line="240" w:lineRule="auto"/>
              <w:jc w:val="center"/>
              <w:rPr>
                <w:rFonts w:ascii="Arial" w:hAnsi="Arial" w:cs="Arial"/>
                <w:b/>
                <w:sz w:val="18"/>
                <w:szCs w:val="18"/>
              </w:rPr>
            </w:pPr>
            <w:r w:rsidRPr="00D62A22">
              <w:rPr>
                <w:rFonts w:ascii="Arial" w:hAnsi="Arial" w:cs="Arial"/>
                <w:b/>
                <w:sz w:val="18"/>
                <w:szCs w:val="18"/>
              </w:rPr>
              <w:t>&gt; 75</w:t>
            </w:r>
          </w:p>
        </w:tc>
        <w:tc>
          <w:tcPr>
            <w:tcW w:w="1375" w:type="dxa"/>
            <w:vAlign w:val="center"/>
          </w:tcPr>
          <w:p w:rsidR="00AB5978" w:rsidRPr="00D62A22" w:rsidRDefault="00AB5978" w:rsidP="00AB5978">
            <w:pPr>
              <w:pStyle w:val="Normal1"/>
              <w:spacing w:after="0" w:line="240" w:lineRule="auto"/>
              <w:jc w:val="center"/>
              <w:rPr>
                <w:rFonts w:ascii="Arial" w:hAnsi="Arial" w:cs="Arial"/>
                <w:b/>
                <w:sz w:val="18"/>
                <w:szCs w:val="18"/>
              </w:rPr>
            </w:pPr>
            <w:r w:rsidRPr="00D62A22">
              <w:rPr>
                <w:rFonts w:ascii="Arial" w:hAnsi="Arial" w:cs="Arial"/>
                <w:b/>
                <w:sz w:val="18"/>
                <w:szCs w:val="18"/>
              </w:rPr>
              <w:t>&gt; 75</w:t>
            </w:r>
          </w:p>
        </w:tc>
      </w:tr>
      <w:tr w:rsidR="00884825" w:rsidRPr="00E7102E" w:rsidTr="009127B8">
        <w:trPr>
          <w:trHeight w:val="20"/>
          <w:jc w:val="center"/>
        </w:trPr>
        <w:tc>
          <w:tcPr>
            <w:tcW w:w="5235" w:type="dxa"/>
            <w:vAlign w:val="center"/>
          </w:tcPr>
          <w:p w:rsidR="00884825" w:rsidRPr="00D15586" w:rsidRDefault="00884825" w:rsidP="004919C3">
            <w:pPr>
              <w:rPr>
                <w:rFonts w:cs="Arial"/>
                <w:b/>
                <w:color w:val="000000"/>
                <w:sz w:val="18"/>
                <w:szCs w:val="18"/>
              </w:rPr>
            </w:pPr>
            <w:r w:rsidRPr="00D15586">
              <w:rPr>
                <w:rFonts w:cs="Arial"/>
                <w:b/>
                <w:color w:val="000000"/>
                <w:sz w:val="18"/>
                <w:szCs w:val="18"/>
              </w:rPr>
              <w:t>2012 Vendor Survey Data</w:t>
            </w:r>
            <w:r>
              <w:rPr>
                <w:rFonts w:cs="Arial"/>
                <w:b/>
                <w:color w:val="000000"/>
                <w:sz w:val="18"/>
                <w:szCs w:val="18"/>
              </w:rPr>
              <w:t xml:space="preserve"> per MBtuh</w:t>
            </w:r>
          </w:p>
        </w:tc>
        <w:tc>
          <w:tcPr>
            <w:tcW w:w="1375" w:type="dxa"/>
            <w:vAlign w:val="center"/>
          </w:tcPr>
          <w:p w:rsidR="00884825" w:rsidRPr="00D62A22" w:rsidRDefault="00884825" w:rsidP="00884825">
            <w:pPr>
              <w:jc w:val="center"/>
              <w:rPr>
                <w:rFonts w:cs="Arial"/>
                <w:sz w:val="18"/>
                <w:szCs w:val="18"/>
              </w:rPr>
            </w:pPr>
          </w:p>
        </w:tc>
        <w:tc>
          <w:tcPr>
            <w:tcW w:w="1375" w:type="dxa"/>
            <w:vAlign w:val="center"/>
          </w:tcPr>
          <w:p w:rsidR="00884825" w:rsidRPr="00D62A22" w:rsidRDefault="00884825" w:rsidP="00884825">
            <w:pPr>
              <w:jc w:val="center"/>
              <w:rPr>
                <w:rFonts w:cs="Arial"/>
                <w:sz w:val="18"/>
                <w:szCs w:val="18"/>
              </w:rPr>
            </w:pPr>
          </w:p>
        </w:tc>
        <w:tc>
          <w:tcPr>
            <w:tcW w:w="1375" w:type="dxa"/>
            <w:vAlign w:val="center"/>
          </w:tcPr>
          <w:p w:rsidR="00884825" w:rsidRPr="00D62A22" w:rsidRDefault="00884825" w:rsidP="00884825">
            <w:pPr>
              <w:jc w:val="center"/>
              <w:rPr>
                <w:rFonts w:cs="Arial"/>
                <w:sz w:val="18"/>
                <w:szCs w:val="18"/>
              </w:rPr>
            </w:pPr>
          </w:p>
        </w:tc>
      </w:tr>
      <w:tr w:rsidR="00884825" w:rsidRPr="00E7102E" w:rsidTr="004919C3">
        <w:trPr>
          <w:trHeight w:val="20"/>
          <w:jc w:val="center"/>
        </w:trPr>
        <w:tc>
          <w:tcPr>
            <w:tcW w:w="5235" w:type="dxa"/>
            <w:vAlign w:val="center"/>
          </w:tcPr>
          <w:p w:rsidR="00884825" w:rsidRPr="005E2341" w:rsidRDefault="00884825" w:rsidP="004919C3">
            <w:pPr>
              <w:rPr>
                <w:rFonts w:cs="Arial"/>
                <w:color w:val="000000"/>
                <w:sz w:val="18"/>
                <w:szCs w:val="18"/>
              </w:rPr>
            </w:pPr>
            <w:r>
              <w:rPr>
                <w:rFonts w:cs="Arial"/>
                <w:color w:val="000000"/>
                <w:sz w:val="18"/>
                <w:szCs w:val="18"/>
              </w:rPr>
              <w:t xml:space="preserve">Average </w:t>
            </w:r>
            <w:r w:rsidRPr="005E2341">
              <w:rPr>
                <w:rFonts w:cs="Arial"/>
                <w:color w:val="000000"/>
                <w:sz w:val="18"/>
                <w:szCs w:val="18"/>
              </w:rPr>
              <w:t>Base Cost ($/MBtuh)</w:t>
            </w:r>
          </w:p>
        </w:tc>
        <w:tc>
          <w:tcPr>
            <w:tcW w:w="1375" w:type="dxa"/>
            <w:vAlign w:val="center"/>
          </w:tcPr>
          <w:p w:rsidR="00884825" w:rsidRPr="00D62A22" w:rsidRDefault="00884825" w:rsidP="00884825">
            <w:pPr>
              <w:overflowPunct w:val="0"/>
              <w:autoSpaceDE w:val="0"/>
              <w:autoSpaceDN w:val="0"/>
              <w:adjustRightInd w:val="0"/>
              <w:spacing w:after="120" w:line="360" w:lineRule="atLeast"/>
              <w:jc w:val="center"/>
              <w:textAlignment w:val="baseline"/>
              <w:rPr>
                <w:rFonts w:cs="Arial"/>
                <w:sz w:val="18"/>
              </w:rPr>
            </w:pPr>
            <w:r w:rsidRPr="00D62A22">
              <w:rPr>
                <w:rFonts w:cs="Arial"/>
                <w:sz w:val="18"/>
                <w:szCs w:val="18"/>
              </w:rPr>
              <w:t xml:space="preserve">$12.52 </w:t>
            </w:r>
          </w:p>
        </w:tc>
        <w:tc>
          <w:tcPr>
            <w:tcW w:w="1375" w:type="dxa"/>
            <w:vAlign w:val="center"/>
          </w:tcPr>
          <w:p w:rsidR="00884825" w:rsidRPr="00D62A22" w:rsidRDefault="00884825" w:rsidP="00884825">
            <w:pPr>
              <w:jc w:val="center"/>
              <w:rPr>
                <w:rFonts w:cs="Arial"/>
                <w:sz w:val="18"/>
              </w:rPr>
            </w:pPr>
            <w:r w:rsidRPr="00D62A22">
              <w:rPr>
                <w:rFonts w:cs="Arial"/>
                <w:sz w:val="18"/>
                <w:szCs w:val="18"/>
              </w:rPr>
              <w:t xml:space="preserve">$14.18 </w:t>
            </w:r>
          </w:p>
        </w:tc>
        <w:tc>
          <w:tcPr>
            <w:tcW w:w="1375" w:type="dxa"/>
            <w:vAlign w:val="center"/>
          </w:tcPr>
          <w:p w:rsidR="00884825" w:rsidRPr="00D62A22" w:rsidRDefault="00884825" w:rsidP="00884825">
            <w:pPr>
              <w:overflowPunct w:val="0"/>
              <w:autoSpaceDE w:val="0"/>
              <w:autoSpaceDN w:val="0"/>
              <w:adjustRightInd w:val="0"/>
              <w:spacing w:after="120" w:line="360" w:lineRule="atLeast"/>
              <w:jc w:val="center"/>
              <w:textAlignment w:val="baseline"/>
              <w:rPr>
                <w:rFonts w:cs="Arial"/>
                <w:sz w:val="18"/>
              </w:rPr>
            </w:pPr>
            <w:r w:rsidRPr="00D62A22">
              <w:rPr>
                <w:rFonts w:cs="Arial"/>
                <w:sz w:val="18"/>
                <w:szCs w:val="18"/>
              </w:rPr>
              <w:t xml:space="preserve">$14.18 </w:t>
            </w:r>
          </w:p>
        </w:tc>
      </w:tr>
      <w:tr w:rsidR="00884825" w:rsidRPr="00E7102E" w:rsidTr="004919C3">
        <w:trPr>
          <w:trHeight w:val="20"/>
          <w:jc w:val="center"/>
        </w:trPr>
        <w:tc>
          <w:tcPr>
            <w:tcW w:w="5235" w:type="dxa"/>
            <w:vAlign w:val="center"/>
          </w:tcPr>
          <w:p w:rsidR="00884825" w:rsidRPr="005E2341" w:rsidRDefault="00884825" w:rsidP="004919C3">
            <w:pPr>
              <w:rPr>
                <w:rFonts w:cs="Arial"/>
                <w:color w:val="000000"/>
                <w:sz w:val="18"/>
                <w:szCs w:val="18"/>
              </w:rPr>
            </w:pPr>
            <w:r>
              <w:rPr>
                <w:rFonts w:cs="Arial"/>
                <w:color w:val="000000"/>
                <w:sz w:val="18"/>
                <w:szCs w:val="18"/>
              </w:rPr>
              <w:t>Average Gross Measure</w:t>
            </w:r>
            <w:r w:rsidRPr="005E2341">
              <w:rPr>
                <w:rFonts w:cs="Arial"/>
                <w:color w:val="000000"/>
                <w:sz w:val="18"/>
                <w:szCs w:val="18"/>
              </w:rPr>
              <w:t xml:space="preserve"> Cost ($/MBtuh)</w:t>
            </w:r>
          </w:p>
        </w:tc>
        <w:tc>
          <w:tcPr>
            <w:tcW w:w="1375" w:type="dxa"/>
            <w:vAlign w:val="center"/>
          </w:tcPr>
          <w:p w:rsidR="00884825" w:rsidRPr="00D62A22" w:rsidRDefault="00884825" w:rsidP="00884825">
            <w:pPr>
              <w:overflowPunct w:val="0"/>
              <w:autoSpaceDE w:val="0"/>
              <w:autoSpaceDN w:val="0"/>
              <w:adjustRightInd w:val="0"/>
              <w:spacing w:after="120" w:line="360" w:lineRule="atLeast"/>
              <w:jc w:val="center"/>
              <w:textAlignment w:val="baseline"/>
              <w:rPr>
                <w:rFonts w:cs="Arial"/>
                <w:sz w:val="18"/>
              </w:rPr>
            </w:pPr>
            <w:r w:rsidRPr="00D62A22">
              <w:rPr>
                <w:rFonts w:cs="Arial"/>
                <w:sz w:val="18"/>
                <w:szCs w:val="18"/>
              </w:rPr>
              <w:t xml:space="preserve">$19.74 </w:t>
            </w:r>
          </w:p>
        </w:tc>
        <w:tc>
          <w:tcPr>
            <w:tcW w:w="1375" w:type="dxa"/>
            <w:vAlign w:val="center"/>
          </w:tcPr>
          <w:p w:rsidR="00884825" w:rsidRPr="00D62A22" w:rsidRDefault="00884825" w:rsidP="00884825">
            <w:pPr>
              <w:jc w:val="center"/>
              <w:rPr>
                <w:rFonts w:cs="Arial"/>
                <w:sz w:val="18"/>
              </w:rPr>
            </w:pPr>
            <w:r w:rsidRPr="00D62A22">
              <w:rPr>
                <w:rFonts w:cs="Arial"/>
                <w:sz w:val="18"/>
                <w:szCs w:val="18"/>
              </w:rPr>
              <w:t xml:space="preserve">$15.40 </w:t>
            </w:r>
          </w:p>
        </w:tc>
        <w:tc>
          <w:tcPr>
            <w:tcW w:w="1375" w:type="dxa"/>
            <w:vAlign w:val="center"/>
          </w:tcPr>
          <w:p w:rsidR="00884825" w:rsidRPr="00D62A22" w:rsidRDefault="00884825" w:rsidP="00884825">
            <w:pPr>
              <w:overflowPunct w:val="0"/>
              <w:autoSpaceDE w:val="0"/>
              <w:autoSpaceDN w:val="0"/>
              <w:adjustRightInd w:val="0"/>
              <w:spacing w:after="120" w:line="360" w:lineRule="atLeast"/>
              <w:jc w:val="center"/>
              <w:textAlignment w:val="baseline"/>
              <w:rPr>
                <w:rFonts w:cs="Arial"/>
                <w:sz w:val="18"/>
              </w:rPr>
            </w:pPr>
            <w:r w:rsidRPr="00D62A22">
              <w:rPr>
                <w:rFonts w:cs="Arial"/>
                <w:sz w:val="18"/>
                <w:szCs w:val="18"/>
              </w:rPr>
              <w:t xml:space="preserve">$27.30 </w:t>
            </w:r>
          </w:p>
        </w:tc>
      </w:tr>
      <w:tr w:rsidR="00884825" w:rsidRPr="00E7102E" w:rsidTr="004919C3">
        <w:trPr>
          <w:trHeight w:val="20"/>
          <w:jc w:val="center"/>
        </w:trPr>
        <w:tc>
          <w:tcPr>
            <w:tcW w:w="5235" w:type="dxa"/>
            <w:vAlign w:val="center"/>
          </w:tcPr>
          <w:p w:rsidR="00884825" w:rsidRDefault="00884825" w:rsidP="004919C3">
            <w:pPr>
              <w:rPr>
                <w:rFonts w:cs="Arial"/>
                <w:color w:val="000000"/>
                <w:sz w:val="18"/>
                <w:szCs w:val="18"/>
              </w:rPr>
            </w:pPr>
            <w:r>
              <w:rPr>
                <w:rFonts w:cs="Arial"/>
                <w:color w:val="000000"/>
                <w:sz w:val="18"/>
                <w:szCs w:val="18"/>
              </w:rPr>
              <w:t>Average Incremental Measure</w:t>
            </w:r>
            <w:r w:rsidRPr="005E2341">
              <w:rPr>
                <w:rFonts w:cs="Arial"/>
                <w:color w:val="000000"/>
                <w:sz w:val="18"/>
                <w:szCs w:val="18"/>
              </w:rPr>
              <w:t xml:space="preserve"> Cost ($/MBtuh)</w:t>
            </w:r>
          </w:p>
        </w:tc>
        <w:tc>
          <w:tcPr>
            <w:tcW w:w="1375" w:type="dxa"/>
            <w:vAlign w:val="center"/>
          </w:tcPr>
          <w:p w:rsidR="00884825" w:rsidRPr="00D62A22" w:rsidRDefault="00884825" w:rsidP="00884825">
            <w:pPr>
              <w:overflowPunct w:val="0"/>
              <w:autoSpaceDE w:val="0"/>
              <w:autoSpaceDN w:val="0"/>
              <w:adjustRightInd w:val="0"/>
              <w:spacing w:after="120" w:line="360" w:lineRule="atLeast"/>
              <w:jc w:val="center"/>
              <w:textAlignment w:val="baseline"/>
              <w:rPr>
                <w:rFonts w:cs="Arial"/>
                <w:b/>
                <w:bCs/>
                <w:sz w:val="18"/>
              </w:rPr>
            </w:pPr>
            <w:r w:rsidRPr="00D62A22">
              <w:rPr>
                <w:rFonts w:cs="Arial"/>
                <w:b/>
                <w:bCs/>
                <w:sz w:val="18"/>
                <w:szCs w:val="18"/>
              </w:rPr>
              <w:t xml:space="preserve">$7.22 </w:t>
            </w:r>
          </w:p>
        </w:tc>
        <w:tc>
          <w:tcPr>
            <w:tcW w:w="1375" w:type="dxa"/>
            <w:vAlign w:val="center"/>
          </w:tcPr>
          <w:p w:rsidR="00884825" w:rsidRPr="00D62A22" w:rsidRDefault="00884825" w:rsidP="00884825">
            <w:pPr>
              <w:jc w:val="center"/>
              <w:rPr>
                <w:rFonts w:cs="Arial"/>
                <w:b/>
                <w:bCs/>
                <w:sz w:val="18"/>
              </w:rPr>
            </w:pPr>
            <w:r w:rsidRPr="00D62A22">
              <w:rPr>
                <w:rFonts w:cs="Arial"/>
                <w:b/>
                <w:bCs/>
                <w:sz w:val="18"/>
                <w:szCs w:val="18"/>
              </w:rPr>
              <w:t xml:space="preserve">$1.23 </w:t>
            </w:r>
          </w:p>
        </w:tc>
        <w:tc>
          <w:tcPr>
            <w:tcW w:w="1375" w:type="dxa"/>
            <w:vAlign w:val="center"/>
          </w:tcPr>
          <w:p w:rsidR="00884825" w:rsidRPr="00D62A22" w:rsidRDefault="00884825" w:rsidP="00884825">
            <w:pPr>
              <w:overflowPunct w:val="0"/>
              <w:autoSpaceDE w:val="0"/>
              <w:autoSpaceDN w:val="0"/>
              <w:adjustRightInd w:val="0"/>
              <w:spacing w:after="120" w:line="360" w:lineRule="atLeast"/>
              <w:jc w:val="center"/>
              <w:textAlignment w:val="baseline"/>
              <w:rPr>
                <w:rFonts w:cs="Arial"/>
                <w:b/>
                <w:bCs/>
                <w:sz w:val="18"/>
              </w:rPr>
            </w:pPr>
            <w:r w:rsidRPr="00D62A22">
              <w:rPr>
                <w:rFonts w:cs="Arial"/>
                <w:b/>
                <w:bCs/>
                <w:sz w:val="18"/>
                <w:szCs w:val="18"/>
              </w:rPr>
              <w:t xml:space="preserve">$13.13 </w:t>
            </w:r>
          </w:p>
        </w:tc>
      </w:tr>
    </w:tbl>
    <w:p w:rsidR="00A920D6" w:rsidRDefault="00A920D6" w:rsidP="00A920D6">
      <w:pPr>
        <w:pStyle w:val="Vertical"/>
      </w:pPr>
    </w:p>
    <w:p w:rsidR="00A920D6" w:rsidRPr="00A920D6" w:rsidRDefault="00A920D6" w:rsidP="00A920D6">
      <w:pPr>
        <w:pStyle w:val="Vertical"/>
      </w:pPr>
    </w:p>
    <w:p w:rsidR="001C644E" w:rsidRPr="00B26C3B" w:rsidRDefault="001C644E" w:rsidP="001C644E">
      <w:r>
        <w:br w:type="page"/>
      </w:r>
    </w:p>
    <w:p w:rsidR="001C644E" w:rsidRDefault="001C644E" w:rsidP="001C644E">
      <w:pPr>
        <w:pStyle w:val="Appx"/>
      </w:pPr>
      <w:bookmarkStart w:id="75" w:name="_Toc238955954"/>
      <w:bookmarkStart w:id="76" w:name="_Toc321313054"/>
      <w:bookmarkStart w:id="77" w:name="AttachmentsPage"/>
      <w:bookmarkStart w:id="78" w:name="_Toc214003102"/>
      <w:bookmarkEnd w:id="67"/>
      <w:r>
        <w:lastRenderedPageBreak/>
        <w:t>Attachments</w:t>
      </w:r>
      <w:bookmarkEnd w:id="75"/>
      <w:bookmarkEnd w:id="76"/>
    </w:p>
    <w:bookmarkEnd w:id="77"/>
    <w:p w:rsidR="003C679B" w:rsidRDefault="003C679B" w:rsidP="003C679B">
      <w:r>
        <w:rPr>
          <w:i/>
        </w:rPr>
        <w:t xml:space="preserve">Attachment A – </w:t>
      </w:r>
      <w:r w:rsidRPr="00D55EAC">
        <w:rPr>
          <w:i/>
        </w:rPr>
        <w:t>S</w:t>
      </w:r>
      <w:r>
        <w:rPr>
          <w:i/>
        </w:rPr>
        <w:t xml:space="preserve">torage </w:t>
      </w:r>
      <w:r w:rsidR="00146557">
        <w:rPr>
          <w:i/>
        </w:rPr>
        <w:t>Water Heater Energy Savings Calculations</w:t>
      </w:r>
    </w:p>
    <w:p w:rsidR="002D466A" w:rsidRDefault="002D466A" w:rsidP="003C679B">
      <w:r>
        <w:tab/>
      </w:r>
      <w:bookmarkStart w:id="79" w:name="_MON_1394437048"/>
      <w:bookmarkStart w:id="80" w:name="_MON_1394441712"/>
      <w:bookmarkEnd w:id="79"/>
      <w:bookmarkEnd w:id="80"/>
      <w:r w:rsidR="00146557">
        <w:tab/>
      </w:r>
      <w:r w:rsidR="00F76463" w:rsidRPr="00F03833">
        <w:object w:dxaOrig="1539" w:dyaOrig="966">
          <v:shape id="_x0000_i1025" type="#_x0000_t75" style="width:77.25pt;height:48pt" o:ole="">
            <v:imagedata r:id="rId26" o:title=""/>
          </v:shape>
          <o:OLEObject Type="Embed" ProgID="Excel.Sheet.12" ShapeID="_x0000_i1025" DrawAspect="Icon" ObjectID="_1401883228" r:id="rId27"/>
        </w:object>
      </w:r>
    </w:p>
    <w:p w:rsidR="003C679B" w:rsidRDefault="003C679B" w:rsidP="003C679B"/>
    <w:p w:rsidR="003C679B" w:rsidRPr="008445D3" w:rsidRDefault="003C679B" w:rsidP="003C679B">
      <w:r w:rsidRPr="008445D3">
        <w:rPr>
          <w:i/>
        </w:rPr>
        <w:t>Attachment B – Storage Water Heater Vendor Cost Data</w:t>
      </w:r>
    </w:p>
    <w:p w:rsidR="00146557" w:rsidRPr="008445D3" w:rsidRDefault="00146557" w:rsidP="00146557">
      <w:r w:rsidRPr="008445D3">
        <w:tab/>
      </w:r>
      <w:r w:rsidRPr="008445D3">
        <w:tab/>
      </w:r>
      <w:r w:rsidR="00B13A0F" w:rsidRPr="008445D3">
        <w:object w:dxaOrig="1539" w:dyaOrig="966">
          <v:shape id="_x0000_i1026" type="#_x0000_t75" style="width:77.25pt;height:48pt" o:ole="">
            <v:imagedata r:id="rId28" o:title=""/>
          </v:shape>
          <o:OLEObject Type="Embed" ProgID="Excel.Sheet.12" ShapeID="_x0000_i1026" DrawAspect="Icon" ObjectID="_1401883229" r:id="rId29"/>
        </w:object>
      </w:r>
    </w:p>
    <w:p w:rsidR="003C679B" w:rsidRPr="008445D3" w:rsidRDefault="003C679B" w:rsidP="003C679B"/>
    <w:p w:rsidR="003C679B" w:rsidRPr="008445D3" w:rsidRDefault="003C679B" w:rsidP="003C679B"/>
    <w:p w:rsidR="001C644E" w:rsidRDefault="001C644E" w:rsidP="001C644E">
      <w:pPr>
        <w:pStyle w:val="Appx"/>
      </w:pPr>
      <w:r>
        <w:br w:type="page"/>
      </w:r>
      <w:bookmarkStart w:id="81" w:name="_Toc238955955"/>
      <w:bookmarkStart w:id="82" w:name="_Toc321313055"/>
      <w:r>
        <w:lastRenderedPageBreak/>
        <w:t>References</w:t>
      </w:r>
      <w:bookmarkEnd w:id="78"/>
      <w:bookmarkEnd w:id="81"/>
      <w:bookmarkEnd w:id="82"/>
    </w:p>
    <w:sectPr w:rsidR="001C644E" w:rsidSect="00E97D72">
      <w:headerReference w:type="even" r:id="rId30"/>
      <w:headerReference w:type="default" r:id="rId31"/>
      <w:footerReference w:type="even" r:id="rId32"/>
      <w:footnotePr>
        <w:numRestart w:val="eachSect"/>
      </w:footnotePr>
      <w:endnotePr>
        <w:numFmt w:val="decimal"/>
      </w:endnotePr>
      <w:pgSz w:w="12240" w:h="15840" w:code="1"/>
      <w:pgMar w:top="1627" w:right="1440" w:bottom="1627" w:left="1440" w:header="720" w:footer="47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B9C" w:rsidRDefault="00D70B9C">
      <w:r>
        <w:separator/>
      </w:r>
    </w:p>
  </w:endnote>
  <w:endnote w:type="continuationSeparator" w:id="0">
    <w:p w:rsidR="00D70B9C" w:rsidRDefault="00D70B9C">
      <w:r>
        <w:continuationSeparator/>
      </w:r>
    </w:p>
  </w:endnote>
  <w:endnote w:id="1">
    <w:p w:rsidR="001B7658" w:rsidRDefault="001B7658" w:rsidP="00C40516">
      <w:pPr>
        <w:pStyle w:val="EndnoteText"/>
      </w:pPr>
      <w:r>
        <w:rPr>
          <w:rStyle w:val="EndnoteReference"/>
        </w:rPr>
        <w:endnoteRef/>
      </w:r>
      <w:r>
        <w:t xml:space="preserve"> </w:t>
      </w:r>
      <w:r w:rsidRPr="00D860F7">
        <w:rPr>
          <w:i/>
        </w:rPr>
        <w:t xml:space="preserve">California Code of Regulations, Title 20. Public Utilities and Energy, Division 2. </w:t>
      </w:r>
      <w:proofErr w:type="gramStart"/>
      <w:r w:rsidRPr="00D860F7">
        <w:rPr>
          <w:i/>
        </w:rPr>
        <w:t>State Energy Resources Conservation and Development Commission</w:t>
      </w:r>
      <w:r w:rsidRPr="00D860F7">
        <w:t>, California Energy Commission, CEC-140-2008-001-REV1, August 2008</w:t>
      </w:r>
      <w:r>
        <w:t xml:space="preserve"> (</w:t>
      </w:r>
      <w:r w:rsidRPr="00D860F7">
        <w:t xml:space="preserve">Accessed Mar. 12, 2012 at </w:t>
      </w:r>
      <w:hyperlink r:id="rId1" w:history="1">
        <w:r w:rsidRPr="00F70FFE">
          <w:rPr>
            <w:rStyle w:val="Hyperlink"/>
          </w:rPr>
          <w:t>http://www.energy.ca.gov/regs/title20/index.html</w:t>
        </w:r>
      </w:hyperlink>
      <w:r>
        <w:t>).</w:t>
      </w:r>
      <w:proofErr w:type="gramEnd"/>
      <w:r>
        <w:t xml:space="preserve">  </w:t>
      </w:r>
    </w:p>
    <w:p w:rsidR="001B7658" w:rsidRDefault="001B7658">
      <w:pPr>
        <w:pStyle w:val="EndnoteText"/>
      </w:pPr>
    </w:p>
  </w:endnote>
  <w:endnote w:id="2">
    <w:p w:rsidR="001B7658" w:rsidRDefault="001B7658">
      <w:pPr>
        <w:pStyle w:val="EndnoteText"/>
      </w:pPr>
      <w:r>
        <w:rPr>
          <w:rStyle w:val="EndnoteReference"/>
        </w:rPr>
        <w:endnoteRef/>
      </w:r>
      <w:r>
        <w:t xml:space="preserve"> </w:t>
      </w:r>
      <w:r w:rsidRPr="00D860F7">
        <w:rPr>
          <w:i/>
        </w:rPr>
        <w:t>2008 Building Energy Efficiency Standards, Nonresidential Compliance Manual</w:t>
      </w:r>
      <w:r w:rsidRPr="00D860F7">
        <w:t xml:space="preserve">, </w:t>
      </w:r>
      <w:r>
        <w:t xml:space="preserve">Title 24, </w:t>
      </w:r>
      <w:r w:rsidRPr="00D860F7">
        <w:t>California E</w:t>
      </w:r>
      <w:r w:rsidRPr="00D860F7">
        <w:t>n</w:t>
      </w:r>
      <w:r w:rsidRPr="00D860F7">
        <w:t xml:space="preserve">ergy Commission, CEC-400-2008-017-CMF-Rev1, December 2008, Revised August 2009, Revised March 2010, </w:t>
      </w:r>
      <w:proofErr w:type="gramStart"/>
      <w:r w:rsidRPr="00D860F7">
        <w:t>Revised</w:t>
      </w:r>
      <w:proofErr w:type="gramEnd"/>
      <w:r w:rsidRPr="00D860F7">
        <w:t xml:space="preserve"> July 2010</w:t>
      </w:r>
      <w:r>
        <w:t xml:space="preserve"> (</w:t>
      </w:r>
      <w:r w:rsidRPr="00D860F7">
        <w:t xml:space="preserve">Accessed Mar. 12, 2012 at </w:t>
      </w:r>
      <w:hyperlink r:id="rId2" w:history="1">
        <w:r w:rsidRPr="00F70FFE">
          <w:rPr>
            <w:rStyle w:val="Hyperlink"/>
          </w:rPr>
          <w:t>http://www.energy.ca.gov/title24/</w:t>
        </w:r>
      </w:hyperlink>
      <w:r>
        <w:t xml:space="preserve">).  </w:t>
      </w:r>
    </w:p>
    <w:p w:rsidR="001B7658" w:rsidRDefault="001B7658">
      <w:pPr>
        <w:pStyle w:val="EndnoteText"/>
      </w:pPr>
    </w:p>
  </w:endnote>
  <w:endnote w:id="3">
    <w:p w:rsidR="001B7658" w:rsidRDefault="001B7658" w:rsidP="00E96AA4">
      <w:pPr>
        <w:pStyle w:val="EndnoteText"/>
      </w:pPr>
      <w:r>
        <w:rPr>
          <w:rStyle w:val="EndnoteReference"/>
        </w:rPr>
        <w:endnoteRef/>
      </w:r>
      <w:r>
        <w:t xml:space="preserve"> </w:t>
      </w:r>
      <w:r w:rsidRPr="00D55EAC">
        <w:rPr>
          <w:i/>
        </w:rPr>
        <w:t>S</w:t>
      </w:r>
      <w:r>
        <w:rPr>
          <w:i/>
        </w:rPr>
        <w:t xml:space="preserve">torage Tank Water </w:t>
      </w:r>
      <w:r w:rsidRPr="00D55EAC">
        <w:rPr>
          <w:i/>
        </w:rPr>
        <w:t>Heat</w:t>
      </w:r>
      <w:r>
        <w:rPr>
          <w:i/>
        </w:rPr>
        <w:t>ers</w:t>
      </w:r>
      <w:r w:rsidRPr="00D55EAC">
        <w:rPr>
          <w:i/>
        </w:rPr>
        <w:t xml:space="preserve"> Workpaper</w:t>
      </w:r>
      <w:r>
        <w:t xml:space="preserve">, Revision D, EEA Report No. B-REP-05-599-16D, November 20, 2008.  </w:t>
      </w:r>
      <w:r>
        <w:br/>
      </w:r>
      <w:r>
        <w:tab/>
      </w:r>
      <w:r>
        <w:tab/>
      </w:r>
      <w:r>
        <w:object w:dxaOrig="1539" w:dyaOrig="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8pt" o:ole="">
            <v:imagedata r:id="rId3" o:title=""/>
          </v:shape>
          <o:OLEObject Type="Embed" ProgID="Word.Document.8" ShapeID="_x0000_i1028" DrawAspect="Icon" ObjectID="_1401883230" r:id="rId4">
            <o:FieldCodes>\s</o:FieldCodes>
          </o:OLEObject>
        </w:object>
      </w:r>
    </w:p>
    <w:p w:rsidR="001B7658" w:rsidRDefault="001B7658" w:rsidP="00E96AA4">
      <w:pPr>
        <w:pStyle w:val="EndnoteText"/>
      </w:pPr>
    </w:p>
  </w:endnote>
  <w:endnote w:id="4">
    <w:p w:rsidR="001B7658" w:rsidRPr="003A1AA5" w:rsidRDefault="001B7658" w:rsidP="001021E8">
      <w:pPr>
        <w:pStyle w:val="EndnoteText"/>
        <w:rPr>
          <w:rFonts w:cs="Arial"/>
        </w:rPr>
      </w:pPr>
      <w:r>
        <w:rPr>
          <w:rStyle w:val="EndnoteReference"/>
        </w:rPr>
        <w:endnoteRef/>
      </w:r>
      <w:r>
        <w:t xml:space="preserve"> </w:t>
      </w:r>
      <w:proofErr w:type="gramStart"/>
      <w:r w:rsidRPr="00D55EAC">
        <w:rPr>
          <w:i/>
        </w:rPr>
        <w:t>DEER Database for Energy-Efficient Resources</w:t>
      </w:r>
      <w:r>
        <w:t>, Version 2011 4.00, For Use in the California IOU 2013-14 Energy Efficiency Planning (Accessed Mar. 7</w:t>
      </w:r>
      <w:r w:rsidRPr="003A1AA5">
        <w:rPr>
          <w:rFonts w:cs="Arial"/>
        </w:rPr>
        <w:t xml:space="preserve">, 2012 at </w:t>
      </w:r>
      <w:hyperlink r:id="rId5" w:history="1">
        <w:r w:rsidRPr="003A1AA5">
          <w:rPr>
            <w:rStyle w:val="Hyperlink"/>
            <w:rFonts w:cs="Arial"/>
          </w:rPr>
          <w:t>http://www.deeresources.com/</w:t>
        </w:r>
      </w:hyperlink>
      <w:r>
        <w:rPr>
          <w:rFonts w:cs="Arial"/>
        </w:rPr>
        <w:t>).</w:t>
      </w:r>
      <w:proofErr w:type="gramEnd"/>
      <w:r>
        <w:rPr>
          <w:rFonts w:cs="Arial"/>
        </w:rPr>
        <w:t xml:space="preserve">  </w:t>
      </w:r>
    </w:p>
    <w:p w:rsidR="001B7658" w:rsidRDefault="001B7658" w:rsidP="001021E8">
      <w:pPr>
        <w:pStyle w:val="EndnoteText"/>
      </w:pPr>
    </w:p>
  </w:endnote>
  <w:endnote w:id="5">
    <w:p w:rsidR="001B7658" w:rsidRDefault="001B7658" w:rsidP="00D22199">
      <w:pPr>
        <w:pStyle w:val="EndnoteText"/>
      </w:pPr>
      <w:r>
        <w:rPr>
          <w:rStyle w:val="EndnoteReference"/>
        </w:rPr>
        <w:endnoteRef/>
      </w:r>
      <w:r>
        <w:t xml:space="preserve"> </w:t>
      </w:r>
      <w:r w:rsidRPr="00115942">
        <w:rPr>
          <w:i/>
        </w:rPr>
        <w:t>C</w:t>
      </w:r>
      <w:r>
        <w:rPr>
          <w:i/>
        </w:rPr>
        <w:t xml:space="preserve">alifornia </w:t>
      </w:r>
      <w:r w:rsidRPr="00115942">
        <w:rPr>
          <w:i/>
        </w:rPr>
        <w:t>E</w:t>
      </w:r>
      <w:r>
        <w:rPr>
          <w:i/>
        </w:rPr>
        <w:t xml:space="preserve">nergy </w:t>
      </w:r>
      <w:r w:rsidRPr="00115942">
        <w:rPr>
          <w:i/>
        </w:rPr>
        <w:t>C</w:t>
      </w:r>
      <w:r>
        <w:rPr>
          <w:i/>
        </w:rPr>
        <w:t>ommission</w:t>
      </w:r>
      <w:r w:rsidRPr="00115942">
        <w:rPr>
          <w:i/>
        </w:rPr>
        <w:t xml:space="preserve"> Appliance Efficiency Database</w:t>
      </w:r>
      <w:r>
        <w:t xml:space="preserve"> (Accessed March 7, 2012 at </w:t>
      </w:r>
      <w:hyperlink r:id="rId6" w:history="1">
        <w:r w:rsidRPr="00BB1FB8">
          <w:rPr>
            <w:rStyle w:val="Hyperlink"/>
          </w:rPr>
          <w:t>http://www.appliances.energy.ca.gov/AdvancedSearch.aspx</w:t>
        </w:r>
      </w:hyperlink>
      <w:r>
        <w:t xml:space="preserve">).  </w:t>
      </w:r>
    </w:p>
    <w:p w:rsidR="001B7658" w:rsidRDefault="001B7658" w:rsidP="00D22199">
      <w:pPr>
        <w:pStyle w:val="EndnoteText"/>
      </w:pPr>
    </w:p>
  </w:endnote>
  <w:endnote w:id="6">
    <w:p w:rsidR="001B7658" w:rsidRDefault="001B7658" w:rsidP="007D169B">
      <w:pPr>
        <w:pStyle w:val="EndnoteText"/>
      </w:pPr>
      <w:r>
        <w:rPr>
          <w:rStyle w:val="EndnoteReference"/>
        </w:rPr>
        <w:endnoteRef/>
      </w:r>
      <w:r>
        <w:t xml:space="preserve"> </w:t>
      </w:r>
      <w:r w:rsidRPr="002D466A">
        <w:rPr>
          <w:i/>
        </w:rPr>
        <w:t>Technology and Measure Cost Data/Effective and Remaining Useful Life (EUL/RUL) Values</w:t>
      </w:r>
      <w:r>
        <w:t>,</w:t>
      </w:r>
      <w:r w:rsidRPr="00763AE5" w:rsidDel="00725D7B">
        <w:t xml:space="preserve"> </w:t>
      </w:r>
      <w:hyperlink r:id="rId7" w:history="1">
        <w:r w:rsidRPr="007C3798">
          <w:rPr>
            <w:rStyle w:val="Hyperlink"/>
          </w:rPr>
          <w:t>http://www.deeresources.com/index</w:t>
        </w:r>
      </w:hyperlink>
      <w:r w:rsidRPr="00763AE5">
        <w:t>.</w:t>
      </w:r>
      <w:r>
        <w:t xml:space="preserve"> “</w:t>
      </w:r>
      <w:r w:rsidRPr="00763AE5">
        <w:t>EUL_Summary_10-1-08.xls</w:t>
      </w:r>
      <w:r>
        <w:t>”</w:t>
      </w:r>
    </w:p>
    <w:p w:rsidR="001B7658" w:rsidRDefault="001B7658" w:rsidP="004E172B">
      <w:pPr>
        <w:pStyle w:val="EndnoteText"/>
        <w:ind w:firstLine="360"/>
      </w:pPr>
      <w:r>
        <w:object w:dxaOrig="1454" w:dyaOrig="913">
          <v:shape id="_x0000_i1030" type="#_x0000_t75" style="width:1in;height:45.75pt" o:ole="">
            <v:imagedata r:id="rId8" o:title=""/>
          </v:shape>
          <o:OLEObject Type="Embed" ProgID="Excel.Sheet.8" ShapeID="_x0000_i1030" DrawAspect="Icon" ObjectID="_1401883231" r:id="rId9"/>
        </w:object>
      </w:r>
    </w:p>
    <w:p w:rsidR="001B7658" w:rsidRDefault="001B7658" w:rsidP="007D169B">
      <w:pPr>
        <w:pStyle w:val="EndnoteText"/>
      </w:pPr>
    </w:p>
  </w:endnote>
  <w:endnote w:id="7">
    <w:p w:rsidR="001B7658" w:rsidRDefault="001B7658" w:rsidP="007D169B">
      <w:pPr>
        <w:pStyle w:val="EndnoteText"/>
      </w:pPr>
      <w:r>
        <w:rPr>
          <w:rStyle w:val="EndnoteReference"/>
        </w:rPr>
        <w:endnoteRef/>
      </w:r>
      <w:r>
        <w:t xml:space="preserve"> </w:t>
      </w:r>
      <w:r w:rsidRPr="002D466A">
        <w:rPr>
          <w:i/>
        </w:rPr>
        <w:t>DEER 2011 Net-To-Gross Ratios</w:t>
      </w:r>
      <w:r>
        <w:t>, “</w:t>
      </w:r>
      <w:r w:rsidRPr="000C67AE">
        <w:t>DEER2011-NTG_IncludingCarryoversFromDEER2008_2011-12-07.xls</w:t>
      </w:r>
      <w:r>
        <w:t xml:space="preserve">”, </w:t>
      </w:r>
    </w:p>
    <w:p w:rsidR="001B7658" w:rsidRDefault="001B7658" w:rsidP="007D169B">
      <w:pPr>
        <w:pStyle w:val="EndnoteText"/>
      </w:pPr>
      <w:r>
        <w:tab/>
      </w:r>
      <w:bookmarkStart w:id="30" w:name="_MON_1401883203"/>
      <w:bookmarkEnd w:id="30"/>
      <w:r w:rsidR="0040796D">
        <w:object w:dxaOrig="1454" w:dyaOrig="913">
          <v:shape id="_x0000_i1034" type="#_x0000_t75" style="width:1in;height:45.75pt" o:ole="">
            <v:imagedata r:id="rId10" o:title=""/>
          </v:shape>
          <o:OLEObject Type="Embed" ProgID="Excel.Sheet.8" ShapeID="_x0000_i1034" DrawAspect="Icon" ObjectID="_1401883232" r:id="rId11"/>
        </w:object>
      </w:r>
    </w:p>
    <w:p w:rsidR="001B7658" w:rsidRDefault="001B7658" w:rsidP="007D169B">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Pr="00E47372" w:rsidRDefault="001B7658" w:rsidP="003F2BB3">
    <w:pPr>
      <w:pStyle w:val="Footer"/>
      <w:pBdr>
        <w:top w:val="single" w:sz="4" w:space="1" w:color="auto"/>
      </w:pBdr>
      <w:tabs>
        <w:tab w:val="clear" w:pos="4320"/>
        <w:tab w:val="clear" w:pos="8640"/>
        <w:tab w:val="center" w:pos="4680"/>
        <w:tab w:val="right" w:pos="9360"/>
        <w:tab w:val="center" w:pos="10800"/>
        <w:tab w:val="right" w:pos="21600"/>
      </w:tabs>
      <w:rPr>
        <w:b/>
      </w:rPr>
    </w:pPr>
    <w:r w:rsidRPr="00E47372">
      <w:rPr>
        <w:b/>
      </w:rPr>
      <w:t xml:space="preserve">Work Paper </w:t>
    </w:r>
    <w:r w:rsidRPr="00873DAD">
      <w:rPr>
        <w:b/>
      </w:rPr>
      <w:t>SCGWPYYMMDDA</w:t>
    </w:r>
    <w:r>
      <w:rPr>
        <w:b/>
      </w:rPr>
      <w:t xml:space="preserve">, Revision </w:t>
    </w:r>
    <w:r w:rsidRPr="00873DAD">
      <w:rPr>
        <w:b/>
      </w:rPr>
      <w:t>x</w:t>
    </w:r>
    <w:r>
      <w:rPr>
        <w:b/>
      </w:rPr>
      <w:tab/>
    </w:r>
    <w:r w:rsidR="007D3F02">
      <w:rPr>
        <w:rStyle w:val="PageNumber"/>
      </w:rPr>
      <w:fldChar w:fldCharType="begin"/>
    </w:r>
    <w:r>
      <w:rPr>
        <w:rStyle w:val="PageNumber"/>
      </w:rPr>
      <w:instrText xml:space="preserve"> PAGE </w:instrText>
    </w:r>
    <w:r w:rsidR="007D3F02">
      <w:rPr>
        <w:rStyle w:val="PageNumber"/>
      </w:rPr>
      <w:fldChar w:fldCharType="separate"/>
    </w:r>
    <w:r>
      <w:rPr>
        <w:rStyle w:val="PageNumber"/>
        <w:noProof/>
      </w:rPr>
      <w:t>ii</w:t>
    </w:r>
    <w:r w:rsidR="007D3F02">
      <w:rPr>
        <w:rStyle w:val="PageNumber"/>
      </w:rPr>
      <w:fldChar w:fldCharType="end"/>
    </w:r>
    <w:r>
      <w:rPr>
        <w:rStyle w:val="PageNumber"/>
      </w:rPr>
      <w:tab/>
    </w:r>
    <w:r w:rsidRPr="00873DAD">
      <w:rPr>
        <w:b/>
      </w:rPr>
      <w:t>Mon D, YYYY</w:t>
    </w:r>
  </w:p>
  <w:p w:rsidR="001B7658" w:rsidRDefault="001B7658" w:rsidP="003F2BB3">
    <w:pPr>
      <w:pStyle w:val="Footer"/>
      <w:rPr>
        <w:b/>
      </w:rPr>
    </w:pPr>
    <w:r>
      <w:rPr>
        <w:b/>
      </w:rPr>
      <w:t>Southern California Gas Company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Default="001B7658" w:rsidP="003F2BB3">
    <w:pPr>
      <w:pStyle w:val="Footer"/>
      <w:tabs>
        <w:tab w:val="clear" w:pos="8640"/>
        <w:tab w:val="right"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Pr="00A74DB1" w:rsidRDefault="00E05D3B" w:rsidP="00B50897">
    <w:pPr>
      <w:pStyle w:val="Footer"/>
      <w:tabs>
        <w:tab w:val="clear" w:pos="8640"/>
        <w:tab w:val="right" w:pos="9360"/>
      </w:tabs>
      <w:jc w:val="right"/>
      <w:rPr>
        <w:rFonts w:cs="Arial"/>
        <w:b/>
        <w:sz w:val="28"/>
        <w:szCs w:val="28"/>
      </w:rPr>
    </w:pPr>
    <w:r>
      <w:rPr>
        <w:rFonts w:cs="Arial"/>
        <w:b/>
        <w:sz w:val="28"/>
        <w:szCs w:val="28"/>
      </w:rPr>
      <w:t>June 15,</w:t>
    </w:r>
    <w:r w:rsidR="001B7658" w:rsidRPr="00A74DB1">
      <w:rPr>
        <w:rFonts w:cs="Arial"/>
        <w:b/>
        <w:sz w:val="28"/>
        <w:szCs w:val="28"/>
      </w:rPr>
      <w:t xml:space="preserve"> </w:t>
    </w:r>
    <w:r w:rsidR="001B7658">
      <w:rPr>
        <w:rFonts w:cs="Arial"/>
        <w:b/>
        <w:sz w:val="28"/>
        <w:szCs w:val="28"/>
      </w:rPr>
      <w:t>2012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Default="007D3F02" w:rsidP="0040796D">
    <w:pPr>
      <w:pStyle w:val="Footer"/>
      <w:framePr w:w="121" w:h="316" w:hRule="exact" w:wrap="around" w:vAnchor="text" w:hAnchor="margin" w:xAlign="center" w:yAlign="top"/>
      <w:rPr>
        <w:rStyle w:val="PageNumber"/>
      </w:rPr>
    </w:pPr>
    <w:r>
      <w:rPr>
        <w:rStyle w:val="PageNumber"/>
      </w:rPr>
      <w:fldChar w:fldCharType="begin"/>
    </w:r>
    <w:r w:rsidR="001B7658">
      <w:rPr>
        <w:rStyle w:val="PageNumber"/>
      </w:rPr>
      <w:instrText xml:space="preserve">PAGE  </w:instrText>
    </w:r>
    <w:r>
      <w:rPr>
        <w:rStyle w:val="PageNumber"/>
      </w:rPr>
      <w:fldChar w:fldCharType="separate"/>
    </w:r>
    <w:r w:rsidR="0040796D">
      <w:rPr>
        <w:rStyle w:val="PageNumber"/>
        <w:noProof/>
      </w:rPr>
      <w:t>i</w:t>
    </w:r>
    <w:r>
      <w:rPr>
        <w:rStyle w:val="PageNumber"/>
      </w:rPr>
      <w:fldChar w:fldCharType="end"/>
    </w:r>
  </w:p>
  <w:p w:rsidR="001B7658" w:rsidRPr="00E47372" w:rsidRDefault="001B7658" w:rsidP="00B50897">
    <w:pPr>
      <w:pStyle w:val="Footer"/>
      <w:pBdr>
        <w:top w:val="single" w:sz="4" w:space="1" w:color="auto"/>
      </w:pBdr>
      <w:tabs>
        <w:tab w:val="clear" w:pos="4320"/>
        <w:tab w:val="clear" w:pos="8640"/>
        <w:tab w:val="center" w:pos="4680"/>
        <w:tab w:val="right" w:pos="9360"/>
      </w:tabs>
      <w:rPr>
        <w:b/>
      </w:rPr>
    </w:pPr>
    <w:r>
      <w:rPr>
        <w:b/>
      </w:rPr>
      <w:t>Workp</w:t>
    </w:r>
    <w:r w:rsidRPr="00E47372">
      <w:rPr>
        <w:b/>
      </w:rPr>
      <w:t xml:space="preserve">aper </w:t>
    </w:r>
    <w:r w:rsidR="00E05D3B">
      <w:rPr>
        <w:b/>
      </w:rPr>
      <w:t>WPSDGENRWH1205, Revision 0</w:t>
    </w:r>
    <w:r>
      <w:rPr>
        <w:b/>
      </w:rPr>
      <w:tab/>
    </w:r>
    <w:r>
      <w:rPr>
        <w:b/>
      </w:rPr>
      <w:tab/>
    </w:r>
    <w:r w:rsidR="00E05D3B">
      <w:rPr>
        <w:b/>
      </w:rPr>
      <w:t>June 15</w:t>
    </w:r>
    <w:r w:rsidRPr="00873DAD">
      <w:rPr>
        <w:b/>
      </w:rPr>
      <w:t xml:space="preserve">, </w:t>
    </w:r>
    <w:r>
      <w:rPr>
        <w:b/>
      </w:rPr>
      <w:t>2012</w:t>
    </w:r>
  </w:p>
  <w:p w:rsidR="001B7658" w:rsidRDefault="00E05D3B" w:rsidP="003F2BB3">
    <w:pPr>
      <w:pStyle w:val="Footer"/>
      <w:rPr>
        <w:b/>
      </w:rPr>
    </w:pPr>
    <w:r>
      <w:rPr>
        <w:b/>
      </w:rPr>
      <w:t>San Diego Gas &amp; Electric</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Pr="00E47372" w:rsidRDefault="001B7658" w:rsidP="00B50897">
    <w:pPr>
      <w:pStyle w:val="Footer"/>
      <w:pBdr>
        <w:top w:val="single" w:sz="4" w:space="1" w:color="auto"/>
      </w:pBdr>
      <w:tabs>
        <w:tab w:val="clear" w:pos="4320"/>
        <w:tab w:val="clear" w:pos="8640"/>
        <w:tab w:val="center" w:pos="6480"/>
        <w:tab w:val="right" w:pos="12960"/>
        <w:tab w:val="right" w:pos="21600"/>
      </w:tabs>
      <w:rPr>
        <w:b/>
      </w:rPr>
    </w:pPr>
    <w:r w:rsidRPr="00E47372">
      <w:rPr>
        <w:b/>
      </w:rPr>
      <w:t xml:space="preserve">Work Paper </w:t>
    </w:r>
    <w:r w:rsidRPr="00873DAD">
      <w:rPr>
        <w:b/>
      </w:rPr>
      <w:t>SCGWPYYMMDDA</w:t>
    </w:r>
    <w:r>
      <w:rPr>
        <w:b/>
      </w:rPr>
      <w:t xml:space="preserve">, Revision </w:t>
    </w:r>
    <w:r w:rsidRPr="00873DAD">
      <w:rPr>
        <w:b/>
      </w:rPr>
      <w:t>x</w:t>
    </w:r>
    <w:r>
      <w:rPr>
        <w:b/>
      </w:rPr>
      <w:tab/>
    </w:r>
    <w:r w:rsidR="007D3F02">
      <w:rPr>
        <w:rStyle w:val="PageNumber"/>
      </w:rPr>
      <w:fldChar w:fldCharType="begin"/>
    </w:r>
    <w:r>
      <w:rPr>
        <w:rStyle w:val="PageNumber"/>
      </w:rPr>
      <w:instrText xml:space="preserve"> PAGE </w:instrText>
    </w:r>
    <w:r w:rsidR="007D3F02">
      <w:rPr>
        <w:rStyle w:val="PageNumber"/>
      </w:rPr>
      <w:fldChar w:fldCharType="separate"/>
    </w:r>
    <w:r>
      <w:rPr>
        <w:rStyle w:val="PageNumber"/>
        <w:noProof/>
      </w:rPr>
      <w:t>ii</w:t>
    </w:r>
    <w:r w:rsidR="007D3F02">
      <w:rPr>
        <w:rStyle w:val="PageNumber"/>
      </w:rPr>
      <w:fldChar w:fldCharType="end"/>
    </w:r>
    <w:r>
      <w:rPr>
        <w:rStyle w:val="PageNumber"/>
      </w:rPr>
      <w:tab/>
    </w:r>
    <w:r w:rsidRPr="00873DAD">
      <w:rPr>
        <w:b/>
      </w:rPr>
      <w:t>Mon D, YYYY</w:t>
    </w:r>
  </w:p>
  <w:p w:rsidR="001B7658" w:rsidRDefault="001B7658" w:rsidP="003F2BB3">
    <w:pPr>
      <w:pStyle w:val="Footer"/>
      <w:rPr>
        <w:b/>
      </w:rPr>
    </w:pPr>
    <w:r>
      <w:rPr>
        <w:b/>
      </w:rPr>
      <w:t>Southern California Gas Company</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Default="007D3F02" w:rsidP="003F2BB3">
    <w:pPr>
      <w:pStyle w:val="Footer"/>
      <w:framePr w:wrap="around" w:vAnchor="text" w:hAnchor="margin" w:xAlign="center" w:y="1"/>
      <w:rPr>
        <w:rStyle w:val="PageNumber"/>
      </w:rPr>
    </w:pPr>
    <w:r>
      <w:rPr>
        <w:rStyle w:val="PageNumber"/>
      </w:rPr>
      <w:fldChar w:fldCharType="begin"/>
    </w:r>
    <w:r w:rsidR="001B7658">
      <w:rPr>
        <w:rStyle w:val="PageNumber"/>
      </w:rPr>
      <w:instrText xml:space="preserve">PAGE  </w:instrText>
    </w:r>
    <w:r>
      <w:rPr>
        <w:rStyle w:val="PageNumber"/>
      </w:rPr>
      <w:fldChar w:fldCharType="separate"/>
    </w:r>
    <w:r w:rsidR="0040796D">
      <w:rPr>
        <w:rStyle w:val="PageNumber"/>
        <w:noProof/>
      </w:rPr>
      <w:t>ii</w:t>
    </w:r>
    <w:r>
      <w:rPr>
        <w:rStyle w:val="PageNumber"/>
      </w:rPr>
      <w:fldChar w:fldCharType="end"/>
    </w:r>
  </w:p>
  <w:p w:rsidR="001B7658" w:rsidRPr="00E47372" w:rsidRDefault="001B7658" w:rsidP="00B50897">
    <w:pPr>
      <w:pStyle w:val="Footer"/>
      <w:pBdr>
        <w:top w:val="single" w:sz="4" w:space="1" w:color="auto"/>
      </w:pBdr>
      <w:tabs>
        <w:tab w:val="clear" w:pos="4320"/>
        <w:tab w:val="clear" w:pos="8640"/>
        <w:tab w:val="center" w:pos="6480"/>
        <w:tab w:val="right" w:pos="12960"/>
      </w:tabs>
      <w:rPr>
        <w:b/>
      </w:rPr>
    </w:pPr>
    <w:r>
      <w:rPr>
        <w:b/>
      </w:rPr>
      <w:t>Workp</w:t>
    </w:r>
    <w:r w:rsidRPr="00E47372">
      <w:rPr>
        <w:b/>
      </w:rPr>
      <w:t xml:space="preserve">aper </w:t>
    </w:r>
    <w:r w:rsidR="00E05D3B">
      <w:rPr>
        <w:b/>
      </w:rPr>
      <w:t>WPSDGENRWH1205, Revision 0</w:t>
    </w:r>
    <w:r>
      <w:rPr>
        <w:b/>
      </w:rPr>
      <w:tab/>
    </w:r>
    <w:r>
      <w:rPr>
        <w:b/>
      </w:rPr>
      <w:tab/>
    </w:r>
    <w:r w:rsidR="00E05D3B">
      <w:rPr>
        <w:b/>
      </w:rPr>
      <w:t>June 15</w:t>
    </w:r>
    <w:r w:rsidRPr="00873DAD">
      <w:rPr>
        <w:b/>
      </w:rPr>
      <w:t xml:space="preserve">, </w:t>
    </w:r>
    <w:r>
      <w:rPr>
        <w:b/>
      </w:rPr>
      <w:t>2012</w:t>
    </w:r>
  </w:p>
  <w:p w:rsidR="001B7658" w:rsidRDefault="00E05D3B" w:rsidP="003F2BB3">
    <w:pPr>
      <w:pStyle w:val="Footer"/>
      <w:rPr>
        <w:b/>
      </w:rPr>
    </w:pPr>
    <w:r>
      <w:rPr>
        <w:b/>
      </w:rPr>
      <w:t>San Diego Gas &amp; Electric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Pr="00E47372" w:rsidRDefault="001B7658" w:rsidP="00B50897">
    <w:pPr>
      <w:pStyle w:val="Footer"/>
      <w:pBdr>
        <w:top w:val="single" w:sz="4" w:space="1" w:color="auto"/>
      </w:pBdr>
      <w:tabs>
        <w:tab w:val="clear" w:pos="4320"/>
        <w:tab w:val="clear" w:pos="8640"/>
        <w:tab w:val="center" w:pos="4680"/>
        <w:tab w:val="right" w:pos="9360"/>
      </w:tabs>
      <w:rPr>
        <w:b/>
      </w:rPr>
    </w:pPr>
    <w:r w:rsidRPr="00E47372">
      <w:rPr>
        <w:b/>
      </w:rPr>
      <w:t xml:space="preserve">Work Paper </w:t>
    </w:r>
    <w:r w:rsidRPr="00873DAD">
      <w:rPr>
        <w:b/>
      </w:rPr>
      <w:t>SCGWPYYMMDDA</w:t>
    </w:r>
    <w:r>
      <w:rPr>
        <w:b/>
      </w:rPr>
      <w:t xml:space="preserve">, Revision </w:t>
    </w:r>
    <w:r w:rsidRPr="00873DAD">
      <w:rPr>
        <w:b/>
      </w:rPr>
      <w:t>x</w:t>
    </w:r>
    <w:r>
      <w:rPr>
        <w:b/>
      </w:rPr>
      <w:tab/>
    </w:r>
    <w:r w:rsidR="007D3F02">
      <w:rPr>
        <w:rStyle w:val="PageNumber"/>
      </w:rPr>
      <w:fldChar w:fldCharType="begin"/>
    </w:r>
    <w:r>
      <w:rPr>
        <w:rStyle w:val="PageNumber"/>
      </w:rPr>
      <w:instrText xml:space="preserve"> PAGE </w:instrText>
    </w:r>
    <w:r w:rsidR="007D3F02">
      <w:rPr>
        <w:rStyle w:val="PageNumber"/>
      </w:rPr>
      <w:fldChar w:fldCharType="separate"/>
    </w:r>
    <w:r>
      <w:rPr>
        <w:rStyle w:val="PageNumber"/>
        <w:noProof/>
      </w:rPr>
      <w:t>iv</w:t>
    </w:r>
    <w:r w:rsidR="007D3F02">
      <w:rPr>
        <w:rStyle w:val="PageNumber"/>
      </w:rPr>
      <w:fldChar w:fldCharType="end"/>
    </w:r>
    <w:r>
      <w:rPr>
        <w:rStyle w:val="PageNumber"/>
      </w:rPr>
      <w:tab/>
    </w:r>
    <w:r w:rsidRPr="00873DAD">
      <w:rPr>
        <w:b/>
      </w:rPr>
      <w:t>Mon D, YYYY</w:t>
    </w:r>
  </w:p>
  <w:p w:rsidR="001B7658" w:rsidRDefault="001B7658" w:rsidP="003F2BB3">
    <w:pPr>
      <w:pStyle w:val="Footer"/>
      <w:rPr>
        <w:b/>
      </w:rPr>
    </w:pPr>
    <w:r>
      <w:rPr>
        <w:b/>
      </w:rPr>
      <w:t>Southern California Gas Company</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Default="007D3F02" w:rsidP="0040796D">
    <w:pPr>
      <w:pStyle w:val="Footer"/>
      <w:framePr w:w="316" w:h="331" w:hRule="exact" w:wrap="around" w:vAnchor="text" w:hAnchor="margin" w:xAlign="center" w:yAlign="top"/>
      <w:rPr>
        <w:rStyle w:val="PageNumber"/>
      </w:rPr>
    </w:pPr>
    <w:r>
      <w:rPr>
        <w:rStyle w:val="PageNumber"/>
      </w:rPr>
      <w:fldChar w:fldCharType="begin"/>
    </w:r>
    <w:r w:rsidR="001B7658">
      <w:rPr>
        <w:rStyle w:val="PageNumber"/>
      </w:rPr>
      <w:instrText xml:space="preserve">PAGE  </w:instrText>
    </w:r>
    <w:r>
      <w:rPr>
        <w:rStyle w:val="PageNumber"/>
      </w:rPr>
      <w:fldChar w:fldCharType="separate"/>
    </w:r>
    <w:r w:rsidR="0040796D">
      <w:rPr>
        <w:rStyle w:val="PageNumber"/>
        <w:noProof/>
      </w:rPr>
      <w:t>iv</w:t>
    </w:r>
    <w:r>
      <w:rPr>
        <w:rStyle w:val="PageNumber"/>
      </w:rPr>
      <w:fldChar w:fldCharType="end"/>
    </w:r>
  </w:p>
  <w:p w:rsidR="001B7658" w:rsidRPr="00E47372" w:rsidRDefault="001B7658" w:rsidP="00B50897">
    <w:pPr>
      <w:pStyle w:val="Footer"/>
      <w:pBdr>
        <w:top w:val="single" w:sz="4" w:space="1" w:color="auto"/>
      </w:pBdr>
      <w:tabs>
        <w:tab w:val="clear" w:pos="4320"/>
        <w:tab w:val="clear" w:pos="8640"/>
        <w:tab w:val="center" w:pos="4680"/>
        <w:tab w:val="right" w:pos="9360"/>
      </w:tabs>
      <w:rPr>
        <w:b/>
      </w:rPr>
    </w:pPr>
    <w:r>
      <w:rPr>
        <w:b/>
      </w:rPr>
      <w:t>Workp</w:t>
    </w:r>
    <w:r w:rsidRPr="00E47372">
      <w:rPr>
        <w:b/>
      </w:rPr>
      <w:t xml:space="preserve">aper </w:t>
    </w:r>
    <w:r w:rsidR="00E05D3B">
      <w:rPr>
        <w:b/>
      </w:rPr>
      <w:t>WPSDGENRWH1205, Revision 0</w:t>
    </w:r>
    <w:r>
      <w:rPr>
        <w:b/>
      </w:rPr>
      <w:tab/>
    </w:r>
    <w:r>
      <w:rPr>
        <w:b/>
      </w:rPr>
      <w:tab/>
    </w:r>
    <w:r w:rsidR="00E05D3B">
      <w:rPr>
        <w:b/>
      </w:rPr>
      <w:t>June 15</w:t>
    </w:r>
    <w:r w:rsidRPr="00873DAD">
      <w:rPr>
        <w:b/>
      </w:rPr>
      <w:t xml:space="preserve">, </w:t>
    </w:r>
    <w:r>
      <w:rPr>
        <w:b/>
      </w:rPr>
      <w:t>2012</w:t>
    </w:r>
  </w:p>
  <w:p w:rsidR="001B7658" w:rsidRDefault="00E05D3B" w:rsidP="003F2BB3">
    <w:pPr>
      <w:pStyle w:val="Footer"/>
      <w:rPr>
        <w:b/>
      </w:rPr>
    </w:pPr>
    <w:r>
      <w:rPr>
        <w:b/>
      </w:rPr>
      <w:t>San Diego Gas &amp; Electric</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Pr="00E47372" w:rsidRDefault="001B7658" w:rsidP="003F2BB3">
    <w:pPr>
      <w:pStyle w:val="Footer"/>
      <w:pBdr>
        <w:top w:val="single" w:sz="4" w:space="1" w:color="auto"/>
      </w:pBdr>
      <w:tabs>
        <w:tab w:val="clear" w:pos="8640"/>
        <w:tab w:val="right" w:pos="9360"/>
      </w:tabs>
      <w:rPr>
        <w:b/>
      </w:rPr>
    </w:pPr>
    <w:r w:rsidRPr="00E47372">
      <w:rPr>
        <w:b/>
      </w:rPr>
      <w:t xml:space="preserve">Work Paper </w:t>
    </w:r>
    <w:r w:rsidRPr="00873DAD">
      <w:rPr>
        <w:b/>
      </w:rPr>
      <w:t>SCGWPYYMMDDA</w:t>
    </w:r>
    <w:r>
      <w:rPr>
        <w:b/>
      </w:rPr>
      <w:t xml:space="preserve">, Revision </w:t>
    </w:r>
    <w:r w:rsidRPr="00873DAD">
      <w:rPr>
        <w:b/>
      </w:rPr>
      <w:t>x</w:t>
    </w:r>
    <w:r>
      <w:rPr>
        <w:b/>
      </w:rPr>
      <w:tab/>
    </w:r>
    <w:r w:rsidR="007D3F02">
      <w:rPr>
        <w:rStyle w:val="PageNumber"/>
      </w:rPr>
      <w:fldChar w:fldCharType="begin"/>
    </w:r>
    <w:r>
      <w:rPr>
        <w:rStyle w:val="PageNumber"/>
      </w:rPr>
      <w:instrText xml:space="preserve"> PAGE </w:instrText>
    </w:r>
    <w:r w:rsidR="007D3F02">
      <w:rPr>
        <w:rStyle w:val="PageNumber"/>
      </w:rPr>
      <w:fldChar w:fldCharType="separate"/>
    </w:r>
    <w:r>
      <w:rPr>
        <w:rStyle w:val="PageNumber"/>
        <w:noProof/>
      </w:rPr>
      <w:t>2</w:t>
    </w:r>
    <w:r w:rsidR="007D3F02">
      <w:rPr>
        <w:rStyle w:val="PageNumber"/>
      </w:rPr>
      <w:fldChar w:fldCharType="end"/>
    </w:r>
    <w:r>
      <w:rPr>
        <w:b/>
      </w:rPr>
      <w:tab/>
    </w:r>
    <w:r w:rsidRPr="00873DAD">
      <w:rPr>
        <w:b/>
      </w:rPr>
      <w:t>Mon D, YYYY</w:t>
    </w:r>
  </w:p>
  <w:p w:rsidR="001B7658" w:rsidRDefault="001B7658" w:rsidP="003F2BB3">
    <w:pPr>
      <w:pStyle w:val="Footer"/>
      <w:rPr>
        <w:b/>
      </w:rPr>
    </w:pPr>
    <w:r>
      <w:rPr>
        <w:b/>
      </w:rPr>
      <w:t>Southern California Gas Company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B9C" w:rsidRDefault="00D70B9C">
      <w:r>
        <w:separator/>
      </w:r>
    </w:p>
  </w:footnote>
  <w:footnote w:type="continuationSeparator" w:id="0">
    <w:p w:rsidR="00D70B9C" w:rsidRDefault="00D70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Default="001B7658">
    <w:pPr>
      <w:pStyle w:val="Header"/>
      <w:pBdr>
        <w:bottom w:val="single" w:sz="4" w:space="1" w:color="auto"/>
      </w:pBdr>
      <w:tabs>
        <w:tab w:val="clear" w:pos="8640"/>
        <w:tab w:val="right" w:pos="9360"/>
      </w:tabs>
    </w:pPr>
    <w:r>
      <w:rPr>
        <w:rFonts w:cs="Arial"/>
        <w:noProof/>
      </w:rPr>
      <w:drawing>
        <wp:inline distT="0" distB="0" distL="0" distR="0">
          <wp:extent cx="1647825" cy="476250"/>
          <wp:effectExtent l="19050" t="0" r="9525" b="0"/>
          <wp:docPr id="3" name="Picture 3" descr="gc_h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_h2p"/>
                  <pic:cNvPicPr>
                    <a:picLocks noChangeAspect="1" noChangeArrowheads="1"/>
                  </pic:cNvPicPr>
                </pic:nvPicPr>
                <pic:blipFill>
                  <a:blip r:embed="rId1"/>
                  <a:srcRect/>
                  <a:stretch>
                    <a:fillRect/>
                  </a:stretch>
                </pic:blipFill>
                <pic:spPr bwMode="auto">
                  <a:xfrm>
                    <a:off x="0" y="0"/>
                    <a:ext cx="1647825" cy="476250"/>
                  </a:xfrm>
                  <a:prstGeom prst="rect">
                    <a:avLst/>
                  </a:prstGeom>
                  <a:noFill/>
                  <a:ln w="9525">
                    <a:noFill/>
                    <a:miter lim="800000"/>
                    <a:headEnd/>
                    <a:tailEnd/>
                  </a:ln>
                </pic:spPr>
              </pic:pic>
            </a:graphicData>
          </a:graphic>
        </wp:inline>
      </w:drawing>
    </w:r>
  </w:p>
  <w:p w:rsidR="001B7658" w:rsidRDefault="001B765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8" w:rsidRDefault="001B7658">
    <w:pPr>
      <w:pStyle w:val="Header"/>
      <w:pBdr>
        <w:bottom w:val="single" w:sz="4" w:space="1" w:color="auto"/>
      </w:pBdr>
      <w:tabs>
        <w:tab w:val="clear" w:pos="8640"/>
        <w:tab w:val="right" w:pos="9360"/>
      </w:tabs>
    </w:pPr>
    <w:r>
      <w:rPr>
        <w:rFonts w:cs="Arial"/>
      </w:rPr>
      <w:tab/>
    </w:r>
    <w:r>
      <w:rPr>
        <w:rFonts w:cs="Arial"/>
      </w:rPr>
      <w:tab/>
    </w:r>
  </w:p>
  <w:p w:rsidR="001B7658" w:rsidRDefault="001B765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56F59E"/>
    <w:lvl w:ilvl="0">
      <w:start w:val="1"/>
      <w:numFmt w:val="decimal"/>
      <w:lvlText w:val="%1."/>
      <w:lvlJc w:val="left"/>
      <w:pPr>
        <w:tabs>
          <w:tab w:val="num" w:pos="1800"/>
        </w:tabs>
        <w:ind w:left="1800" w:hanging="360"/>
      </w:pPr>
    </w:lvl>
  </w:abstractNum>
  <w:abstractNum w:abstractNumId="1">
    <w:nsid w:val="FFFFFF7D"/>
    <w:multiLevelType w:val="singleLevel"/>
    <w:tmpl w:val="7AC44478"/>
    <w:lvl w:ilvl="0">
      <w:start w:val="1"/>
      <w:numFmt w:val="decimal"/>
      <w:lvlText w:val="%1."/>
      <w:lvlJc w:val="left"/>
      <w:pPr>
        <w:tabs>
          <w:tab w:val="num" w:pos="1440"/>
        </w:tabs>
        <w:ind w:left="1440" w:hanging="360"/>
      </w:pPr>
    </w:lvl>
  </w:abstractNum>
  <w:abstractNum w:abstractNumId="2">
    <w:nsid w:val="FFFFFF7E"/>
    <w:multiLevelType w:val="singleLevel"/>
    <w:tmpl w:val="8B64F6D2"/>
    <w:lvl w:ilvl="0">
      <w:start w:val="1"/>
      <w:numFmt w:val="decimal"/>
      <w:lvlText w:val="%1."/>
      <w:lvlJc w:val="left"/>
      <w:pPr>
        <w:tabs>
          <w:tab w:val="num" w:pos="1080"/>
        </w:tabs>
        <w:ind w:left="1080" w:hanging="360"/>
      </w:pPr>
    </w:lvl>
  </w:abstractNum>
  <w:abstractNum w:abstractNumId="3">
    <w:nsid w:val="FFFFFF7F"/>
    <w:multiLevelType w:val="singleLevel"/>
    <w:tmpl w:val="E5B03FAE"/>
    <w:lvl w:ilvl="0">
      <w:start w:val="1"/>
      <w:numFmt w:val="decimal"/>
      <w:lvlText w:val="%1."/>
      <w:lvlJc w:val="left"/>
      <w:pPr>
        <w:tabs>
          <w:tab w:val="num" w:pos="720"/>
        </w:tabs>
        <w:ind w:left="720" w:hanging="360"/>
      </w:pPr>
    </w:lvl>
  </w:abstractNum>
  <w:abstractNum w:abstractNumId="4">
    <w:nsid w:val="FFFFFF80"/>
    <w:multiLevelType w:val="singleLevel"/>
    <w:tmpl w:val="6834E8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8BE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40F1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2E0D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383426"/>
    <w:lvl w:ilvl="0">
      <w:start w:val="1"/>
      <w:numFmt w:val="decimal"/>
      <w:lvlText w:val="%1."/>
      <w:lvlJc w:val="left"/>
      <w:pPr>
        <w:tabs>
          <w:tab w:val="num" w:pos="360"/>
        </w:tabs>
        <w:ind w:left="360" w:hanging="360"/>
      </w:pPr>
    </w:lvl>
  </w:abstractNum>
  <w:abstractNum w:abstractNumId="9">
    <w:nsid w:val="FFFFFF89"/>
    <w:multiLevelType w:val="singleLevel"/>
    <w:tmpl w:val="1CDA2BC8"/>
    <w:lvl w:ilvl="0">
      <w:start w:val="1"/>
      <w:numFmt w:val="bullet"/>
      <w:lvlText w:val=""/>
      <w:lvlJc w:val="left"/>
      <w:pPr>
        <w:tabs>
          <w:tab w:val="num" w:pos="360"/>
        </w:tabs>
        <w:ind w:left="360" w:hanging="360"/>
      </w:pPr>
      <w:rPr>
        <w:rFonts w:ascii="Symbol" w:hAnsi="Symbol" w:hint="default"/>
      </w:rPr>
    </w:lvl>
  </w:abstractNum>
  <w:abstractNum w:abstractNumId="10">
    <w:nsid w:val="0B1B2A69"/>
    <w:multiLevelType w:val="hybridMultilevel"/>
    <w:tmpl w:val="6D54B086"/>
    <w:lvl w:ilvl="0" w:tplc="CB3EA812">
      <w:numFmt w:val="bullet"/>
      <w:lvlText w:val=""/>
      <w:lvlJc w:val="left"/>
      <w:pPr>
        <w:ind w:left="720" w:hanging="360"/>
      </w:pPr>
      <w:rPr>
        <w:rFonts w:ascii="Wingdings" w:eastAsia="Batang"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5C19D9"/>
    <w:multiLevelType w:val="multilevel"/>
    <w:tmpl w:val="942E0EC8"/>
    <w:lvl w:ilvl="0">
      <w:start w:val="1"/>
      <w:numFmt w:val="decimal"/>
      <w:pStyle w:val="WPSCT"/>
      <w:suff w:val="nothing"/>
      <w:lvlText w:val="SECTION %1 - "/>
      <w:lvlJc w:val="left"/>
      <w:pPr>
        <w:ind w:left="576" w:hanging="576"/>
      </w:pPr>
      <w:rPr>
        <w:rFonts w:ascii="Arial" w:hAnsi="Arial" w:hint="default"/>
        <w:b/>
        <w:i w:val="0"/>
        <w:sz w:val="20"/>
      </w:rPr>
    </w:lvl>
    <w:lvl w:ilvl="1">
      <w:start w:val="1"/>
      <w:numFmt w:val="decimalZero"/>
      <w:pStyle w:val="ART"/>
      <w:lvlText w:val="%1.%2"/>
      <w:lvlJc w:val="left"/>
      <w:pPr>
        <w:tabs>
          <w:tab w:val="num" w:pos="720"/>
        </w:tabs>
        <w:ind w:left="720" w:hanging="720"/>
      </w:pPr>
      <w:rPr>
        <w:rFonts w:hint="default"/>
        <w:b/>
        <w:i w:val="0"/>
      </w:rPr>
    </w:lvl>
    <w:lvl w:ilvl="2">
      <w:start w:val="1"/>
      <w:numFmt w:val="upperLetter"/>
      <w:pStyle w:val="PR1"/>
      <w:lvlText w:val="%3."/>
      <w:lvlJc w:val="left"/>
      <w:pPr>
        <w:tabs>
          <w:tab w:val="num" w:pos="1152"/>
        </w:tabs>
        <w:ind w:left="1152" w:hanging="432"/>
      </w:pPr>
      <w:rPr>
        <w:rFonts w:hint="default"/>
      </w:rPr>
    </w:lvl>
    <w:lvl w:ilvl="3">
      <w:start w:val="1"/>
      <w:numFmt w:val="decimal"/>
      <w:pStyle w:val="PR2"/>
      <w:lvlText w:val="%4."/>
      <w:lvlJc w:val="left"/>
      <w:pPr>
        <w:tabs>
          <w:tab w:val="num" w:pos="1584"/>
        </w:tabs>
        <w:ind w:left="1584" w:hanging="432"/>
      </w:pPr>
      <w:rPr>
        <w:rFonts w:ascii="Arial" w:hAnsi="Arial" w:hint="default"/>
        <w:b w:val="0"/>
        <w:i w:val="0"/>
        <w:sz w:val="20"/>
      </w:rPr>
    </w:lvl>
    <w:lvl w:ilvl="4">
      <w:start w:val="1"/>
      <w:numFmt w:val="lowerLetter"/>
      <w:pStyle w:val="PR3"/>
      <w:lvlText w:val="%5."/>
      <w:lvlJc w:val="left"/>
      <w:pPr>
        <w:tabs>
          <w:tab w:val="num" w:pos="2016"/>
        </w:tabs>
        <w:ind w:left="2016" w:hanging="432"/>
      </w:pPr>
      <w:rPr>
        <w:rFonts w:ascii="Arial" w:hAnsi="Arial" w:hint="default"/>
        <w:b w:val="0"/>
        <w:i w:val="0"/>
        <w:sz w:val="20"/>
      </w:rPr>
    </w:lvl>
    <w:lvl w:ilvl="5">
      <w:start w:val="1"/>
      <w:numFmt w:val="lowerRoman"/>
      <w:pStyle w:val="PR4"/>
      <w:lvlText w:val="%6."/>
      <w:lvlJc w:val="left"/>
      <w:pPr>
        <w:tabs>
          <w:tab w:val="num" w:pos="2736"/>
        </w:tabs>
        <w:ind w:left="2448" w:hanging="432"/>
      </w:pPr>
      <w:rPr>
        <w:rFonts w:ascii="Arial" w:hAnsi="Arial" w:hint="default"/>
        <w:b w:val="0"/>
        <w:i w:val="0"/>
        <w:sz w:val="20"/>
      </w:rPr>
    </w:lvl>
    <w:lvl w:ilvl="6">
      <w:start w:val="1"/>
      <w:numFmt w:val="lowerLetter"/>
      <w:pStyle w:val="PR5"/>
      <w:lvlText w:val="%7)"/>
      <w:lvlJc w:val="left"/>
      <w:pPr>
        <w:tabs>
          <w:tab w:val="num" w:pos="2880"/>
        </w:tabs>
        <w:ind w:left="2880" w:hanging="432"/>
      </w:pPr>
      <w:rPr>
        <w:rFonts w:ascii="Arial" w:hAnsi="Arial" w:hint="default"/>
        <w:b w:val="0"/>
        <w:i w:val="0"/>
        <w:sz w:val="20"/>
      </w:rPr>
    </w:lvl>
    <w:lvl w:ilvl="7">
      <w:start w:val="1"/>
      <w:numFmt w:val="lowerRoman"/>
      <w:pStyle w:val="PR6"/>
      <w:lvlText w:val="%8)"/>
      <w:lvlJc w:val="left"/>
      <w:pPr>
        <w:tabs>
          <w:tab w:val="num" w:pos="3600"/>
        </w:tabs>
        <w:ind w:left="3312" w:hanging="432"/>
      </w:pPr>
      <w:rPr>
        <w:rFonts w:ascii="Arial" w:hAnsi="Arial" w:hint="default"/>
        <w:b w:val="0"/>
        <w:i w:val="0"/>
        <w:sz w:val="20"/>
      </w:rPr>
    </w:lvl>
    <w:lvl w:ilvl="8">
      <w:start w:val="27"/>
      <w:numFmt w:val="lowerLetter"/>
      <w:pStyle w:val="PR7"/>
      <w:lvlText w:val="%9)"/>
      <w:lvlJc w:val="left"/>
      <w:pPr>
        <w:tabs>
          <w:tab w:val="num" w:pos="3744"/>
        </w:tabs>
        <w:ind w:left="3744" w:hanging="432"/>
      </w:pPr>
      <w:rPr>
        <w:rFonts w:ascii="Arial" w:hAnsi="Arial" w:hint="default"/>
        <w:b w:val="0"/>
        <w:i w:val="0"/>
        <w:sz w:val="20"/>
      </w:rPr>
    </w:lvl>
  </w:abstractNum>
  <w:abstractNum w:abstractNumId="12">
    <w:nsid w:val="1784557E"/>
    <w:multiLevelType w:val="multilevel"/>
    <w:tmpl w:val="EF8C615E"/>
    <w:lvl w:ilvl="0">
      <w:start w:val="1"/>
      <w:numFmt w:val="decimal"/>
      <w:lvlText w:val="Section %1."/>
      <w:lvlJc w:val="left"/>
      <w:pPr>
        <w:tabs>
          <w:tab w:val="num" w:pos="1440"/>
        </w:tabs>
        <w:ind w:left="1440" w:hanging="1440"/>
      </w:pPr>
      <w:rPr>
        <w:rFonts w:ascii="Arial" w:hAnsi="Arial" w:hint="default"/>
        <w:sz w:val="28"/>
      </w:rPr>
    </w:lvl>
    <w:lvl w:ilvl="1">
      <w:start w:val="1"/>
      <w:numFmt w:val="decimal"/>
      <w:pStyle w:val="PAR1"/>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22A95799"/>
    <w:multiLevelType w:val="hybridMultilevel"/>
    <w:tmpl w:val="CC206FC4"/>
    <w:lvl w:ilvl="0" w:tplc="E6E47C90">
      <w:start w:val="1"/>
      <w:numFmt w:val="decimal"/>
      <w:lvlText w:val="Table %1 -"/>
      <w:lvlJc w:val="left"/>
      <w:pPr>
        <w:tabs>
          <w:tab w:val="num" w:pos="1080"/>
        </w:tabs>
        <w:ind w:left="1080" w:hanging="360"/>
      </w:pPr>
      <w:rPr>
        <w:rFonts w:ascii="Arial" w:hAnsi="Arial"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36C6A50"/>
    <w:multiLevelType w:val="hybridMultilevel"/>
    <w:tmpl w:val="98A45550"/>
    <w:lvl w:ilvl="0" w:tplc="1D92EADC">
      <w:start w:val="84"/>
      <w:numFmt w:val="bullet"/>
      <w:lvlText w:val=""/>
      <w:lvlJc w:val="left"/>
      <w:pPr>
        <w:ind w:left="720" w:hanging="360"/>
      </w:pPr>
      <w:rPr>
        <w:rFonts w:ascii="Wingdings" w:eastAsia="Batang"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9F3EB5"/>
    <w:multiLevelType w:val="hybridMultilevel"/>
    <w:tmpl w:val="D780C4CC"/>
    <w:lvl w:ilvl="0" w:tplc="ED963822">
      <w:start w:val="1"/>
      <w:numFmt w:val="decimal"/>
      <w:lvlText w:val="Table %1 -"/>
      <w:lvlJc w:val="left"/>
      <w:pPr>
        <w:tabs>
          <w:tab w:val="num" w:pos="1080"/>
        </w:tabs>
        <w:ind w:left="1080" w:hanging="360"/>
      </w:pPr>
      <w:rPr>
        <w:rFonts w:ascii="Arial" w:hAnsi="Arial"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D6430C4"/>
    <w:multiLevelType w:val="hybridMultilevel"/>
    <w:tmpl w:val="92F43C7E"/>
    <w:lvl w:ilvl="0" w:tplc="91724E58">
      <w:start w:val="1"/>
      <w:numFmt w:val="decimal"/>
      <w:pStyle w:val="FIG"/>
      <w:lvlText w:val="Figure %1 -"/>
      <w:lvlJc w:val="center"/>
      <w:pPr>
        <w:tabs>
          <w:tab w:val="num" w:pos="720"/>
        </w:tabs>
        <w:ind w:left="0" w:firstLine="0"/>
      </w:pPr>
      <w:rPr>
        <w:rFonts w:ascii="Arial" w:hAnsi="Arial" w:hint="default"/>
        <w:b/>
        <w:i w:val="0"/>
        <w:sz w:val="20"/>
      </w:rPr>
    </w:lvl>
    <w:lvl w:ilvl="1" w:tplc="20023290" w:tentative="1">
      <w:start w:val="1"/>
      <w:numFmt w:val="lowerLetter"/>
      <w:lvlText w:val="%2."/>
      <w:lvlJc w:val="left"/>
      <w:pPr>
        <w:tabs>
          <w:tab w:val="num" w:pos="1440"/>
        </w:tabs>
        <w:ind w:left="1440" w:hanging="360"/>
      </w:pPr>
    </w:lvl>
    <w:lvl w:ilvl="2" w:tplc="4704E55A" w:tentative="1">
      <w:start w:val="1"/>
      <w:numFmt w:val="lowerRoman"/>
      <w:lvlText w:val="%3."/>
      <w:lvlJc w:val="right"/>
      <w:pPr>
        <w:tabs>
          <w:tab w:val="num" w:pos="2160"/>
        </w:tabs>
        <w:ind w:left="2160" w:hanging="180"/>
      </w:pPr>
    </w:lvl>
    <w:lvl w:ilvl="3" w:tplc="5578392C" w:tentative="1">
      <w:start w:val="1"/>
      <w:numFmt w:val="decimal"/>
      <w:lvlText w:val="%4."/>
      <w:lvlJc w:val="left"/>
      <w:pPr>
        <w:tabs>
          <w:tab w:val="num" w:pos="2880"/>
        </w:tabs>
        <w:ind w:left="2880" w:hanging="360"/>
      </w:pPr>
    </w:lvl>
    <w:lvl w:ilvl="4" w:tplc="BDD2CB94" w:tentative="1">
      <w:start w:val="1"/>
      <w:numFmt w:val="lowerLetter"/>
      <w:lvlText w:val="%5."/>
      <w:lvlJc w:val="left"/>
      <w:pPr>
        <w:tabs>
          <w:tab w:val="num" w:pos="3600"/>
        </w:tabs>
        <w:ind w:left="3600" w:hanging="360"/>
      </w:pPr>
    </w:lvl>
    <w:lvl w:ilvl="5" w:tplc="89C49758" w:tentative="1">
      <w:start w:val="1"/>
      <w:numFmt w:val="lowerRoman"/>
      <w:lvlText w:val="%6."/>
      <w:lvlJc w:val="right"/>
      <w:pPr>
        <w:tabs>
          <w:tab w:val="num" w:pos="4320"/>
        </w:tabs>
        <w:ind w:left="4320" w:hanging="180"/>
      </w:pPr>
    </w:lvl>
    <w:lvl w:ilvl="6" w:tplc="A34AF35C" w:tentative="1">
      <w:start w:val="1"/>
      <w:numFmt w:val="decimal"/>
      <w:lvlText w:val="%7."/>
      <w:lvlJc w:val="left"/>
      <w:pPr>
        <w:tabs>
          <w:tab w:val="num" w:pos="5040"/>
        </w:tabs>
        <w:ind w:left="5040" w:hanging="360"/>
      </w:pPr>
    </w:lvl>
    <w:lvl w:ilvl="7" w:tplc="CE3EDE72" w:tentative="1">
      <w:start w:val="1"/>
      <w:numFmt w:val="lowerLetter"/>
      <w:lvlText w:val="%8."/>
      <w:lvlJc w:val="left"/>
      <w:pPr>
        <w:tabs>
          <w:tab w:val="num" w:pos="5760"/>
        </w:tabs>
        <w:ind w:left="5760" w:hanging="360"/>
      </w:pPr>
    </w:lvl>
    <w:lvl w:ilvl="8" w:tplc="4CFE126E" w:tentative="1">
      <w:start w:val="1"/>
      <w:numFmt w:val="lowerRoman"/>
      <w:lvlText w:val="%9."/>
      <w:lvlJc w:val="right"/>
      <w:pPr>
        <w:tabs>
          <w:tab w:val="num" w:pos="6480"/>
        </w:tabs>
        <w:ind w:left="6480" w:hanging="180"/>
      </w:pPr>
    </w:lvl>
  </w:abstractNum>
  <w:abstractNum w:abstractNumId="17">
    <w:nsid w:val="525250B9"/>
    <w:multiLevelType w:val="hybridMultilevel"/>
    <w:tmpl w:val="9E84D862"/>
    <w:lvl w:ilvl="0" w:tplc="4DA423CC">
      <w:start w:val="1"/>
      <w:numFmt w:val="decimal"/>
      <w:lvlText w:val="Figure %1 -"/>
      <w:lvlJc w:val="center"/>
      <w:pPr>
        <w:tabs>
          <w:tab w:val="num" w:pos="720"/>
        </w:tabs>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1731C"/>
    <w:multiLevelType w:val="hybridMultilevel"/>
    <w:tmpl w:val="8BC80260"/>
    <w:lvl w:ilvl="0" w:tplc="D488DE60">
      <w:start w:val="1"/>
      <w:numFmt w:val="decimal"/>
      <w:pStyle w:val="TBL"/>
      <w:lvlText w:val="Table %1 - "/>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0C451F"/>
    <w:multiLevelType w:val="hybridMultilevel"/>
    <w:tmpl w:val="D780C4CC"/>
    <w:lvl w:ilvl="0" w:tplc="ED963822">
      <w:start w:val="1"/>
      <w:numFmt w:val="decimal"/>
      <w:lvlText w:val="Table %1 -"/>
      <w:lvlJc w:val="left"/>
      <w:pPr>
        <w:tabs>
          <w:tab w:val="num" w:pos="1080"/>
        </w:tabs>
        <w:ind w:left="1080" w:hanging="360"/>
      </w:pPr>
      <w:rPr>
        <w:rFonts w:ascii="Arial" w:hAnsi="Arial"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5A12FE7"/>
    <w:multiLevelType w:val="multilevel"/>
    <w:tmpl w:val="943A1D90"/>
    <w:lvl w:ilvl="0">
      <w:start w:val="1"/>
      <w:numFmt w:val="decimal"/>
      <w:suff w:val="nothing"/>
      <w:lvlText w:val="PART %1 - "/>
      <w:lvlJc w:val="left"/>
      <w:pPr>
        <w:ind w:left="576" w:hanging="576"/>
      </w:pPr>
      <w:rPr>
        <w:rFonts w:ascii="Arial" w:hAnsi="Arial" w:hint="default"/>
        <w:b/>
        <w:i w:val="0"/>
        <w:sz w:val="20"/>
      </w:rPr>
    </w:lvl>
    <w:lvl w:ilvl="1">
      <w:start w:val="1"/>
      <w:numFmt w:val="decimalZero"/>
      <w:pStyle w:val="SEC"/>
      <w:lvlText w:val="%1.%2"/>
      <w:lvlJc w:val="left"/>
      <w:pPr>
        <w:tabs>
          <w:tab w:val="num" w:pos="720"/>
        </w:tabs>
        <w:ind w:left="720" w:hanging="720"/>
      </w:pPr>
      <w:rPr>
        <w:rFonts w:hint="default"/>
        <w:b/>
        <w:i w:val="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ascii="Arial" w:hAnsi="Arial" w:hint="default"/>
        <w:b w:val="0"/>
        <w:i w:val="0"/>
        <w:sz w:val="20"/>
      </w:rPr>
    </w:lvl>
    <w:lvl w:ilvl="4">
      <w:start w:val="1"/>
      <w:numFmt w:val="lowerLetter"/>
      <w:lvlText w:val="%5."/>
      <w:lvlJc w:val="left"/>
      <w:pPr>
        <w:tabs>
          <w:tab w:val="num" w:pos="2016"/>
        </w:tabs>
        <w:ind w:left="2016" w:hanging="432"/>
      </w:pPr>
      <w:rPr>
        <w:rFonts w:ascii="Arial" w:hAnsi="Arial" w:hint="default"/>
        <w:b w:val="0"/>
        <w:i w:val="0"/>
        <w:sz w:val="20"/>
      </w:rPr>
    </w:lvl>
    <w:lvl w:ilvl="5">
      <w:start w:val="1"/>
      <w:numFmt w:val="lowerRoman"/>
      <w:lvlText w:val="%6."/>
      <w:lvlJc w:val="left"/>
      <w:pPr>
        <w:tabs>
          <w:tab w:val="num" w:pos="2736"/>
        </w:tabs>
        <w:ind w:left="2448" w:hanging="432"/>
      </w:pPr>
      <w:rPr>
        <w:rFonts w:ascii="Arial" w:hAnsi="Arial" w:hint="default"/>
        <w:b w:val="0"/>
        <w:i w:val="0"/>
        <w:sz w:val="20"/>
      </w:rPr>
    </w:lvl>
    <w:lvl w:ilvl="6">
      <w:start w:val="1"/>
      <w:numFmt w:val="lowerLetter"/>
      <w:lvlText w:val="%7)"/>
      <w:lvlJc w:val="left"/>
      <w:pPr>
        <w:tabs>
          <w:tab w:val="num" w:pos="2880"/>
        </w:tabs>
        <w:ind w:left="2880" w:hanging="432"/>
      </w:pPr>
      <w:rPr>
        <w:rFonts w:ascii="Arial" w:hAnsi="Arial" w:hint="default"/>
        <w:b w:val="0"/>
        <w:i w:val="0"/>
        <w:sz w:val="20"/>
      </w:rPr>
    </w:lvl>
    <w:lvl w:ilvl="7">
      <w:start w:val="1"/>
      <w:numFmt w:val="lowerRoman"/>
      <w:lvlText w:val="%8)"/>
      <w:lvlJc w:val="left"/>
      <w:pPr>
        <w:tabs>
          <w:tab w:val="num" w:pos="3600"/>
        </w:tabs>
        <w:ind w:left="3312" w:hanging="432"/>
      </w:pPr>
      <w:rPr>
        <w:rFonts w:ascii="Arial" w:hAnsi="Arial" w:hint="default"/>
        <w:b w:val="0"/>
        <w:i w:val="0"/>
        <w:sz w:val="20"/>
      </w:rPr>
    </w:lvl>
    <w:lvl w:ilvl="8">
      <w:start w:val="27"/>
      <w:numFmt w:val="lowerLetter"/>
      <w:lvlText w:val="%9)"/>
      <w:lvlJc w:val="left"/>
      <w:pPr>
        <w:tabs>
          <w:tab w:val="num" w:pos="3744"/>
        </w:tabs>
        <w:ind w:left="3744" w:hanging="432"/>
      </w:pPr>
      <w:rPr>
        <w:rFonts w:ascii="Arial" w:hAnsi="Arial" w:hint="default"/>
        <w:b w:val="0"/>
        <w:i w:val="0"/>
        <w:sz w:val="20"/>
      </w:rPr>
    </w:lvl>
  </w:abstractNum>
  <w:abstractNum w:abstractNumId="21">
    <w:nsid w:val="6AA5122D"/>
    <w:multiLevelType w:val="hybridMultilevel"/>
    <w:tmpl w:val="ACCEFE4E"/>
    <w:lvl w:ilvl="0" w:tplc="63727B60">
      <w:start w:val="1"/>
      <w:numFmt w:val="decimal"/>
      <w:lvlText w:val="Table %1 -"/>
      <w:lvlJc w:val="left"/>
      <w:pPr>
        <w:tabs>
          <w:tab w:val="num" w:pos="1080"/>
        </w:tabs>
        <w:ind w:left="1080" w:hanging="360"/>
      </w:pPr>
      <w:rPr>
        <w:rFonts w:ascii="Arial" w:hAnsi="Arial"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2B848A4"/>
    <w:multiLevelType w:val="singleLevel"/>
    <w:tmpl w:val="452E5236"/>
    <w:lvl w:ilvl="0">
      <w:start w:val="1"/>
      <w:numFmt w:val="decimal"/>
      <w:pStyle w:val="Style3"/>
      <w:lvlText w:val="%1."/>
      <w:legacy w:legacy="1" w:legacySpace="0" w:legacyIndent="0"/>
      <w:lvlJc w:val="left"/>
      <w:rPr>
        <w:rFonts w:cs="Times New Roman"/>
      </w:rPr>
    </w:lvl>
  </w:abstractNum>
  <w:num w:numId="1">
    <w:abstractNumId w:val="11"/>
  </w:num>
  <w:num w:numId="2">
    <w:abstractNumId w:val="16"/>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9"/>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37">
    <w:abstractNumId w:val="21"/>
  </w:num>
  <w:num w:numId="38">
    <w:abstractNumId w:val="17"/>
  </w:num>
  <w:num w:numId="39">
    <w:abstractNumId w:val="14"/>
  </w:num>
  <w:num w:numId="40">
    <w:abstractNumId w:val="13"/>
  </w:num>
  <w:num w:numId="41">
    <w:abstractNumId w:val="15"/>
  </w:num>
  <w:num w:numId="42">
    <w:abstractNumId w:val="18"/>
  </w:num>
  <w:num w:numId="43">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stylePaneFormatFilter w:val="3F0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0657"/>
  </w:hdrShapeDefaults>
  <w:footnotePr>
    <w:footnote w:id="-1"/>
    <w:footnote w:id="0"/>
  </w:footnotePr>
  <w:endnotePr>
    <w:pos w:val="sectEnd"/>
    <w:numFmt w:val="decimal"/>
    <w:endnote w:id="-1"/>
    <w:endnote w:id="0"/>
  </w:endnotePr>
  <w:compat>
    <w:useFELayout/>
  </w:compat>
  <w:rsids>
    <w:rsidRoot w:val="00714435"/>
    <w:rsid w:val="000019A7"/>
    <w:rsid w:val="00006C52"/>
    <w:rsid w:val="00011BD0"/>
    <w:rsid w:val="00016FCA"/>
    <w:rsid w:val="00031327"/>
    <w:rsid w:val="00042CD0"/>
    <w:rsid w:val="00051F99"/>
    <w:rsid w:val="000747F3"/>
    <w:rsid w:val="00074C37"/>
    <w:rsid w:val="0007541B"/>
    <w:rsid w:val="00081E03"/>
    <w:rsid w:val="000862C0"/>
    <w:rsid w:val="00097B5D"/>
    <w:rsid w:val="000D07B1"/>
    <w:rsid w:val="000D537A"/>
    <w:rsid w:val="000D5E5B"/>
    <w:rsid w:val="000E398F"/>
    <w:rsid w:val="000E58C4"/>
    <w:rsid w:val="000E6FF9"/>
    <w:rsid w:val="001021E8"/>
    <w:rsid w:val="001131B7"/>
    <w:rsid w:val="001172DE"/>
    <w:rsid w:val="00117558"/>
    <w:rsid w:val="00124117"/>
    <w:rsid w:val="00143ABD"/>
    <w:rsid w:val="00146557"/>
    <w:rsid w:val="00152B8C"/>
    <w:rsid w:val="00154720"/>
    <w:rsid w:val="00165883"/>
    <w:rsid w:val="00172E5F"/>
    <w:rsid w:val="00176E8E"/>
    <w:rsid w:val="001868A4"/>
    <w:rsid w:val="00186B46"/>
    <w:rsid w:val="001A75DA"/>
    <w:rsid w:val="001B0F08"/>
    <w:rsid w:val="001B7658"/>
    <w:rsid w:val="001C55C0"/>
    <w:rsid w:val="001C644E"/>
    <w:rsid w:val="001E027B"/>
    <w:rsid w:val="001F63EC"/>
    <w:rsid w:val="0021125B"/>
    <w:rsid w:val="002160A4"/>
    <w:rsid w:val="002163B2"/>
    <w:rsid w:val="002267D3"/>
    <w:rsid w:val="00245BAD"/>
    <w:rsid w:val="00274B65"/>
    <w:rsid w:val="00284730"/>
    <w:rsid w:val="00291747"/>
    <w:rsid w:val="0029245C"/>
    <w:rsid w:val="00297C4B"/>
    <w:rsid w:val="002C6E2D"/>
    <w:rsid w:val="002C715F"/>
    <w:rsid w:val="002D466A"/>
    <w:rsid w:val="002D6344"/>
    <w:rsid w:val="002D6373"/>
    <w:rsid w:val="002E6914"/>
    <w:rsid w:val="002E78F4"/>
    <w:rsid w:val="002F29DD"/>
    <w:rsid w:val="00303D9E"/>
    <w:rsid w:val="00306067"/>
    <w:rsid w:val="00310F01"/>
    <w:rsid w:val="003205D2"/>
    <w:rsid w:val="00326D55"/>
    <w:rsid w:val="00367A52"/>
    <w:rsid w:val="00373F7C"/>
    <w:rsid w:val="003910E5"/>
    <w:rsid w:val="003B74F4"/>
    <w:rsid w:val="003C679B"/>
    <w:rsid w:val="003D1DE4"/>
    <w:rsid w:val="003D37B4"/>
    <w:rsid w:val="003F2BB3"/>
    <w:rsid w:val="003F3E17"/>
    <w:rsid w:val="003F6B31"/>
    <w:rsid w:val="0040796D"/>
    <w:rsid w:val="00425D2F"/>
    <w:rsid w:val="0043324C"/>
    <w:rsid w:val="00435117"/>
    <w:rsid w:val="0045150C"/>
    <w:rsid w:val="0045692A"/>
    <w:rsid w:val="00485CEB"/>
    <w:rsid w:val="004919C3"/>
    <w:rsid w:val="004A32A8"/>
    <w:rsid w:val="004A67AD"/>
    <w:rsid w:val="004A7718"/>
    <w:rsid w:val="004B71DF"/>
    <w:rsid w:val="004C49C2"/>
    <w:rsid w:val="004D085B"/>
    <w:rsid w:val="004E172B"/>
    <w:rsid w:val="005008B9"/>
    <w:rsid w:val="00510ACA"/>
    <w:rsid w:val="00531870"/>
    <w:rsid w:val="005330BF"/>
    <w:rsid w:val="00550491"/>
    <w:rsid w:val="00563751"/>
    <w:rsid w:val="00565B56"/>
    <w:rsid w:val="005737C4"/>
    <w:rsid w:val="005B23E1"/>
    <w:rsid w:val="005C3D70"/>
    <w:rsid w:val="005C65CD"/>
    <w:rsid w:val="005D6052"/>
    <w:rsid w:val="005E399A"/>
    <w:rsid w:val="006068F6"/>
    <w:rsid w:val="00642EC1"/>
    <w:rsid w:val="00657EE1"/>
    <w:rsid w:val="006773ED"/>
    <w:rsid w:val="006814D9"/>
    <w:rsid w:val="0069016D"/>
    <w:rsid w:val="006B2690"/>
    <w:rsid w:val="006B4DB4"/>
    <w:rsid w:val="006C4422"/>
    <w:rsid w:val="006C585F"/>
    <w:rsid w:val="006D042A"/>
    <w:rsid w:val="006E4275"/>
    <w:rsid w:val="006F4F7F"/>
    <w:rsid w:val="0070646A"/>
    <w:rsid w:val="00714435"/>
    <w:rsid w:val="00752B95"/>
    <w:rsid w:val="0077384D"/>
    <w:rsid w:val="00791963"/>
    <w:rsid w:val="007D169B"/>
    <w:rsid w:val="007D291C"/>
    <w:rsid w:val="007D3F02"/>
    <w:rsid w:val="007E43FA"/>
    <w:rsid w:val="00800A09"/>
    <w:rsid w:val="00800ED3"/>
    <w:rsid w:val="008013C9"/>
    <w:rsid w:val="008063EF"/>
    <w:rsid w:val="0082641C"/>
    <w:rsid w:val="008445D3"/>
    <w:rsid w:val="00845626"/>
    <w:rsid w:val="008548EB"/>
    <w:rsid w:val="008571FB"/>
    <w:rsid w:val="00857F29"/>
    <w:rsid w:val="00867ABF"/>
    <w:rsid w:val="008749EB"/>
    <w:rsid w:val="00884825"/>
    <w:rsid w:val="00897907"/>
    <w:rsid w:val="008A1EAF"/>
    <w:rsid w:val="008A2B82"/>
    <w:rsid w:val="008B29F3"/>
    <w:rsid w:val="008D4751"/>
    <w:rsid w:val="008E38A0"/>
    <w:rsid w:val="008E4CD8"/>
    <w:rsid w:val="008F0ABF"/>
    <w:rsid w:val="008F1C98"/>
    <w:rsid w:val="00903613"/>
    <w:rsid w:val="00903872"/>
    <w:rsid w:val="009127B8"/>
    <w:rsid w:val="009334B1"/>
    <w:rsid w:val="009701E7"/>
    <w:rsid w:val="00976D4B"/>
    <w:rsid w:val="009973A8"/>
    <w:rsid w:val="009C360A"/>
    <w:rsid w:val="009C5C1A"/>
    <w:rsid w:val="009C633A"/>
    <w:rsid w:val="009D3050"/>
    <w:rsid w:val="009D56A4"/>
    <w:rsid w:val="009D5B6C"/>
    <w:rsid w:val="009E0115"/>
    <w:rsid w:val="009E0B7C"/>
    <w:rsid w:val="009E51FC"/>
    <w:rsid w:val="009F48F6"/>
    <w:rsid w:val="00A50306"/>
    <w:rsid w:val="00A77A8A"/>
    <w:rsid w:val="00A82FEE"/>
    <w:rsid w:val="00A87CA2"/>
    <w:rsid w:val="00A920D6"/>
    <w:rsid w:val="00A92E63"/>
    <w:rsid w:val="00A96A99"/>
    <w:rsid w:val="00AB5978"/>
    <w:rsid w:val="00AD365A"/>
    <w:rsid w:val="00AF29D4"/>
    <w:rsid w:val="00B07AE0"/>
    <w:rsid w:val="00B12705"/>
    <w:rsid w:val="00B13A0F"/>
    <w:rsid w:val="00B405A6"/>
    <w:rsid w:val="00B40F47"/>
    <w:rsid w:val="00B46FB1"/>
    <w:rsid w:val="00B50897"/>
    <w:rsid w:val="00B7135A"/>
    <w:rsid w:val="00B72096"/>
    <w:rsid w:val="00B94AF7"/>
    <w:rsid w:val="00BD0F74"/>
    <w:rsid w:val="00BD13D2"/>
    <w:rsid w:val="00BE0F0B"/>
    <w:rsid w:val="00C02395"/>
    <w:rsid w:val="00C40516"/>
    <w:rsid w:val="00C4480F"/>
    <w:rsid w:val="00C935BD"/>
    <w:rsid w:val="00C95106"/>
    <w:rsid w:val="00C96F1A"/>
    <w:rsid w:val="00CA1869"/>
    <w:rsid w:val="00CA1EEB"/>
    <w:rsid w:val="00CC21F7"/>
    <w:rsid w:val="00CD18CA"/>
    <w:rsid w:val="00CD56EA"/>
    <w:rsid w:val="00CF0E83"/>
    <w:rsid w:val="00CF3A8F"/>
    <w:rsid w:val="00D0148E"/>
    <w:rsid w:val="00D0217D"/>
    <w:rsid w:val="00D07ED6"/>
    <w:rsid w:val="00D22199"/>
    <w:rsid w:val="00D41F18"/>
    <w:rsid w:val="00D62A22"/>
    <w:rsid w:val="00D63AF5"/>
    <w:rsid w:val="00D64C10"/>
    <w:rsid w:val="00D67A0F"/>
    <w:rsid w:val="00D70B9C"/>
    <w:rsid w:val="00D80C73"/>
    <w:rsid w:val="00DA636A"/>
    <w:rsid w:val="00DB6501"/>
    <w:rsid w:val="00DD17D7"/>
    <w:rsid w:val="00DD37AC"/>
    <w:rsid w:val="00DD77B1"/>
    <w:rsid w:val="00DE5B90"/>
    <w:rsid w:val="00DF468C"/>
    <w:rsid w:val="00DF5B6A"/>
    <w:rsid w:val="00E05D3B"/>
    <w:rsid w:val="00E13A76"/>
    <w:rsid w:val="00E23610"/>
    <w:rsid w:val="00E363EC"/>
    <w:rsid w:val="00E4107A"/>
    <w:rsid w:val="00E42F9F"/>
    <w:rsid w:val="00E52FD5"/>
    <w:rsid w:val="00E55CBB"/>
    <w:rsid w:val="00E56236"/>
    <w:rsid w:val="00E607DF"/>
    <w:rsid w:val="00E72D95"/>
    <w:rsid w:val="00E96AA4"/>
    <w:rsid w:val="00E97D72"/>
    <w:rsid w:val="00EB0A1E"/>
    <w:rsid w:val="00F03833"/>
    <w:rsid w:val="00F05917"/>
    <w:rsid w:val="00F10506"/>
    <w:rsid w:val="00F147ED"/>
    <w:rsid w:val="00F321C9"/>
    <w:rsid w:val="00F51A11"/>
    <w:rsid w:val="00F76463"/>
    <w:rsid w:val="00F76BA2"/>
    <w:rsid w:val="00F77BA1"/>
    <w:rsid w:val="00F821AA"/>
    <w:rsid w:val="00F91328"/>
    <w:rsid w:val="00FC5ACD"/>
    <w:rsid w:val="00FE01AB"/>
    <w:rsid w:val="00FE3BF1"/>
    <w:rsid w:val="00FF283E"/>
    <w:rsid w:val="00FF4BAE"/>
    <w:rsid w:val="00FF50D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caption" w:semiHidden="1" w:unhideWhenUsed="1" w:qFormat="1"/>
    <w:lsdException w:name="table of figures"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TblTxt"/>
    <w:rsid w:val="008A1EAF"/>
    <w:rPr>
      <w:rFonts w:ascii="Arial" w:hAnsi="Arial"/>
    </w:rPr>
  </w:style>
  <w:style w:type="paragraph" w:styleId="Heading1">
    <w:name w:val="heading 1"/>
    <w:basedOn w:val="Normal"/>
    <w:next w:val="Normal"/>
    <w:link w:val="Heading1Char"/>
    <w:rsid w:val="002F29DD"/>
    <w:pPr>
      <w:keepNext/>
      <w:spacing w:before="240" w:after="60"/>
      <w:outlineLvl w:val="0"/>
    </w:pPr>
    <w:rPr>
      <w:rFonts w:cs="Arial"/>
      <w:b/>
      <w:bCs/>
      <w:kern w:val="32"/>
      <w:sz w:val="32"/>
      <w:szCs w:val="32"/>
    </w:rPr>
  </w:style>
  <w:style w:type="paragraph" w:styleId="Heading2">
    <w:name w:val="heading 2"/>
    <w:basedOn w:val="Normal"/>
    <w:next w:val="Normal"/>
    <w:rsid w:val="00B07AE0"/>
    <w:pPr>
      <w:keepNext/>
      <w:spacing w:before="240" w:after="60"/>
      <w:outlineLvl w:val="1"/>
    </w:pPr>
    <w:rPr>
      <w:rFonts w:cs="Arial"/>
      <w:b/>
      <w:bCs/>
      <w:i/>
      <w:iCs/>
      <w:sz w:val="28"/>
      <w:szCs w:val="28"/>
    </w:rPr>
  </w:style>
  <w:style w:type="paragraph" w:styleId="Heading3">
    <w:name w:val="heading 3"/>
    <w:basedOn w:val="Normal"/>
    <w:next w:val="Normal"/>
    <w:rsid w:val="001C644E"/>
    <w:pPr>
      <w:keepNext/>
      <w:numPr>
        <w:ilvl w:val="2"/>
        <w:numId w:val="14"/>
      </w:numPr>
      <w:spacing w:before="240" w:after="60"/>
      <w:outlineLvl w:val="2"/>
    </w:pPr>
    <w:rPr>
      <w:rFonts w:cs="Arial"/>
      <w:b/>
      <w:bCs/>
      <w:sz w:val="26"/>
      <w:szCs w:val="26"/>
    </w:rPr>
  </w:style>
  <w:style w:type="paragraph" w:styleId="Heading4">
    <w:name w:val="heading 4"/>
    <w:basedOn w:val="Normal"/>
    <w:next w:val="Normal"/>
    <w:rsid w:val="001C644E"/>
    <w:pPr>
      <w:keepNext/>
      <w:numPr>
        <w:ilvl w:val="3"/>
        <w:numId w:val="14"/>
      </w:numPr>
      <w:jc w:val="right"/>
      <w:outlineLvl w:val="3"/>
    </w:pPr>
    <w:rPr>
      <w:rFonts w:cs="Arial"/>
      <w:b/>
      <w:color w:val="FF0000"/>
      <w:sz w:val="48"/>
      <w:szCs w:val="48"/>
    </w:rPr>
  </w:style>
  <w:style w:type="paragraph" w:styleId="Heading5">
    <w:name w:val="heading 5"/>
    <w:basedOn w:val="Normal"/>
    <w:next w:val="Normal"/>
    <w:rsid w:val="001C644E"/>
    <w:pPr>
      <w:keepNext/>
      <w:numPr>
        <w:ilvl w:val="4"/>
        <w:numId w:val="14"/>
      </w:numPr>
      <w:autoSpaceDE w:val="0"/>
      <w:autoSpaceDN w:val="0"/>
      <w:adjustRightInd w:val="0"/>
      <w:outlineLvl w:val="4"/>
    </w:pPr>
    <w:rPr>
      <w:rFonts w:cs="Arial"/>
      <w:b/>
      <w:color w:val="000000"/>
      <w:szCs w:val="24"/>
    </w:rPr>
  </w:style>
  <w:style w:type="paragraph" w:styleId="Heading6">
    <w:name w:val="heading 6"/>
    <w:basedOn w:val="Normal"/>
    <w:next w:val="Normal"/>
    <w:rsid w:val="001C644E"/>
    <w:pPr>
      <w:numPr>
        <w:ilvl w:val="5"/>
        <w:numId w:val="14"/>
      </w:numPr>
      <w:spacing w:before="240" w:after="60"/>
      <w:outlineLvl w:val="5"/>
    </w:pPr>
    <w:rPr>
      <w:rFonts w:ascii="Times New Roman" w:hAnsi="Times New Roman"/>
      <w:b/>
      <w:bCs/>
      <w:sz w:val="22"/>
      <w:szCs w:val="22"/>
    </w:rPr>
  </w:style>
  <w:style w:type="paragraph" w:styleId="Heading7">
    <w:name w:val="heading 7"/>
    <w:basedOn w:val="Normal"/>
    <w:next w:val="Normal"/>
    <w:rsid w:val="001C644E"/>
    <w:pPr>
      <w:numPr>
        <w:ilvl w:val="6"/>
        <w:numId w:val="14"/>
      </w:numPr>
      <w:spacing w:before="240" w:after="60"/>
      <w:outlineLvl w:val="6"/>
    </w:pPr>
    <w:rPr>
      <w:rFonts w:ascii="Times New Roman" w:hAnsi="Times New Roman"/>
      <w:sz w:val="24"/>
      <w:szCs w:val="24"/>
    </w:rPr>
  </w:style>
  <w:style w:type="paragraph" w:styleId="Heading8">
    <w:name w:val="heading 8"/>
    <w:basedOn w:val="Normal"/>
    <w:next w:val="Normal"/>
    <w:rsid w:val="001C644E"/>
    <w:pPr>
      <w:numPr>
        <w:ilvl w:val="7"/>
        <w:numId w:val="14"/>
      </w:numPr>
      <w:spacing w:before="240" w:after="60"/>
      <w:outlineLvl w:val="7"/>
    </w:pPr>
    <w:rPr>
      <w:rFonts w:ascii="Times New Roman" w:hAnsi="Times New Roman"/>
      <w:i/>
      <w:iCs/>
      <w:sz w:val="24"/>
      <w:szCs w:val="24"/>
    </w:rPr>
  </w:style>
  <w:style w:type="paragraph" w:styleId="Heading9">
    <w:name w:val="heading 9"/>
    <w:basedOn w:val="Normal"/>
    <w:next w:val="Normal"/>
    <w:rsid w:val="001C644E"/>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8A1EAF"/>
    <w:pPr>
      <w:tabs>
        <w:tab w:val="center" w:pos="4608"/>
        <w:tab w:val="right" w:pos="9360"/>
      </w:tabs>
      <w:suppressAutoHyphens/>
      <w:jc w:val="both"/>
    </w:pPr>
  </w:style>
  <w:style w:type="paragraph" w:customStyle="1" w:styleId="FTR">
    <w:name w:val="FTR"/>
    <w:basedOn w:val="Normal"/>
    <w:rsid w:val="008A1EAF"/>
    <w:pPr>
      <w:tabs>
        <w:tab w:val="right" w:pos="9360"/>
      </w:tabs>
      <w:suppressAutoHyphens/>
      <w:jc w:val="both"/>
    </w:pPr>
  </w:style>
  <w:style w:type="paragraph" w:customStyle="1" w:styleId="SCT">
    <w:name w:val="SCT"/>
    <w:basedOn w:val="Normal"/>
    <w:next w:val="PRT"/>
    <w:link w:val="SCTChar"/>
    <w:rsid w:val="008A1EAF"/>
    <w:pPr>
      <w:suppressAutoHyphens/>
      <w:spacing w:before="240"/>
      <w:jc w:val="center"/>
    </w:pPr>
    <w:rPr>
      <w:b/>
    </w:rPr>
  </w:style>
  <w:style w:type="paragraph" w:customStyle="1" w:styleId="PRT">
    <w:name w:val="PRT"/>
    <w:next w:val="ART"/>
    <w:rsid w:val="001C644E"/>
    <w:pPr>
      <w:suppressAutoHyphens/>
      <w:spacing w:before="240"/>
      <w:outlineLvl w:val="0"/>
    </w:pPr>
    <w:rPr>
      <w:rFonts w:ascii="Arial" w:hAnsi="Arial"/>
      <w:b/>
      <w:caps/>
    </w:rPr>
  </w:style>
  <w:style w:type="paragraph" w:customStyle="1" w:styleId="SUT">
    <w:name w:val="SUT"/>
    <w:basedOn w:val="Normal"/>
    <w:next w:val="PR1"/>
    <w:rsid w:val="008A1EAF"/>
    <w:pPr>
      <w:suppressAutoHyphens/>
      <w:spacing w:before="240"/>
      <w:jc w:val="both"/>
      <w:outlineLvl w:val="0"/>
    </w:pPr>
  </w:style>
  <w:style w:type="paragraph" w:customStyle="1" w:styleId="DST">
    <w:name w:val="DST"/>
    <w:basedOn w:val="Normal"/>
    <w:next w:val="PR1"/>
    <w:rsid w:val="008A1EAF"/>
    <w:pPr>
      <w:suppressAutoHyphens/>
      <w:spacing w:before="240"/>
      <w:jc w:val="both"/>
      <w:outlineLvl w:val="0"/>
    </w:pPr>
  </w:style>
  <w:style w:type="paragraph" w:customStyle="1" w:styleId="ART">
    <w:name w:val="ART"/>
    <w:basedOn w:val="PRT"/>
    <w:next w:val="PR1"/>
    <w:rsid w:val="001C644E"/>
    <w:pPr>
      <w:numPr>
        <w:ilvl w:val="1"/>
        <w:numId w:val="1"/>
      </w:numPr>
      <w:outlineLvl w:val="1"/>
    </w:pPr>
  </w:style>
  <w:style w:type="paragraph" w:customStyle="1" w:styleId="PR1">
    <w:name w:val="PR1"/>
    <w:basedOn w:val="ART"/>
    <w:rsid w:val="001C644E"/>
    <w:pPr>
      <w:numPr>
        <w:ilvl w:val="2"/>
      </w:numPr>
      <w:outlineLvl w:val="2"/>
    </w:pPr>
    <w:rPr>
      <w:b w:val="0"/>
      <w:caps w:val="0"/>
    </w:rPr>
  </w:style>
  <w:style w:type="paragraph" w:customStyle="1" w:styleId="PR2">
    <w:name w:val="PR2"/>
    <w:basedOn w:val="PR1"/>
    <w:rsid w:val="001C644E"/>
    <w:pPr>
      <w:numPr>
        <w:ilvl w:val="3"/>
      </w:numPr>
      <w:spacing w:before="0"/>
      <w:outlineLvl w:val="3"/>
    </w:pPr>
  </w:style>
  <w:style w:type="paragraph" w:customStyle="1" w:styleId="PR3">
    <w:name w:val="PR3"/>
    <w:basedOn w:val="PR1"/>
    <w:rsid w:val="001C644E"/>
    <w:pPr>
      <w:numPr>
        <w:ilvl w:val="4"/>
      </w:numPr>
      <w:spacing w:before="0"/>
      <w:outlineLvl w:val="4"/>
    </w:pPr>
  </w:style>
  <w:style w:type="paragraph" w:customStyle="1" w:styleId="PR4">
    <w:name w:val="PR4"/>
    <w:basedOn w:val="PR1"/>
    <w:rsid w:val="001C644E"/>
    <w:pPr>
      <w:numPr>
        <w:ilvl w:val="5"/>
      </w:numPr>
      <w:tabs>
        <w:tab w:val="left" w:pos="2448"/>
      </w:tabs>
      <w:spacing w:before="0"/>
      <w:outlineLvl w:val="5"/>
    </w:pPr>
  </w:style>
  <w:style w:type="paragraph" w:customStyle="1" w:styleId="PR5">
    <w:name w:val="PR5"/>
    <w:basedOn w:val="PR1"/>
    <w:rsid w:val="001C644E"/>
    <w:pPr>
      <w:numPr>
        <w:ilvl w:val="6"/>
      </w:numPr>
      <w:spacing w:before="0"/>
      <w:outlineLvl w:val="6"/>
    </w:pPr>
  </w:style>
  <w:style w:type="paragraph" w:customStyle="1" w:styleId="TB1">
    <w:name w:val="TB1"/>
    <w:basedOn w:val="Normal"/>
    <w:next w:val="PR1"/>
    <w:rsid w:val="008A1EAF"/>
    <w:pPr>
      <w:suppressAutoHyphens/>
      <w:spacing w:before="240"/>
      <w:ind w:left="288"/>
      <w:jc w:val="both"/>
    </w:pPr>
  </w:style>
  <w:style w:type="paragraph" w:customStyle="1" w:styleId="TB2">
    <w:name w:val="TB2"/>
    <w:basedOn w:val="Normal"/>
    <w:next w:val="PR2"/>
    <w:rsid w:val="008A1EAF"/>
    <w:pPr>
      <w:suppressAutoHyphens/>
      <w:spacing w:before="240"/>
      <w:ind w:left="864"/>
      <w:jc w:val="both"/>
    </w:pPr>
  </w:style>
  <w:style w:type="paragraph" w:customStyle="1" w:styleId="TB3">
    <w:name w:val="TB3"/>
    <w:basedOn w:val="Normal"/>
    <w:next w:val="PR3"/>
    <w:rsid w:val="008A1EAF"/>
    <w:pPr>
      <w:suppressAutoHyphens/>
      <w:spacing w:before="240"/>
      <w:ind w:left="1440"/>
      <w:jc w:val="both"/>
    </w:pPr>
  </w:style>
  <w:style w:type="paragraph" w:customStyle="1" w:styleId="TB4">
    <w:name w:val="TB4"/>
    <w:basedOn w:val="Normal"/>
    <w:next w:val="PR4"/>
    <w:rsid w:val="008A1EAF"/>
    <w:pPr>
      <w:suppressAutoHyphens/>
      <w:spacing w:before="240"/>
      <w:ind w:left="2016"/>
      <w:jc w:val="both"/>
    </w:pPr>
  </w:style>
  <w:style w:type="paragraph" w:customStyle="1" w:styleId="TB5">
    <w:name w:val="TB5"/>
    <w:basedOn w:val="Normal"/>
    <w:next w:val="PR5"/>
    <w:rsid w:val="008A1EAF"/>
    <w:pPr>
      <w:suppressAutoHyphens/>
      <w:spacing w:before="240"/>
      <w:ind w:left="2592"/>
      <w:jc w:val="both"/>
    </w:pPr>
  </w:style>
  <w:style w:type="paragraph" w:customStyle="1" w:styleId="TF1">
    <w:name w:val="TF1"/>
    <w:basedOn w:val="Normal"/>
    <w:next w:val="TB1"/>
    <w:rsid w:val="008A1EAF"/>
    <w:pPr>
      <w:suppressAutoHyphens/>
      <w:spacing w:before="240"/>
      <w:ind w:left="288"/>
      <w:jc w:val="both"/>
    </w:pPr>
  </w:style>
  <w:style w:type="paragraph" w:customStyle="1" w:styleId="TF2">
    <w:name w:val="TF2"/>
    <w:basedOn w:val="Normal"/>
    <w:next w:val="TB2"/>
    <w:rsid w:val="008A1EAF"/>
    <w:pPr>
      <w:suppressAutoHyphens/>
      <w:spacing w:before="240"/>
      <w:ind w:left="864"/>
      <w:jc w:val="both"/>
    </w:pPr>
  </w:style>
  <w:style w:type="paragraph" w:customStyle="1" w:styleId="TF3">
    <w:name w:val="TF3"/>
    <w:basedOn w:val="Normal"/>
    <w:next w:val="TB3"/>
    <w:rsid w:val="008A1EAF"/>
    <w:pPr>
      <w:suppressAutoHyphens/>
      <w:spacing w:before="240"/>
      <w:ind w:left="1440"/>
      <w:jc w:val="both"/>
    </w:pPr>
  </w:style>
  <w:style w:type="paragraph" w:customStyle="1" w:styleId="TF4">
    <w:name w:val="TF4"/>
    <w:basedOn w:val="Normal"/>
    <w:next w:val="TB4"/>
    <w:rsid w:val="008A1EAF"/>
    <w:pPr>
      <w:suppressAutoHyphens/>
      <w:spacing w:before="240"/>
      <w:ind w:left="2016"/>
      <w:jc w:val="both"/>
    </w:pPr>
  </w:style>
  <w:style w:type="paragraph" w:customStyle="1" w:styleId="TF5">
    <w:name w:val="TF5"/>
    <w:basedOn w:val="Normal"/>
    <w:next w:val="TB5"/>
    <w:rsid w:val="008A1EAF"/>
    <w:pPr>
      <w:suppressAutoHyphens/>
      <w:spacing w:before="240"/>
      <w:ind w:left="2592"/>
      <w:jc w:val="both"/>
    </w:pPr>
  </w:style>
  <w:style w:type="paragraph" w:customStyle="1" w:styleId="TCH">
    <w:name w:val="TCH"/>
    <w:basedOn w:val="Normal"/>
    <w:rsid w:val="008A1EAF"/>
    <w:pPr>
      <w:suppressAutoHyphens/>
    </w:pPr>
  </w:style>
  <w:style w:type="paragraph" w:customStyle="1" w:styleId="TCE">
    <w:name w:val="TCE"/>
    <w:basedOn w:val="Normal"/>
    <w:rsid w:val="008A1EAF"/>
    <w:pPr>
      <w:suppressAutoHyphens/>
      <w:ind w:left="144" w:hanging="144"/>
    </w:pPr>
  </w:style>
  <w:style w:type="paragraph" w:customStyle="1" w:styleId="EOS">
    <w:name w:val="EOS"/>
    <w:basedOn w:val="Normal"/>
    <w:rsid w:val="008A1EAF"/>
    <w:pPr>
      <w:suppressAutoHyphens/>
      <w:spacing w:before="480"/>
      <w:jc w:val="center"/>
    </w:pPr>
    <w:rPr>
      <w:b/>
    </w:rPr>
  </w:style>
  <w:style w:type="paragraph" w:customStyle="1" w:styleId="ANT">
    <w:name w:val="ANT"/>
    <w:basedOn w:val="Normal"/>
    <w:rsid w:val="008A1EAF"/>
    <w:pPr>
      <w:suppressAutoHyphens/>
      <w:spacing w:before="240"/>
      <w:jc w:val="both"/>
    </w:pPr>
    <w:rPr>
      <w:vanish/>
      <w:color w:val="800080"/>
      <w:u w:val="single"/>
    </w:rPr>
  </w:style>
  <w:style w:type="paragraph" w:customStyle="1" w:styleId="CMT">
    <w:name w:val="CMT"/>
    <w:basedOn w:val="Normal"/>
    <w:rsid w:val="008A1EAF"/>
    <w:pPr>
      <w:suppressAutoHyphens/>
      <w:spacing w:before="240"/>
      <w:jc w:val="both"/>
    </w:pPr>
    <w:rPr>
      <w:vanish/>
      <w:color w:val="0000FF"/>
    </w:rPr>
  </w:style>
  <w:style w:type="character" w:customStyle="1" w:styleId="CPR">
    <w:name w:val="CPR"/>
    <w:basedOn w:val="DefaultParagraphFont"/>
    <w:rsid w:val="008A1EAF"/>
  </w:style>
  <w:style w:type="character" w:customStyle="1" w:styleId="SPN">
    <w:name w:val="SPN"/>
    <w:basedOn w:val="DefaultParagraphFont"/>
    <w:rsid w:val="008A1EAF"/>
  </w:style>
  <w:style w:type="character" w:customStyle="1" w:styleId="SPD">
    <w:name w:val="SPD"/>
    <w:basedOn w:val="DefaultParagraphFont"/>
    <w:rsid w:val="008A1EAF"/>
  </w:style>
  <w:style w:type="character" w:customStyle="1" w:styleId="NUM">
    <w:name w:val="NUM"/>
    <w:basedOn w:val="DefaultParagraphFont"/>
    <w:rsid w:val="008A1EAF"/>
  </w:style>
  <w:style w:type="paragraph" w:customStyle="1" w:styleId="PR6">
    <w:name w:val="PR6"/>
    <w:basedOn w:val="PR1"/>
    <w:rsid w:val="001C644E"/>
    <w:pPr>
      <w:numPr>
        <w:ilvl w:val="7"/>
      </w:numPr>
      <w:tabs>
        <w:tab w:val="left" w:pos="3744"/>
      </w:tabs>
      <w:spacing w:before="0"/>
      <w:outlineLvl w:val="7"/>
    </w:pPr>
  </w:style>
  <w:style w:type="character" w:customStyle="1" w:styleId="SI">
    <w:name w:val="SI"/>
    <w:basedOn w:val="DefaultParagraphFont"/>
    <w:rsid w:val="008A1EAF"/>
    <w:rPr>
      <w:color w:val="auto"/>
    </w:rPr>
  </w:style>
  <w:style w:type="character" w:customStyle="1" w:styleId="IP">
    <w:name w:val="IP"/>
    <w:basedOn w:val="DefaultParagraphFont"/>
    <w:rsid w:val="008A1EAF"/>
    <w:rPr>
      <w:color w:val="0000FF"/>
    </w:rPr>
  </w:style>
  <w:style w:type="paragraph" w:styleId="Header">
    <w:name w:val="header"/>
    <w:basedOn w:val="Normal"/>
    <w:rsid w:val="008A1EAF"/>
    <w:pPr>
      <w:tabs>
        <w:tab w:val="center" w:pos="4320"/>
        <w:tab w:val="right" w:pos="8640"/>
      </w:tabs>
    </w:pPr>
  </w:style>
  <w:style w:type="paragraph" w:styleId="Footer">
    <w:name w:val="footer"/>
    <w:basedOn w:val="Normal"/>
    <w:link w:val="FooterChar"/>
    <w:rsid w:val="008A1EAF"/>
    <w:pPr>
      <w:tabs>
        <w:tab w:val="center" w:pos="4320"/>
        <w:tab w:val="right" w:pos="8640"/>
      </w:tabs>
    </w:pPr>
  </w:style>
  <w:style w:type="character" w:styleId="PageNumber">
    <w:name w:val="page number"/>
    <w:basedOn w:val="DefaultParagraphFont"/>
    <w:rsid w:val="008A1EAF"/>
  </w:style>
  <w:style w:type="paragraph" w:customStyle="1" w:styleId="NAM">
    <w:name w:val="NAM"/>
    <w:basedOn w:val="Normal"/>
    <w:rsid w:val="008A1EAF"/>
    <w:pPr>
      <w:jc w:val="center"/>
    </w:pPr>
    <w:rPr>
      <w:b/>
      <w:caps/>
    </w:rPr>
  </w:style>
  <w:style w:type="paragraph" w:customStyle="1" w:styleId="NAMFT">
    <w:name w:val="NAMFT"/>
    <w:basedOn w:val="NAM"/>
    <w:rsid w:val="008A1EAF"/>
    <w:pPr>
      <w:pBdr>
        <w:top w:val="single" w:sz="4" w:space="1" w:color="auto"/>
      </w:pBdr>
      <w:tabs>
        <w:tab w:val="right" w:pos="9360"/>
      </w:tabs>
    </w:pPr>
    <w:rPr>
      <w:b w:val="0"/>
    </w:rPr>
  </w:style>
  <w:style w:type="paragraph" w:customStyle="1" w:styleId="NOT">
    <w:name w:val="NOT"/>
    <w:basedOn w:val="Normal"/>
    <w:rsid w:val="008A1EAF"/>
    <w:pPr>
      <w:pBdr>
        <w:top w:val="dashDotStroked" w:sz="24" w:space="1" w:color="auto"/>
        <w:bottom w:val="dashDotStroked" w:sz="24" w:space="1" w:color="auto"/>
      </w:pBdr>
      <w:shd w:val="clear" w:color="auto" w:fill="FFCC00"/>
      <w:suppressAutoHyphens/>
    </w:pPr>
    <w:rPr>
      <w:b/>
      <w:smallCaps/>
      <w:vanish/>
    </w:rPr>
  </w:style>
  <w:style w:type="paragraph" w:customStyle="1" w:styleId="PR7">
    <w:name w:val="PR7"/>
    <w:basedOn w:val="PR6"/>
    <w:rsid w:val="001C644E"/>
    <w:pPr>
      <w:numPr>
        <w:ilvl w:val="8"/>
      </w:numPr>
      <w:tabs>
        <w:tab w:val="left" w:pos="4464"/>
      </w:tabs>
    </w:pPr>
  </w:style>
  <w:style w:type="paragraph" w:customStyle="1" w:styleId="TBL">
    <w:name w:val="TBL"/>
    <w:rsid w:val="00DA636A"/>
    <w:pPr>
      <w:numPr>
        <w:numId w:val="42"/>
      </w:numPr>
      <w:spacing w:before="120" w:after="120"/>
      <w:jc w:val="center"/>
    </w:pPr>
    <w:rPr>
      <w:rFonts w:ascii="Arial" w:hAnsi="Arial"/>
      <w:b/>
    </w:rPr>
  </w:style>
  <w:style w:type="paragraph" w:customStyle="1" w:styleId="OmniPage1">
    <w:name w:val="OmniPage #1"/>
    <w:basedOn w:val="Normal"/>
    <w:rsid w:val="008A1EAF"/>
    <w:pPr>
      <w:tabs>
        <w:tab w:val="left" w:pos="5790"/>
        <w:tab w:val="right" w:pos="10303"/>
      </w:tabs>
      <w:ind w:left="1155"/>
    </w:pPr>
    <w:rPr>
      <w:rFonts w:ascii="Times New Roman" w:hAnsi="Times New Roman"/>
    </w:rPr>
  </w:style>
  <w:style w:type="paragraph" w:customStyle="1" w:styleId="OmniPage5">
    <w:name w:val="OmniPage #5"/>
    <w:basedOn w:val="Normal"/>
    <w:rsid w:val="008A1EAF"/>
    <w:pPr>
      <w:tabs>
        <w:tab w:val="left" w:pos="125"/>
        <w:tab w:val="left" w:pos="175"/>
        <w:tab w:val="right" w:pos="5008"/>
      </w:tabs>
      <w:ind w:left="1170"/>
    </w:pPr>
    <w:rPr>
      <w:rFonts w:ascii="Times New Roman" w:hAnsi="Times New Roman"/>
    </w:rPr>
  </w:style>
  <w:style w:type="paragraph" w:customStyle="1" w:styleId="OmniPage7">
    <w:name w:val="OmniPage #7"/>
    <w:basedOn w:val="Normal"/>
    <w:rsid w:val="008A1EAF"/>
    <w:pPr>
      <w:tabs>
        <w:tab w:val="right" w:pos="9628"/>
      </w:tabs>
      <w:ind w:left="2880"/>
    </w:pPr>
    <w:rPr>
      <w:rFonts w:ascii="Times New Roman" w:hAnsi="Times New Roman"/>
    </w:rPr>
  </w:style>
  <w:style w:type="paragraph" w:customStyle="1" w:styleId="OmniPage2051">
    <w:name w:val="OmniPage #2051"/>
    <w:basedOn w:val="Normal"/>
    <w:rsid w:val="008A1EAF"/>
    <w:pPr>
      <w:tabs>
        <w:tab w:val="right" w:pos="7627"/>
      </w:tabs>
      <w:ind w:left="4035"/>
    </w:pPr>
    <w:rPr>
      <w:rFonts w:ascii="Times New Roman" w:hAnsi="Times New Roman"/>
    </w:rPr>
  </w:style>
  <w:style w:type="paragraph" w:customStyle="1" w:styleId="OmniPage2052">
    <w:name w:val="OmniPage #2052"/>
    <w:basedOn w:val="Normal"/>
    <w:rsid w:val="008A1EAF"/>
    <w:pPr>
      <w:tabs>
        <w:tab w:val="left" w:pos="110"/>
        <w:tab w:val="right" w:pos="2932"/>
      </w:tabs>
      <w:ind w:left="1155"/>
    </w:pPr>
    <w:rPr>
      <w:rFonts w:ascii="Times New Roman" w:hAnsi="Times New Roman"/>
    </w:rPr>
  </w:style>
  <w:style w:type="paragraph" w:customStyle="1" w:styleId="OmniPage2061">
    <w:name w:val="OmniPage #2061"/>
    <w:basedOn w:val="Normal"/>
    <w:rsid w:val="008A1EAF"/>
    <w:pPr>
      <w:tabs>
        <w:tab w:val="right" w:pos="4372"/>
      </w:tabs>
      <w:ind w:left="1095"/>
    </w:pPr>
    <w:rPr>
      <w:rFonts w:ascii="Times New Roman" w:hAnsi="Times New Roman"/>
    </w:rPr>
  </w:style>
  <w:style w:type="paragraph" w:customStyle="1" w:styleId="OmniPage2062">
    <w:name w:val="OmniPage #2062"/>
    <w:basedOn w:val="Normal"/>
    <w:rsid w:val="008A1EAF"/>
    <w:pPr>
      <w:tabs>
        <w:tab w:val="right" w:pos="3307"/>
      </w:tabs>
      <w:ind w:left="1095"/>
    </w:pPr>
    <w:rPr>
      <w:rFonts w:ascii="Times New Roman" w:hAnsi="Times New Roman"/>
    </w:rPr>
  </w:style>
  <w:style w:type="paragraph" w:customStyle="1" w:styleId="OmniPage2564">
    <w:name w:val="OmniPage #2564"/>
    <w:basedOn w:val="Normal"/>
    <w:rsid w:val="008A1EAF"/>
    <w:pPr>
      <w:tabs>
        <w:tab w:val="left" w:pos="50"/>
        <w:tab w:val="left" w:pos="100"/>
        <w:tab w:val="left" w:pos="2970"/>
        <w:tab w:val="right" w:pos="9654"/>
      </w:tabs>
      <w:ind w:left="1155"/>
    </w:pPr>
    <w:rPr>
      <w:rFonts w:ascii="Times New Roman" w:hAnsi="Times New Roman"/>
    </w:rPr>
  </w:style>
  <w:style w:type="paragraph" w:styleId="BodyTextIndent3">
    <w:name w:val="Body Text Indent 3"/>
    <w:basedOn w:val="Normal"/>
    <w:rsid w:val="008A1EAF"/>
    <w:pPr>
      <w:tabs>
        <w:tab w:val="left" w:pos="1080"/>
      </w:tabs>
      <w:ind w:left="720"/>
      <w:jc w:val="both"/>
    </w:pPr>
    <w:rPr>
      <w:snapToGrid w:val="0"/>
    </w:rPr>
  </w:style>
  <w:style w:type="character" w:customStyle="1" w:styleId="SCTChar">
    <w:name w:val="SCT Char"/>
    <w:basedOn w:val="DefaultParagraphFont"/>
    <w:link w:val="SCT"/>
    <w:rsid w:val="00C4480F"/>
    <w:rPr>
      <w:rFonts w:ascii="Arial" w:hAnsi="Arial"/>
      <w:b/>
      <w:lang w:val="en-US" w:eastAsia="en-US" w:bidi="ar-SA"/>
    </w:rPr>
  </w:style>
  <w:style w:type="paragraph" w:customStyle="1" w:styleId="FIG">
    <w:name w:val="FIG"/>
    <w:qFormat/>
    <w:rsid w:val="002D6344"/>
    <w:pPr>
      <w:numPr>
        <w:numId w:val="2"/>
      </w:numPr>
    </w:pPr>
    <w:rPr>
      <w:rFonts w:ascii="Arial" w:hAnsi="Arial"/>
      <w:b/>
    </w:rPr>
  </w:style>
  <w:style w:type="paragraph" w:customStyle="1" w:styleId="Part">
    <w:name w:val="Part"/>
    <w:basedOn w:val="ART"/>
    <w:rsid w:val="002F29DD"/>
  </w:style>
  <w:style w:type="character" w:customStyle="1" w:styleId="Heading1Char">
    <w:name w:val="Heading 1 Char"/>
    <w:basedOn w:val="DefaultParagraphFont"/>
    <w:link w:val="Heading1"/>
    <w:locked/>
    <w:rsid w:val="002F29DD"/>
    <w:rPr>
      <w:rFonts w:ascii="Arial" w:eastAsia="Batang" w:hAnsi="Arial" w:cs="Arial"/>
      <w:b/>
      <w:bCs/>
      <w:kern w:val="32"/>
      <w:sz w:val="32"/>
      <w:szCs w:val="32"/>
      <w:lang w:val="en-US" w:eastAsia="en-US" w:bidi="ar-SA"/>
    </w:rPr>
  </w:style>
  <w:style w:type="paragraph" w:styleId="TOC1">
    <w:name w:val="toc 1"/>
    <w:basedOn w:val="Normal"/>
    <w:next w:val="Normal"/>
    <w:autoRedefine/>
    <w:uiPriority w:val="39"/>
    <w:rsid w:val="002F29DD"/>
    <w:rPr>
      <w:rFonts w:ascii="Times New Roman" w:hAnsi="Times New Roman"/>
      <w:sz w:val="24"/>
      <w:szCs w:val="24"/>
    </w:rPr>
  </w:style>
  <w:style w:type="paragraph" w:styleId="TOC2">
    <w:name w:val="toc 2"/>
    <w:basedOn w:val="Normal"/>
    <w:next w:val="Normal"/>
    <w:autoRedefine/>
    <w:uiPriority w:val="39"/>
    <w:rsid w:val="002F29DD"/>
    <w:pPr>
      <w:ind w:left="240"/>
    </w:pPr>
    <w:rPr>
      <w:rFonts w:ascii="Times New Roman" w:hAnsi="Times New Roman"/>
      <w:sz w:val="24"/>
      <w:szCs w:val="24"/>
    </w:rPr>
  </w:style>
  <w:style w:type="character" w:styleId="Hyperlink">
    <w:name w:val="Hyperlink"/>
    <w:basedOn w:val="DefaultParagraphFont"/>
    <w:uiPriority w:val="99"/>
    <w:rsid w:val="002F29DD"/>
    <w:rPr>
      <w:rFonts w:cs="Times New Roman"/>
      <w:color w:val="0000FF"/>
      <w:u w:val="single"/>
    </w:rPr>
  </w:style>
  <w:style w:type="character" w:customStyle="1" w:styleId="FooterChar">
    <w:name w:val="Footer Char"/>
    <w:basedOn w:val="DefaultParagraphFont"/>
    <w:link w:val="Footer"/>
    <w:semiHidden/>
    <w:locked/>
    <w:rsid w:val="002F29DD"/>
    <w:rPr>
      <w:rFonts w:ascii="Arial" w:hAnsi="Arial"/>
      <w:lang w:val="en-US" w:eastAsia="en-US" w:bidi="ar-SA"/>
    </w:rPr>
  </w:style>
  <w:style w:type="paragraph" w:styleId="TableofFigures">
    <w:name w:val="table of figures"/>
    <w:basedOn w:val="Normal"/>
    <w:next w:val="Normal"/>
    <w:uiPriority w:val="99"/>
    <w:rsid w:val="002F29DD"/>
    <w:rPr>
      <w:rFonts w:ascii="Times New Roman" w:hAnsi="Times New Roman"/>
      <w:sz w:val="24"/>
      <w:szCs w:val="24"/>
    </w:rPr>
  </w:style>
  <w:style w:type="paragraph" w:styleId="CommentText">
    <w:name w:val="annotation text"/>
    <w:basedOn w:val="Normal"/>
    <w:semiHidden/>
    <w:rsid w:val="002F29DD"/>
  </w:style>
  <w:style w:type="paragraph" w:styleId="CommentSubject">
    <w:name w:val="annotation subject"/>
    <w:basedOn w:val="CommentText"/>
    <w:next w:val="CommentText"/>
    <w:link w:val="CommentSubjectChar"/>
    <w:semiHidden/>
    <w:rsid w:val="002F29DD"/>
    <w:rPr>
      <w:rFonts w:ascii="Times New Roman" w:hAnsi="Times New Roman"/>
      <w:b/>
      <w:bCs/>
    </w:rPr>
  </w:style>
  <w:style w:type="character" w:customStyle="1" w:styleId="CommentSubjectChar">
    <w:name w:val="Comment Subject Char"/>
    <w:basedOn w:val="DefaultParagraphFont"/>
    <w:link w:val="CommentSubject"/>
    <w:semiHidden/>
    <w:locked/>
    <w:rsid w:val="002F29DD"/>
    <w:rPr>
      <w:rFonts w:eastAsia="Batang"/>
      <w:b/>
      <w:bCs/>
      <w:lang w:val="en-US" w:eastAsia="en-US" w:bidi="ar-SA"/>
    </w:rPr>
  </w:style>
  <w:style w:type="paragraph" w:customStyle="1" w:styleId="NormalBold">
    <w:name w:val="Normal Bold"/>
    <w:basedOn w:val="Normal"/>
    <w:rsid w:val="002F29DD"/>
    <w:pPr>
      <w:spacing w:after="60"/>
      <w:jc w:val="both"/>
    </w:pPr>
    <w:rPr>
      <w:rFonts w:ascii="Times New Roman" w:hAnsi="Times New Roman"/>
      <w:b/>
      <w:sz w:val="24"/>
      <w:szCs w:val="24"/>
    </w:rPr>
  </w:style>
  <w:style w:type="paragraph" w:customStyle="1" w:styleId="Style3">
    <w:name w:val="Style3"/>
    <w:basedOn w:val="Normal"/>
    <w:rsid w:val="002F29DD"/>
    <w:pPr>
      <w:numPr>
        <w:numId w:val="3"/>
      </w:numPr>
    </w:pPr>
    <w:rPr>
      <w:rFonts w:cs="Arial"/>
      <w:sz w:val="24"/>
      <w:szCs w:val="24"/>
    </w:rPr>
  </w:style>
  <w:style w:type="paragraph" w:customStyle="1" w:styleId="Normal1">
    <w:name w:val="Normal1"/>
    <w:basedOn w:val="Normal"/>
    <w:rsid w:val="002F29DD"/>
    <w:pPr>
      <w:overflowPunct w:val="0"/>
      <w:autoSpaceDE w:val="0"/>
      <w:autoSpaceDN w:val="0"/>
      <w:adjustRightInd w:val="0"/>
      <w:spacing w:after="120" w:line="360" w:lineRule="atLeast"/>
      <w:textAlignment w:val="baseline"/>
    </w:pPr>
    <w:rPr>
      <w:rFonts w:ascii="Times New Roman" w:hAnsi="Times New Roman"/>
      <w:sz w:val="22"/>
    </w:rPr>
  </w:style>
  <w:style w:type="paragraph" w:customStyle="1" w:styleId="Pref">
    <w:name w:val="Pref"/>
    <w:basedOn w:val="Normal"/>
    <w:next w:val="Normal"/>
    <w:rsid w:val="002F29DD"/>
    <w:pPr>
      <w:keepNext/>
      <w:spacing w:before="240" w:after="360"/>
      <w:jc w:val="both"/>
      <w:outlineLvl w:val="0"/>
    </w:pPr>
    <w:rPr>
      <w:rFonts w:cs="Arial"/>
      <w:bCs/>
      <w:kern w:val="32"/>
      <w:sz w:val="32"/>
      <w:szCs w:val="32"/>
    </w:rPr>
  </w:style>
  <w:style w:type="table" w:styleId="TableGrid">
    <w:name w:val="Table Grid"/>
    <w:basedOn w:val="TableNormal"/>
    <w:rsid w:val="001C6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
    <w:name w:val="SEC"/>
    <w:basedOn w:val="Normal"/>
    <w:next w:val="Normal"/>
    <w:link w:val="SECCharChar"/>
    <w:rsid w:val="001C644E"/>
    <w:pPr>
      <w:numPr>
        <w:ilvl w:val="1"/>
        <w:numId w:val="15"/>
      </w:numPr>
      <w:suppressAutoHyphens/>
      <w:spacing w:before="240"/>
    </w:pPr>
    <w:rPr>
      <w:b/>
      <w:sz w:val="28"/>
    </w:rPr>
  </w:style>
  <w:style w:type="character" w:customStyle="1" w:styleId="SECCharChar">
    <w:name w:val="SEC Char Char"/>
    <w:basedOn w:val="DefaultParagraphFont"/>
    <w:link w:val="SEC"/>
    <w:rsid w:val="001C644E"/>
    <w:rPr>
      <w:rFonts w:ascii="Arial" w:eastAsia="Batang" w:hAnsi="Arial"/>
      <w:b/>
      <w:sz w:val="28"/>
      <w:lang w:val="en-US" w:eastAsia="en-US" w:bidi="ar-SA"/>
    </w:rPr>
  </w:style>
  <w:style w:type="paragraph" w:customStyle="1" w:styleId="PAR1">
    <w:name w:val="PAR1"/>
    <w:basedOn w:val="Normal"/>
    <w:next w:val="Normal"/>
    <w:rsid w:val="001C644E"/>
    <w:pPr>
      <w:numPr>
        <w:ilvl w:val="1"/>
        <w:numId w:val="14"/>
      </w:numPr>
      <w:spacing w:before="240" w:after="60"/>
    </w:pPr>
    <w:rPr>
      <w:b/>
      <w:i/>
      <w:sz w:val="28"/>
      <w:szCs w:val="24"/>
    </w:rPr>
  </w:style>
  <w:style w:type="paragraph" w:customStyle="1" w:styleId="Appx">
    <w:name w:val="Appx"/>
    <w:basedOn w:val="Heading1"/>
    <w:rsid w:val="00CD18CA"/>
    <w:pPr>
      <w:spacing w:after="360"/>
    </w:pPr>
  </w:style>
  <w:style w:type="paragraph" w:customStyle="1" w:styleId="WPSCT">
    <w:name w:val="WPSCT"/>
    <w:basedOn w:val="PRT"/>
    <w:next w:val="ART"/>
    <w:qFormat/>
    <w:rsid w:val="001C644E"/>
    <w:pPr>
      <w:numPr>
        <w:numId w:val="1"/>
      </w:numPr>
    </w:pPr>
  </w:style>
  <w:style w:type="paragraph" w:customStyle="1" w:styleId="WPART">
    <w:name w:val="WPART"/>
    <w:basedOn w:val="ART"/>
    <w:qFormat/>
    <w:rsid w:val="0029245C"/>
    <w:pPr>
      <w:keepNext/>
    </w:pPr>
  </w:style>
  <w:style w:type="paragraph" w:customStyle="1" w:styleId="WPPR1">
    <w:name w:val="WPPR1"/>
    <w:basedOn w:val="PR1"/>
    <w:qFormat/>
    <w:rsid w:val="001C644E"/>
  </w:style>
  <w:style w:type="paragraph" w:customStyle="1" w:styleId="WPPR2">
    <w:name w:val="WPPR2"/>
    <w:basedOn w:val="PR2"/>
    <w:qFormat/>
    <w:rsid w:val="001C644E"/>
  </w:style>
  <w:style w:type="paragraph" w:customStyle="1" w:styleId="WPPR3">
    <w:name w:val="WPPR3"/>
    <w:basedOn w:val="PR3"/>
    <w:qFormat/>
    <w:rsid w:val="001C644E"/>
  </w:style>
  <w:style w:type="paragraph" w:customStyle="1" w:styleId="WPPR4">
    <w:name w:val="WPPR4"/>
    <w:basedOn w:val="PR4"/>
    <w:qFormat/>
    <w:rsid w:val="001C644E"/>
  </w:style>
  <w:style w:type="paragraph" w:customStyle="1" w:styleId="WPPR5">
    <w:name w:val="WPPR5"/>
    <w:basedOn w:val="PR5"/>
    <w:qFormat/>
    <w:rsid w:val="001C644E"/>
  </w:style>
  <w:style w:type="paragraph" w:customStyle="1" w:styleId="WPPR6">
    <w:name w:val="WPPR6"/>
    <w:basedOn w:val="PR6"/>
    <w:qFormat/>
    <w:rsid w:val="001C644E"/>
  </w:style>
  <w:style w:type="paragraph" w:customStyle="1" w:styleId="WPID">
    <w:name w:val="WPID"/>
    <w:basedOn w:val="Normal"/>
    <w:rsid w:val="000D07B1"/>
    <w:pPr>
      <w:jc w:val="right"/>
    </w:pPr>
    <w:rPr>
      <w:rFonts w:cs="Arial"/>
      <w:b/>
      <w:sz w:val="48"/>
      <w:szCs w:val="48"/>
    </w:rPr>
  </w:style>
  <w:style w:type="paragraph" w:styleId="BalloonText">
    <w:name w:val="Balloon Text"/>
    <w:basedOn w:val="Normal"/>
    <w:link w:val="BalloonTextChar"/>
    <w:rsid w:val="00C96F1A"/>
    <w:rPr>
      <w:rFonts w:ascii="Tahoma" w:hAnsi="Tahoma" w:cs="Tahoma"/>
      <w:sz w:val="16"/>
      <w:szCs w:val="16"/>
    </w:rPr>
  </w:style>
  <w:style w:type="character" w:customStyle="1" w:styleId="BalloonTextChar">
    <w:name w:val="Balloon Text Char"/>
    <w:basedOn w:val="DefaultParagraphFont"/>
    <w:link w:val="BalloonText"/>
    <w:rsid w:val="00C96F1A"/>
    <w:rPr>
      <w:rFonts w:ascii="Tahoma" w:hAnsi="Tahoma" w:cs="Tahoma"/>
      <w:sz w:val="16"/>
      <w:szCs w:val="16"/>
    </w:rPr>
  </w:style>
  <w:style w:type="paragraph" w:customStyle="1" w:styleId="Vertical">
    <w:name w:val="Vertical"/>
    <w:basedOn w:val="Normal1"/>
    <w:qFormat/>
    <w:rsid w:val="00E4107A"/>
    <w:pPr>
      <w:spacing w:line="240" w:lineRule="auto"/>
      <w:jc w:val="center"/>
    </w:pPr>
    <w:rPr>
      <w:rFonts w:ascii="Arial" w:eastAsia="Times New Roman" w:hAnsi="Arial"/>
      <w:sz w:val="20"/>
    </w:rPr>
  </w:style>
  <w:style w:type="paragraph" w:styleId="EndnoteText">
    <w:name w:val="endnote text"/>
    <w:basedOn w:val="Normal"/>
    <w:link w:val="EndnoteTextChar"/>
    <w:rsid w:val="00C40516"/>
  </w:style>
  <w:style w:type="character" w:customStyle="1" w:styleId="EndnoteTextChar">
    <w:name w:val="Endnote Text Char"/>
    <w:basedOn w:val="DefaultParagraphFont"/>
    <w:link w:val="EndnoteText"/>
    <w:rsid w:val="00C40516"/>
    <w:rPr>
      <w:rFonts w:ascii="Arial" w:hAnsi="Arial"/>
    </w:rPr>
  </w:style>
  <w:style w:type="character" w:styleId="EndnoteReference">
    <w:name w:val="endnote reference"/>
    <w:basedOn w:val="DefaultParagraphFont"/>
    <w:rsid w:val="00C40516"/>
    <w:rPr>
      <w:vertAlign w:val="superscript"/>
    </w:rPr>
  </w:style>
  <w:style w:type="paragraph" w:styleId="ListParagraph">
    <w:name w:val="List Paragraph"/>
    <w:basedOn w:val="Normal"/>
    <w:uiPriority w:val="34"/>
    <w:rsid w:val="00E56236"/>
    <w:pPr>
      <w:ind w:left="720"/>
      <w:contextualSpacing/>
    </w:pPr>
  </w:style>
  <w:style w:type="character" w:styleId="CommentReference">
    <w:name w:val="annotation reference"/>
    <w:basedOn w:val="DefaultParagraphFont"/>
    <w:rsid w:val="009F48F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caption" w:semiHidden="1" w:unhideWhenUsed="1" w:qFormat="1"/>
    <w:lsdException w:name="table of figures"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TblTxt"/>
    <w:rsid w:val="008A1EAF"/>
    <w:rPr>
      <w:rFonts w:ascii="Arial" w:hAnsi="Arial"/>
    </w:rPr>
  </w:style>
  <w:style w:type="paragraph" w:styleId="Heading1">
    <w:name w:val="heading 1"/>
    <w:basedOn w:val="Normal"/>
    <w:next w:val="Normal"/>
    <w:link w:val="Heading1Char"/>
    <w:rsid w:val="002F29DD"/>
    <w:pPr>
      <w:keepNext/>
      <w:spacing w:before="240" w:after="60"/>
      <w:outlineLvl w:val="0"/>
    </w:pPr>
    <w:rPr>
      <w:rFonts w:cs="Arial"/>
      <w:b/>
      <w:bCs/>
      <w:kern w:val="32"/>
      <w:sz w:val="32"/>
      <w:szCs w:val="32"/>
    </w:rPr>
  </w:style>
  <w:style w:type="paragraph" w:styleId="Heading2">
    <w:name w:val="heading 2"/>
    <w:basedOn w:val="Normal"/>
    <w:next w:val="Normal"/>
    <w:rsid w:val="00B07AE0"/>
    <w:pPr>
      <w:keepNext/>
      <w:spacing w:before="240" w:after="60"/>
      <w:outlineLvl w:val="1"/>
    </w:pPr>
    <w:rPr>
      <w:rFonts w:cs="Arial"/>
      <w:b/>
      <w:bCs/>
      <w:i/>
      <w:iCs/>
      <w:sz w:val="28"/>
      <w:szCs w:val="28"/>
    </w:rPr>
  </w:style>
  <w:style w:type="paragraph" w:styleId="Heading3">
    <w:name w:val="heading 3"/>
    <w:basedOn w:val="Normal"/>
    <w:next w:val="Normal"/>
    <w:rsid w:val="001C644E"/>
    <w:pPr>
      <w:keepNext/>
      <w:numPr>
        <w:ilvl w:val="2"/>
        <w:numId w:val="14"/>
      </w:numPr>
      <w:spacing w:before="240" w:after="60"/>
      <w:outlineLvl w:val="2"/>
    </w:pPr>
    <w:rPr>
      <w:rFonts w:cs="Arial"/>
      <w:b/>
      <w:bCs/>
      <w:sz w:val="26"/>
      <w:szCs w:val="26"/>
    </w:rPr>
  </w:style>
  <w:style w:type="paragraph" w:styleId="Heading4">
    <w:name w:val="heading 4"/>
    <w:basedOn w:val="Normal"/>
    <w:next w:val="Normal"/>
    <w:rsid w:val="001C644E"/>
    <w:pPr>
      <w:keepNext/>
      <w:numPr>
        <w:ilvl w:val="3"/>
        <w:numId w:val="14"/>
      </w:numPr>
      <w:jc w:val="right"/>
      <w:outlineLvl w:val="3"/>
    </w:pPr>
    <w:rPr>
      <w:rFonts w:cs="Arial"/>
      <w:b/>
      <w:color w:val="FF0000"/>
      <w:sz w:val="48"/>
      <w:szCs w:val="48"/>
    </w:rPr>
  </w:style>
  <w:style w:type="paragraph" w:styleId="Heading5">
    <w:name w:val="heading 5"/>
    <w:basedOn w:val="Normal"/>
    <w:next w:val="Normal"/>
    <w:rsid w:val="001C644E"/>
    <w:pPr>
      <w:keepNext/>
      <w:numPr>
        <w:ilvl w:val="4"/>
        <w:numId w:val="14"/>
      </w:numPr>
      <w:autoSpaceDE w:val="0"/>
      <w:autoSpaceDN w:val="0"/>
      <w:adjustRightInd w:val="0"/>
      <w:outlineLvl w:val="4"/>
    </w:pPr>
    <w:rPr>
      <w:rFonts w:cs="Arial"/>
      <w:b/>
      <w:color w:val="000000"/>
      <w:szCs w:val="24"/>
    </w:rPr>
  </w:style>
  <w:style w:type="paragraph" w:styleId="Heading6">
    <w:name w:val="heading 6"/>
    <w:basedOn w:val="Normal"/>
    <w:next w:val="Normal"/>
    <w:rsid w:val="001C644E"/>
    <w:pPr>
      <w:numPr>
        <w:ilvl w:val="5"/>
        <w:numId w:val="14"/>
      </w:numPr>
      <w:spacing w:before="240" w:after="60"/>
      <w:outlineLvl w:val="5"/>
    </w:pPr>
    <w:rPr>
      <w:rFonts w:ascii="Times New Roman" w:hAnsi="Times New Roman"/>
      <w:b/>
      <w:bCs/>
      <w:sz w:val="22"/>
      <w:szCs w:val="22"/>
    </w:rPr>
  </w:style>
  <w:style w:type="paragraph" w:styleId="Heading7">
    <w:name w:val="heading 7"/>
    <w:basedOn w:val="Normal"/>
    <w:next w:val="Normal"/>
    <w:rsid w:val="001C644E"/>
    <w:pPr>
      <w:numPr>
        <w:ilvl w:val="6"/>
        <w:numId w:val="14"/>
      </w:numPr>
      <w:spacing w:before="240" w:after="60"/>
      <w:outlineLvl w:val="6"/>
    </w:pPr>
    <w:rPr>
      <w:rFonts w:ascii="Times New Roman" w:hAnsi="Times New Roman"/>
      <w:sz w:val="24"/>
      <w:szCs w:val="24"/>
    </w:rPr>
  </w:style>
  <w:style w:type="paragraph" w:styleId="Heading8">
    <w:name w:val="heading 8"/>
    <w:basedOn w:val="Normal"/>
    <w:next w:val="Normal"/>
    <w:rsid w:val="001C644E"/>
    <w:pPr>
      <w:numPr>
        <w:ilvl w:val="7"/>
        <w:numId w:val="14"/>
      </w:numPr>
      <w:spacing w:before="240" w:after="60"/>
      <w:outlineLvl w:val="7"/>
    </w:pPr>
    <w:rPr>
      <w:rFonts w:ascii="Times New Roman" w:hAnsi="Times New Roman"/>
      <w:i/>
      <w:iCs/>
      <w:sz w:val="24"/>
      <w:szCs w:val="24"/>
    </w:rPr>
  </w:style>
  <w:style w:type="paragraph" w:styleId="Heading9">
    <w:name w:val="heading 9"/>
    <w:basedOn w:val="Normal"/>
    <w:next w:val="Normal"/>
    <w:rsid w:val="001C644E"/>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8A1EAF"/>
    <w:pPr>
      <w:tabs>
        <w:tab w:val="center" w:pos="4608"/>
        <w:tab w:val="right" w:pos="9360"/>
      </w:tabs>
      <w:suppressAutoHyphens/>
      <w:jc w:val="both"/>
    </w:pPr>
  </w:style>
  <w:style w:type="paragraph" w:customStyle="1" w:styleId="FTR">
    <w:name w:val="FTR"/>
    <w:basedOn w:val="Normal"/>
    <w:rsid w:val="008A1EAF"/>
    <w:pPr>
      <w:tabs>
        <w:tab w:val="right" w:pos="9360"/>
      </w:tabs>
      <w:suppressAutoHyphens/>
      <w:jc w:val="both"/>
    </w:pPr>
  </w:style>
  <w:style w:type="paragraph" w:customStyle="1" w:styleId="SCT">
    <w:name w:val="SCT"/>
    <w:basedOn w:val="Normal"/>
    <w:next w:val="PRT"/>
    <w:link w:val="SCTChar"/>
    <w:rsid w:val="008A1EAF"/>
    <w:pPr>
      <w:suppressAutoHyphens/>
      <w:spacing w:before="240"/>
      <w:jc w:val="center"/>
    </w:pPr>
    <w:rPr>
      <w:b/>
    </w:rPr>
  </w:style>
  <w:style w:type="paragraph" w:customStyle="1" w:styleId="PRT">
    <w:name w:val="PRT"/>
    <w:next w:val="ART"/>
    <w:rsid w:val="001C644E"/>
    <w:pPr>
      <w:suppressAutoHyphens/>
      <w:spacing w:before="240"/>
      <w:outlineLvl w:val="0"/>
    </w:pPr>
    <w:rPr>
      <w:rFonts w:ascii="Arial" w:hAnsi="Arial"/>
      <w:b/>
      <w:caps/>
    </w:rPr>
  </w:style>
  <w:style w:type="paragraph" w:customStyle="1" w:styleId="SUT">
    <w:name w:val="SUT"/>
    <w:basedOn w:val="Normal"/>
    <w:next w:val="PR1"/>
    <w:rsid w:val="008A1EAF"/>
    <w:pPr>
      <w:suppressAutoHyphens/>
      <w:spacing w:before="240"/>
      <w:jc w:val="both"/>
      <w:outlineLvl w:val="0"/>
    </w:pPr>
  </w:style>
  <w:style w:type="paragraph" w:customStyle="1" w:styleId="DST">
    <w:name w:val="DST"/>
    <w:basedOn w:val="Normal"/>
    <w:next w:val="PR1"/>
    <w:rsid w:val="008A1EAF"/>
    <w:pPr>
      <w:suppressAutoHyphens/>
      <w:spacing w:before="240"/>
      <w:jc w:val="both"/>
      <w:outlineLvl w:val="0"/>
    </w:pPr>
  </w:style>
  <w:style w:type="paragraph" w:customStyle="1" w:styleId="ART">
    <w:name w:val="ART"/>
    <w:basedOn w:val="PRT"/>
    <w:next w:val="PR1"/>
    <w:rsid w:val="001C644E"/>
    <w:pPr>
      <w:numPr>
        <w:ilvl w:val="1"/>
        <w:numId w:val="1"/>
      </w:numPr>
      <w:outlineLvl w:val="1"/>
    </w:pPr>
  </w:style>
  <w:style w:type="paragraph" w:customStyle="1" w:styleId="PR1">
    <w:name w:val="PR1"/>
    <w:basedOn w:val="ART"/>
    <w:rsid w:val="001C644E"/>
    <w:pPr>
      <w:numPr>
        <w:ilvl w:val="2"/>
      </w:numPr>
      <w:outlineLvl w:val="2"/>
    </w:pPr>
    <w:rPr>
      <w:b w:val="0"/>
      <w:caps w:val="0"/>
    </w:rPr>
  </w:style>
  <w:style w:type="paragraph" w:customStyle="1" w:styleId="PR2">
    <w:name w:val="PR2"/>
    <w:basedOn w:val="PR1"/>
    <w:rsid w:val="001C644E"/>
    <w:pPr>
      <w:numPr>
        <w:ilvl w:val="3"/>
      </w:numPr>
      <w:spacing w:before="0"/>
      <w:outlineLvl w:val="3"/>
    </w:pPr>
  </w:style>
  <w:style w:type="paragraph" w:customStyle="1" w:styleId="PR3">
    <w:name w:val="PR3"/>
    <w:basedOn w:val="PR1"/>
    <w:rsid w:val="001C644E"/>
    <w:pPr>
      <w:numPr>
        <w:ilvl w:val="4"/>
      </w:numPr>
      <w:spacing w:before="0"/>
      <w:outlineLvl w:val="4"/>
    </w:pPr>
  </w:style>
  <w:style w:type="paragraph" w:customStyle="1" w:styleId="PR4">
    <w:name w:val="PR4"/>
    <w:basedOn w:val="PR1"/>
    <w:rsid w:val="001C644E"/>
    <w:pPr>
      <w:numPr>
        <w:ilvl w:val="5"/>
      </w:numPr>
      <w:tabs>
        <w:tab w:val="left" w:pos="2448"/>
      </w:tabs>
      <w:spacing w:before="0"/>
      <w:outlineLvl w:val="5"/>
    </w:pPr>
  </w:style>
  <w:style w:type="paragraph" w:customStyle="1" w:styleId="PR5">
    <w:name w:val="PR5"/>
    <w:basedOn w:val="PR1"/>
    <w:rsid w:val="001C644E"/>
    <w:pPr>
      <w:numPr>
        <w:ilvl w:val="6"/>
      </w:numPr>
      <w:spacing w:before="0"/>
      <w:outlineLvl w:val="6"/>
    </w:pPr>
  </w:style>
  <w:style w:type="paragraph" w:customStyle="1" w:styleId="TB1">
    <w:name w:val="TB1"/>
    <w:basedOn w:val="Normal"/>
    <w:next w:val="PR1"/>
    <w:rsid w:val="008A1EAF"/>
    <w:pPr>
      <w:suppressAutoHyphens/>
      <w:spacing w:before="240"/>
      <w:ind w:left="288"/>
      <w:jc w:val="both"/>
    </w:pPr>
  </w:style>
  <w:style w:type="paragraph" w:customStyle="1" w:styleId="TB2">
    <w:name w:val="TB2"/>
    <w:basedOn w:val="Normal"/>
    <w:next w:val="PR2"/>
    <w:rsid w:val="008A1EAF"/>
    <w:pPr>
      <w:suppressAutoHyphens/>
      <w:spacing w:before="240"/>
      <w:ind w:left="864"/>
      <w:jc w:val="both"/>
    </w:pPr>
  </w:style>
  <w:style w:type="paragraph" w:customStyle="1" w:styleId="TB3">
    <w:name w:val="TB3"/>
    <w:basedOn w:val="Normal"/>
    <w:next w:val="PR3"/>
    <w:rsid w:val="008A1EAF"/>
    <w:pPr>
      <w:suppressAutoHyphens/>
      <w:spacing w:before="240"/>
      <w:ind w:left="1440"/>
      <w:jc w:val="both"/>
    </w:pPr>
  </w:style>
  <w:style w:type="paragraph" w:customStyle="1" w:styleId="TB4">
    <w:name w:val="TB4"/>
    <w:basedOn w:val="Normal"/>
    <w:next w:val="PR4"/>
    <w:rsid w:val="008A1EAF"/>
    <w:pPr>
      <w:suppressAutoHyphens/>
      <w:spacing w:before="240"/>
      <w:ind w:left="2016"/>
      <w:jc w:val="both"/>
    </w:pPr>
  </w:style>
  <w:style w:type="paragraph" w:customStyle="1" w:styleId="TB5">
    <w:name w:val="TB5"/>
    <w:basedOn w:val="Normal"/>
    <w:next w:val="PR5"/>
    <w:rsid w:val="008A1EAF"/>
    <w:pPr>
      <w:suppressAutoHyphens/>
      <w:spacing w:before="240"/>
      <w:ind w:left="2592"/>
      <w:jc w:val="both"/>
    </w:pPr>
  </w:style>
  <w:style w:type="paragraph" w:customStyle="1" w:styleId="TF1">
    <w:name w:val="TF1"/>
    <w:basedOn w:val="Normal"/>
    <w:next w:val="TB1"/>
    <w:rsid w:val="008A1EAF"/>
    <w:pPr>
      <w:suppressAutoHyphens/>
      <w:spacing w:before="240"/>
      <w:ind w:left="288"/>
      <w:jc w:val="both"/>
    </w:pPr>
  </w:style>
  <w:style w:type="paragraph" w:customStyle="1" w:styleId="TF2">
    <w:name w:val="TF2"/>
    <w:basedOn w:val="Normal"/>
    <w:next w:val="TB2"/>
    <w:rsid w:val="008A1EAF"/>
    <w:pPr>
      <w:suppressAutoHyphens/>
      <w:spacing w:before="240"/>
      <w:ind w:left="864"/>
      <w:jc w:val="both"/>
    </w:pPr>
  </w:style>
  <w:style w:type="paragraph" w:customStyle="1" w:styleId="TF3">
    <w:name w:val="TF3"/>
    <w:basedOn w:val="Normal"/>
    <w:next w:val="TB3"/>
    <w:rsid w:val="008A1EAF"/>
    <w:pPr>
      <w:suppressAutoHyphens/>
      <w:spacing w:before="240"/>
      <w:ind w:left="1440"/>
      <w:jc w:val="both"/>
    </w:pPr>
  </w:style>
  <w:style w:type="paragraph" w:customStyle="1" w:styleId="TF4">
    <w:name w:val="TF4"/>
    <w:basedOn w:val="Normal"/>
    <w:next w:val="TB4"/>
    <w:rsid w:val="008A1EAF"/>
    <w:pPr>
      <w:suppressAutoHyphens/>
      <w:spacing w:before="240"/>
      <w:ind w:left="2016"/>
      <w:jc w:val="both"/>
    </w:pPr>
  </w:style>
  <w:style w:type="paragraph" w:customStyle="1" w:styleId="TF5">
    <w:name w:val="TF5"/>
    <w:basedOn w:val="Normal"/>
    <w:next w:val="TB5"/>
    <w:rsid w:val="008A1EAF"/>
    <w:pPr>
      <w:suppressAutoHyphens/>
      <w:spacing w:before="240"/>
      <w:ind w:left="2592"/>
      <w:jc w:val="both"/>
    </w:pPr>
  </w:style>
  <w:style w:type="paragraph" w:customStyle="1" w:styleId="TCH">
    <w:name w:val="TCH"/>
    <w:basedOn w:val="Normal"/>
    <w:rsid w:val="008A1EAF"/>
    <w:pPr>
      <w:suppressAutoHyphens/>
    </w:pPr>
  </w:style>
  <w:style w:type="paragraph" w:customStyle="1" w:styleId="TCE">
    <w:name w:val="TCE"/>
    <w:basedOn w:val="Normal"/>
    <w:rsid w:val="008A1EAF"/>
    <w:pPr>
      <w:suppressAutoHyphens/>
      <w:ind w:left="144" w:hanging="144"/>
    </w:pPr>
  </w:style>
  <w:style w:type="paragraph" w:customStyle="1" w:styleId="EOS">
    <w:name w:val="EOS"/>
    <w:basedOn w:val="Normal"/>
    <w:rsid w:val="008A1EAF"/>
    <w:pPr>
      <w:suppressAutoHyphens/>
      <w:spacing w:before="480"/>
      <w:jc w:val="center"/>
    </w:pPr>
    <w:rPr>
      <w:b/>
    </w:rPr>
  </w:style>
  <w:style w:type="paragraph" w:customStyle="1" w:styleId="ANT">
    <w:name w:val="ANT"/>
    <w:basedOn w:val="Normal"/>
    <w:rsid w:val="008A1EAF"/>
    <w:pPr>
      <w:suppressAutoHyphens/>
      <w:spacing w:before="240"/>
      <w:jc w:val="both"/>
    </w:pPr>
    <w:rPr>
      <w:vanish/>
      <w:color w:val="800080"/>
      <w:u w:val="single"/>
    </w:rPr>
  </w:style>
  <w:style w:type="paragraph" w:customStyle="1" w:styleId="CMT">
    <w:name w:val="CMT"/>
    <w:basedOn w:val="Normal"/>
    <w:rsid w:val="008A1EAF"/>
    <w:pPr>
      <w:suppressAutoHyphens/>
      <w:spacing w:before="240"/>
      <w:jc w:val="both"/>
    </w:pPr>
    <w:rPr>
      <w:vanish/>
      <w:color w:val="0000FF"/>
    </w:rPr>
  </w:style>
  <w:style w:type="character" w:customStyle="1" w:styleId="CPR">
    <w:name w:val="CPR"/>
    <w:basedOn w:val="DefaultParagraphFont"/>
    <w:rsid w:val="008A1EAF"/>
  </w:style>
  <w:style w:type="character" w:customStyle="1" w:styleId="SPN">
    <w:name w:val="SPN"/>
    <w:basedOn w:val="DefaultParagraphFont"/>
    <w:rsid w:val="008A1EAF"/>
  </w:style>
  <w:style w:type="character" w:customStyle="1" w:styleId="SPD">
    <w:name w:val="SPD"/>
    <w:basedOn w:val="DefaultParagraphFont"/>
    <w:rsid w:val="008A1EAF"/>
  </w:style>
  <w:style w:type="character" w:customStyle="1" w:styleId="NUM">
    <w:name w:val="NUM"/>
    <w:basedOn w:val="DefaultParagraphFont"/>
    <w:rsid w:val="008A1EAF"/>
  </w:style>
  <w:style w:type="paragraph" w:customStyle="1" w:styleId="PR6">
    <w:name w:val="PR6"/>
    <w:basedOn w:val="PR1"/>
    <w:rsid w:val="001C644E"/>
    <w:pPr>
      <w:numPr>
        <w:ilvl w:val="7"/>
      </w:numPr>
      <w:tabs>
        <w:tab w:val="left" w:pos="3744"/>
      </w:tabs>
      <w:spacing w:before="0"/>
      <w:outlineLvl w:val="7"/>
    </w:pPr>
  </w:style>
  <w:style w:type="character" w:customStyle="1" w:styleId="SI">
    <w:name w:val="SI"/>
    <w:basedOn w:val="DefaultParagraphFont"/>
    <w:rsid w:val="008A1EAF"/>
    <w:rPr>
      <w:color w:val="auto"/>
    </w:rPr>
  </w:style>
  <w:style w:type="character" w:customStyle="1" w:styleId="IP">
    <w:name w:val="IP"/>
    <w:basedOn w:val="DefaultParagraphFont"/>
    <w:rsid w:val="008A1EAF"/>
    <w:rPr>
      <w:color w:val="0000FF"/>
    </w:rPr>
  </w:style>
  <w:style w:type="paragraph" w:styleId="Header">
    <w:name w:val="header"/>
    <w:basedOn w:val="Normal"/>
    <w:rsid w:val="008A1EAF"/>
    <w:pPr>
      <w:tabs>
        <w:tab w:val="center" w:pos="4320"/>
        <w:tab w:val="right" w:pos="8640"/>
      </w:tabs>
    </w:pPr>
  </w:style>
  <w:style w:type="paragraph" w:styleId="Footer">
    <w:name w:val="footer"/>
    <w:basedOn w:val="Normal"/>
    <w:link w:val="FooterChar"/>
    <w:rsid w:val="008A1EAF"/>
    <w:pPr>
      <w:tabs>
        <w:tab w:val="center" w:pos="4320"/>
        <w:tab w:val="right" w:pos="8640"/>
      </w:tabs>
    </w:pPr>
  </w:style>
  <w:style w:type="character" w:styleId="PageNumber">
    <w:name w:val="page number"/>
    <w:basedOn w:val="DefaultParagraphFont"/>
    <w:rsid w:val="008A1EAF"/>
  </w:style>
  <w:style w:type="paragraph" w:customStyle="1" w:styleId="NAM">
    <w:name w:val="NAM"/>
    <w:basedOn w:val="Normal"/>
    <w:rsid w:val="008A1EAF"/>
    <w:pPr>
      <w:jc w:val="center"/>
    </w:pPr>
    <w:rPr>
      <w:b/>
      <w:caps/>
    </w:rPr>
  </w:style>
  <w:style w:type="paragraph" w:customStyle="1" w:styleId="NAMFT">
    <w:name w:val="NAMFT"/>
    <w:basedOn w:val="NAM"/>
    <w:rsid w:val="008A1EAF"/>
    <w:pPr>
      <w:pBdr>
        <w:top w:val="single" w:sz="4" w:space="1" w:color="auto"/>
      </w:pBdr>
      <w:tabs>
        <w:tab w:val="right" w:pos="9360"/>
      </w:tabs>
    </w:pPr>
    <w:rPr>
      <w:b w:val="0"/>
    </w:rPr>
  </w:style>
  <w:style w:type="paragraph" w:customStyle="1" w:styleId="NOT">
    <w:name w:val="NOT"/>
    <w:basedOn w:val="Normal"/>
    <w:rsid w:val="008A1EAF"/>
    <w:pPr>
      <w:pBdr>
        <w:top w:val="dashDotStroked" w:sz="24" w:space="1" w:color="auto"/>
        <w:bottom w:val="dashDotStroked" w:sz="24" w:space="1" w:color="auto"/>
      </w:pBdr>
      <w:shd w:val="clear" w:color="auto" w:fill="FFCC00"/>
      <w:suppressAutoHyphens/>
    </w:pPr>
    <w:rPr>
      <w:b/>
      <w:smallCaps/>
      <w:vanish/>
    </w:rPr>
  </w:style>
  <w:style w:type="paragraph" w:customStyle="1" w:styleId="PR7">
    <w:name w:val="PR7"/>
    <w:basedOn w:val="PR6"/>
    <w:rsid w:val="001C644E"/>
    <w:pPr>
      <w:numPr>
        <w:ilvl w:val="8"/>
      </w:numPr>
      <w:tabs>
        <w:tab w:val="left" w:pos="4464"/>
      </w:tabs>
    </w:pPr>
  </w:style>
  <w:style w:type="paragraph" w:customStyle="1" w:styleId="TBL">
    <w:name w:val="TBL"/>
    <w:rsid w:val="00DA636A"/>
    <w:pPr>
      <w:numPr>
        <w:numId w:val="42"/>
      </w:numPr>
      <w:spacing w:before="120" w:after="120"/>
      <w:jc w:val="center"/>
    </w:pPr>
    <w:rPr>
      <w:rFonts w:ascii="Arial" w:hAnsi="Arial"/>
      <w:b/>
    </w:rPr>
  </w:style>
  <w:style w:type="paragraph" w:customStyle="1" w:styleId="OmniPage1">
    <w:name w:val="OmniPage #1"/>
    <w:basedOn w:val="Normal"/>
    <w:rsid w:val="008A1EAF"/>
    <w:pPr>
      <w:tabs>
        <w:tab w:val="left" w:pos="5790"/>
        <w:tab w:val="right" w:pos="10303"/>
      </w:tabs>
      <w:ind w:left="1155"/>
    </w:pPr>
    <w:rPr>
      <w:rFonts w:ascii="Times New Roman" w:hAnsi="Times New Roman"/>
    </w:rPr>
  </w:style>
  <w:style w:type="paragraph" w:customStyle="1" w:styleId="OmniPage5">
    <w:name w:val="OmniPage #5"/>
    <w:basedOn w:val="Normal"/>
    <w:rsid w:val="008A1EAF"/>
    <w:pPr>
      <w:tabs>
        <w:tab w:val="left" w:pos="125"/>
        <w:tab w:val="left" w:pos="175"/>
        <w:tab w:val="right" w:pos="5008"/>
      </w:tabs>
      <w:ind w:left="1170"/>
    </w:pPr>
    <w:rPr>
      <w:rFonts w:ascii="Times New Roman" w:hAnsi="Times New Roman"/>
    </w:rPr>
  </w:style>
  <w:style w:type="paragraph" w:customStyle="1" w:styleId="OmniPage7">
    <w:name w:val="OmniPage #7"/>
    <w:basedOn w:val="Normal"/>
    <w:rsid w:val="008A1EAF"/>
    <w:pPr>
      <w:tabs>
        <w:tab w:val="right" w:pos="9628"/>
      </w:tabs>
      <w:ind w:left="2880"/>
    </w:pPr>
    <w:rPr>
      <w:rFonts w:ascii="Times New Roman" w:hAnsi="Times New Roman"/>
    </w:rPr>
  </w:style>
  <w:style w:type="paragraph" w:customStyle="1" w:styleId="OmniPage2051">
    <w:name w:val="OmniPage #2051"/>
    <w:basedOn w:val="Normal"/>
    <w:rsid w:val="008A1EAF"/>
    <w:pPr>
      <w:tabs>
        <w:tab w:val="right" w:pos="7627"/>
      </w:tabs>
      <w:ind w:left="4035"/>
    </w:pPr>
    <w:rPr>
      <w:rFonts w:ascii="Times New Roman" w:hAnsi="Times New Roman"/>
    </w:rPr>
  </w:style>
  <w:style w:type="paragraph" w:customStyle="1" w:styleId="OmniPage2052">
    <w:name w:val="OmniPage #2052"/>
    <w:basedOn w:val="Normal"/>
    <w:rsid w:val="008A1EAF"/>
    <w:pPr>
      <w:tabs>
        <w:tab w:val="left" w:pos="110"/>
        <w:tab w:val="right" w:pos="2932"/>
      </w:tabs>
      <w:ind w:left="1155"/>
    </w:pPr>
    <w:rPr>
      <w:rFonts w:ascii="Times New Roman" w:hAnsi="Times New Roman"/>
    </w:rPr>
  </w:style>
  <w:style w:type="paragraph" w:customStyle="1" w:styleId="OmniPage2061">
    <w:name w:val="OmniPage #2061"/>
    <w:basedOn w:val="Normal"/>
    <w:rsid w:val="008A1EAF"/>
    <w:pPr>
      <w:tabs>
        <w:tab w:val="right" w:pos="4372"/>
      </w:tabs>
      <w:ind w:left="1095"/>
    </w:pPr>
    <w:rPr>
      <w:rFonts w:ascii="Times New Roman" w:hAnsi="Times New Roman"/>
    </w:rPr>
  </w:style>
  <w:style w:type="paragraph" w:customStyle="1" w:styleId="OmniPage2062">
    <w:name w:val="OmniPage #2062"/>
    <w:basedOn w:val="Normal"/>
    <w:rsid w:val="008A1EAF"/>
    <w:pPr>
      <w:tabs>
        <w:tab w:val="right" w:pos="3307"/>
      </w:tabs>
      <w:ind w:left="1095"/>
    </w:pPr>
    <w:rPr>
      <w:rFonts w:ascii="Times New Roman" w:hAnsi="Times New Roman"/>
    </w:rPr>
  </w:style>
  <w:style w:type="paragraph" w:customStyle="1" w:styleId="OmniPage2564">
    <w:name w:val="OmniPage #2564"/>
    <w:basedOn w:val="Normal"/>
    <w:rsid w:val="008A1EAF"/>
    <w:pPr>
      <w:tabs>
        <w:tab w:val="left" w:pos="50"/>
        <w:tab w:val="left" w:pos="100"/>
        <w:tab w:val="left" w:pos="2970"/>
        <w:tab w:val="right" w:pos="9654"/>
      </w:tabs>
      <w:ind w:left="1155"/>
    </w:pPr>
    <w:rPr>
      <w:rFonts w:ascii="Times New Roman" w:hAnsi="Times New Roman"/>
    </w:rPr>
  </w:style>
  <w:style w:type="paragraph" w:styleId="BodyTextIndent3">
    <w:name w:val="Body Text Indent 3"/>
    <w:basedOn w:val="Normal"/>
    <w:rsid w:val="008A1EAF"/>
    <w:pPr>
      <w:tabs>
        <w:tab w:val="left" w:pos="1080"/>
      </w:tabs>
      <w:ind w:left="720"/>
      <w:jc w:val="both"/>
    </w:pPr>
    <w:rPr>
      <w:snapToGrid w:val="0"/>
    </w:rPr>
  </w:style>
  <w:style w:type="character" w:customStyle="1" w:styleId="SCTChar">
    <w:name w:val="SCT Char"/>
    <w:basedOn w:val="DefaultParagraphFont"/>
    <w:link w:val="SCT"/>
    <w:rsid w:val="00C4480F"/>
    <w:rPr>
      <w:rFonts w:ascii="Arial" w:hAnsi="Arial"/>
      <w:b/>
      <w:lang w:val="en-US" w:eastAsia="en-US" w:bidi="ar-SA"/>
    </w:rPr>
  </w:style>
  <w:style w:type="paragraph" w:customStyle="1" w:styleId="FIG">
    <w:name w:val="FIG"/>
    <w:qFormat/>
    <w:rsid w:val="002D6344"/>
    <w:pPr>
      <w:numPr>
        <w:numId w:val="2"/>
      </w:numPr>
    </w:pPr>
    <w:rPr>
      <w:rFonts w:ascii="Arial" w:hAnsi="Arial"/>
      <w:b/>
    </w:rPr>
  </w:style>
  <w:style w:type="paragraph" w:customStyle="1" w:styleId="Part">
    <w:name w:val="Part"/>
    <w:basedOn w:val="ART"/>
    <w:rsid w:val="002F29DD"/>
  </w:style>
  <w:style w:type="character" w:customStyle="1" w:styleId="Heading1Char">
    <w:name w:val="Heading 1 Char"/>
    <w:basedOn w:val="DefaultParagraphFont"/>
    <w:link w:val="Heading1"/>
    <w:locked/>
    <w:rsid w:val="002F29DD"/>
    <w:rPr>
      <w:rFonts w:ascii="Arial" w:eastAsia="Batang" w:hAnsi="Arial" w:cs="Arial"/>
      <w:b/>
      <w:bCs/>
      <w:kern w:val="32"/>
      <w:sz w:val="32"/>
      <w:szCs w:val="32"/>
      <w:lang w:val="en-US" w:eastAsia="en-US" w:bidi="ar-SA"/>
    </w:rPr>
  </w:style>
  <w:style w:type="paragraph" w:styleId="TOC1">
    <w:name w:val="toc 1"/>
    <w:basedOn w:val="Normal"/>
    <w:next w:val="Normal"/>
    <w:autoRedefine/>
    <w:uiPriority w:val="39"/>
    <w:rsid w:val="002F29DD"/>
    <w:rPr>
      <w:rFonts w:ascii="Times New Roman" w:hAnsi="Times New Roman"/>
      <w:sz w:val="24"/>
      <w:szCs w:val="24"/>
    </w:rPr>
  </w:style>
  <w:style w:type="paragraph" w:styleId="TOC2">
    <w:name w:val="toc 2"/>
    <w:basedOn w:val="Normal"/>
    <w:next w:val="Normal"/>
    <w:autoRedefine/>
    <w:uiPriority w:val="39"/>
    <w:rsid w:val="002F29DD"/>
    <w:pPr>
      <w:ind w:left="240"/>
    </w:pPr>
    <w:rPr>
      <w:rFonts w:ascii="Times New Roman" w:hAnsi="Times New Roman"/>
      <w:sz w:val="24"/>
      <w:szCs w:val="24"/>
    </w:rPr>
  </w:style>
  <w:style w:type="character" w:styleId="Hyperlink">
    <w:name w:val="Hyperlink"/>
    <w:basedOn w:val="DefaultParagraphFont"/>
    <w:uiPriority w:val="99"/>
    <w:rsid w:val="002F29DD"/>
    <w:rPr>
      <w:rFonts w:cs="Times New Roman"/>
      <w:color w:val="0000FF"/>
      <w:u w:val="single"/>
    </w:rPr>
  </w:style>
  <w:style w:type="character" w:customStyle="1" w:styleId="FooterChar">
    <w:name w:val="Footer Char"/>
    <w:basedOn w:val="DefaultParagraphFont"/>
    <w:link w:val="Footer"/>
    <w:semiHidden/>
    <w:locked/>
    <w:rsid w:val="002F29DD"/>
    <w:rPr>
      <w:rFonts w:ascii="Arial" w:hAnsi="Arial"/>
      <w:lang w:val="en-US" w:eastAsia="en-US" w:bidi="ar-SA"/>
    </w:rPr>
  </w:style>
  <w:style w:type="paragraph" w:styleId="TableofFigures">
    <w:name w:val="table of figures"/>
    <w:basedOn w:val="Normal"/>
    <w:next w:val="Normal"/>
    <w:uiPriority w:val="99"/>
    <w:rsid w:val="002F29DD"/>
    <w:rPr>
      <w:rFonts w:ascii="Times New Roman" w:hAnsi="Times New Roman"/>
      <w:sz w:val="24"/>
      <w:szCs w:val="24"/>
    </w:rPr>
  </w:style>
  <w:style w:type="paragraph" w:styleId="CommentText">
    <w:name w:val="annotation text"/>
    <w:basedOn w:val="Normal"/>
    <w:semiHidden/>
    <w:rsid w:val="002F29DD"/>
  </w:style>
  <w:style w:type="paragraph" w:styleId="CommentSubject">
    <w:name w:val="annotation subject"/>
    <w:basedOn w:val="CommentText"/>
    <w:next w:val="CommentText"/>
    <w:link w:val="CommentSubjectChar"/>
    <w:semiHidden/>
    <w:rsid w:val="002F29DD"/>
    <w:rPr>
      <w:rFonts w:ascii="Times New Roman" w:hAnsi="Times New Roman"/>
      <w:b/>
      <w:bCs/>
    </w:rPr>
  </w:style>
  <w:style w:type="character" w:customStyle="1" w:styleId="CommentSubjectChar">
    <w:name w:val="Comment Subject Char"/>
    <w:basedOn w:val="DefaultParagraphFont"/>
    <w:link w:val="CommentSubject"/>
    <w:semiHidden/>
    <w:locked/>
    <w:rsid w:val="002F29DD"/>
    <w:rPr>
      <w:rFonts w:eastAsia="Batang"/>
      <w:b/>
      <w:bCs/>
      <w:lang w:val="en-US" w:eastAsia="en-US" w:bidi="ar-SA"/>
    </w:rPr>
  </w:style>
  <w:style w:type="paragraph" w:customStyle="1" w:styleId="NormalBold">
    <w:name w:val="Normal Bold"/>
    <w:basedOn w:val="Normal"/>
    <w:rsid w:val="002F29DD"/>
    <w:pPr>
      <w:spacing w:after="60"/>
      <w:jc w:val="both"/>
    </w:pPr>
    <w:rPr>
      <w:rFonts w:ascii="Times New Roman" w:hAnsi="Times New Roman"/>
      <w:b/>
      <w:sz w:val="24"/>
      <w:szCs w:val="24"/>
    </w:rPr>
  </w:style>
  <w:style w:type="paragraph" w:customStyle="1" w:styleId="Style3">
    <w:name w:val="Style3"/>
    <w:basedOn w:val="Normal"/>
    <w:rsid w:val="002F29DD"/>
    <w:pPr>
      <w:numPr>
        <w:numId w:val="3"/>
      </w:numPr>
    </w:pPr>
    <w:rPr>
      <w:rFonts w:cs="Arial"/>
      <w:sz w:val="24"/>
      <w:szCs w:val="24"/>
    </w:rPr>
  </w:style>
  <w:style w:type="paragraph" w:customStyle="1" w:styleId="Normal1">
    <w:name w:val="Normal1"/>
    <w:basedOn w:val="Normal"/>
    <w:rsid w:val="002F29DD"/>
    <w:pPr>
      <w:overflowPunct w:val="0"/>
      <w:autoSpaceDE w:val="0"/>
      <w:autoSpaceDN w:val="0"/>
      <w:adjustRightInd w:val="0"/>
      <w:spacing w:after="120" w:line="360" w:lineRule="atLeast"/>
      <w:textAlignment w:val="baseline"/>
    </w:pPr>
    <w:rPr>
      <w:rFonts w:ascii="Times New Roman" w:hAnsi="Times New Roman"/>
      <w:sz w:val="22"/>
    </w:rPr>
  </w:style>
  <w:style w:type="paragraph" w:customStyle="1" w:styleId="Pref">
    <w:name w:val="Pref"/>
    <w:basedOn w:val="Normal"/>
    <w:next w:val="Normal"/>
    <w:rsid w:val="002F29DD"/>
    <w:pPr>
      <w:keepNext/>
      <w:spacing w:before="240" w:after="360"/>
      <w:jc w:val="both"/>
      <w:outlineLvl w:val="0"/>
    </w:pPr>
    <w:rPr>
      <w:rFonts w:cs="Arial"/>
      <w:bCs/>
      <w:kern w:val="32"/>
      <w:sz w:val="32"/>
      <w:szCs w:val="32"/>
    </w:rPr>
  </w:style>
  <w:style w:type="table" w:styleId="TableGrid">
    <w:name w:val="Table Grid"/>
    <w:basedOn w:val="TableNormal"/>
    <w:rsid w:val="001C6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
    <w:name w:val="SEC"/>
    <w:basedOn w:val="Normal"/>
    <w:next w:val="Normal"/>
    <w:link w:val="SECCharChar"/>
    <w:rsid w:val="001C644E"/>
    <w:pPr>
      <w:numPr>
        <w:ilvl w:val="1"/>
        <w:numId w:val="15"/>
      </w:numPr>
      <w:suppressAutoHyphens/>
      <w:spacing w:before="240"/>
    </w:pPr>
    <w:rPr>
      <w:b/>
      <w:sz w:val="28"/>
    </w:rPr>
  </w:style>
  <w:style w:type="character" w:customStyle="1" w:styleId="SECCharChar">
    <w:name w:val="SEC Char Char"/>
    <w:basedOn w:val="DefaultParagraphFont"/>
    <w:link w:val="SEC"/>
    <w:rsid w:val="001C644E"/>
    <w:rPr>
      <w:rFonts w:ascii="Arial" w:eastAsia="Batang" w:hAnsi="Arial"/>
      <w:b/>
      <w:sz w:val="28"/>
      <w:lang w:val="en-US" w:eastAsia="en-US" w:bidi="ar-SA"/>
    </w:rPr>
  </w:style>
  <w:style w:type="paragraph" w:customStyle="1" w:styleId="PAR1">
    <w:name w:val="PAR1"/>
    <w:basedOn w:val="Normal"/>
    <w:next w:val="Normal"/>
    <w:rsid w:val="001C644E"/>
    <w:pPr>
      <w:numPr>
        <w:ilvl w:val="1"/>
        <w:numId w:val="14"/>
      </w:numPr>
      <w:spacing w:before="240" w:after="60"/>
    </w:pPr>
    <w:rPr>
      <w:b/>
      <w:i/>
      <w:sz w:val="28"/>
      <w:szCs w:val="24"/>
    </w:rPr>
  </w:style>
  <w:style w:type="paragraph" w:customStyle="1" w:styleId="Appx">
    <w:name w:val="Appx"/>
    <w:basedOn w:val="Heading1"/>
    <w:rsid w:val="00CD18CA"/>
    <w:pPr>
      <w:spacing w:after="360"/>
    </w:pPr>
  </w:style>
  <w:style w:type="paragraph" w:customStyle="1" w:styleId="WPSCT">
    <w:name w:val="WPSCT"/>
    <w:basedOn w:val="PRT"/>
    <w:next w:val="ART"/>
    <w:qFormat/>
    <w:rsid w:val="001C644E"/>
    <w:pPr>
      <w:numPr>
        <w:numId w:val="1"/>
      </w:numPr>
    </w:pPr>
  </w:style>
  <w:style w:type="paragraph" w:customStyle="1" w:styleId="WPART">
    <w:name w:val="WPART"/>
    <w:basedOn w:val="ART"/>
    <w:qFormat/>
    <w:rsid w:val="0029245C"/>
    <w:pPr>
      <w:keepNext/>
    </w:pPr>
  </w:style>
  <w:style w:type="paragraph" w:customStyle="1" w:styleId="WPPR1">
    <w:name w:val="WPPR1"/>
    <w:basedOn w:val="PR1"/>
    <w:qFormat/>
    <w:rsid w:val="001C644E"/>
  </w:style>
  <w:style w:type="paragraph" w:customStyle="1" w:styleId="WPPR2">
    <w:name w:val="WPPR2"/>
    <w:basedOn w:val="PR2"/>
    <w:qFormat/>
    <w:rsid w:val="001C644E"/>
  </w:style>
  <w:style w:type="paragraph" w:customStyle="1" w:styleId="WPPR3">
    <w:name w:val="WPPR3"/>
    <w:basedOn w:val="PR3"/>
    <w:qFormat/>
    <w:rsid w:val="001C644E"/>
  </w:style>
  <w:style w:type="paragraph" w:customStyle="1" w:styleId="WPPR4">
    <w:name w:val="WPPR4"/>
    <w:basedOn w:val="PR4"/>
    <w:qFormat/>
    <w:rsid w:val="001C644E"/>
  </w:style>
  <w:style w:type="paragraph" w:customStyle="1" w:styleId="WPPR5">
    <w:name w:val="WPPR5"/>
    <w:basedOn w:val="PR5"/>
    <w:qFormat/>
    <w:rsid w:val="001C644E"/>
  </w:style>
  <w:style w:type="paragraph" w:customStyle="1" w:styleId="WPPR6">
    <w:name w:val="WPPR6"/>
    <w:basedOn w:val="PR6"/>
    <w:qFormat/>
    <w:rsid w:val="001C644E"/>
  </w:style>
  <w:style w:type="paragraph" w:customStyle="1" w:styleId="WPID">
    <w:name w:val="WPID"/>
    <w:basedOn w:val="Normal"/>
    <w:rsid w:val="000D07B1"/>
    <w:pPr>
      <w:jc w:val="right"/>
    </w:pPr>
    <w:rPr>
      <w:rFonts w:cs="Arial"/>
      <w:b/>
      <w:sz w:val="48"/>
      <w:szCs w:val="48"/>
    </w:rPr>
  </w:style>
  <w:style w:type="paragraph" w:styleId="BalloonText">
    <w:name w:val="Balloon Text"/>
    <w:basedOn w:val="Normal"/>
    <w:link w:val="BalloonTextChar"/>
    <w:rsid w:val="00C96F1A"/>
    <w:rPr>
      <w:rFonts w:ascii="Tahoma" w:hAnsi="Tahoma" w:cs="Tahoma"/>
      <w:sz w:val="16"/>
      <w:szCs w:val="16"/>
    </w:rPr>
  </w:style>
  <w:style w:type="character" w:customStyle="1" w:styleId="BalloonTextChar">
    <w:name w:val="Balloon Text Char"/>
    <w:basedOn w:val="DefaultParagraphFont"/>
    <w:link w:val="BalloonText"/>
    <w:rsid w:val="00C96F1A"/>
    <w:rPr>
      <w:rFonts w:ascii="Tahoma" w:hAnsi="Tahoma" w:cs="Tahoma"/>
      <w:sz w:val="16"/>
      <w:szCs w:val="16"/>
    </w:rPr>
  </w:style>
  <w:style w:type="paragraph" w:customStyle="1" w:styleId="Vertical">
    <w:name w:val="Vertical"/>
    <w:basedOn w:val="Normal1"/>
    <w:qFormat/>
    <w:rsid w:val="00E4107A"/>
    <w:pPr>
      <w:spacing w:line="240" w:lineRule="auto"/>
      <w:jc w:val="center"/>
    </w:pPr>
    <w:rPr>
      <w:rFonts w:ascii="Arial" w:eastAsia="Times New Roman" w:hAnsi="Arial"/>
      <w:sz w:val="20"/>
    </w:rPr>
  </w:style>
  <w:style w:type="paragraph" w:styleId="EndnoteText">
    <w:name w:val="endnote text"/>
    <w:basedOn w:val="Normal"/>
    <w:link w:val="EndnoteTextChar"/>
    <w:rsid w:val="00C40516"/>
  </w:style>
  <w:style w:type="character" w:customStyle="1" w:styleId="EndnoteTextChar">
    <w:name w:val="Endnote Text Char"/>
    <w:basedOn w:val="DefaultParagraphFont"/>
    <w:link w:val="EndnoteText"/>
    <w:rsid w:val="00C40516"/>
    <w:rPr>
      <w:rFonts w:ascii="Arial" w:hAnsi="Arial"/>
    </w:rPr>
  </w:style>
  <w:style w:type="character" w:styleId="EndnoteReference">
    <w:name w:val="endnote reference"/>
    <w:basedOn w:val="DefaultParagraphFont"/>
    <w:rsid w:val="00C40516"/>
    <w:rPr>
      <w:vertAlign w:val="superscript"/>
    </w:rPr>
  </w:style>
  <w:style w:type="paragraph" w:styleId="ListParagraph">
    <w:name w:val="List Paragraph"/>
    <w:basedOn w:val="Normal"/>
    <w:uiPriority w:val="34"/>
    <w:rsid w:val="00E56236"/>
    <w:pPr>
      <w:ind w:left="720"/>
      <w:contextualSpacing/>
    </w:pPr>
  </w:style>
  <w:style w:type="character" w:styleId="CommentReference">
    <w:name w:val="annotation reference"/>
    <w:basedOn w:val="DefaultParagraphFont"/>
    <w:rsid w:val="009F48F6"/>
    <w:rPr>
      <w:sz w:val="16"/>
      <w:szCs w:val="16"/>
    </w:rPr>
  </w:style>
</w:styles>
</file>

<file path=word/webSettings.xml><?xml version="1.0" encoding="utf-8"?>
<w:webSettings xmlns:r="http://schemas.openxmlformats.org/officeDocument/2006/relationships" xmlns:w="http://schemas.openxmlformats.org/wordprocessingml/2006/main">
  <w:divs>
    <w:div w:id="386758388">
      <w:bodyDiv w:val="1"/>
      <w:marLeft w:val="0"/>
      <w:marRight w:val="0"/>
      <w:marTop w:val="0"/>
      <w:marBottom w:val="0"/>
      <w:divBdr>
        <w:top w:val="none" w:sz="0" w:space="0" w:color="auto"/>
        <w:left w:val="none" w:sz="0" w:space="0" w:color="auto"/>
        <w:bottom w:val="none" w:sz="0" w:space="0" w:color="auto"/>
        <w:right w:val="none" w:sz="0" w:space="0" w:color="auto"/>
      </w:divBdr>
    </w:div>
    <w:div w:id="839350467">
      <w:bodyDiv w:val="1"/>
      <w:marLeft w:val="0"/>
      <w:marRight w:val="0"/>
      <w:marTop w:val="0"/>
      <w:marBottom w:val="0"/>
      <w:divBdr>
        <w:top w:val="none" w:sz="0" w:space="0" w:color="auto"/>
        <w:left w:val="none" w:sz="0" w:space="0" w:color="auto"/>
        <w:bottom w:val="none" w:sz="0" w:space="0" w:color="auto"/>
        <w:right w:val="none" w:sz="0" w:space="0" w:color="auto"/>
      </w:divBdr>
    </w:div>
    <w:div w:id="1716351195">
      <w:bodyDiv w:val="1"/>
      <w:marLeft w:val="0"/>
      <w:marRight w:val="0"/>
      <w:marTop w:val="0"/>
      <w:marBottom w:val="0"/>
      <w:divBdr>
        <w:top w:val="none" w:sz="0" w:space="0" w:color="auto"/>
        <w:left w:val="none" w:sz="0" w:space="0" w:color="auto"/>
        <w:bottom w:val="none" w:sz="0" w:space="0" w:color="auto"/>
        <w:right w:val="none" w:sz="0" w:space="0" w:color="auto"/>
      </w:divBdr>
    </w:div>
    <w:div w:id="21228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image" Target="media/image5.emf"/><Relationship Id="rId29" Type="http://schemas.openxmlformats.org/officeDocument/2006/relationships/package" Target="embeddings/Microsoft_Office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image" Target="media/image8.emf"/><Relationship Id="rId28"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image" Target="media/image7.emf"/><Relationship Id="rId27" Type="http://schemas.openxmlformats.org/officeDocument/2006/relationships/package" Target="embeddings/Microsoft_Office_Excel_Worksheet1.xlsx"/><Relationship Id="rId30" Type="http://schemas.openxmlformats.org/officeDocument/2006/relationships/header" Target="header1.xml"/><Relationship Id="rId35" Type="http://schemas.microsoft.com/office/2007/relationships/stylesWithEffects" Target="stylesWithEffects.xml"/></Relationships>
</file>

<file path=word/_rels/endnotes.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image" Target="media/image1.emf"/><Relationship Id="rId7" Type="http://schemas.openxmlformats.org/officeDocument/2006/relationships/hyperlink" Target="http://www.deeresources.com/index" TargetMode="External"/><Relationship Id="rId2" Type="http://schemas.openxmlformats.org/officeDocument/2006/relationships/hyperlink" Target="http://www.energy.ca.gov/title24/" TargetMode="External"/><Relationship Id="rId1" Type="http://schemas.openxmlformats.org/officeDocument/2006/relationships/hyperlink" Target="http://www.energy.ca.gov/regs/title20/index.html" TargetMode="External"/><Relationship Id="rId6" Type="http://schemas.openxmlformats.org/officeDocument/2006/relationships/hyperlink" Target="http://www.appliances.energy.ca.gov/AdvancedSearch.aspx" TargetMode="External"/><Relationship Id="rId11" Type="http://schemas.openxmlformats.org/officeDocument/2006/relationships/oleObject" Target="embeddings/Microsoft_Office_Excel_97-2003_Worksheet3.xls"/><Relationship Id="rId5" Type="http://schemas.openxmlformats.org/officeDocument/2006/relationships/hyperlink" Target="http://www.deeresources.com/" TargetMode="External"/><Relationship Id="rId10" Type="http://schemas.openxmlformats.org/officeDocument/2006/relationships/image" Target="media/image3.emf"/><Relationship Id="rId4" Type="http://schemas.openxmlformats.org/officeDocument/2006/relationships/oleObject" Target="embeddings/Microsoft_Office_Word_97_-_2003_Document1.doc"/><Relationship Id="rId9" Type="http://schemas.openxmlformats.org/officeDocument/2006/relationships/oleObject" Target="embeddings/Microsoft_Office_Excel_97-2003_Worksheet2.xls"/></Relationships>
</file>

<file path=word/_rels/header1.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68F9A00E7F34AAD23A4642CDA520F" ma:contentTypeVersion="0" ma:contentTypeDescription="Create a new document." ma:contentTypeScope="" ma:versionID="8ced64a41cdd50638db8b073bac2b12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B453A-8460-43A3-A61F-39B52080C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EEB302-7D51-453E-AFE7-4611893F697A}">
  <ds:schemaRefs>
    <ds:schemaRef ds:uri="http://schemas.microsoft.com/office/2006/metadata/properties"/>
  </ds:schemaRefs>
</ds:datastoreItem>
</file>

<file path=customXml/itemProps3.xml><?xml version="1.0" encoding="utf-8"?>
<ds:datastoreItem xmlns:ds="http://schemas.openxmlformats.org/officeDocument/2006/customXml" ds:itemID="{D3D7825B-1D9E-4BC1-8778-AAC82591BCC7}">
  <ds:schemaRefs>
    <ds:schemaRef ds:uri="http://schemas.microsoft.com/sharepoint/v3/contenttype/forms"/>
  </ds:schemaRefs>
</ds:datastoreItem>
</file>

<file path=customXml/itemProps4.xml><?xml version="1.0" encoding="utf-8"?>
<ds:datastoreItem xmlns:ds="http://schemas.openxmlformats.org/officeDocument/2006/customXml" ds:itemID="{B7815397-462B-45AF-B8D3-45F38CEA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3843</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Specifications--CSI Format</vt:lpstr>
    </vt:vector>
  </TitlesOfParts>
  <Company>Sempra Energy Solutions</Company>
  <LinksUpToDate>false</LinksUpToDate>
  <CharactersWithSpaces>26798</CharactersWithSpaces>
  <SharedDoc>false</SharedDoc>
  <HLinks>
    <vt:vector size="156" baseType="variant">
      <vt:variant>
        <vt:i4>1703996</vt:i4>
      </vt:variant>
      <vt:variant>
        <vt:i4>158</vt:i4>
      </vt:variant>
      <vt:variant>
        <vt:i4>0</vt:i4>
      </vt:variant>
      <vt:variant>
        <vt:i4>5</vt:i4>
      </vt:variant>
      <vt:variant>
        <vt:lpwstr/>
      </vt:variant>
      <vt:variant>
        <vt:lpwstr>_Toc268008632</vt:lpwstr>
      </vt:variant>
      <vt:variant>
        <vt:i4>1703996</vt:i4>
      </vt:variant>
      <vt:variant>
        <vt:i4>152</vt:i4>
      </vt:variant>
      <vt:variant>
        <vt:i4>0</vt:i4>
      </vt:variant>
      <vt:variant>
        <vt:i4>5</vt:i4>
      </vt:variant>
      <vt:variant>
        <vt:lpwstr/>
      </vt:variant>
      <vt:variant>
        <vt:lpwstr>_Toc268008631</vt:lpwstr>
      </vt:variant>
      <vt:variant>
        <vt:i4>1703996</vt:i4>
      </vt:variant>
      <vt:variant>
        <vt:i4>143</vt:i4>
      </vt:variant>
      <vt:variant>
        <vt:i4>0</vt:i4>
      </vt:variant>
      <vt:variant>
        <vt:i4>5</vt:i4>
      </vt:variant>
      <vt:variant>
        <vt:lpwstr/>
      </vt:variant>
      <vt:variant>
        <vt:lpwstr>_Toc268008630</vt:lpwstr>
      </vt:variant>
      <vt:variant>
        <vt:i4>1769532</vt:i4>
      </vt:variant>
      <vt:variant>
        <vt:i4>137</vt:i4>
      </vt:variant>
      <vt:variant>
        <vt:i4>0</vt:i4>
      </vt:variant>
      <vt:variant>
        <vt:i4>5</vt:i4>
      </vt:variant>
      <vt:variant>
        <vt:lpwstr/>
      </vt:variant>
      <vt:variant>
        <vt:lpwstr>_Toc268008629</vt:lpwstr>
      </vt:variant>
      <vt:variant>
        <vt:i4>1114172</vt:i4>
      </vt:variant>
      <vt:variant>
        <vt:i4>128</vt:i4>
      </vt:variant>
      <vt:variant>
        <vt:i4>0</vt:i4>
      </vt:variant>
      <vt:variant>
        <vt:i4>5</vt:i4>
      </vt:variant>
      <vt:variant>
        <vt:lpwstr/>
      </vt:variant>
      <vt:variant>
        <vt:lpwstr>_Toc268008682</vt:lpwstr>
      </vt:variant>
      <vt:variant>
        <vt:i4>1114172</vt:i4>
      </vt:variant>
      <vt:variant>
        <vt:i4>122</vt:i4>
      </vt:variant>
      <vt:variant>
        <vt:i4>0</vt:i4>
      </vt:variant>
      <vt:variant>
        <vt:i4>5</vt:i4>
      </vt:variant>
      <vt:variant>
        <vt:lpwstr/>
      </vt:variant>
      <vt:variant>
        <vt:lpwstr>_Toc268008681</vt:lpwstr>
      </vt:variant>
      <vt:variant>
        <vt:i4>1114172</vt:i4>
      </vt:variant>
      <vt:variant>
        <vt:i4>116</vt:i4>
      </vt:variant>
      <vt:variant>
        <vt:i4>0</vt:i4>
      </vt:variant>
      <vt:variant>
        <vt:i4>5</vt:i4>
      </vt:variant>
      <vt:variant>
        <vt:lpwstr/>
      </vt:variant>
      <vt:variant>
        <vt:lpwstr>_Toc268008680</vt:lpwstr>
      </vt:variant>
      <vt:variant>
        <vt:i4>1966140</vt:i4>
      </vt:variant>
      <vt:variant>
        <vt:i4>110</vt:i4>
      </vt:variant>
      <vt:variant>
        <vt:i4>0</vt:i4>
      </vt:variant>
      <vt:variant>
        <vt:i4>5</vt:i4>
      </vt:variant>
      <vt:variant>
        <vt:lpwstr/>
      </vt:variant>
      <vt:variant>
        <vt:lpwstr>_Toc268008679</vt:lpwstr>
      </vt:variant>
      <vt:variant>
        <vt:i4>1966140</vt:i4>
      </vt:variant>
      <vt:variant>
        <vt:i4>104</vt:i4>
      </vt:variant>
      <vt:variant>
        <vt:i4>0</vt:i4>
      </vt:variant>
      <vt:variant>
        <vt:i4>5</vt:i4>
      </vt:variant>
      <vt:variant>
        <vt:lpwstr/>
      </vt:variant>
      <vt:variant>
        <vt:lpwstr>_Toc268008678</vt:lpwstr>
      </vt:variant>
      <vt:variant>
        <vt:i4>1966140</vt:i4>
      </vt:variant>
      <vt:variant>
        <vt:i4>98</vt:i4>
      </vt:variant>
      <vt:variant>
        <vt:i4>0</vt:i4>
      </vt:variant>
      <vt:variant>
        <vt:i4>5</vt:i4>
      </vt:variant>
      <vt:variant>
        <vt:lpwstr/>
      </vt:variant>
      <vt:variant>
        <vt:lpwstr>_Toc268008677</vt:lpwstr>
      </vt:variant>
      <vt:variant>
        <vt:i4>1966140</vt:i4>
      </vt:variant>
      <vt:variant>
        <vt:i4>92</vt:i4>
      </vt:variant>
      <vt:variant>
        <vt:i4>0</vt:i4>
      </vt:variant>
      <vt:variant>
        <vt:i4>5</vt:i4>
      </vt:variant>
      <vt:variant>
        <vt:lpwstr/>
      </vt:variant>
      <vt:variant>
        <vt:lpwstr>_Toc268008676</vt:lpwstr>
      </vt:variant>
      <vt:variant>
        <vt:i4>1966140</vt:i4>
      </vt:variant>
      <vt:variant>
        <vt:i4>86</vt:i4>
      </vt:variant>
      <vt:variant>
        <vt:i4>0</vt:i4>
      </vt:variant>
      <vt:variant>
        <vt:i4>5</vt:i4>
      </vt:variant>
      <vt:variant>
        <vt:lpwstr/>
      </vt:variant>
      <vt:variant>
        <vt:lpwstr>_Toc268008675</vt:lpwstr>
      </vt:variant>
      <vt:variant>
        <vt:i4>1966140</vt:i4>
      </vt:variant>
      <vt:variant>
        <vt:i4>80</vt:i4>
      </vt:variant>
      <vt:variant>
        <vt:i4>0</vt:i4>
      </vt:variant>
      <vt:variant>
        <vt:i4>5</vt:i4>
      </vt:variant>
      <vt:variant>
        <vt:lpwstr/>
      </vt:variant>
      <vt:variant>
        <vt:lpwstr>_Toc268008674</vt:lpwstr>
      </vt:variant>
      <vt:variant>
        <vt:i4>1966140</vt:i4>
      </vt:variant>
      <vt:variant>
        <vt:i4>74</vt:i4>
      </vt:variant>
      <vt:variant>
        <vt:i4>0</vt:i4>
      </vt:variant>
      <vt:variant>
        <vt:i4>5</vt:i4>
      </vt:variant>
      <vt:variant>
        <vt:lpwstr/>
      </vt:variant>
      <vt:variant>
        <vt:lpwstr>_Toc268008673</vt:lpwstr>
      </vt:variant>
      <vt:variant>
        <vt:i4>1966140</vt:i4>
      </vt:variant>
      <vt:variant>
        <vt:i4>68</vt:i4>
      </vt:variant>
      <vt:variant>
        <vt:i4>0</vt:i4>
      </vt:variant>
      <vt:variant>
        <vt:i4>5</vt:i4>
      </vt:variant>
      <vt:variant>
        <vt:lpwstr/>
      </vt:variant>
      <vt:variant>
        <vt:lpwstr>_Toc268008672</vt:lpwstr>
      </vt:variant>
      <vt:variant>
        <vt:i4>1966140</vt:i4>
      </vt:variant>
      <vt:variant>
        <vt:i4>62</vt:i4>
      </vt:variant>
      <vt:variant>
        <vt:i4>0</vt:i4>
      </vt:variant>
      <vt:variant>
        <vt:i4>5</vt:i4>
      </vt:variant>
      <vt:variant>
        <vt:lpwstr/>
      </vt:variant>
      <vt:variant>
        <vt:lpwstr>_Toc268008671</vt:lpwstr>
      </vt:variant>
      <vt:variant>
        <vt:i4>1966140</vt:i4>
      </vt:variant>
      <vt:variant>
        <vt:i4>56</vt:i4>
      </vt:variant>
      <vt:variant>
        <vt:i4>0</vt:i4>
      </vt:variant>
      <vt:variant>
        <vt:i4>5</vt:i4>
      </vt:variant>
      <vt:variant>
        <vt:lpwstr/>
      </vt:variant>
      <vt:variant>
        <vt:lpwstr>_Toc268008670</vt:lpwstr>
      </vt:variant>
      <vt:variant>
        <vt:i4>2031676</vt:i4>
      </vt:variant>
      <vt:variant>
        <vt:i4>50</vt:i4>
      </vt:variant>
      <vt:variant>
        <vt:i4>0</vt:i4>
      </vt:variant>
      <vt:variant>
        <vt:i4>5</vt:i4>
      </vt:variant>
      <vt:variant>
        <vt:lpwstr/>
      </vt:variant>
      <vt:variant>
        <vt:lpwstr>_Toc268008669</vt:lpwstr>
      </vt:variant>
      <vt:variant>
        <vt:i4>2031676</vt:i4>
      </vt:variant>
      <vt:variant>
        <vt:i4>44</vt:i4>
      </vt:variant>
      <vt:variant>
        <vt:i4>0</vt:i4>
      </vt:variant>
      <vt:variant>
        <vt:i4>5</vt:i4>
      </vt:variant>
      <vt:variant>
        <vt:lpwstr/>
      </vt:variant>
      <vt:variant>
        <vt:lpwstr>_Toc268008668</vt:lpwstr>
      </vt:variant>
      <vt:variant>
        <vt:i4>2031676</vt:i4>
      </vt:variant>
      <vt:variant>
        <vt:i4>38</vt:i4>
      </vt:variant>
      <vt:variant>
        <vt:i4>0</vt:i4>
      </vt:variant>
      <vt:variant>
        <vt:i4>5</vt:i4>
      </vt:variant>
      <vt:variant>
        <vt:lpwstr/>
      </vt:variant>
      <vt:variant>
        <vt:lpwstr>_Toc268008667</vt:lpwstr>
      </vt:variant>
      <vt:variant>
        <vt:i4>2031676</vt:i4>
      </vt:variant>
      <vt:variant>
        <vt:i4>32</vt:i4>
      </vt:variant>
      <vt:variant>
        <vt:i4>0</vt:i4>
      </vt:variant>
      <vt:variant>
        <vt:i4>5</vt:i4>
      </vt:variant>
      <vt:variant>
        <vt:lpwstr/>
      </vt:variant>
      <vt:variant>
        <vt:lpwstr>_Toc268008666</vt:lpwstr>
      </vt:variant>
      <vt:variant>
        <vt:i4>2031676</vt:i4>
      </vt:variant>
      <vt:variant>
        <vt:i4>26</vt:i4>
      </vt:variant>
      <vt:variant>
        <vt:i4>0</vt:i4>
      </vt:variant>
      <vt:variant>
        <vt:i4>5</vt:i4>
      </vt:variant>
      <vt:variant>
        <vt:lpwstr/>
      </vt:variant>
      <vt:variant>
        <vt:lpwstr>_Toc268008665</vt:lpwstr>
      </vt:variant>
      <vt:variant>
        <vt:i4>2031676</vt:i4>
      </vt:variant>
      <vt:variant>
        <vt:i4>20</vt:i4>
      </vt:variant>
      <vt:variant>
        <vt:i4>0</vt:i4>
      </vt:variant>
      <vt:variant>
        <vt:i4>5</vt:i4>
      </vt:variant>
      <vt:variant>
        <vt:lpwstr/>
      </vt:variant>
      <vt:variant>
        <vt:lpwstr>_Toc268008664</vt:lpwstr>
      </vt:variant>
      <vt:variant>
        <vt:i4>2031676</vt:i4>
      </vt:variant>
      <vt:variant>
        <vt:i4>14</vt:i4>
      </vt:variant>
      <vt:variant>
        <vt:i4>0</vt:i4>
      </vt:variant>
      <vt:variant>
        <vt:i4>5</vt:i4>
      </vt:variant>
      <vt:variant>
        <vt:lpwstr/>
      </vt:variant>
      <vt:variant>
        <vt:lpwstr>_Toc268008663</vt:lpwstr>
      </vt:variant>
      <vt:variant>
        <vt:i4>2031676</vt:i4>
      </vt:variant>
      <vt:variant>
        <vt:i4>8</vt:i4>
      </vt:variant>
      <vt:variant>
        <vt:i4>0</vt:i4>
      </vt:variant>
      <vt:variant>
        <vt:i4>5</vt:i4>
      </vt:variant>
      <vt:variant>
        <vt:lpwstr/>
      </vt:variant>
      <vt:variant>
        <vt:lpwstr>_Toc268008662</vt:lpwstr>
      </vt:variant>
      <vt:variant>
        <vt:i4>2031676</vt:i4>
      </vt:variant>
      <vt:variant>
        <vt:i4>2</vt:i4>
      </vt:variant>
      <vt:variant>
        <vt:i4>0</vt:i4>
      </vt:variant>
      <vt:variant>
        <vt:i4>5</vt:i4>
      </vt:variant>
      <vt:variant>
        <vt:lpwstr/>
      </vt:variant>
      <vt:variant>
        <vt:lpwstr>_Toc268008661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Specifications--CSI Format</dc:title>
  <dc:creator>Stu Knoke</dc:creator>
  <cp:lastModifiedBy>PFord</cp:lastModifiedBy>
  <cp:revision>4</cp:revision>
  <cp:lastPrinted>2012-04-09T22:55:00Z</cp:lastPrinted>
  <dcterms:created xsi:type="dcterms:W3CDTF">2012-06-17T15:44:00Z</dcterms:created>
  <dcterms:modified xsi:type="dcterms:W3CDTF">2012-06-22T22:14:00Z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0x0101006EC68F9A00E7F34AAD23A4642CDA520F</vt:lpwstr>
  </property>
</Properties>
</file>