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689" w:rsidRDefault="00A85689" w:rsidP="005C6E7A">
      <w:pPr>
        <w:rPr>
          <w:rFonts w:ascii="Arial" w:hAnsi="Arial" w:cs="Arial"/>
        </w:rPr>
      </w:pPr>
    </w:p>
    <w:p w:rsidR="00C62CAA" w:rsidRPr="001D4131" w:rsidRDefault="00C62CAA" w:rsidP="005C6E7A">
      <w:pPr>
        <w:rPr>
          <w:rFonts w:ascii="Arial" w:hAnsi="Arial" w:cs="Arial"/>
        </w:rPr>
      </w:pPr>
    </w:p>
    <w:p w:rsidR="00663B29" w:rsidRDefault="00663B29" w:rsidP="005C6E7A">
      <w:pPr>
        <w:rPr>
          <w:rFonts w:ascii="Arial" w:hAnsi="Arial" w:cs="Arial"/>
          <w:b/>
          <w:u w:val="single"/>
        </w:rPr>
      </w:pPr>
    </w:p>
    <w:p w:rsidR="00F759E8" w:rsidRPr="00F759E8" w:rsidRDefault="00F759E8" w:rsidP="005C6E7A">
      <w:pPr>
        <w:rPr>
          <w:rFonts w:ascii="Arial" w:hAnsi="Arial" w:cs="Arial"/>
          <w:b/>
          <w:u w:val="single"/>
        </w:rPr>
      </w:pPr>
      <w:r w:rsidRPr="00F759E8">
        <w:rPr>
          <w:rFonts w:ascii="Arial" w:hAnsi="Arial" w:cs="Arial"/>
          <w:b/>
          <w:u w:val="single"/>
        </w:rPr>
        <w:t xml:space="preserve">QUESTION </w:t>
      </w:r>
      <w:r w:rsidR="00302641">
        <w:rPr>
          <w:rFonts w:ascii="Arial" w:hAnsi="Arial" w:cs="Arial"/>
          <w:b/>
          <w:u w:val="single"/>
        </w:rPr>
        <w:t>3.</w:t>
      </w:r>
      <w:r w:rsidRPr="00F759E8">
        <w:rPr>
          <w:rFonts w:ascii="Arial" w:hAnsi="Arial" w:cs="Arial"/>
          <w:b/>
          <w:u w:val="single"/>
        </w:rPr>
        <w:t>1:</w:t>
      </w:r>
    </w:p>
    <w:p w:rsidR="005F4287" w:rsidRPr="0031141C" w:rsidRDefault="005F4287" w:rsidP="005C6E7A">
      <w:pPr>
        <w:rPr>
          <w:rFonts w:ascii="Arial" w:hAnsi="Arial" w:cs="Arial"/>
        </w:rPr>
      </w:pPr>
    </w:p>
    <w:p w:rsidR="00924832" w:rsidRPr="0031141C" w:rsidRDefault="00302641" w:rsidP="005C6E7A">
      <w:pPr>
        <w:rPr>
          <w:rFonts w:ascii="Arial" w:hAnsi="Arial" w:cs="Arial"/>
        </w:rPr>
      </w:pPr>
      <w:r w:rsidRPr="00302641">
        <w:rPr>
          <w:rFonts w:ascii="Arial" w:hAnsi="Arial" w:cs="Arial"/>
        </w:rPr>
        <w:t xml:space="preserve">Please provide a copy of the two Excel models that Ms. Fung’s </w:t>
      </w:r>
      <w:proofErr w:type="spellStart"/>
      <w:r w:rsidRPr="00302641">
        <w:rPr>
          <w:rFonts w:ascii="Arial" w:hAnsi="Arial" w:cs="Arial"/>
        </w:rPr>
        <w:t>workpaper</w:t>
      </w:r>
      <w:proofErr w:type="spellEnd"/>
      <w:r w:rsidRPr="00302641">
        <w:rPr>
          <w:rFonts w:ascii="Arial" w:hAnsi="Arial" w:cs="Arial"/>
        </w:rPr>
        <w:t xml:space="preserve"> is linked to, that is, “2013 SoCalGas NBV RBase.xlsx” and “NGP – August 2014.xls” in fully functioning Excel format.</w:t>
      </w:r>
    </w:p>
    <w:p w:rsidR="0031141C" w:rsidRDefault="0031141C" w:rsidP="005C6E7A">
      <w:pPr>
        <w:rPr>
          <w:rFonts w:ascii="Arial" w:hAnsi="Arial" w:cs="Arial"/>
          <w:b/>
          <w:u w:val="single"/>
        </w:rPr>
      </w:pPr>
    </w:p>
    <w:p w:rsidR="00302641" w:rsidRDefault="00302641" w:rsidP="005C6E7A">
      <w:pPr>
        <w:rPr>
          <w:rFonts w:ascii="Arial" w:hAnsi="Arial" w:cs="Arial"/>
          <w:b/>
          <w:u w:val="single"/>
        </w:rPr>
      </w:pPr>
    </w:p>
    <w:p w:rsidR="00F759E8" w:rsidRDefault="00F759E8" w:rsidP="005C6E7A">
      <w:pPr>
        <w:rPr>
          <w:rFonts w:ascii="Arial" w:hAnsi="Arial" w:cs="Arial"/>
          <w:b/>
          <w:u w:val="single"/>
        </w:rPr>
      </w:pPr>
      <w:r w:rsidRPr="00F759E8">
        <w:rPr>
          <w:rFonts w:ascii="Arial" w:hAnsi="Arial" w:cs="Arial"/>
          <w:b/>
          <w:u w:val="single"/>
        </w:rPr>
        <w:t xml:space="preserve">RESPONSE </w:t>
      </w:r>
      <w:r w:rsidR="00302641">
        <w:rPr>
          <w:rFonts w:ascii="Arial" w:hAnsi="Arial" w:cs="Arial"/>
          <w:b/>
          <w:u w:val="single"/>
        </w:rPr>
        <w:t>3.</w:t>
      </w:r>
      <w:r w:rsidRPr="00F759E8">
        <w:rPr>
          <w:rFonts w:ascii="Arial" w:hAnsi="Arial" w:cs="Arial"/>
          <w:b/>
          <w:u w:val="single"/>
        </w:rPr>
        <w:t>1:</w:t>
      </w:r>
    </w:p>
    <w:p w:rsidR="000E0F43" w:rsidRDefault="000E0F43" w:rsidP="005C6E7A">
      <w:pPr>
        <w:rPr>
          <w:rFonts w:ascii="Arial" w:hAnsi="Arial" w:cs="Arial"/>
          <w:b/>
          <w:u w:val="single"/>
        </w:rPr>
      </w:pPr>
    </w:p>
    <w:p w:rsidR="00740970" w:rsidRPr="00740970" w:rsidRDefault="00E56E26" w:rsidP="005C6E7A">
      <w:pPr>
        <w:rPr>
          <w:rFonts w:ascii="Arial" w:hAnsi="Arial" w:cs="Arial"/>
        </w:rPr>
      </w:pPr>
      <w:r w:rsidRPr="00740970">
        <w:rPr>
          <w:rFonts w:ascii="Arial" w:hAnsi="Arial" w:cs="Arial"/>
        </w:rP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7.25pt;height:49.5pt" o:ole="">
            <v:imagedata r:id="rId8" o:title=""/>
          </v:shape>
          <o:OLEObject Type="Embed" ProgID="Excel.Sheet.12" ShapeID="_x0000_i1030" DrawAspect="Icon" ObjectID="_1494768036" r:id="rId9"/>
        </w:object>
      </w:r>
    </w:p>
    <w:p w:rsidR="00740970" w:rsidRPr="00740970" w:rsidRDefault="00740970" w:rsidP="005C6E7A">
      <w:pPr>
        <w:rPr>
          <w:rFonts w:ascii="Arial" w:hAnsi="Arial" w:cs="Arial"/>
        </w:rPr>
      </w:pPr>
    </w:p>
    <w:p w:rsidR="00740970" w:rsidRPr="00740970" w:rsidRDefault="00E56E26" w:rsidP="005C6E7A">
      <w:pPr>
        <w:rPr>
          <w:rFonts w:ascii="Arial" w:hAnsi="Arial" w:cs="Arial"/>
        </w:rPr>
      </w:pPr>
      <w:r w:rsidRPr="00740970">
        <w:rPr>
          <w:rFonts w:ascii="Arial" w:hAnsi="Arial" w:cs="Arial"/>
        </w:rPr>
        <w:object w:dxaOrig="1551" w:dyaOrig="991">
          <v:shape id="_x0000_i1032" type="#_x0000_t75" style="width:77.25pt;height:49.5pt" o:ole="">
            <v:imagedata r:id="rId10" o:title=""/>
          </v:shape>
          <o:OLEObject Type="Embed" ProgID="Excel.Sheet.12" ShapeID="_x0000_i1032" DrawAspect="Icon" ObjectID="_1494768037" r:id="rId11"/>
        </w:object>
      </w:r>
    </w:p>
    <w:p w:rsidR="00A85689" w:rsidRDefault="00F67377" w:rsidP="00F67377">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QUESTION </w:t>
      </w:r>
      <w:r w:rsidR="00302641">
        <w:rPr>
          <w:rFonts w:ascii="Arial" w:hAnsi="Arial" w:cs="Arial"/>
          <w:b/>
          <w:u w:val="single"/>
        </w:rPr>
        <w:t>3.</w:t>
      </w:r>
      <w:r>
        <w:rPr>
          <w:rFonts w:ascii="Arial" w:hAnsi="Arial" w:cs="Arial"/>
          <w:b/>
          <w:u w:val="single"/>
        </w:rPr>
        <w:t>2</w:t>
      </w:r>
      <w:r w:rsidRPr="00F759E8">
        <w:rPr>
          <w:rFonts w:ascii="Arial" w:hAnsi="Arial" w:cs="Arial"/>
          <w:b/>
          <w:u w:val="single"/>
        </w:rPr>
        <w:t>:</w:t>
      </w:r>
    </w:p>
    <w:p w:rsidR="005F4287" w:rsidRDefault="005F4287" w:rsidP="00F67377">
      <w:pPr>
        <w:rPr>
          <w:rFonts w:ascii="Arial" w:hAnsi="Arial" w:cs="Arial"/>
        </w:rPr>
      </w:pPr>
    </w:p>
    <w:p w:rsidR="005F4287" w:rsidRPr="0031141C" w:rsidRDefault="00302641" w:rsidP="00F67377">
      <w:pPr>
        <w:rPr>
          <w:rFonts w:ascii="Arial" w:hAnsi="Arial" w:cs="Arial"/>
        </w:rPr>
      </w:pPr>
      <w:r w:rsidRPr="00302641">
        <w:rPr>
          <w:rFonts w:ascii="Arial" w:hAnsi="Arial" w:cs="Arial"/>
        </w:rPr>
        <w:t xml:space="preserve">Please provide the summer injection postings for years 2010-2013 in an Excel format similar to the 2014 INJ Posting (A) tab found in Mr. Watson’s </w:t>
      </w:r>
      <w:proofErr w:type="spellStart"/>
      <w:r w:rsidRPr="00302641">
        <w:rPr>
          <w:rFonts w:ascii="Arial" w:hAnsi="Arial" w:cs="Arial"/>
        </w:rPr>
        <w:t>workpaper</w:t>
      </w:r>
      <w:proofErr w:type="spellEnd"/>
      <w:r w:rsidRPr="00302641">
        <w:rPr>
          <w:rFonts w:ascii="Arial" w:hAnsi="Arial" w:cs="Arial"/>
        </w:rPr>
        <w:t xml:space="preserve"> “Watson Capacity </w:t>
      </w:r>
      <w:proofErr w:type="spellStart"/>
      <w:r w:rsidRPr="00302641">
        <w:rPr>
          <w:rFonts w:ascii="Arial" w:hAnsi="Arial" w:cs="Arial"/>
        </w:rPr>
        <w:t>Figures_OFO</w:t>
      </w:r>
      <w:proofErr w:type="spellEnd"/>
      <w:r w:rsidRPr="00302641">
        <w:rPr>
          <w:rFonts w:ascii="Arial" w:hAnsi="Arial" w:cs="Arial"/>
        </w:rPr>
        <w:t xml:space="preserve"> events.xls”</w:t>
      </w:r>
    </w:p>
    <w:p w:rsidR="00582C14" w:rsidRPr="0031141C" w:rsidRDefault="00582C14" w:rsidP="00F67377">
      <w:pPr>
        <w:rPr>
          <w:rFonts w:ascii="Arial" w:hAnsi="Arial" w:cs="Arial"/>
          <w:b/>
        </w:rPr>
      </w:pPr>
    </w:p>
    <w:p w:rsidR="00302641" w:rsidRDefault="00302641"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RESPONSE </w:t>
      </w:r>
      <w:r w:rsidR="00302641">
        <w:rPr>
          <w:rFonts w:ascii="Arial" w:hAnsi="Arial" w:cs="Arial"/>
          <w:b/>
          <w:u w:val="single"/>
        </w:rPr>
        <w:t>3.</w:t>
      </w:r>
      <w:r>
        <w:rPr>
          <w:rFonts w:ascii="Arial" w:hAnsi="Arial" w:cs="Arial"/>
          <w:b/>
          <w:u w:val="single"/>
        </w:rPr>
        <w:t>2</w:t>
      </w:r>
      <w:r w:rsidRPr="00F759E8">
        <w:rPr>
          <w:rFonts w:ascii="Arial" w:hAnsi="Arial" w:cs="Arial"/>
          <w:b/>
          <w:u w:val="single"/>
        </w:rPr>
        <w:t>:</w:t>
      </w:r>
    </w:p>
    <w:p w:rsidR="00F67377" w:rsidRDefault="00F67377" w:rsidP="005C6E7A">
      <w:pPr>
        <w:rPr>
          <w:rFonts w:ascii="Arial" w:hAnsi="Arial" w:cs="Arial"/>
          <w:sz w:val="28"/>
          <w:szCs w:val="28"/>
        </w:rPr>
      </w:pPr>
    </w:p>
    <w:p w:rsidR="00BE449C" w:rsidRPr="00265704" w:rsidRDefault="00BE449C" w:rsidP="00BE449C">
      <w:pPr>
        <w:rPr>
          <w:rFonts w:ascii="Arial" w:hAnsi="Arial" w:cs="Arial"/>
        </w:rPr>
      </w:pPr>
      <w:r w:rsidRPr="00BE449C">
        <w:rPr>
          <w:rFonts w:ascii="Arial" w:hAnsi="Arial" w:cs="Arial"/>
        </w:rPr>
        <w:t xml:space="preserve">This data </w:t>
      </w:r>
      <w:r w:rsidR="00265704">
        <w:rPr>
          <w:rFonts w:ascii="Arial" w:hAnsi="Arial" w:cs="Arial"/>
        </w:rPr>
        <w:t xml:space="preserve">is available on Envoy: </w:t>
      </w:r>
      <w:hyperlink r:id="rId12" w:history="1">
        <w:r w:rsidRPr="00BE449C">
          <w:rPr>
            <w:rStyle w:val="Hyperlink"/>
            <w:rFonts w:ascii="Arial" w:hAnsi="Arial" w:cs="Arial"/>
          </w:rPr>
          <w:t>https://envoy.sempra.com/</w:t>
        </w:r>
      </w:hyperlink>
    </w:p>
    <w:p w:rsidR="00BE449C" w:rsidRPr="00BE449C" w:rsidRDefault="00BE449C" w:rsidP="00BE449C">
      <w:pPr>
        <w:rPr>
          <w:rFonts w:ascii="Arial" w:hAnsi="Arial" w:cs="Arial"/>
          <w:color w:val="1F497D"/>
        </w:rPr>
      </w:pPr>
    </w:p>
    <w:p w:rsidR="00BE449C" w:rsidRPr="00BE449C" w:rsidRDefault="00BE449C" w:rsidP="00BE449C">
      <w:pPr>
        <w:rPr>
          <w:rFonts w:ascii="Arial" w:hAnsi="Arial" w:cs="Arial"/>
        </w:rPr>
      </w:pPr>
      <w:r w:rsidRPr="00BE449C">
        <w:rPr>
          <w:rFonts w:ascii="Arial" w:hAnsi="Arial" w:cs="Arial"/>
        </w:rPr>
        <w:t xml:space="preserve">Under “Informational Postings”, click on the “Operations” tab and then the “Capacity Utilization” link.   </w:t>
      </w:r>
      <w:proofErr w:type="gramStart"/>
      <w:r w:rsidRPr="00BE449C">
        <w:rPr>
          <w:rFonts w:ascii="Arial" w:hAnsi="Arial" w:cs="Arial"/>
        </w:rPr>
        <w:t>Click on the “Archive” link on the top right.</w:t>
      </w:r>
      <w:proofErr w:type="gramEnd"/>
      <w:r w:rsidRPr="00BE449C">
        <w:rPr>
          <w:rFonts w:ascii="Arial" w:hAnsi="Arial" w:cs="Arial"/>
        </w:rPr>
        <w:t xml:space="preserve">  Then choose the month and date to view.  Finally, one can download that data.  The column one uses in that data file is titled “receipt point”.  One can then filter that data to focus on “storage injection capacity.”  One can further filter on the “cycle” number column to the left of the receipt point column.  </w:t>
      </w:r>
      <w:proofErr w:type="spellStart"/>
      <w:r w:rsidRPr="00BE449C">
        <w:rPr>
          <w:rFonts w:ascii="Arial" w:hAnsi="Arial" w:cs="Arial"/>
        </w:rPr>
        <w:t>S</w:t>
      </w:r>
      <w:r w:rsidR="00265704">
        <w:rPr>
          <w:rFonts w:ascii="Arial" w:hAnsi="Arial" w:cs="Arial"/>
        </w:rPr>
        <w:t>o</w:t>
      </w:r>
      <w:r w:rsidRPr="00BE449C">
        <w:rPr>
          <w:rFonts w:ascii="Arial" w:hAnsi="Arial" w:cs="Arial"/>
        </w:rPr>
        <w:t>C</w:t>
      </w:r>
      <w:r w:rsidR="00265704">
        <w:rPr>
          <w:rFonts w:ascii="Arial" w:hAnsi="Arial" w:cs="Arial"/>
        </w:rPr>
        <w:t>al</w:t>
      </w:r>
      <w:r w:rsidRPr="00BE449C">
        <w:rPr>
          <w:rFonts w:ascii="Arial" w:hAnsi="Arial" w:cs="Arial"/>
        </w:rPr>
        <w:t>G</w:t>
      </w:r>
      <w:r w:rsidR="00265704">
        <w:rPr>
          <w:rFonts w:ascii="Arial" w:hAnsi="Arial" w:cs="Arial"/>
        </w:rPr>
        <w:t>as</w:t>
      </w:r>
      <w:r w:rsidRPr="00BE449C">
        <w:rPr>
          <w:rFonts w:ascii="Arial" w:hAnsi="Arial" w:cs="Arial"/>
        </w:rPr>
        <w:t>’s</w:t>
      </w:r>
      <w:proofErr w:type="spellEnd"/>
      <w:r w:rsidRPr="00BE449C">
        <w:rPr>
          <w:rFonts w:ascii="Arial" w:hAnsi="Arial" w:cs="Arial"/>
        </w:rPr>
        <w:t xml:space="preserve"> analysis used cycle 4.</w:t>
      </w:r>
    </w:p>
    <w:p w:rsidR="00F67377" w:rsidRDefault="00F67377" w:rsidP="005C6E7A">
      <w:pPr>
        <w:rPr>
          <w:rFonts w:ascii="Arial" w:hAnsi="Arial" w:cs="Arial"/>
          <w:sz w:val="28"/>
          <w:szCs w:val="28"/>
        </w:rPr>
      </w:pPr>
    </w:p>
    <w:p w:rsidR="00F67377" w:rsidRDefault="00F67377" w:rsidP="00F67377">
      <w:pPr>
        <w:rPr>
          <w:rFonts w:ascii="Arial" w:hAnsi="Arial" w:cs="Arial"/>
          <w:b/>
          <w:u w:val="single"/>
        </w:rPr>
      </w:pPr>
      <w:r>
        <w:rPr>
          <w:rFonts w:ascii="Arial" w:hAnsi="Arial" w:cs="Arial"/>
          <w:b/>
          <w:u w:val="single"/>
        </w:rPr>
        <w:br w:type="page"/>
      </w:r>
    </w:p>
    <w:p w:rsidR="00C62CAA" w:rsidRDefault="00C62CAA" w:rsidP="00F67377">
      <w:pPr>
        <w:rPr>
          <w:rFonts w:ascii="Arial" w:hAnsi="Arial" w:cs="Arial"/>
          <w:b/>
          <w:u w:val="single"/>
        </w:rPr>
      </w:pPr>
    </w:p>
    <w:p w:rsidR="00663B29" w:rsidRDefault="00663B29" w:rsidP="00F67377">
      <w:pPr>
        <w:rPr>
          <w:rFonts w:ascii="Arial" w:hAnsi="Arial" w:cs="Arial"/>
          <w:b/>
          <w:u w:val="single"/>
        </w:rPr>
      </w:pPr>
    </w:p>
    <w:p w:rsidR="00F67377" w:rsidRPr="00F759E8" w:rsidRDefault="00F67377" w:rsidP="00F67377">
      <w:pPr>
        <w:rPr>
          <w:rFonts w:ascii="Arial" w:hAnsi="Arial" w:cs="Arial"/>
          <w:b/>
          <w:u w:val="single"/>
        </w:rPr>
      </w:pPr>
      <w:r w:rsidRPr="00F759E8">
        <w:rPr>
          <w:rFonts w:ascii="Arial" w:hAnsi="Arial" w:cs="Arial"/>
          <w:b/>
          <w:u w:val="single"/>
        </w:rPr>
        <w:t xml:space="preserve">QUESTION </w:t>
      </w:r>
      <w:r w:rsidR="00302641">
        <w:rPr>
          <w:rFonts w:ascii="Arial" w:hAnsi="Arial" w:cs="Arial"/>
          <w:b/>
          <w:u w:val="single"/>
        </w:rPr>
        <w:t>3.</w:t>
      </w:r>
      <w:r>
        <w:rPr>
          <w:rFonts w:ascii="Arial" w:hAnsi="Arial" w:cs="Arial"/>
          <w:b/>
          <w:u w:val="single"/>
        </w:rPr>
        <w:t>3</w:t>
      </w:r>
      <w:r w:rsidRPr="00F759E8">
        <w:rPr>
          <w:rFonts w:ascii="Arial" w:hAnsi="Arial" w:cs="Arial"/>
          <w:b/>
          <w:u w:val="single"/>
        </w:rPr>
        <w:t>:</w:t>
      </w:r>
    </w:p>
    <w:p w:rsidR="005F4287" w:rsidRPr="0031141C" w:rsidRDefault="005F4287" w:rsidP="00F67377">
      <w:pPr>
        <w:rPr>
          <w:rFonts w:ascii="Arial" w:hAnsi="Arial" w:cs="Arial"/>
        </w:rPr>
      </w:pPr>
    </w:p>
    <w:p w:rsidR="00302641" w:rsidRDefault="00302641" w:rsidP="00302641">
      <w:pPr>
        <w:rPr>
          <w:rFonts w:ascii="Arial" w:hAnsi="Arial" w:cs="Arial"/>
        </w:rPr>
      </w:pPr>
      <w:r w:rsidRPr="00302641">
        <w:rPr>
          <w:rFonts w:ascii="Arial" w:hAnsi="Arial" w:cs="Arial"/>
        </w:rPr>
        <w:t>3.3.</w:t>
      </w:r>
      <w:r w:rsidRPr="00302641">
        <w:rPr>
          <w:rFonts w:ascii="Arial" w:hAnsi="Arial" w:cs="Arial"/>
        </w:rPr>
        <w:tab/>
        <w:t xml:space="preserve">With respect to Mr. Watson’s </w:t>
      </w:r>
      <w:proofErr w:type="spellStart"/>
      <w:r w:rsidRPr="00302641">
        <w:rPr>
          <w:rFonts w:ascii="Arial" w:hAnsi="Arial" w:cs="Arial"/>
        </w:rPr>
        <w:t>workpaper</w:t>
      </w:r>
      <w:proofErr w:type="spellEnd"/>
      <w:r w:rsidRPr="00302641">
        <w:rPr>
          <w:rFonts w:ascii="Arial" w:hAnsi="Arial" w:cs="Arial"/>
        </w:rPr>
        <w:t xml:space="preserve"> “Combined Core Info.xls”: </w:t>
      </w:r>
    </w:p>
    <w:p w:rsidR="00302641" w:rsidRPr="00302641" w:rsidRDefault="00302641" w:rsidP="00302641">
      <w:pPr>
        <w:rPr>
          <w:rFonts w:ascii="Arial" w:hAnsi="Arial" w:cs="Arial"/>
        </w:rPr>
      </w:pPr>
    </w:p>
    <w:p w:rsidR="00302641" w:rsidRPr="00302641" w:rsidRDefault="00302641" w:rsidP="00302641">
      <w:pPr>
        <w:rPr>
          <w:rFonts w:ascii="Arial" w:hAnsi="Arial" w:cs="Arial"/>
        </w:rPr>
      </w:pPr>
      <w:r w:rsidRPr="00302641">
        <w:rPr>
          <w:rFonts w:ascii="Arial" w:hAnsi="Arial" w:cs="Arial"/>
        </w:rPr>
        <w:t>3.3.1.</w:t>
      </w:r>
      <w:r w:rsidRPr="00302641">
        <w:rPr>
          <w:rFonts w:ascii="Arial" w:hAnsi="Arial" w:cs="Arial"/>
        </w:rPr>
        <w:tab/>
        <w:t xml:space="preserve">Is the peak day information based on a 1-in-35 weather event? </w:t>
      </w:r>
    </w:p>
    <w:p w:rsidR="00302641" w:rsidRDefault="00302641" w:rsidP="00302641">
      <w:pPr>
        <w:rPr>
          <w:rFonts w:ascii="Arial" w:hAnsi="Arial" w:cs="Arial"/>
        </w:rPr>
      </w:pPr>
    </w:p>
    <w:p w:rsidR="00302641" w:rsidRDefault="00302641" w:rsidP="00302641">
      <w:pPr>
        <w:rPr>
          <w:rFonts w:ascii="Arial" w:hAnsi="Arial" w:cs="Arial"/>
        </w:rPr>
      </w:pPr>
      <w:r w:rsidRPr="00302641">
        <w:rPr>
          <w:rFonts w:ascii="Arial" w:hAnsi="Arial" w:cs="Arial"/>
        </w:rPr>
        <w:t>3.3.2.</w:t>
      </w:r>
      <w:r w:rsidRPr="00302641">
        <w:rPr>
          <w:rFonts w:ascii="Arial" w:hAnsi="Arial" w:cs="Arial"/>
        </w:rPr>
        <w:tab/>
        <w:t>If the answer to the previous question is “no,” please provide the definition for the peak day.</w:t>
      </w:r>
    </w:p>
    <w:p w:rsidR="00302641" w:rsidRPr="00302641" w:rsidRDefault="00302641" w:rsidP="00302641">
      <w:pPr>
        <w:rPr>
          <w:rFonts w:ascii="Arial" w:hAnsi="Arial" w:cs="Arial"/>
        </w:rPr>
      </w:pPr>
    </w:p>
    <w:p w:rsidR="00302641" w:rsidRPr="00302641" w:rsidRDefault="00302641" w:rsidP="00302641">
      <w:pPr>
        <w:rPr>
          <w:rFonts w:ascii="Arial" w:hAnsi="Arial" w:cs="Arial"/>
        </w:rPr>
      </w:pPr>
      <w:r w:rsidRPr="00302641">
        <w:rPr>
          <w:rFonts w:ascii="Arial" w:hAnsi="Arial" w:cs="Arial"/>
        </w:rPr>
        <w:t>3.3.3.</w:t>
      </w:r>
      <w:r w:rsidRPr="00302641">
        <w:rPr>
          <w:rFonts w:ascii="Arial" w:hAnsi="Arial" w:cs="Arial"/>
        </w:rPr>
        <w:tab/>
        <w:t xml:space="preserve">Please provide the heating degree day assumptions that are associated with each of the weather types: peak day, annual average </w:t>
      </w:r>
      <w:proofErr w:type="spellStart"/>
      <w:r w:rsidRPr="00302641">
        <w:rPr>
          <w:rFonts w:ascii="Arial" w:hAnsi="Arial" w:cs="Arial"/>
        </w:rPr>
        <w:t>average</w:t>
      </w:r>
      <w:proofErr w:type="spellEnd"/>
      <w:r w:rsidRPr="00302641">
        <w:rPr>
          <w:rFonts w:ascii="Arial" w:hAnsi="Arial" w:cs="Arial"/>
        </w:rPr>
        <w:t xml:space="preserve"> temperature year, 151 </w:t>
      </w:r>
      <w:proofErr w:type="gramStart"/>
      <w:r w:rsidRPr="00302641">
        <w:rPr>
          <w:rFonts w:ascii="Arial" w:hAnsi="Arial" w:cs="Arial"/>
        </w:rPr>
        <w:t>day</w:t>
      </w:r>
      <w:proofErr w:type="gramEnd"/>
      <w:r w:rsidRPr="00302641">
        <w:rPr>
          <w:rFonts w:ascii="Arial" w:hAnsi="Arial" w:cs="Arial"/>
        </w:rPr>
        <w:t xml:space="preserve"> Winter Average Cold Year, that are presented in the </w:t>
      </w:r>
      <w:proofErr w:type="spellStart"/>
      <w:r w:rsidRPr="00302641">
        <w:rPr>
          <w:rFonts w:ascii="Arial" w:hAnsi="Arial" w:cs="Arial"/>
        </w:rPr>
        <w:t>workpaper</w:t>
      </w:r>
      <w:proofErr w:type="spellEnd"/>
      <w:r w:rsidRPr="00302641">
        <w:rPr>
          <w:rFonts w:ascii="Arial" w:hAnsi="Arial" w:cs="Arial"/>
        </w:rPr>
        <w:t>.</w:t>
      </w:r>
    </w:p>
    <w:p w:rsidR="00302641" w:rsidRDefault="00302641" w:rsidP="00302641">
      <w:pPr>
        <w:rPr>
          <w:rFonts w:ascii="Arial" w:hAnsi="Arial" w:cs="Arial"/>
        </w:rPr>
      </w:pPr>
    </w:p>
    <w:p w:rsidR="00302641" w:rsidRPr="00302641" w:rsidRDefault="00302641" w:rsidP="00302641">
      <w:pPr>
        <w:rPr>
          <w:rFonts w:ascii="Arial" w:hAnsi="Arial" w:cs="Arial"/>
        </w:rPr>
      </w:pPr>
      <w:r w:rsidRPr="00302641">
        <w:rPr>
          <w:rFonts w:ascii="Arial" w:hAnsi="Arial" w:cs="Arial"/>
        </w:rPr>
        <w:t>3.3.4.</w:t>
      </w:r>
      <w:r w:rsidRPr="00302641">
        <w:rPr>
          <w:rFonts w:ascii="Arial" w:hAnsi="Arial" w:cs="Arial"/>
        </w:rPr>
        <w:tab/>
        <w:t xml:space="preserve">Please provide the </w:t>
      </w:r>
      <w:proofErr w:type="spellStart"/>
      <w:r w:rsidRPr="00302641">
        <w:rPr>
          <w:rFonts w:ascii="Arial" w:hAnsi="Arial" w:cs="Arial"/>
        </w:rPr>
        <w:t>workpapers</w:t>
      </w:r>
      <w:proofErr w:type="spellEnd"/>
      <w:r w:rsidRPr="00302641">
        <w:rPr>
          <w:rFonts w:ascii="Arial" w:hAnsi="Arial" w:cs="Arial"/>
        </w:rPr>
        <w:t xml:space="preserve"> for the 2016-2019 </w:t>
      </w:r>
      <w:proofErr w:type="gramStart"/>
      <w:r w:rsidRPr="00302641">
        <w:rPr>
          <w:rFonts w:ascii="Arial" w:hAnsi="Arial" w:cs="Arial"/>
        </w:rPr>
        <w:t>forecast</w:t>
      </w:r>
      <w:proofErr w:type="gramEnd"/>
      <w:r w:rsidRPr="00302641">
        <w:rPr>
          <w:rFonts w:ascii="Arial" w:hAnsi="Arial" w:cs="Arial"/>
        </w:rPr>
        <w:t xml:space="preserve"> for each of these categories.</w:t>
      </w:r>
    </w:p>
    <w:p w:rsidR="00302641" w:rsidRDefault="00302641" w:rsidP="00302641">
      <w:pPr>
        <w:rPr>
          <w:rFonts w:ascii="Arial" w:hAnsi="Arial" w:cs="Arial"/>
        </w:rPr>
      </w:pPr>
    </w:p>
    <w:p w:rsidR="00582C14" w:rsidRPr="0031141C" w:rsidRDefault="00302641" w:rsidP="00302641">
      <w:pPr>
        <w:rPr>
          <w:rFonts w:ascii="Arial" w:hAnsi="Arial" w:cs="Arial"/>
        </w:rPr>
      </w:pPr>
      <w:r w:rsidRPr="00302641">
        <w:rPr>
          <w:rFonts w:ascii="Arial" w:hAnsi="Arial" w:cs="Arial"/>
        </w:rPr>
        <w:t>3.3.5.</w:t>
      </w:r>
      <w:r w:rsidRPr="00302641">
        <w:rPr>
          <w:rFonts w:ascii="Arial" w:hAnsi="Arial" w:cs="Arial"/>
        </w:rPr>
        <w:tab/>
        <w:t>What is the basis for the forecasted reduction in peak day requirements for the period 2016-2019?</w:t>
      </w:r>
    </w:p>
    <w:p w:rsidR="005F4287" w:rsidRPr="0031141C" w:rsidRDefault="005F4287" w:rsidP="00F67377">
      <w:pPr>
        <w:rPr>
          <w:rFonts w:ascii="Arial" w:hAnsi="Arial" w:cs="Arial"/>
        </w:rPr>
      </w:pPr>
    </w:p>
    <w:p w:rsidR="00302641" w:rsidRDefault="00302641" w:rsidP="00F67377">
      <w:pPr>
        <w:rPr>
          <w:rFonts w:ascii="Arial" w:hAnsi="Arial" w:cs="Arial"/>
          <w:b/>
          <w:u w:val="single"/>
        </w:rPr>
      </w:pPr>
    </w:p>
    <w:p w:rsidR="00F67377" w:rsidRDefault="00F67377" w:rsidP="00F67377">
      <w:pPr>
        <w:rPr>
          <w:rFonts w:ascii="Arial" w:hAnsi="Arial" w:cs="Arial"/>
          <w:b/>
          <w:u w:val="single"/>
        </w:rPr>
      </w:pPr>
      <w:r w:rsidRPr="00F759E8">
        <w:rPr>
          <w:rFonts w:ascii="Arial" w:hAnsi="Arial" w:cs="Arial"/>
          <w:b/>
          <w:u w:val="single"/>
        </w:rPr>
        <w:t xml:space="preserve">RESPONSE </w:t>
      </w:r>
      <w:r w:rsidR="00302641">
        <w:rPr>
          <w:rFonts w:ascii="Arial" w:hAnsi="Arial" w:cs="Arial"/>
          <w:b/>
          <w:u w:val="single"/>
        </w:rPr>
        <w:t>3.</w:t>
      </w:r>
      <w:r>
        <w:rPr>
          <w:rFonts w:ascii="Arial" w:hAnsi="Arial" w:cs="Arial"/>
          <w:b/>
          <w:u w:val="single"/>
        </w:rPr>
        <w:t>3</w:t>
      </w:r>
      <w:r w:rsidRPr="00F759E8">
        <w:rPr>
          <w:rFonts w:ascii="Arial" w:hAnsi="Arial" w:cs="Arial"/>
          <w:b/>
          <w:u w:val="single"/>
        </w:rPr>
        <w:t>:</w:t>
      </w:r>
    </w:p>
    <w:p w:rsidR="00F67965" w:rsidRDefault="00F67965" w:rsidP="00F67377">
      <w:pPr>
        <w:rPr>
          <w:rFonts w:ascii="Arial" w:hAnsi="Arial" w:cs="Arial"/>
          <w:b/>
          <w:u w:val="single"/>
        </w:rPr>
      </w:pPr>
    </w:p>
    <w:p w:rsidR="00F67965" w:rsidRDefault="00F67965" w:rsidP="00F67377">
      <w:pPr>
        <w:rPr>
          <w:rFonts w:ascii="Arial" w:hAnsi="Arial" w:cs="Arial"/>
          <w:b/>
          <w:u w:val="single"/>
        </w:rPr>
      </w:pPr>
    </w:p>
    <w:p w:rsidR="00E56E26" w:rsidRDefault="00E56E26" w:rsidP="00F67377">
      <w:pPr>
        <w:rPr>
          <w:rFonts w:ascii="Arial" w:hAnsi="Arial" w:cs="Arial"/>
        </w:rPr>
      </w:pPr>
      <w:r>
        <w:rPr>
          <w:rFonts w:ascii="Arial" w:hAnsi="Arial" w:cs="Arial"/>
        </w:rPr>
        <w:t xml:space="preserve">The underlying temperature data in Mr. Watson’s </w:t>
      </w:r>
      <w:proofErr w:type="spellStart"/>
      <w:r>
        <w:rPr>
          <w:rFonts w:ascii="Arial" w:hAnsi="Arial" w:cs="Arial"/>
        </w:rPr>
        <w:t>workpap</w:t>
      </w:r>
      <w:bookmarkStart w:id="0" w:name="_GoBack"/>
      <w:bookmarkEnd w:id="0"/>
      <w:r>
        <w:rPr>
          <w:rFonts w:ascii="Arial" w:hAnsi="Arial" w:cs="Arial"/>
        </w:rPr>
        <w:t>er</w:t>
      </w:r>
      <w:proofErr w:type="spellEnd"/>
      <w:r>
        <w:rPr>
          <w:rFonts w:ascii="Arial" w:hAnsi="Arial" w:cs="Arial"/>
        </w:rPr>
        <w:t xml:space="preserve"> “Combined Core Info.xls” is based on the most recent California Gas Report (CGR), which was submitted by </w:t>
      </w:r>
      <w:proofErr w:type="spellStart"/>
      <w:r>
        <w:rPr>
          <w:rFonts w:ascii="Arial" w:hAnsi="Arial" w:cs="Arial"/>
        </w:rPr>
        <w:t>SoCalGas</w:t>
      </w:r>
      <w:proofErr w:type="spellEnd"/>
      <w:r>
        <w:rPr>
          <w:rFonts w:ascii="Arial" w:hAnsi="Arial" w:cs="Arial"/>
        </w:rPr>
        <w:t xml:space="preserve"> and SDG&amp;E in 2014.</w:t>
      </w:r>
    </w:p>
    <w:p w:rsidR="00E56E26" w:rsidRDefault="00E56E26" w:rsidP="00F67377">
      <w:pPr>
        <w:rPr>
          <w:rFonts w:ascii="Arial" w:hAnsi="Arial" w:cs="Arial"/>
        </w:rPr>
      </w:pPr>
    </w:p>
    <w:p w:rsidR="00F67965" w:rsidRDefault="00F67965" w:rsidP="00F67377">
      <w:pPr>
        <w:rPr>
          <w:rFonts w:ascii="Arial" w:hAnsi="Arial" w:cs="Arial"/>
        </w:rPr>
      </w:pPr>
      <w:r>
        <w:rPr>
          <w:rFonts w:ascii="Arial" w:hAnsi="Arial" w:cs="Arial"/>
        </w:rPr>
        <w:t>3.3.1</w:t>
      </w:r>
    </w:p>
    <w:p w:rsidR="00F67965" w:rsidRDefault="00F67965" w:rsidP="00F67377">
      <w:pPr>
        <w:rPr>
          <w:rFonts w:ascii="Arial" w:hAnsi="Arial" w:cs="Arial"/>
        </w:rPr>
      </w:pPr>
    </w:p>
    <w:p w:rsidR="00F67965" w:rsidRDefault="00F67965" w:rsidP="00F67377">
      <w:pPr>
        <w:rPr>
          <w:rFonts w:ascii="Arial" w:hAnsi="Arial" w:cs="Arial"/>
        </w:rPr>
      </w:pPr>
      <w:r>
        <w:rPr>
          <w:rFonts w:ascii="Arial" w:hAnsi="Arial" w:cs="Arial"/>
        </w:rPr>
        <w:t xml:space="preserve">Yes, the peak day load information is for a “1-in-35” annual likelihood peak-day design temperature event.  For </w:t>
      </w:r>
      <w:proofErr w:type="spellStart"/>
      <w:r>
        <w:rPr>
          <w:rFonts w:ascii="Arial" w:hAnsi="Arial" w:cs="Arial"/>
        </w:rPr>
        <w:t>SoCalGas</w:t>
      </w:r>
      <w:proofErr w:type="spellEnd"/>
      <w:r>
        <w:rPr>
          <w:rFonts w:ascii="Arial" w:hAnsi="Arial" w:cs="Arial"/>
        </w:rPr>
        <w:t>, this temperature is 40ºF and for SDG&amp;E the temperature is 43</w:t>
      </w:r>
      <w:r w:rsidRPr="00116EC8">
        <w:rPr>
          <w:rFonts w:ascii="Arial" w:hAnsi="Arial" w:cs="Arial"/>
        </w:rPr>
        <w:t xml:space="preserve"> </w:t>
      </w:r>
      <w:r>
        <w:rPr>
          <w:rFonts w:ascii="Arial" w:hAnsi="Arial" w:cs="Arial"/>
        </w:rPr>
        <w:t>ºF.</w:t>
      </w:r>
    </w:p>
    <w:p w:rsidR="00F67965" w:rsidRDefault="00F67965" w:rsidP="00F67377">
      <w:pPr>
        <w:rPr>
          <w:rFonts w:ascii="Arial" w:hAnsi="Arial" w:cs="Arial"/>
        </w:rPr>
      </w:pPr>
    </w:p>
    <w:p w:rsidR="00F67965" w:rsidRDefault="00F67965" w:rsidP="00F67377">
      <w:pPr>
        <w:rPr>
          <w:rFonts w:ascii="Arial" w:hAnsi="Arial" w:cs="Arial"/>
        </w:rPr>
      </w:pPr>
      <w:r>
        <w:rPr>
          <w:rFonts w:ascii="Arial" w:hAnsi="Arial" w:cs="Arial"/>
        </w:rPr>
        <w:t>3.3.2</w:t>
      </w:r>
    </w:p>
    <w:p w:rsidR="00F67965" w:rsidRDefault="00F67965" w:rsidP="00F67377">
      <w:pPr>
        <w:rPr>
          <w:rFonts w:ascii="Arial" w:hAnsi="Arial" w:cs="Arial"/>
        </w:rPr>
      </w:pPr>
    </w:p>
    <w:p w:rsidR="00F67965" w:rsidRDefault="00F67965" w:rsidP="00F67377">
      <w:pPr>
        <w:rPr>
          <w:rFonts w:ascii="Arial" w:hAnsi="Arial" w:cs="Arial"/>
        </w:rPr>
      </w:pPr>
      <w:r>
        <w:rPr>
          <w:rFonts w:ascii="Arial" w:hAnsi="Arial" w:cs="Arial"/>
        </w:rPr>
        <w:t>N/A</w:t>
      </w:r>
    </w:p>
    <w:p w:rsidR="00F67965" w:rsidRDefault="00F67965" w:rsidP="00F67377">
      <w:pPr>
        <w:rPr>
          <w:rFonts w:ascii="Arial" w:hAnsi="Arial" w:cs="Arial"/>
        </w:rPr>
      </w:pPr>
    </w:p>
    <w:p w:rsidR="00BE449C" w:rsidRDefault="00BE449C" w:rsidP="00F67377">
      <w:pPr>
        <w:rPr>
          <w:rFonts w:ascii="Arial" w:hAnsi="Arial" w:cs="Arial"/>
        </w:rPr>
      </w:pPr>
    </w:p>
    <w:p w:rsidR="00BE449C" w:rsidRDefault="00BE449C" w:rsidP="00F67377">
      <w:pPr>
        <w:rPr>
          <w:rFonts w:ascii="Arial" w:hAnsi="Arial" w:cs="Arial"/>
        </w:rPr>
      </w:pPr>
    </w:p>
    <w:p w:rsidR="00BE449C" w:rsidRDefault="00BE449C" w:rsidP="00F67377">
      <w:pPr>
        <w:rPr>
          <w:rFonts w:ascii="Arial" w:hAnsi="Arial" w:cs="Arial"/>
        </w:rPr>
      </w:pPr>
    </w:p>
    <w:p w:rsidR="00BE449C" w:rsidRDefault="00BE449C" w:rsidP="00F67377">
      <w:pPr>
        <w:rPr>
          <w:rFonts w:ascii="Arial" w:hAnsi="Arial" w:cs="Arial"/>
        </w:rPr>
      </w:pPr>
    </w:p>
    <w:p w:rsidR="00BE449C" w:rsidRDefault="00BE449C" w:rsidP="00F67377">
      <w:pPr>
        <w:rPr>
          <w:rFonts w:ascii="Arial" w:hAnsi="Arial" w:cs="Arial"/>
        </w:rPr>
      </w:pPr>
    </w:p>
    <w:p w:rsidR="00F67965" w:rsidRDefault="00F67965" w:rsidP="00F67377">
      <w:pPr>
        <w:rPr>
          <w:rFonts w:ascii="Arial" w:hAnsi="Arial" w:cs="Arial"/>
        </w:rPr>
      </w:pPr>
      <w:r>
        <w:rPr>
          <w:rFonts w:ascii="Arial" w:hAnsi="Arial" w:cs="Arial"/>
        </w:rPr>
        <w:t>3.3.3</w:t>
      </w:r>
    </w:p>
    <w:p w:rsidR="00F67965" w:rsidRDefault="00F67965" w:rsidP="00F67377">
      <w:pPr>
        <w:rPr>
          <w:rFonts w:ascii="Arial" w:hAnsi="Arial" w:cs="Arial"/>
        </w:rPr>
      </w:pPr>
    </w:p>
    <w:p w:rsidR="00F67965" w:rsidRDefault="00F67965" w:rsidP="00F67377">
      <w:pPr>
        <w:rPr>
          <w:rFonts w:ascii="Arial" w:hAnsi="Arial" w:cs="Arial"/>
        </w:rPr>
      </w:pPr>
      <w:r>
        <w:rPr>
          <w:rFonts w:ascii="Arial" w:hAnsi="Arial" w:cs="Arial"/>
        </w:rPr>
        <w:t xml:space="preserve">As stated in response 3.3.1, the peak day load information is for a “1-in-35” annual likelihood peak-day design temperature event.  For </w:t>
      </w:r>
      <w:proofErr w:type="spellStart"/>
      <w:r>
        <w:rPr>
          <w:rFonts w:ascii="Arial" w:hAnsi="Arial" w:cs="Arial"/>
        </w:rPr>
        <w:t>SoCalGas</w:t>
      </w:r>
      <w:proofErr w:type="spellEnd"/>
      <w:r>
        <w:rPr>
          <w:rFonts w:ascii="Arial" w:hAnsi="Arial" w:cs="Arial"/>
        </w:rPr>
        <w:t>, this temperature is 40ºF and for SDG&amp;E the temperature is 43</w:t>
      </w:r>
      <w:r w:rsidRPr="00116EC8">
        <w:rPr>
          <w:rFonts w:ascii="Arial" w:hAnsi="Arial" w:cs="Arial"/>
        </w:rPr>
        <w:t xml:space="preserve"> </w:t>
      </w:r>
      <w:r>
        <w:rPr>
          <w:rFonts w:ascii="Arial" w:hAnsi="Arial" w:cs="Arial"/>
        </w:rPr>
        <w:t>ºF.</w:t>
      </w:r>
    </w:p>
    <w:p w:rsidR="00BE449C" w:rsidRDefault="00BE449C" w:rsidP="00F67377">
      <w:pPr>
        <w:rPr>
          <w:rFonts w:ascii="Arial" w:hAnsi="Arial" w:cs="Arial"/>
        </w:rPr>
      </w:pPr>
    </w:p>
    <w:p w:rsidR="00BE449C" w:rsidRDefault="00BE449C" w:rsidP="00F67377">
      <w:pPr>
        <w:rPr>
          <w:rFonts w:ascii="Arial" w:hAnsi="Arial" w:cs="Arial"/>
        </w:rPr>
      </w:pPr>
      <w:proofErr w:type="spellStart"/>
      <w:r w:rsidRPr="001F0043">
        <w:rPr>
          <w:rFonts w:ascii="Arial" w:hAnsi="Arial" w:cs="Arial"/>
          <w:b/>
          <w:u w:val="single"/>
        </w:rPr>
        <w:t>SoCalGas</w:t>
      </w:r>
      <w:proofErr w:type="spellEnd"/>
      <w:r w:rsidRPr="001F0043">
        <w:rPr>
          <w:rFonts w:ascii="Arial" w:hAnsi="Arial" w:cs="Arial"/>
          <w:b/>
        </w:rPr>
        <w:t>:</w:t>
      </w:r>
      <w:r>
        <w:rPr>
          <w:rFonts w:ascii="Arial" w:hAnsi="Arial" w:cs="Arial"/>
        </w:rPr>
        <w:t xml:space="preserve"> The monthly HDD assumptions for Average Year and Cold Year are provided in the Table 3 of the 2014 CGR work papers </w:t>
      </w:r>
      <w:r w:rsidRPr="005156A9">
        <w:rPr>
          <w:rFonts w:ascii="Arial" w:hAnsi="Arial" w:cs="Arial"/>
        </w:rPr>
        <w:t xml:space="preserve">for </w:t>
      </w:r>
      <w:proofErr w:type="spellStart"/>
      <w:r w:rsidRPr="005156A9">
        <w:rPr>
          <w:rFonts w:ascii="Arial" w:hAnsi="Arial" w:cs="Arial"/>
        </w:rPr>
        <w:t>SoCalGas</w:t>
      </w:r>
      <w:proofErr w:type="spellEnd"/>
      <w:r>
        <w:rPr>
          <w:rFonts w:ascii="Arial" w:hAnsi="Arial" w:cs="Arial"/>
        </w:rPr>
        <w:t xml:space="preserve"> (URL:</w:t>
      </w:r>
      <w:r w:rsidRPr="00C85FE9">
        <w:t xml:space="preserve"> </w:t>
      </w:r>
      <w:hyperlink r:id="rId13" w:history="1">
        <w:r w:rsidRPr="00E97793">
          <w:rPr>
            <w:rStyle w:val="Hyperlink"/>
            <w:rFonts w:ascii="Arial" w:hAnsi="Arial" w:cs="Arial"/>
          </w:rPr>
          <w:t>http://www.socalgas.com/regulatory/documents/cgr/2014%20CALIFORNIA%20GAS%20REPORT%20REDACTED%20WORKPAPERS_SOCALGAS.pdf</w:t>
        </w:r>
      </w:hyperlink>
      <w:r>
        <w:rPr>
          <w:rFonts w:ascii="Arial" w:hAnsi="Arial" w:cs="Arial"/>
        </w:rPr>
        <w:t xml:space="preserve"> ) on p.355.  The HDD monthly profile used in Mr. Watson’s calculations was for a “1-in-35” likelihood cold year which is shown in the first column of numeric data that totals to 1,677 HDDs.  The monthly HDD profile for Average Year assumptions are shown under the column labeled Average which total to 1,384 HDDs.  The “</w:t>
      </w:r>
      <w:r w:rsidRPr="00302641">
        <w:rPr>
          <w:rFonts w:ascii="Arial" w:hAnsi="Arial" w:cs="Arial"/>
        </w:rPr>
        <w:t>151 day Winter Average Cold Year</w:t>
      </w:r>
      <w:r>
        <w:rPr>
          <w:rFonts w:ascii="Arial" w:hAnsi="Arial" w:cs="Arial"/>
        </w:rPr>
        <w:t>” monthly profile consists of the HDDs for the months of November, December, January, February and March of the HDD data provided under the “1-in-35” likelihood cold year of that table.</w:t>
      </w:r>
    </w:p>
    <w:p w:rsidR="00BE449C" w:rsidRDefault="00BE449C" w:rsidP="00F67377">
      <w:pPr>
        <w:rPr>
          <w:rFonts w:ascii="Arial" w:hAnsi="Arial" w:cs="Arial"/>
        </w:rPr>
      </w:pPr>
    </w:p>
    <w:p w:rsidR="00BE449C" w:rsidRDefault="00BE449C" w:rsidP="00F67377">
      <w:pPr>
        <w:rPr>
          <w:rFonts w:ascii="Arial" w:hAnsi="Arial" w:cs="Arial"/>
        </w:rPr>
      </w:pPr>
      <w:r w:rsidRPr="001F0043">
        <w:rPr>
          <w:rFonts w:ascii="Arial" w:hAnsi="Arial" w:cs="Arial"/>
          <w:b/>
          <w:u w:val="single"/>
        </w:rPr>
        <w:t>SDG&amp;E</w:t>
      </w:r>
      <w:r w:rsidRPr="001F0043">
        <w:rPr>
          <w:rFonts w:ascii="Arial" w:hAnsi="Arial" w:cs="Arial"/>
          <w:b/>
        </w:rPr>
        <w:t>:</w:t>
      </w:r>
      <w:r>
        <w:rPr>
          <w:rFonts w:ascii="Arial" w:hAnsi="Arial" w:cs="Arial"/>
        </w:rPr>
        <w:t xml:space="preserve"> The monthly HDD assumptions for Average Year and Cold Year are provided in the Table 3 of the 2014 CGR work papers </w:t>
      </w:r>
      <w:r w:rsidRPr="005156A9">
        <w:rPr>
          <w:rFonts w:ascii="Arial" w:hAnsi="Arial" w:cs="Arial"/>
        </w:rPr>
        <w:t>for SDG&amp;E</w:t>
      </w:r>
      <w:r>
        <w:rPr>
          <w:rFonts w:ascii="Arial" w:hAnsi="Arial" w:cs="Arial"/>
        </w:rPr>
        <w:t xml:space="preserve"> (URL:</w:t>
      </w:r>
      <w:r w:rsidRPr="00C85FE9">
        <w:t xml:space="preserve"> </w:t>
      </w:r>
      <w:hyperlink r:id="rId14" w:history="1">
        <w:r w:rsidRPr="00E97793">
          <w:rPr>
            <w:rStyle w:val="Hyperlink"/>
            <w:rFonts w:ascii="Arial" w:hAnsi="Arial" w:cs="Arial"/>
          </w:rPr>
          <w:t>http://www.socalgas.com/regulatory/documents/cgr/2014%20CALIFORNIA%20GAS%20REPORT%20REDACTED%20WORKPAPERS_SDGE.pdf</w:t>
        </w:r>
      </w:hyperlink>
      <w:r>
        <w:rPr>
          <w:rFonts w:ascii="Arial" w:hAnsi="Arial" w:cs="Arial"/>
        </w:rPr>
        <w:t xml:space="preserve"> </w:t>
      </w:r>
      <w:r w:rsidRPr="005156A9">
        <w:rPr>
          <w:rFonts w:ascii="Arial" w:hAnsi="Arial" w:cs="Arial"/>
        </w:rPr>
        <w:t xml:space="preserve">) </w:t>
      </w:r>
      <w:r>
        <w:rPr>
          <w:rFonts w:ascii="Arial" w:hAnsi="Arial" w:cs="Arial"/>
        </w:rPr>
        <w:t>on p.162.  The HDD monthly profile used in Mr. Watson’s calculations was for a “1-in-35” likelihood cold year which is shown in the first column of numeric data that totals to 1,654 HDDs.  The monthly HDD profile for Average Year assumptions are shown under the column labeled Average which total to 1,342 HDDs.  The “</w:t>
      </w:r>
      <w:r w:rsidRPr="00302641">
        <w:rPr>
          <w:rFonts w:ascii="Arial" w:hAnsi="Arial" w:cs="Arial"/>
        </w:rPr>
        <w:t>151 day Winter Average Cold Year</w:t>
      </w:r>
      <w:r>
        <w:rPr>
          <w:rFonts w:ascii="Arial" w:hAnsi="Arial" w:cs="Arial"/>
        </w:rPr>
        <w:t>” monthly profile consists of the HDDs for the months of November, December, January, February and March of the HDD data provided under the “1-in-35” likelihood cold year of that table.</w:t>
      </w:r>
    </w:p>
    <w:p w:rsidR="00F67965" w:rsidRDefault="00F67965" w:rsidP="00F67377">
      <w:pPr>
        <w:rPr>
          <w:rFonts w:ascii="Arial" w:hAnsi="Arial" w:cs="Arial"/>
        </w:rPr>
      </w:pPr>
    </w:p>
    <w:p w:rsidR="00BE449C" w:rsidRDefault="00BE449C" w:rsidP="00F67377">
      <w:pPr>
        <w:rPr>
          <w:rFonts w:ascii="Arial" w:hAnsi="Arial" w:cs="Arial"/>
        </w:rPr>
      </w:pPr>
    </w:p>
    <w:p w:rsidR="00BE449C" w:rsidRDefault="00BE449C" w:rsidP="00F67377">
      <w:pPr>
        <w:rPr>
          <w:rFonts w:ascii="Arial" w:hAnsi="Arial" w:cs="Arial"/>
        </w:rPr>
      </w:pPr>
    </w:p>
    <w:p w:rsidR="00BE449C" w:rsidRDefault="00BE449C" w:rsidP="00F67377">
      <w:pPr>
        <w:rPr>
          <w:rFonts w:ascii="Arial" w:hAnsi="Arial" w:cs="Arial"/>
        </w:rPr>
      </w:pPr>
    </w:p>
    <w:p w:rsidR="00BE449C" w:rsidRDefault="00BE449C" w:rsidP="00F67377">
      <w:pPr>
        <w:rPr>
          <w:rFonts w:ascii="Arial" w:hAnsi="Arial" w:cs="Arial"/>
        </w:rPr>
      </w:pPr>
    </w:p>
    <w:p w:rsidR="00BE449C" w:rsidRDefault="00BE449C" w:rsidP="00F67377">
      <w:pPr>
        <w:rPr>
          <w:rFonts w:ascii="Arial" w:hAnsi="Arial" w:cs="Arial"/>
        </w:rPr>
      </w:pPr>
    </w:p>
    <w:p w:rsidR="00BE449C" w:rsidRDefault="00BE449C" w:rsidP="00F67377">
      <w:pPr>
        <w:rPr>
          <w:rFonts w:ascii="Arial" w:hAnsi="Arial" w:cs="Arial"/>
        </w:rPr>
      </w:pPr>
    </w:p>
    <w:p w:rsidR="00BE449C" w:rsidRDefault="00BE449C" w:rsidP="00F67377">
      <w:pPr>
        <w:rPr>
          <w:rFonts w:ascii="Arial" w:hAnsi="Arial" w:cs="Arial"/>
        </w:rPr>
      </w:pPr>
    </w:p>
    <w:p w:rsidR="00BE449C" w:rsidRDefault="00BE449C" w:rsidP="00F67377">
      <w:pPr>
        <w:rPr>
          <w:rFonts w:ascii="Arial" w:hAnsi="Arial" w:cs="Arial"/>
        </w:rPr>
      </w:pPr>
    </w:p>
    <w:p w:rsidR="00BE449C" w:rsidRDefault="00BE449C" w:rsidP="00F67377">
      <w:pPr>
        <w:rPr>
          <w:rFonts w:ascii="Arial" w:hAnsi="Arial" w:cs="Arial"/>
        </w:rPr>
      </w:pPr>
    </w:p>
    <w:p w:rsidR="00BE449C" w:rsidRDefault="00BE449C" w:rsidP="00F67377">
      <w:pPr>
        <w:rPr>
          <w:rFonts w:ascii="Arial" w:hAnsi="Arial" w:cs="Arial"/>
        </w:rPr>
      </w:pPr>
    </w:p>
    <w:p w:rsidR="00BE449C" w:rsidRDefault="00BE449C" w:rsidP="00F67377">
      <w:pPr>
        <w:rPr>
          <w:rFonts w:ascii="Arial" w:hAnsi="Arial" w:cs="Arial"/>
        </w:rPr>
      </w:pPr>
    </w:p>
    <w:p w:rsidR="00F67965" w:rsidRDefault="00F67965" w:rsidP="00F67377">
      <w:pPr>
        <w:rPr>
          <w:rFonts w:ascii="Arial" w:hAnsi="Arial" w:cs="Arial"/>
        </w:rPr>
      </w:pPr>
    </w:p>
    <w:p w:rsidR="00F67965" w:rsidRDefault="00F67965" w:rsidP="00F67377">
      <w:pPr>
        <w:rPr>
          <w:rFonts w:ascii="Arial" w:hAnsi="Arial" w:cs="Arial"/>
        </w:rPr>
      </w:pPr>
    </w:p>
    <w:p w:rsidR="00F67965" w:rsidRDefault="00F67965" w:rsidP="00F67377">
      <w:pPr>
        <w:rPr>
          <w:rFonts w:ascii="Arial" w:hAnsi="Arial" w:cs="Arial"/>
        </w:rPr>
      </w:pPr>
      <w:r>
        <w:rPr>
          <w:rFonts w:ascii="Arial" w:hAnsi="Arial" w:cs="Arial"/>
        </w:rPr>
        <w:t>3.3.4</w:t>
      </w:r>
    </w:p>
    <w:p w:rsidR="00F67965" w:rsidRDefault="00F67965" w:rsidP="00F67377">
      <w:pPr>
        <w:rPr>
          <w:rFonts w:ascii="Arial" w:hAnsi="Arial" w:cs="Arial"/>
        </w:rPr>
      </w:pPr>
    </w:p>
    <w:p w:rsidR="00F67965" w:rsidRDefault="00914BE1" w:rsidP="00F67377">
      <w:pPr>
        <w:rPr>
          <w:rFonts w:ascii="Arial" w:hAnsi="Arial" w:cs="Arial"/>
        </w:rPr>
      </w:pPr>
      <w:r>
        <w:rPr>
          <w:rFonts w:ascii="Arial" w:hAnsi="Arial" w:cs="Arial"/>
        </w:rPr>
        <w:object w:dxaOrig="1551" w:dyaOrig="991">
          <v:shape id="_x0000_i1034" type="#_x0000_t75" style="width:77.25pt;height:49.5pt" o:ole="">
            <v:imagedata r:id="rId15" o:title=""/>
          </v:shape>
          <o:OLEObject Type="Embed" ProgID="Excel.Sheet.12" ShapeID="_x0000_i1034" DrawAspect="Icon" ObjectID="_1494768038" r:id="rId16"/>
        </w:object>
      </w:r>
    </w:p>
    <w:p w:rsidR="004E4B30" w:rsidRDefault="004E4B30" w:rsidP="00F67377">
      <w:pPr>
        <w:rPr>
          <w:rFonts w:ascii="Arial" w:hAnsi="Arial" w:cs="Arial"/>
        </w:rPr>
      </w:pPr>
    </w:p>
    <w:p w:rsidR="004E4B30" w:rsidRDefault="00914BE1" w:rsidP="00F67377">
      <w:pPr>
        <w:rPr>
          <w:rFonts w:ascii="Arial" w:hAnsi="Arial" w:cs="Arial"/>
        </w:rPr>
      </w:pPr>
      <w:r>
        <w:rPr>
          <w:rFonts w:ascii="Arial" w:hAnsi="Arial" w:cs="Arial"/>
        </w:rPr>
        <w:object w:dxaOrig="1551" w:dyaOrig="991">
          <v:shape id="_x0000_i1036" type="#_x0000_t75" style="width:77.25pt;height:49.5pt" o:ole="">
            <v:imagedata r:id="rId17" o:title=""/>
          </v:shape>
          <o:OLEObject Type="Embed" ProgID="Excel.Sheet.12" ShapeID="_x0000_i1036" DrawAspect="Icon" ObjectID="_1494768039" r:id="rId18"/>
        </w:object>
      </w:r>
    </w:p>
    <w:p w:rsidR="00F67965" w:rsidRDefault="00F67965" w:rsidP="00F67377">
      <w:pPr>
        <w:rPr>
          <w:rFonts w:ascii="Arial" w:hAnsi="Arial" w:cs="Arial"/>
        </w:rPr>
      </w:pPr>
    </w:p>
    <w:p w:rsidR="00F67965" w:rsidRDefault="00F67965" w:rsidP="00F67377">
      <w:pPr>
        <w:rPr>
          <w:rFonts w:ascii="Arial" w:hAnsi="Arial" w:cs="Arial"/>
        </w:rPr>
      </w:pPr>
      <w:r>
        <w:rPr>
          <w:rFonts w:ascii="Arial" w:hAnsi="Arial" w:cs="Arial"/>
        </w:rPr>
        <w:t>3.3.5</w:t>
      </w:r>
    </w:p>
    <w:p w:rsidR="00F67965" w:rsidRDefault="00F67965" w:rsidP="00F67377">
      <w:pPr>
        <w:rPr>
          <w:rFonts w:ascii="Arial" w:hAnsi="Arial" w:cs="Arial"/>
        </w:rPr>
      </w:pPr>
    </w:p>
    <w:p w:rsidR="00F67965" w:rsidRPr="00F67965" w:rsidRDefault="00F67965" w:rsidP="00F67377">
      <w:pPr>
        <w:rPr>
          <w:rFonts w:ascii="Arial" w:hAnsi="Arial" w:cs="Arial"/>
        </w:rPr>
      </w:pPr>
      <w:r>
        <w:rPr>
          <w:rFonts w:ascii="Arial" w:hAnsi="Arial" w:cs="Arial"/>
        </w:rPr>
        <w:t>The reduction projected in core peak day demand over 2016-2019 is driven by</w:t>
      </w:r>
      <w:r w:rsidR="007F1611">
        <w:rPr>
          <w:rFonts w:ascii="Arial" w:hAnsi="Arial" w:cs="Arial"/>
        </w:rPr>
        <w:t xml:space="preserve"> the reduction in </w:t>
      </w:r>
      <w:proofErr w:type="spellStart"/>
      <w:r w:rsidR="007F1611">
        <w:rPr>
          <w:rFonts w:ascii="Arial" w:hAnsi="Arial" w:cs="Arial"/>
        </w:rPr>
        <w:t>SoCalGas</w:t>
      </w:r>
      <w:proofErr w:type="spellEnd"/>
      <w:r w:rsidR="007F1611">
        <w:rPr>
          <w:rFonts w:ascii="Arial" w:hAnsi="Arial" w:cs="Arial"/>
        </w:rPr>
        <w:t>’ residential peak day demand as c</w:t>
      </w:r>
      <w:r>
        <w:rPr>
          <w:rFonts w:ascii="Arial" w:hAnsi="Arial" w:cs="Arial"/>
        </w:rPr>
        <w:t xml:space="preserve">ore peak day load is dominated by the residential market segment.  In this market segment, although there is expected growth in active meter counts, it is offset by projected declines in residential load per active meter.  </w:t>
      </w:r>
      <w:r w:rsidR="007F1611">
        <w:rPr>
          <w:rFonts w:ascii="Arial" w:hAnsi="Arial" w:cs="Arial"/>
        </w:rPr>
        <w:t>P</w:t>
      </w:r>
      <w:r>
        <w:rPr>
          <w:rFonts w:ascii="Arial" w:hAnsi="Arial" w:cs="Arial"/>
        </w:rPr>
        <w:t>rojections of conservation and energy efficiency impacts contribute to this decline.</w:t>
      </w:r>
    </w:p>
    <w:sectPr w:rsidR="00F67965" w:rsidRPr="00F67965" w:rsidSect="00AF3427">
      <w:headerReference w:type="default" r:id="rId19"/>
      <w:footerReference w:type="default" r:id="rId20"/>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F44" w:rsidRDefault="007E3F44">
      <w:r>
        <w:separator/>
      </w:r>
    </w:p>
  </w:endnote>
  <w:endnote w:type="continuationSeparator" w:id="0">
    <w:p w:rsidR="007E3F44" w:rsidRDefault="007E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F6A" w:rsidRPr="00E86619" w:rsidRDefault="00967F6A">
    <w:pPr>
      <w:pStyle w:val="Footer"/>
      <w:rPr>
        <w:rFonts w:ascii="Arial" w:hAnsi="Arial" w:cs="Arial"/>
      </w:rPr>
    </w:pPr>
    <w:r>
      <w:tab/>
    </w:r>
    <w:r w:rsidRPr="00E86619">
      <w:rPr>
        <w:rStyle w:val="PageNumber"/>
        <w:rFonts w:ascii="Arial" w:hAnsi="Arial" w:cs="Arial"/>
      </w:rPr>
      <w:fldChar w:fldCharType="begin"/>
    </w:r>
    <w:r w:rsidRPr="00E86619">
      <w:rPr>
        <w:rStyle w:val="PageNumber"/>
        <w:rFonts w:ascii="Arial" w:hAnsi="Arial" w:cs="Arial"/>
      </w:rPr>
      <w:instrText xml:space="preserve"> PAGE </w:instrText>
    </w:r>
    <w:r w:rsidRPr="00E86619">
      <w:rPr>
        <w:rStyle w:val="PageNumber"/>
        <w:rFonts w:ascii="Arial" w:hAnsi="Arial" w:cs="Arial"/>
      </w:rPr>
      <w:fldChar w:fldCharType="separate"/>
    </w:r>
    <w:r w:rsidR="00914BE1">
      <w:rPr>
        <w:rStyle w:val="PageNumber"/>
        <w:rFonts w:ascii="Arial" w:hAnsi="Arial" w:cs="Arial"/>
        <w:noProof/>
      </w:rPr>
      <w:t>3</w:t>
    </w:r>
    <w:r w:rsidRPr="00E86619">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F44" w:rsidRDefault="007E3F44">
      <w:r>
        <w:separator/>
      </w:r>
    </w:p>
  </w:footnote>
  <w:footnote w:type="continuationSeparator" w:id="0">
    <w:p w:rsidR="007E3F44" w:rsidRDefault="007E3F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CAA" w:rsidRPr="00C62CAA" w:rsidRDefault="00C62CAA" w:rsidP="00F9456E">
    <w:pPr>
      <w:pStyle w:val="Header"/>
      <w:jc w:val="center"/>
      <w:rPr>
        <w:rFonts w:ascii="Arial" w:hAnsi="Arial" w:cs="Arial"/>
        <w:b/>
        <w:sz w:val="12"/>
        <w:szCs w:val="12"/>
      </w:rPr>
    </w:pPr>
  </w:p>
  <w:p w:rsidR="00EE2B21" w:rsidRDefault="00EE2B21" w:rsidP="00EE2B21">
    <w:pPr>
      <w:jc w:val="center"/>
      <w:rPr>
        <w:rFonts w:ascii="Arial" w:hAnsi="Arial" w:cs="Arial"/>
        <w:b/>
        <w:caps/>
      </w:rPr>
    </w:pPr>
    <w:r>
      <w:rPr>
        <w:rFonts w:ascii="Arial" w:hAnsi="Arial" w:cs="Arial"/>
        <w:b/>
        <w:caps/>
      </w:rPr>
      <w:t>triennial cost allocation proceeding phase 1 application</w:t>
    </w:r>
  </w:p>
  <w:p w:rsidR="00EE2B21" w:rsidRDefault="00EE2B21" w:rsidP="00EE2B21">
    <w:pPr>
      <w:jc w:val="center"/>
      <w:rPr>
        <w:rFonts w:ascii="Arial" w:hAnsi="Arial" w:cs="Arial"/>
        <w:b/>
        <w:caps/>
      </w:rPr>
    </w:pPr>
    <w:r>
      <w:rPr>
        <w:rFonts w:ascii="Arial" w:hAnsi="Arial" w:cs="Arial"/>
        <w:b/>
        <w:caps/>
      </w:rPr>
      <w:t xml:space="preserve">of southern california gas company &amp; </w:t>
    </w:r>
  </w:p>
  <w:p w:rsidR="00EE2B21" w:rsidRDefault="00EE2B21" w:rsidP="00EE2B21">
    <w:pPr>
      <w:jc w:val="center"/>
      <w:rPr>
        <w:rFonts w:ascii="Arial" w:hAnsi="Arial" w:cs="Arial"/>
        <w:b/>
        <w:caps/>
      </w:rPr>
    </w:pPr>
    <w:r>
      <w:rPr>
        <w:rFonts w:ascii="Arial" w:hAnsi="Arial" w:cs="Arial"/>
        <w:b/>
        <w:caps/>
      </w:rPr>
      <w:t>san diego gas &amp; electric company for authority to revise their</w:t>
    </w:r>
  </w:p>
  <w:p w:rsidR="00EE2B21" w:rsidRPr="00EE2B21" w:rsidRDefault="00EE2B21" w:rsidP="00EE2B21">
    <w:pPr>
      <w:jc w:val="center"/>
      <w:rPr>
        <w:rFonts w:ascii="Arial" w:hAnsi="Arial" w:cs="Arial"/>
        <w:b/>
        <w:caps/>
      </w:rPr>
    </w:pPr>
    <w:r>
      <w:rPr>
        <w:rFonts w:ascii="Arial" w:hAnsi="Arial" w:cs="Arial"/>
        <w:b/>
        <w:caps/>
      </w:rPr>
      <w:t>natural gas rates effective january 1, 2016</w:t>
    </w:r>
  </w:p>
  <w:p w:rsidR="00663B29" w:rsidRPr="00445088" w:rsidRDefault="00663B29" w:rsidP="00663B29">
    <w:pPr>
      <w:jc w:val="center"/>
      <w:rPr>
        <w:rFonts w:ascii="Arial" w:hAnsi="Arial" w:cs="Arial"/>
        <w:b/>
        <w:sz w:val="6"/>
        <w:szCs w:val="6"/>
      </w:rPr>
    </w:pPr>
  </w:p>
  <w:p w:rsidR="00663B29" w:rsidRPr="00663B29" w:rsidRDefault="00663B29" w:rsidP="00663B29">
    <w:pPr>
      <w:jc w:val="center"/>
      <w:rPr>
        <w:rFonts w:ascii="Arial" w:hAnsi="Arial" w:cs="Arial"/>
        <w:b/>
        <w:sz w:val="6"/>
        <w:szCs w:val="6"/>
      </w:rPr>
    </w:pPr>
  </w:p>
  <w:p w:rsidR="00663B29" w:rsidRPr="00663B29" w:rsidRDefault="00663B29" w:rsidP="00663B29">
    <w:pPr>
      <w:jc w:val="center"/>
      <w:rPr>
        <w:rFonts w:ascii="Arial" w:hAnsi="Arial" w:cs="Arial"/>
        <w:b/>
      </w:rPr>
    </w:pPr>
    <w:r w:rsidRPr="00663B29">
      <w:rPr>
        <w:rFonts w:ascii="Arial" w:hAnsi="Arial" w:cs="Arial"/>
        <w:b/>
      </w:rPr>
      <w:t>(A.14-12-</w:t>
    </w:r>
    <w:r w:rsidR="00E46E42">
      <w:rPr>
        <w:rFonts w:ascii="Arial" w:hAnsi="Arial" w:cs="Arial"/>
        <w:b/>
      </w:rPr>
      <w:t>017</w:t>
    </w:r>
    <w:r w:rsidRPr="00663B29">
      <w:rPr>
        <w:rFonts w:ascii="Arial" w:hAnsi="Arial" w:cs="Arial"/>
        <w:b/>
      </w:rPr>
      <w:t>)</w:t>
    </w:r>
  </w:p>
  <w:p w:rsidR="00967F6A" w:rsidRDefault="00967F6A" w:rsidP="00F9456E">
    <w:pPr>
      <w:pStyle w:val="Header"/>
      <w:jc w:val="center"/>
      <w:rPr>
        <w:rFonts w:ascii="Arial" w:hAnsi="Arial" w:cs="Arial"/>
        <w:b/>
        <w:sz w:val="8"/>
        <w:szCs w:val="8"/>
      </w:rPr>
    </w:pPr>
  </w:p>
  <w:p w:rsidR="00300C57" w:rsidRPr="00C178B5" w:rsidRDefault="00300C57" w:rsidP="00F9456E">
    <w:pPr>
      <w:pStyle w:val="Header"/>
      <w:jc w:val="center"/>
      <w:rPr>
        <w:rFonts w:ascii="Arial" w:hAnsi="Arial" w:cs="Arial"/>
        <w:b/>
        <w:sz w:val="8"/>
        <w:szCs w:val="8"/>
      </w:rPr>
    </w:pPr>
  </w:p>
  <w:p w:rsidR="00967F6A" w:rsidRPr="00302641" w:rsidRDefault="00AF3427" w:rsidP="00F9456E">
    <w:pPr>
      <w:pStyle w:val="Header"/>
      <w:jc w:val="center"/>
      <w:rPr>
        <w:rFonts w:ascii="Arial" w:hAnsi="Arial" w:cs="Arial"/>
        <w:b/>
        <w:sz w:val="22"/>
        <w:szCs w:val="22"/>
      </w:rPr>
    </w:pPr>
    <w:r w:rsidRPr="00302641">
      <w:rPr>
        <w:rFonts w:ascii="Arial" w:hAnsi="Arial" w:cs="Arial"/>
        <w:b/>
        <w:sz w:val="22"/>
        <w:szCs w:val="22"/>
      </w:rPr>
      <w:t>(</w:t>
    </w:r>
    <w:r w:rsidR="00302641" w:rsidRPr="00302641">
      <w:rPr>
        <w:rFonts w:ascii="Arial" w:hAnsi="Arial" w:cs="Arial"/>
        <w:b/>
        <w:sz w:val="22"/>
        <w:szCs w:val="22"/>
      </w:rPr>
      <w:t>3</w:t>
    </w:r>
    <w:r w:rsidR="00302641" w:rsidRPr="00302641">
      <w:rPr>
        <w:rFonts w:ascii="Arial" w:hAnsi="Arial" w:cs="Arial"/>
        <w:b/>
        <w:sz w:val="22"/>
        <w:szCs w:val="22"/>
        <w:vertAlign w:val="superscript"/>
      </w:rPr>
      <w:t>RD</w:t>
    </w:r>
    <w:r w:rsidR="00302641" w:rsidRPr="00302641">
      <w:rPr>
        <w:rFonts w:ascii="Arial" w:hAnsi="Arial" w:cs="Arial"/>
        <w:b/>
        <w:sz w:val="22"/>
        <w:szCs w:val="22"/>
      </w:rPr>
      <w:t xml:space="preserve"> DATA REQUEST FROM SOUTHERN CALIFORNIA GENERATION COALTION</w:t>
    </w:r>
    <w:r w:rsidRPr="00302641">
      <w:rPr>
        <w:rFonts w:ascii="Arial" w:hAnsi="Arial" w:cs="Arial"/>
        <w:b/>
        <w:sz w:val="22"/>
        <w:szCs w:val="22"/>
      </w:rPr>
      <w:t>)</w:t>
    </w:r>
  </w:p>
  <w:p w:rsidR="00F9456E" w:rsidRDefault="00F9456E" w:rsidP="00F9456E">
    <w:pPr>
      <w:pStyle w:val="Header"/>
      <w:jc w:val="center"/>
      <w:rPr>
        <w:rFonts w:ascii="Arial" w:hAnsi="Arial" w:cs="Arial"/>
        <w:b/>
      </w:rPr>
    </w:pPr>
    <w:r>
      <w:rPr>
        <w:rFonts w:ascii="Arial" w:hAnsi="Arial" w:cs="Arial"/>
        <w:b/>
      </w:rPr>
      <w:t>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2169"/>
    <w:multiLevelType w:val="hybridMultilevel"/>
    <w:tmpl w:val="D2802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6F34FF"/>
    <w:multiLevelType w:val="hybridMultilevel"/>
    <w:tmpl w:val="03E813C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D46DB5"/>
    <w:multiLevelType w:val="hybridMultilevel"/>
    <w:tmpl w:val="2F763A66"/>
    <w:lvl w:ilvl="0" w:tplc="04090017">
      <w:start w:val="1"/>
      <w:numFmt w:val="lowerLetter"/>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706EF0"/>
    <w:multiLevelType w:val="multilevel"/>
    <w:tmpl w:val="A3CA1E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BAC7A47"/>
    <w:multiLevelType w:val="hybridMultilevel"/>
    <w:tmpl w:val="BAE46084"/>
    <w:lvl w:ilvl="0" w:tplc="E63E8E90">
      <w:start w:val="2"/>
      <w:numFmt w:val="lowerLetter"/>
      <w:lvlText w:val="%1."/>
      <w:lvlJc w:val="left"/>
      <w:pPr>
        <w:tabs>
          <w:tab w:val="num" w:pos="3240"/>
        </w:tabs>
        <w:ind w:left="3240" w:hanging="360"/>
      </w:pPr>
      <w:rPr>
        <w:rFonts w:hint="default"/>
      </w:r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5">
    <w:nsid w:val="12BD05A4"/>
    <w:multiLevelType w:val="hybridMultilevel"/>
    <w:tmpl w:val="4E9C3400"/>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60743A5"/>
    <w:multiLevelType w:val="hybridMultilevel"/>
    <w:tmpl w:val="C2C249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C55164A"/>
    <w:multiLevelType w:val="multilevel"/>
    <w:tmpl w:val="BF98AD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A356FF6"/>
    <w:multiLevelType w:val="multilevel"/>
    <w:tmpl w:val="1B8E973A"/>
    <w:lvl w:ilvl="0">
      <w:start w:val="1"/>
      <w:numFmt w:val="decimal"/>
      <w:lvlText w:val="%1"/>
      <w:lvlJc w:val="left"/>
      <w:pPr>
        <w:tabs>
          <w:tab w:val="num" w:pos="465"/>
        </w:tabs>
        <w:ind w:left="465" w:hanging="465"/>
      </w:pPr>
      <w:rPr>
        <w:rFonts w:hint="default"/>
        <w:b w:val="0"/>
        <w:i w:val="0"/>
        <w:sz w:val="24"/>
        <w:szCs w:val="24"/>
      </w:rPr>
    </w:lvl>
    <w:lvl w:ilvl="1">
      <w:start w:val="1"/>
      <w:numFmt w:val="lowerLetter"/>
      <w:lvlText w:val="%2."/>
      <w:lvlJc w:val="left"/>
      <w:pPr>
        <w:tabs>
          <w:tab w:val="num" w:pos="1905"/>
        </w:tabs>
        <w:ind w:left="1905" w:hanging="465"/>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9">
    <w:nsid w:val="332F6109"/>
    <w:multiLevelType w:val="hybridMultilevel"/>
    <w:tmpl w:val="43789FE2"/>
    <w:lvl w:ilvl="0" w:tplc="F63E41E4">
      <w:start w:val="1"/>
      <w:numFmt w:val="lowerLetter"/>
      <w:lvlText w:val="%1."/>
      <w:lvlJc w:val="left"/>
      <w:pPr>
        <w:tabs>
          <w:tab w:val="num" w:pos="2790"/>
        </w:tabs>
        <w:ind w:left="2790" w:hanging="360"/>
      </w:pPr>
      <w:rPr>
        <w:rFonts w:hint="default"/>
      </w:rPr>
    </w:lvl>
    <w:lvl w:ilvl="1" w:tplc="04090019">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10">
    <w:nsid w:val="34640CB7"/>
    <w:multiLevelType w:val="hybridMultilevel"/>
    <w:tmpl w:val="06B0DE10"/>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40A7024A"/>
    <w:multiLevelType w:val="hybridMultilevel"/>
    <w:tmpl w:val="71322ADC"/>
    <w:lvl w:ilvl="0" w:tplc="FDB82F9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AFA1788"/>
    <w:multiLevelType w:val="multilevel"/>
    <w:tmpl w:val="D2802B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56F546A2"/>
    <w:multiLevelType w:val="hybridMultilevel"/>
    <w:tmpl w:val="FC889A0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85C0CFB"/>
    <w:multiLevelType w:val="hybridMultilevel"/>
    <w:tmpl w:val="51767AB0"/>
    <w:lvl w:ilvl="0" w:tplc="04090017">
      <w:start w:val="1"/>
      <w:numFmt w:val="lowerLetter"/>
      <w:lvlText w:val="%1)"/>
      <w:lvlJc w:val="left"/>
      <w:pPr>
        <w:tabs>
          <w:tab w:val="num" w:pos="720"/>
        </w:tabs>
        <w:ind w:left="720" w:hanging="360"/>
      </w:pPr>
    </w:lvl>
    <w:lvl w:ilvl="1" w:tplc="04090017">
      <w:start w:val="1"/>
      <w:numFmt w:val="lowerLetter"/>
      <w:lvlText w:val="%2)"/>
      <w:lvlJc w:val="left"/>
      <w:pPr>
        <w:tabs>
          <w:tab w:val="num" w:pos="720"/>
        </w:tabs>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DD86306"/>
    <w:multiLevelType w:val="hybridMultilevel"/>
    <w:tmpl w:val="386A8C64"/>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6BAA2FBA"/>
    <w:multiLevelType w:val="multilevel"/>
    <w:tmpl w:val="B1BAC4E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nsid w:val="6CD60A62"/>
    <w:multiLevelType w:val="hybridMultilevel"/>
    <w:tmpl w:val="60A89B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54945CF"/>
    <w:multiLevelType w:val="multilevel"/>
    <w:tmpl w:val="C2C2492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nsid w:val="75EF1D4A"/>
    <w:multiLevelType w:val="hybridMultilevel"/>
    <w:tmpl w:val="B1BAC4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9"/>
  </w:num>
  <w:num w:numId="3">
    <w:abstractNumId w:val="6"/>
  </w:num>
  <w:num w:numId="4">
    <w:abstractNumId w:val="17"/>
  </w:num>
  <w:num w:numId="5">
    <w:abstractNumId w:val="12"/>
  </w:num>
  <w:num w:numId="6">
    <w:abstractNumId w:val="16"/>
  </w:num>
  <w:num w:numId="7">
    <w:abstractNumId w:val="10"/>
  </w:num>
  <w:num w:numId="8">
    <w:abstractNumId w:val="18"/>
  </w:num>
  <w:num w:numId="9">
    <w:abstractNumId w:val="15"/>
  </w:num>
  <w:num w:numId="10">
    <w:abstractNumId w:val="7"/>
  </w:num>
  <w:num w:numId="11">
    <w:abstractNumId w:val="5"/>
  </w:num>
  <w:num w:numId="12">
    <w:abstractNumId w:val="3"/>
  </w:num>
  <w:num w:numId="13">
    <w:abstractNumId w:val="2"/>
  </w:num>
  <w:num w:numId="14">
    <w:abstractNumId w:val="13"/>
  </w:num>
  <w:num w:numId="15">
    <w:abstractNumId w:val="14"/>
  </w:num>
  <w:num w:numId="16">
    <w:abstractNumId w:val="11"/>
  </w:num>
  <w:num w:numId="17">
    <w:abstractNumId w:val="1"/>
  </w:num>
  <w:num w:numId="18">
    <w:abstractNumId w:val="8"/>
  </w:num>
  <w:num w:numId="19">
    <w:abstractNumId w:val="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9D22A33-82CE-4419-BFCB-0BAD2BA7C36E}"/>
    <w:docVar w:name="dgnword-eventsink" w:val="7712992"/>
  </w:docVars>
  <w:rsids>
    <w:rsidRoot w:val="00687D80"/>
    <w:rsid w:val="00004249"/>
    <w:rsid w:val="00026804"/>
    <w:rsid w:val="000427F1"/>
    <w:rsid w:val="000445AE"/>
    <w:rsid w:val="000446FA"/>
    <w:rsid w:val="00050DEA"/>
    <w:rsid w:val="00054200"/>
    <w:rsid w:val="00062FD1"/>
    <w:rsid w:val="000973D6"/>
    <w:rsid w:val="000C0E9E"/>
    <w:rsid w:val="000D5EF6"/>
    <w:rsid w:val="000E0F43"/>
    <w:rsid w:val="000E2012"/>
    <w:rsid w:val="000E32F6"/>
    <w:rsid w:val="000E5737"/>
    <w:rsid w:val="000F0C29"/>
    <w:rsid w:val="00123D92"/>
    <w:rsid w:val="00130F5D"/>
    <w:rsid w:val="001576BC"/>
    <w:rsid w:val="00171E47"/>
    <w:rsid w:val="00171F7F"/>
    <w:rsid w:val="001754B0"/>
    <w:rsid w:val="001B2C3E"/>
    <w:rsid w:val="001D4131"/>
    <w:rsid w:val="001E4A11"/>
    <w:rsid w:val="001F22D6"/>
    <w:rsid w:val="001F2F28"/>
    <w:rsid w:val="002021F9"/>
    <w:rsid w:val="00214711"/>
    <w:rsid w:val="00215B6F"/>
    <w:rsid w:val="00217318"/>
    <w:rsid w:val="002447CF"/>
    <w:rsid w:val="00255590"/>
    <w:rsid w:val="00265704"/>
    <w:rsid w:val="002749B8"/>
    <w:rsid w:val="002B7CDB"/>
    <w:rsid w:val="002C2AFC"/>
    <w:rsid w:val="002C432D"/>
    <w:rsid w:val="002D7E7D"/>
    <w:rsid w:val="002E095B"/>
    <w:rsid w:val="00300C57"/>
    <w:rsid w:val="00302641"/>
    <w:rsid w:val="0031070C"/>
    <w:rsid w:val="0031141C"/>
    <w:rsid w:val="00335AB8"/>
    <w:rsid w:val="003405A5"/>
    <w:rsid w:val="00347ECE"/>
    <w:rsid w:val="00367398"/>
    <w:rsid w:val="003A2662"/>
    <w:rsid w:val="003C64AC"/>
    <w:rsid w:val="003E7642"/>
    <w:rsid w:val="00405FCB"/>
    <w:rsid w:val="00442D6C"/>
    <w:rsid w:val="00443AB5"/>
    <w:rsid w:val="00445088"/>
    <w:rsid w:val="004628EB"/>
    <w:rsid w:val="004710C7"/>
    <w:rsid w:val="004A11B8"/>
    <w:rsid w:val="004B00F4"/>
    <w:rsid w:val="004B1982"/>
    <w:rsid w:val="004D1DD7"/>
    <w:rsid w:val="004E361C"/>
    <w:rsid w:val="004E4B30"/>
    <w:rsid w:val="00507F24"/>
    <w:rsid w:val="005476B2"/>
    <w:rsid w:val="005757EF"/>
    <w:rsid w:val="00581DF1"/>
    <w:rsid w:val="00582C14"/>
    <w:rsid w:val="00586657"/>
    <w:rsid w:val="005945FF"/>
    <w:rsid w:val="00596EB7"/>
    <w:rsid w:val="005A54EE"/>
    <w:rsid w:val="005C452D"/>
    <w:rsid w:val="005C5391"/>
    <w:rsid w:val="005C6E7A"/>
    <w:rsid w:val="005F1AAE"/>
    <w:rsid w:val="005F4287"/>
    <w:rsid w:val="006177F4"/>
    <w:rsid w:val="0063481C"/>
    <w:rsid w:val="00636BCF"/>
    <w:rsid w:val="0064053C"/>
    <w:rsid w:val="0065774B"/>
    <w:rsid w:val="00657A12"/>
    <w:rsid w:val="00657ADE"/>
    <w:rsid w:val="00663B29"/>
    <w:rsid w:val="0067709F"/>
    <w:rsid w:val="00685B80"/>
    <w:rsid w:val="00686DC5"/>
    <w:rsid w:val="00687D80"/>
    <w:rsid w:val="00693014"/>
    <w:rsid w:val="006B0927"/>
    <w:rsid w:val="006B49A6"/>
    <w:rsid w:val="006B5580"/>
    <w:rsid w:val="006E6D13"/>
    <w:rsid w:val="007022E5"/>
    <w:rsid w:val="00717106"/>
    <w:rsid w:val="00724B83"/>
    <w:rsid w:val="00726B5A"/>
    <w:rsid w:val="00740970"/>
    <w:rsid w:val="00751C4C"/>
    <w:rsid w:val="007603F9"/>
    <w:rsid w:val="007638A3"/>
    <w:rsid w:val="00764EE6"/>
    <w:rsid w:val="007758C7"/>
    <w:rsid w:val="00792FC7"/>
    <w:rsid w:val="00794553"/>
    <w:rsid w:val="00797B94"/>
    <w:rsid w:val="007B59E1"/>
    <w:rsid w:val="007E1BBA"/>
    <w:rsid w:val="007E3F44"/>
    <w:rsid w:val="007F1611"/>
    <w:rsid w:val="0080163C"/>
    <w:rsid w:val="0081001C"/>
    <w:rsid w:val="00846D35"/>
    <w:rsid w:val="00854D38"/>
    <w:rsid w:val="008A0C1E"/>
    <w:rsid w:val="008A3929"/>
    <w:rsid w:val="008B0407"/>
    <w:rsid w:val="008B29B7"/>
    <w:rsid w:val="008B45FF"/>
    <w:rsid w:val="008C558B"/>
    <w:rsid w:val="008F2A13"/>
    <w:rsid w:val="009014E2"/>
    <w:rsid w:val="00914BE1"/>
    <w:rsid w:val="00924832"/>
    <w:rsid w:val="00927C7F"/>
    <w:rsid w:val="009308B2"/>
    <w:rsid w:val="009353A5"/>
    <w:rsid w:val="00967F6A"/>
    <w:rsid w:val="009742EE"/>
    <w:rsid w:val="00994689"/>
    <w:rsid w:val="009951BE"/>
    <w:rsid w:val="00996B85"/>
    <w:rsid w:val="009E04A7"/>
    <w:rsid w:val="009E2A12"/>
    <w:rsid w:val="009E6BC2"/>
    <w:rsid w:val="00A17B4A"/>
    <w:rsid w:val="00A21C4E"/>
    <w:rsid w:val="00A540FF"/>
    <w:rsid w:val="00A558C1"/>
    <w:rsid w:val="00A65A2F"/>
    <w:rsid w:val="00A67A4C"/>
    <w:rsid w:val="00A76001"/>
    <w:rsid w:val="00A85689"/>
    <w:rsid w:val="00A8757F"/>
    <w:rsid w:val="00AA7D9B"/>
    <w:rsid w:val="00AC3331"/>
    <w:rsid w:val="00AC79BC"/>
    <w:rsid w:val="00AE603A"/>
    <w:rsid w:val="00AF1AE8"/>
    <w:rsid w:val="00AF1FFF"/>
    <w:rsid w:val="00AF3427"/>
    <w:rsid w:val="00AF70D5"/>
    <w:rsid w:val="00B1595B"/>
    <w:rsid w:val="00B177D4"/>
    <w:rsid w:val="00B23DF8"/>
    <w:rsid w:val="00B30845"/>
    <w:rsid w:val="00B32CAC"/>
    <w:rsid w:val="00B50348"/>
    <w:rsid w:val="00BB2092"/>
    <w:rsid w:val="00BC556D"/>
    <w:rsid w:val="00BD1AC1"/>
    <w:rsid w:val="00BD3336"/>
    <w:rsid w:val="00BE449C"/>
    <w:rsid w:val="00BE54FA"/>
    <w:rsid w:val="00C00BF1"/>
    <w:rsid w:val="00C141A5"/>
    <w:rsid w:val="00C4302A"/>
    <w:rsid w:val="00C44CE1"/>
    <w:rsid w:val="00C478AC"/>
    <w:rsid w:val="00C50AFA"/>
    <w:rsid w:val="00C6106E"/>
    <w:rsid w:val="00C62CAA"/>
    <w:rsid w:val="00CB1F14"/>
    <w:rsid w:val="00CB2B75"/>
    <w:rsid w:val="00CB3FD9"/>
    <w:rsid w:val="00CD1FF2"/>
    <w:rsid w:val="00CD2A4C"/>
    <w:rsid w:val="00CD3A2B"/>
    <w:rsid w:val="00CF6441"/>
    <w:rsid w:val="00D00E73"/>
    <w:rsid w:val="00D14DA0"/>
    <w:rsid w:val="00D27711"/>
    <w:rsid w:val="00D42A9F"/>
    <w:rsid w:val="00D51BAE"/>
    <w:rsid w:val="00D62B84"/>
    <w:rsid w:val="00D66C29"/>
    <w:rsid w:val="00D80DD1"/>
    <w:rsid w:val="00DB3DF1"/>
    <w:rsid w:val="00E00708"/>
    <w:rsid w:val="00E20F09"/>
    <w:rsid w:val="00E25E1B"/>
    <w:rsid w:val="00E42C0C"/>
    <w:rsid w:val="00E44F2B"/>
    <w:rsid w:val="00E46E42"/>
    <w:rsid w:val="00E54E2E"/>
    <w:rsid w:val="00E56E26"/>
    <w:rsid w:val="00E77426"/>
    <w:rsid w:val="00E802E5"/>
    <w:rsid w:val="00E82FDE"/>
    <w:rsid w:val="00E84D1A"/>
    <w:rsid w:val="00E86619"/>
    <w:rsid w:val="00EA0F7A"/>
    <w:rsid w:val="00EC4C69"/>
    <w:rsid w:val="00EC666E"/>
    <w:rsid w:val="00ED0B44"/>
    <w:rsid w:val="00ED0D66"/>
    <w:rsid w:val="00EE2B21"/>
    <w:rsid w:val="00EF0C48"/>
    <w:rsid w:val="00F01063"/>
    <w:rsid w:val="00F033B8"/>
    <w:rsid w:val="00F3113C"/>
    <w:rsid w:val="00F438E8"/>
    <w:rsid w:val="00F47E8C"/>
    <w:rsid w:val="00F66FE5"/>
    <w:rsid w:val="00F67377"/>
    <w:rsid w:val="00F67965"/>
    <w:rsid w:val="00F759E8"/>
    <w:rsid w:val="00F86603"/>
    <w:rsid w:val="00F918F2"/>
    <w:rsid w:val="00F9456E"/>
    <w:rsid w:val="00FB1C4C"/>
    <w:rsid w:val="00FB2385"/>
    <w:rsid w:val="00FE6A1D"/>
    <w:rsid w:val="00FF4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87D80"/>
    <w:rPr>
      <w:rFonts w:ascii="Tahoma" w:hAnsi="Tahoma" w:cs="Tahoma"/>
      <w:sz w:val="16"/>
      <w:szCs w:val="16"/>
    </w:rPr>
  </w:style>
  <w:style w:type="character" w:styleId="PageNumber">
    <w:name w:val="page number"/>
    <w:basedOn w:val="DefaultParagraphFont"/>
    <w:rsid w:val="00794553"/>
  </w:style>
  <w:style w:type="character" w:customStyle="1" w:styleId="st">
    <w:name w:val="st"/>
    <w:rsid w:val="00663B29"/>
  </w:style>
  <w:style w:type="character" w:styleId="Hyperlink">
    <w:name w:val="Hyperlink"/>
    <w:uiPriority w:val="99"/>
    <w:unhideWhenUsed/>
    <w:rsid w:val="00BE449C"/>
    <w:rPr>
      <w:color w:val="0000FF"/>
      <w:u w:val="single"/>
    </w:rPr>
  </w:style>
  <w:style w:type="character" w:styleId="FollowedHyperlink">
    <w:name w:val="FollowedHyperlink"/>
    <w:basedOn w:val="DefaultParagraphFont"/>
    <w:uiPriority w:val="99"/>
    <w:semiHidden/>
    <w:unhideWhenUsed/>
    <w:rsid w:val="00BE449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87D80"/>
    <w:rPr>
      <w:rFonts w:ascii="Tahoma" w:hAnsi="Tahoma" w:cs="Tahoma"/>
      <w:sz w:val="16"/>
      <w:szCs w:val="16"/>
    </w:rPr>
  </w:style>
  <w:style w:type="character" w:styleId="PageNumber">
    <w:name w:val="page number"/>
    <w:basedOn w:val="DefaultParagraphFont"/>
    <w:rsid w:val="00794553"/>
  </w:style>
  <w:style w:type="character" w:customStyle="1" w:styleId="st">
    <w:name w:val="st"/>
    <w:rsid w:val="00663B29"/>
  </w:style>
  <w:style w:type="character" w:styleId="Hyperlink">
    <w:name w:val="Hyperlink"/>
    <w:uiPriority w:val="99"/>
    <w:unhideWhenUsed/>
    <w:rsid w:val="00BE449C"/>
    <w:rPr>
      <w:color w:val="0000FF"/>
      <w:u w:val="single"/>
    </w:rPr>
  </w:style>
  <w:style w:type="character" w:styleId="FollowedHyperlink">
    <w:name w:val="FollowedHyperlink"/>
    <w:basedOn w:val="DefaultParagraphFont"/>
    <w:uiPriority w:val="99"/>
    <w:semiHidden/>
    <w:unhideWhenUsed/>
    <w:rsid w:val="00BE44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socalgas.com/regulatory/documents/cgr/2014%20CALIFORNIA%20GAS%20REPORT%20REDACTED%20WORKPAPERS_SOCALGAS.pdf" TargetMode="External"/><Relationship Id="rId18" Type="http://schemas.openxmlformats.org/officeDocument/2006/relationships/package" Target="embeddings/Microsoft_Excel_Worksheet4.xlsx"/><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nvoy.sempra.com/" TargetMode="External"/><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package" Target="embeddings/Microsoft_Excel_Worksheet3.xlsx"/><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Excel_Worksheet2.xlsx"/><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hyperlink" Target="http://www.socalgas.com/regulatory/documents/cgr/2014%20CALIFORNIA%20GAS%20REPORT%20REDACTED%20WORKPAPERS_SDGE.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5</Pages>
  <Words>675</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QUESTION 1:</vt:lpstr>
    </vt:vector>
  </TitlesOfParts>
  <Company>Sempra Energy</Company>
  <LinksUpToDate>false</LinksUpToDate>
  <CharactersWithSpaces>4831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 1:</dc:title>
  <dc:creator>Sempra Energy</dc:creator>
  <cp:lastModifiedBy>Mock, Joseph</cp:lastModifiedBy>
  <cp:revision>9</cp:revision>
  <cp:lastPrinted>2015-06-02T22:53:00Z</cp:lastPrinted>
  <dcterms:created xsi:type="dcterms:W3CDTF">2015-05-26T17:11:00Z</dcterms:created>
  <dcterms:modified xsi:type="dcterms:W3CDTF">2015-06-02T23:34:00Z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rtualVersion">
    <vt:lpwstr/>
  </property>
  <property fmtid="{D5CDD505-2E9C-101B-9397-08002B2CF9AE}" pid="3" name="VirtualDocId">
    <vt:lpwstr/>
  </property>
  <property fmtid="{D5CDD505-2E9C-101B-9397-08002B2CF9AE}" pid="5" name="_NewReviewCycle">
    <vt:lpwstr/>
  </property>
</Properties>
</file>