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C62CAA" w:rsidRPr="001D4131" w:rsidRDefault="00C62CAA" w:rsidP="005C6E7A">
      <w:pPr>
        <w:rPr>
          <w:rFonts w:ascii="Arial" w:hAnsi="Arial" w:cs="Arial"/>
        </w:rPr>
      </w:pPr>
    </w:p>
    <w:p w:rsidR="00663B29" w:rsidRDefault="00663B29"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B13F3F">
        <w:rPr>
          <w:rFonts w:ascii="Arial" w:hAnsi="Arial" w:cs="Arial"/>
          <w:b/>
          <w:u w:val="single"/>
        </w:rPr>
        <w:t>6.</w:t>
      </w:r>
      <w:r w:rsidRPr="00F759E8">
        <w:rPr>
          <w:rFonts w:ascii="Arial" w:hAnsi="Arial" w:cs="Arial"/>
          <w:b/>
          <w:u w:val="single"/>
        </w:rPr>
        <w:t>1:</w:t>
      </w:r>
    </w:p>
    <w:p w:rsidR="005F4287" w:rsidRPr="0031141C" w:rsidRDefault="005F4287" w:rsidP="005C6E7A">
      <w:pPr>
        <w:rPr>
          <w:rFonts w:ascii="Arial" w:hAnsi="Arial" w:cs="Arial"/>
        </w:rPr>
      </w:pPr>
    </w:p>
    <w:p w:rsidR="00B13F3F" w:rsidRPr="00B13F3F" w:rsidRDefault="00B13F3F" w:rsidP="00B13F3F">
      <w:pPr>
        <w:spacing w:line="360" w:lineRule="auto"/>
        <w:rPr>
          <w:rFonts w:ascii="Arial" w:hAnsi="Arial" w:cs="Arial"/>
          <w:b/>
          <w:u w:val="single"/>
        </w:rPr>
      </w:pPr>
      <w:r w:rsidRPr="00B13F3F">
        <w:rPr>
          <w:rFonts w:ascii="Arial" w:hAnsi="Arial" w:cs="Arial"/>
          <w:b/>
          <w:u w:val="single"/>
        </w:rPr>
        <w:t>The following questions are addressed to the Direct Testimony of Paul Borkovich:</w:t>
      </w:r>
    </w:p>
    <w:p w:rsidR="00B13F3F" w:rsidRPr="00B13F3F" w:rsidRDefault="00B13F3F" w:rsidP="00B13F3F">
      <w:pPr>
        <w:spacing w:line="360" w:lineRule="auto"/>
        <w:rPr>
          <w:rFonts w:ascii="Arial" w:hAnsi="Arial" w:cs="Arial"/>
          <w:u w:val="single"/>
        </w:rPr>
      </w:pPr>
    </w:p>
    <w:p w:rsidR="00B13F3F" w:rsidRPr="00B13F3F" w:rsidRDefault="00B13F3F" w:rsidP="006D4F05">
      <w:pPr>
        <w:pStyle w:val="ListParagraph"/>
        <w:ind w:left="1440"/>
        <w:rPr>
          <w:rFonts w:ascii="Arial" w:hAnsi="Arial" w:cs="Arial"/>
        </w:rPr>
      </w:pPr>
      <w:r w:rsidRPr="00B13F3F">
        <w:rPr>
          <w:rFonts w:ascii="Arial" w:hAnsi="Arial" w:cs="Arial"/>
        </w:rPr>
        <w:t>With respect to the discussion about the current CPOBA imbalance and cashout provisions on page 6:</w:t>
      </w:r>
    </w:p>
    <w:p w:rsidR="006D4F05" w:rsidRDefault="006D4F05" w:rsidP="006D4F05">
      <w:pPr>
        <w:pStyle w:val="ListParagraph"/>
        <w:ind w:left="1440"/>
        <w:rPr>
          <w:rFonts w:ascii="Arial" w:hAnsi="Arial" w:cs="Arial"/>
        </w:rPr>
      </w:pPr>
    </w:p>
    <w:p w:rsidR="00B13F3F" w:rsidRPr="00B13F3F" w:rsidRDefault="00B13F3F" w:rsidP="006D4F05">
      <w:pPr>
        <w:pStyle w:val="ListParagraph"/>
        <w:numPr>
          <w:ilvl w:val="1"/>
          <w:numId w:val="21"/>
        </w:numPr>
        <w:ind w:left="1440" w:hanging="1080"/>
        <w:rPr>
          <w:rFonts w:ascii="Arial" w:hAnsi="Arial" w:cs="Arial"/>
        </w:rPr>
      </w:pPr>
      <w:r w:rsidRPr="00B13F3F">
        <w:rPr>
          <w:rFonts w:ascii="Arial" w:hAnsi="Arial" w:cs="Arial"/>
        </w:rPr>
        <w:t>Please state the total CPOBA monthly imbalance amount in Dth for the three years, 2013-2015.</w:t>
      </w:r>
    </w:p>
    <w:p w:rsidR="00B13F3F" w:rsidRPr="00B13F3F" w:rsidRDefault="00B13F3F" w:rsidP="006D4F05">
      <w:pPr>
        <w:pStyle w:val="ListParagraph"/>
        <w:numPr>
          <w:ilvl w:val="1"/>
          <w:numId w:val="21"/>
        </w:numPr>
        <w:ind w:left="1440" w:hanging="1080"/>
        <w:rPr>
          <w:rFonts w:ascii="Arial" w:hAnsi="Arial" w:cs="Arial"/>
        </w:rPr>
      </w:pPr>
      <w:r w:rsidRPr="00B13F3F">
        <w:rPr>
          <w:rFonts w:ascii="Arial" w:hAnsi="Arial" w:cs="Arial"/>
        </w:rPr>
        <w:t xml:space="preserve">Please state the total CPOBA monthly </w:t>
      </w:r>
      <w:r w:rsidR="006D4F05" w:rsidRPr="00B13F3F">
        <w:rPr>
          <w:rFonts w:ascii="Arial" w:hAnsi="Arial" w:cs="Arial"/>
        </w:rPr>
        <w:t>cash out</w:t>
      </w:r>
      <w:r w:rsidRPr="00B13F3F">
        <w:rPr>
          <w:rFonts w:ascii="Arial" w:hAnsi="Arial" w:cs="Arial"/>
        </w:rPr>
        <w:t xml:space="preserve"> amount for over-deliveries in Dth (that is the cumulative amount of any positive imbalance quantities outside the specified tolerance band at the end of the payback period for all producers on the CPOBA) for the three years, 2013-2015.</w:t>
      </w:r>
    </w:p>
    <w:p w:rsidR="00B13F3F" w:rsidRPr="00B13F3F" w:rsidRDefault="00B13F3F" w:rsidP="006D4F05">
      <w:pPr>
        <w:pStyle w:val="ListParagraph"/>
        <w:numPr>
          <w:ilvl w:val="1"/>
          <w:numId w:val="21"/>
        </w:numPr>
        <w:ind w:left="1440" w:hanging="1080"/>
        <w:rPr>
          <w:rFonts w:ascii="Arial" w:hAnsi="Arial" w:cs="Arial"/>
        </w:rPr>
      </w:pPr>
      <w:r w:rsidRPr="00B13F3F">
        <w:rPr>
          <w:rFonts w:ascii="Arial" w:hAnsi="Arial" w:cs="Arial"/>
        </w:rPr>
        <w:t xml:space="preserve">Please state the total CPOBA monthly </w:t>
      </w:r>
      <w:r w:rsidR="006D4F05" w:rsidRPr="00B13F3F">
        <w:rPr>
          <w:rFonts w:ascii="Arial" w:hAnsi="Arial" w:cs="Arial"/>
        </w:rPr>
        <w:t>cash out</w:t>
      </w:r>
      <w:r w:rsidRPr="00B13F3F">
        <w:rPr>
          <w:rFonts w:ascii="Arial" w:hAnsi="Arial" w:cs="Arial"/>
        </w:rPr>
        <w:t xml:space="preserve"> amount for under-deliveries in Dth (that is the cumulative amount of any negative imbalance quantities outside the specified tolerance band at the end of the payback period for all producers on the CPOBA) for the three years, 2013-2015.</w:t>
      </w:r>
    </w:p>
    <w:p w:rsidR="00B13F3F" w:rsidRPr="00B13F3F" w:rsidRDefault="00B13F3F" w:rsidP="006D4F05">
      <w:pPr>
        <w:pStyle w:val="ListParagraph"/>
        <w:numPr>
          <w:ilvl w:val="1"/>
          <w:numId w:val="21"/>
        </w:numPr>
        <w:ind w:left="1440" w:hanging="1080"/>
        <w:rPr>
          <w:rFonts w:ascii="Arial" w:hAnsi="Arial" w:cs="Arial"/>
        </w:rPr>
      </w:pPr>
      <w:r w:rsidRPr="00B13F3F">
        <w:rPr>
          <w:rFonts w:ascii="Arial" w:hAnsi="Arial" w:cs="Arial"/>
        </w:rPr>
        <w:t xml:space="preserve">How has SoCalGas accounted for any CPOBA </w:t>
      </w:r>
      <w:r w:rsidR="006D4F05" w:rsidRPr="00B13F3F">
        <w:rPr>
          <w:rFonts w:ascii="Arial" w:hAnsi="Arial" w:cs="Arial"/>
        </w:rPr>
        <w:t>cash out</w:t>
      </w:r>
      <w:r w:rsidRPr="00B13F3F">
        <w:rPr>
          <w:rFonts w:ascii="Arial" w:hAnsi="Arial" w:cs="Arial"/>
        </w:rPr>
        <w:t xml:space="preserve"> amounts that have occurred during the last three years?</w:t>
      </w:r>
    </w:p>
    <w:p w:rsidR="00924832" w:rsidRPr="0031141C" w:rsidRDefault="00924832" w:rsidP="005C6E7A">
      <w:pPr>
        <w:rPr>
          <w:rFonts w:ascii="Arial" w:hAnsi="Arial" w:cs="Arial"/>
        </w:rPr>
      </w:pPr>
    </w:p>
    <w:p w:rsidR="0031141C" w:rsidRDefault="0031141C"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RESPONSE </w:t>
      </w:r>
      <w:r w:rsidR="00B13F3F">
        <w:rPr>
          <w:rFonts w:ascii="Arial" w:hAnsi="Arial" w:cs="Arial"/>
          <w:b/>
          <w:u w:val="single"/>
        </w:rPr>
        <w:t>6.</w:t>
      </w:r>
      <w:r w:rsidRPr="00F759E8">
        <w:rPr>
          <w:rFonts w:ascii="Arial" w:hAnsi="Arial" w:cs="Arial"/>
          <w:b/>
          <w:u w:val="single"/>
        </w:rPr>
        <w:t>1:</w:t>
      </w:r>
    </w:p>
    <w:p w:rsidR="006B5580" w:rsidRDefault="006B5580" w:rsidP="005C6E7A">
      <w:pPr>
        <w:rPr>
          <w:rFonts w:ascii="Arial" w:hAnsi="Arial" w:cs="Arial"/>
          <w:sz w:val="28"/>
          <w:szCs w:val="28"/>
        </w:rPr>
      </w:pPr>
    </w:p>
    <w:p w:rsidR="005C2AB8" w:rsidRDefault="00827630" w:rsidP="00827630">
      <w:pPr>
        <w:rPr>
          <w:rFonts w:ascii="Arial" w:hAnsi="Arial" w:cs="Arial"/>
        </w:rPr>
      </w:pPr>
      <w:r>
        <w:rPr>
          <w:rFonts w:ascii="Arial" w:hAnsi="Arial" w:cs="Arial"/>
        </w:rPr>
        <w:tab/>
      </w:r>
      <w:r w:rsidRPr="00827630">
        <w:rPr>
          <w:rFonts w:ascii="Arial" w:hAnsi="Arial" w:cs="Arial"/>
        </w:rPr>
        <w:t>6.1.1</w:t>
      </w:r>
      <w:r>
        <w:rPr>
          <w:rFonts w:ascii="Arial" w:hAnsi="Arial" w:cs="Arial"/>
        </w:rPr>
        <w:tab/>
      </w:r>
      <w:r w:rsidR="005C2AB8">
        <w:rPr>
          <w:rFonts w:ascii="Arial" w:hAnsi="Arial" w:cs="Arial"/>
        </w:rPr>
        <w:t>SoCalGas and SDG&amp;E object to this question on the grounds that it requests confidential customer information.  Without waiving these objections, and subject thereto, SoCalGas and SDG&amp;E respon</w:t>
      </w:r>
      <w:r w:rsidR="00C35C17">
        <w:rPr>
          <w:rFonts w:ascii="Arial" w:hAnsi="Arial" w:cs="Arial"/>
        </w:rPr>
        <w:t>d</w:t>
      </w:r>
      <w:r w:rsidR="005C2AB8">
        <w:rPr>
          <w:rFonts w:ascii="Arial" w:hAnsi="Arial" w:cs="Arial"/>
        </w:rPr>
        <w:t xml:space="preserve"> as follows:</w:t>
      </w:r>
    </w:p>
    <w:p w:rsidR="005C2AB8" w:rsidRDefault="005C2AB8" w:rsidP="00827630">
      <w:pPr>
        <w:rPr>
          <w:rFonts w:ascii="Arial" w:hAnsi="Arial" w:cs="Arial"/>
        </w:rPr>
      </w:pPr>
    </w:p>
    <w:p w:rsidR="00F67377" w:rsidRDefault="00827630" w:rsidP="00827630">
      <w:pPr>
        <w:rPr>
          <w:rFonts w:ascii="Arial" w:hAnsi="Arial" w:cs="Arial"/>
        </w:rPr>
      </w:pPr>
      <w:r>
        <w:rPr>
          <w:rFonts w:ascii="Arial" w:hAnsi="Arial" w:cs="Arial"/>
        </w:rPr>
        <w:t>The first two CPOBAs did not become effective until September 1, 2015.  The remainder went into effect on January 1, 201</w:t>
      </w:r>
      <w:r w:rsidR="002D609B">
        <w:rPr>
          <w:rFonts w:ascii="Arial" w:hAnsi="Arial" w:cs="Arial"/>
        </w:rPr>
        <w:t>6</w:t>
      </w:r>
      <w:r w:rsidR="00C35C17">
        <w:rPr>
          <w:rFonts w:ascii="Arial" w:hAnsi="Arial" w:cs="Arial"/>
        </w:rPr>
        <w:t>.</w:t>
      </w:r>
    </w:p>
    <w:p w:rsidR="00827630" w:rsidRDefault="00827630" w:rsidP="00827630">
      <w:pPr>
        <w:rPr>
          <w:rFonts w:ascii="Arial" w:hAnsi="Arial" w:cs="Arial"/>
        </w:rPr>
      </w:pPr>
    </w:p>
    <w:p w:rsidR="00827630" w:rsidRDefault="00827630" w:rsidP="00827630">
      <w:pPr>
        <w:rPr>
          <w:rFonts w:ascii="Arial" w:hAnsi="Arial" w:cs="Arial"/>
        </w:rPr>
      </w:pPr>
      <w:r>
        <w:rPr>
          <w:rFonts w:ascii="Arial" w:hAnsi="Arial" w:cs="Arial"/>
        </w:rPr>
        <w:tab/>
        <w:t>6.1.2</w:t>
      </w:r>
      <w:r>
        <w:rPr>
          <w:rFonts w:ascii="Arial" w:hAnsi="Arial" w:cs="Arial"/>
        </w:rPr>
        <w:tab/>
        <w:t>See Response 6.1.1</w:t>
      </w:r>
    </w:p>
    <w:p w:rsidR="00827630" w:rsidRDefault="00827630" w:rsidP="00827630">
      <w:pPr>
        <w:rPr>
          <w:rFonts w:ascii="Arial" w:hAnsi="Arial" w:cs="Arial"/>
        </w:rPr>
      </w:pPr>
    </w:p>
    <w:p w:rsidR="00827630" w:rsidRDefault="00827630" w:rsidP="00827630">
      <w:pPr>
        <w:rPr>
          <w:rFonts w:ascii="Arial" w:hAnsi="Arial" w:cs="Arial"/>
        </w:rPr>
      </w:pPr>
      <w:r>
        <w:rPr>
          <w:rFonts w:ascii="Arial" w:hAnsi="Arial" w:cs="Arial"/>
        </w:rPr>
        <w:tab/>
        <w:t>6.1.3</w:t>
      </w:r>
      <w:r>
        <w:rPr>
          <w:rFonts w:ascii="Arial" w:hAnsi="Arial" w:cs="Arial"/>
        </w:rPr>
        <w:tab/>
        <w:t>See Response 6.1.1</w:t>
      </w:r>
    </w:p>
    <w:p w:rsidR="00827630" w:rsidRDefault="00827630" w:rsidP="00827630">
      <w:pPr>
        <w:rPr>
          <w:rFonts w:ascii="Arial" w:hAnsi="Arial" w:cs="Arial"/>
        </w:rPr>
      </w:pPr>
    </w:p>
    <w:p w:rsidR="00827630" w:rsidRPr="00827630" w:rsidRDefault="00827630" w:rsidP="00827630">
      <w:pPr>
        <w:rPr>
          <w:rFonts w:ascii="Arial" w:hAnsi="Arial" w:cs="Arial"/>
        </w:rPr>
      </w:pPr>
      <w:r>
        <w:rPr>
          <w:rFonts w:ascii="Arial" w:hAnsi="Arial" w:cs="Arial"/>
        </w:rPr>
        <w:tab/>
        <w:t>6.1.4</w:t>
      </w:r>
      <w:r>
        <w:rPr>
          <w:rFonts w:ascii="Arial" w:hAnsi="Arial" w:cs="Arial"/>
        </w:rPr>
        <w:tab/>
        <w:t xml:space="preserve">The application is requesting approval of the accounting treatment for CPOBA </w:t>
      </w:r>
      <w:r w:rsidR="006947C7">
        <w:rPr>
          <w:rFonts w:ascii="Arial" w:hAnsi="Arial" w:cs="Arial"/>
        </w:rPr>
        <w:tab/>
      </w:r>
      <w:r w:rsidR="006947C7">
        <w:rPr>
          <w:rFonts w:ascii="Arial" w:hAnsi="Arial" w:cs="Arial"/>
        </w:rPr>
        <w:tab/>
      </w:r>
      <w:r w:rsidR="006947C7">
        <w:rPr>
          <w:rFonts w:ascii="Arial" w:hAnsi="Arial" w:cs="Arial"/>
        </w:rPr>
        <w:tab/>
      </w:r>
      <w:r>
        <w:rPr>
          <w:rFonts w:ascii="Arial" w:hAnsi="Arial" w:cs="Arial"/>
        </w:rPr>
        <w:t>cashout revenue.</w:t>
      </w:r>
    </w:p>
    <w:p w:rsidR="00A85689" w:rsidRDefault="00F67377" w:rsidP="004C0B63">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B13F3F" w:rsidRDefault="00B13F3F"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B13F3F">
        <w:rPr>
          <w:rFonts w:ascii="Arial" w:hAnsi="Arial" w:cs="Arial"/>
          <w:b/>
          <w:u w:val="single"/>
        </w:rPr>
        <w:t>6.</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B13F3F" w:rsidRPr="00B13F3F" w:rsidRDefault="00B13F3F" w:rsidP="006D4F05">
      <w:pPr>
        <w:pStyle w:val="ListParagraph"/>
        <w:ind w:left="0"/>
        <w:rPr>
          <w:rFonts w:ascii="Arial" w:hAnsi="Arial" w:cs="Arial"/>
        </w:rPr>
      </w:pPr>
      <w:r w:rsidRPr="00B13F3F">
        <w:rPr>
          <w:rFonts w:ascii="Arial" w:hAnsi="Arial" w:cs="Arial"/>
        </w:rPr>
        <w:t>Under SoCalGas’ proposed producer imbalance aggregation approach, would SoCalGas expect the monthly imbalance amount to diminish relative to the levels experienced under the current CPOBA arrangements over the last three years?</w:t>
      </w:r>
    </w:p>
    <w:p w:rsidR="005F4287" w:rsidRPr="0031141C" w:rsidRDefault="005F4287" w:rsidP="00F67377">
      <w:pPr>
        <w:rPr>
          <w:rFonts w:ascii="Arial" w:hAnsi="Arial" w:cs="Arial"/>
        </w:rPr>
      </w:pPr>
    </w:p>
    <w:p w:rsidR="00582C14" w:rsidRPr="0031141C" w:rsidRDefault="00582C14" w:rsidP="00F67377">
      <w:pPr>
        <w:rPr>
          <w:rFonts w:ascii="Arial" w:hAnsi="Arial" w:cs="Arial"/>
          <w:b/>
        </w:rPr>
      </w:pPr>
    </w:p>
    <w:p w:rsidR="00E97542" w:rsidRDefault="00F67377" w:rsidP="00F67377">
      <w:pPr>
        <w:rPr>
          <w:rFonts w:ascii="Arial" w:hAnsi="Arial" w:cs="Arial"/>
        </w:rPr>
      </w:pPr>
      <w:r w:rsidRPr="00F759E8">
        <w:rPr>
          <w:rFonts w:ascii="Arial" w:hAnsi="Arial" w:cs="Arial"/>
          <w:b/>
          <w:u w:val="single"/>
        </w:rPr>
        <w:t xml:space="preserve">RESPONSE </w:t>
      </w:r>
      <w:r w:rsidR="00B13F3F">
        <w:rPr>
          <w:rFonts w:ascii="Arial" w:hAnsi="Arial" w:cs="Arial"/>
          <w:b/>
          <w:u w:val="single"/>
        </w:rPr>
        <w:t>6.</w:t>
      </w:r>
      <w:r>
        <w:rPr>
          <w:rFonts w:ascii="Arial" w:hAnsi="Arial" w:cs="Arial"/>
          <w:b/>
          <w:u w:val="single"/>
        </w:rPr>
        <w:t>2</w:t>
      </w:r>
      <w:r w:rsidRPr="00F759E8">
        <w:rPr>
          <w:rFonts w:ascii="Arial" w:hAnsi="Arial" w:cs="Arial"/>
          <w:b/>
          <w:u w:val="single"/>
        </w:rPr>
        <w:t>:</w:t>
      </w:r>
    </w:p>
    <w:p w:rsidR="00E97542" w:rsidRDefault="00E97542" w:rsidP="00F67377">
      <w:pPr>
        <w:rPr>
          <w:rFonts w:ascii="Arial" w:hAnsi="Arial" w:cs="Arial"/>
        </w:rPr>
      </w:pPr>
    </w:p>
    <w:p w:rsidR="00F67377" w:rsidRPr="00823F94" w:rsidRDefault="00823F94" w:rsidP="00F67377">
      <w:pPr>
        <w:rPr>
          <w:rFonts w:ascii="Arial" w:hAnsi="Arial" w:cs="Arial"/>
        </w:rPr>
      </w:pPr>
      <w:r w:rsidRPr="00823F94">
        <w:rPr>
          <w:rFonts w:ascii="Arial" w:hAnsi="Arial" w:cs="Arial"/>
        </w:rPr>
        <w:t xml:space="preserve">Most of the CPOBAs have </w:t>
      </w:r>
      <w:r>
        <w:rPr>
          <w:rFonts w:ascii="Arial" w:hAnsi="Arial" w:cs="Arial"/>
        </w:rPr>
        <w:t xml:space="preserve">just </w:t>
      </w:r>
      <w:r w:rsidRPr="00823F94">
        <w:rPr>
          <w:rFonts w:ascii="Arial" w:hAnsi="Arial" w:cs="Arial"/>
        </w:rPr>
        <w:t>gone into effect on January 1,</w:t>
      </w:r>
      <w:r>
        <w:rPr>
          <w:rFonts w:ascii="Arial" w:hAnsi="Arial" w:cs="Arial"/>
        </w:rPr>
        <w:t xml:space="preserve"> </w:t>
      </w:r>
      <w:r w:rsidR="00E97542">
        <w:rPr>
          <w:rFonts w:ascii="Arial" w:hAnsi="Arial" w:cs="Arial"/>
        </w:rPr>
        <w:t xml:space="preserve">2016.  There is no </w:t>
      </w:r>
      <w:r w:rsidRPr="00823F94">
        <w:rPr>
          <w:rFonts w:ascii="Arial" w:hAnsi="Arial" w:cs="Arial"/>
        </w:rPr>
        <w:t xml:space="preserve">monthly imbalance or </w:t>
      </w:r>
      <w:proofErr w:type="spellStart"/>
      <w:r w:rsidRPr="00823F94">
        <w:rPr>
          <w:rFonts w:ascii="Arial" w:hAnsi="Arial" w:cs="Arial"/>
        </w:rPr>
        <w:t>cashout</w:t>
      </w:r>
      <w:proofErr w:type="spellEnd"/>
      <w:r w:rsidRPr="00823F94">
        <w:rPr>
          <w:rFonts w:ascii="Arial" w:hAnsi="Arial" w:cs="Arial"/>
        </w:rPr>
        <w:t xml:space="preserve"> da</w:t>
      </w:r>
      <w:r w:rsidR="00E97542">
        <w:rPr>
          <w:rFonts w:ascii="Arial" w:hAnsi="Arial" w:cs="Arial"/>
        </w:rPr>
        <w:t xml:space="preserve">ta available yet to make a </w:t>
      </w:r>
      <w:r w:rsidR="002D609B">
        <w:rPr>
          <w:rFonts w:ascii="Arial" w:hAnsi="Arial" w:cs="Arial"/>
        </w:rPr>
        <w:t>comparison.</w:t>
      </w:r>
    </w:p>
    <w:p w:rsidR="00F67377" w:rsidRDefault="00F67377" w:rsidP="005C6E7A">
      <w:pPr>
        <w:rPr>
          <w:rFonts w:ascii="Arial" w:hAnsi="Arial" w:cs="Arial"/>
          <w:sz w:val="28"/>
          <w:szCs w:val="28"/>
        </w:rPr>
      </w:pPr>
    </w:p>
    <w:p w:rsidR="00823F94" w:rsidRDefault="00823F94" w:rsidP="005C6E7A">
      <w:pPr>
        <w:rPr>
          <w:rFonts w:ascii="Arial" w:hAnsi="Arial" w:cs="Arial"/>
          <w:sz w:val="28"/>
          <w:szCs w:val="28"/>
        </w:rPr>
      </w:pPr>
    </w:p>
    <w:p w:rsidR="00F67377" w:rsidRDefault="00F67377" w:rsidP="005C6E7A">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B13F3F" w:rsidRDefault="00B13F3F"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B13F3F">
        <w:rPr>
          <w:rFonts w:ascii="Arial" w:hAnsi="Arial" w:cs="Arial"/>
          <w:b/>
          <w:u w:val="single"/>
        </w:rPr>
        <w:t>6.</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582C14" w:rsidRPr="0031141C" w:rsidRDefault="00B13F3F" w:rsidP="00F67377">
      <w:pPr>
        <w:rPr>
          <w:rFonts w:ascii="Arial" w:hAnsi="Arial" w:cs="Arial"/>
        </w:rPr>
      </w:pPr>
      <w:r w:rsidRPr="00B13F3F">
        <w:rPr>
          <w:rFonts w:ascii="Arial" w:hAnsi="Arial" w:cs="Arial"/>
        </w:rPr>
        <w:t>Please explain the response to the previous question.</w:t>
      </w:r>
    </w:p>
    <w:p w:rsidR="005F4287" w:rsidRPr="0031141C" w:rsidRDefault="005F4287" w:rsidP="00F67377">
      <w:pPr>
        <w:rPr>
          <w:rFonts w:ascii="Arial" w:hAnsi="Arial" w:cs="Arial"/>
        </w:rPr>
      </w:pPr>
    </w:p>
    <w:p w:rsidR="00B13F3F" w:rsidRDefault="00B13F3F" w:rsidP="00F67377">
      <w:pPr>
        <w:rPr>
          <w:rFonts w:ascii="Arial" w:hAnsi="Arial" w:cs="Arial"/>
          <w:b/>
          <w:u w:val="single"/>
        </w:rPr>
      </w:pPr>
    </w:p>
    <w:p w:rsidR="00E97542" w:rsidRDefault="00F67377" w:rsidP="00F67377">
      <w:pPr>
        <w:rPr>
          <w:rFonts w:ascii="Arial" w:hAnsi="Arial" w:cs="Arial"/>
        </w:rPr>
      </w:pPr>
      <w:r w:rsidRPr="00F759E8">
        <w:rPr>
          <w:rFonts w:ascii="Arial" w:hAnsi="Arial" w:cs="Arial"/>
          <w:b/>
          <w:u w:val="single"/>
        </w:rPr>
        <w:t xml:space="preserve">RESPONSE </w:t>
      </w:r>
      <w:r w:rsidR="00B13F3F">
        <w:rPr>
          <w:rFonts w:ascii="Arial" w:hAnsi="Arial" w:cs="Arial"/>
          <w:b/>
          <w:u w:val="single"/>
        </w:rPr>
        <w:t>6.</w:t>
      </w:r>
      <w:r>
        <w:rPr>
          <w:rFonts w:ascii="Arial" w:hAnsi="Arial" w:cs="Arial"/>
          <w:b/>
          <w:u w:val="single"/>
        </w:rPr>
        <w:t>3</w:t>
      </w:r>
      <w:r w:rsidRPr="00F759E8">
        <w:rPr>
          <w:rFonts w:ascii="Arial" w:hAnsi="Arial" w:cs="Arial"/>
          <w:b/>
          <w:u w:val="single"/>
        </w:rPr>
        <w:t>:</w:t>
      </w:r>
    </w:p>
    <w:p w:rsidR="00E97542" w:rsidRDefault="00E97542" w:rsidP="00F67377">
      <w:pPr>
        <w:rPr>
          <w:rFonts w:ascii="Arial" w:hAnsi="Arial" w:cs="Arial"/>
        </w:rPr>
      </w:pPr>
    </w:p>
    <w:p w:rsidR="00F67377" w:rsidRPr="00C02C2C" w:rsidRDefault="00C02C2C" w:rsidP="00F67377">
      <w:pPr>
        <w:rPr>
          <w:rFonts w:ascii="Arial" w:hAnsi="Arial" w:cs="Arial"/>
        </w:rPr>
      </w:pPr>
      <w:r>
        <w:rPr>
          <w:rFonts w:ascii="Arial" w:hAnsi="Arial" w:cs="Arial"/>
        </w:rPr>
        <w:t>See Response 6.2</w:t>
      </w:r>
      <w:r w:rsidR="00B0493B">
        <w:rPr>
          <w:rFonts w:ascii="Arial" w:hAnsi="Arial" w:cs="Arial"/>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B13F3F" w:rsidRDefault="00B13F3F"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sidR="00B13F3F">
        <w:rPr>
          <w:rFonts w:ascii="Arial" w:hAnsi="Arial" w:cs="Arial"/>
          <w:b/>
          <w:u w:val="single"/>
        </w:rPr>
        <w:t>6.</w:t>
      </w:r>
      <w:r>
        <w:rPr>
          <w:rFonts w:ascii="Arial" w:hAnsi="Arial" w:cs="Arial"/>
          <w:b/>
          <w:u w:val="single"/>
        </w:rPr>
        <w:t>4</w:t>
      </w:r>
      <w:r w:rsidRPr="00F759E8">
        <w:rPr>
          <w:rFonts w:ascii="Arial" w:hAnsi="Arial" w:cs="Arial"/>
          <w:b/>
          <w:u w:val="single"/>
        </w:rPr>
        <w:t>:</w:t>
      </w:r>
    </w:p>
    <w:p w:rsidR="00582C14" w:rsidRPr="0031141C" w:rsidRDefault="00582C14" w:rsidP="00F67377">
      <w:pPr>
        <w:rPr>
          <w:rFonts w:ascii="Arial" w:hAnsi="Arial" w:cs="Arial"/>
        </w:rPr>
      </w:pPr>
    </w:p>
    <w:p w:rsidR="005F4287" w:rsidRPr="0031141C" w:rsidRDefault="00B13F3F" w:rsidP="006B5EE7">
      <w:pPr>
        <w:rPr>
          <w:rFonts w:ascii="Arial" w:hAnsi="Arial" w:cs="Arial"/>
        </w:rPr>
      </w:pPr>
      <w:r w:rsidRPr="00B13F3F">
        <w:rPr>
          <w:rFonts w:ascii="Arial" w:hAnsi="Arial" w:cs="Arial"/>
        </w:rPr>
        <w:t>Under SoCalGas’ proposed producer imbalance aggregation approach, would SoCalGas expect the monthly cash out amount to diminish relative to the levels experienced under the current CPOBA arrangements over the last three years?</w:t>
      </w:r>
    </w:p>
    <w:p w:rsidR="005F4287" w:rsidRPr="0031141C" w:rsidRDefault="005F4287" w:rsidP="00F67377">
      <w:pPr>
        <w:rPr>
          <w:rFonts w:ascii="Arial" w:hAnsi="Arial" w:cs="Arial"/>
        </w:rPr>
      </w:pPr>
    </w:p>
    <w:p w:rsidR="00B13F3F" w:rsidRDefault="00B13F3F" w:rsidP="00F67377">
      <w:pPr>
        <w:rPr>
          <w:rFonts w:ascii="Arial" w:hAnsi="Arial" w:cs="Arial"/>
          <w:b/>
          <w:u w:val="single"/>
        </w:rPr>
      </w:pPr>
    </w:p>
    <w:p w:rsidR="00E97542" w:rsidRDefault="00F67377" w:rsidP="00F67377">
      <w:pPr>
        <w:rPr>
          <w:rFonts w:ascii="Arial" w:hAnsi="Arial" w:cs="Arial"/>
        </w:rPr>
      </w:pPr>
      <w:r w:rsidRPr="00F759E8">
        <w:rPr>
          <w:rFonts w:ascii="Arial" w:hAnsi="Arial" w:cs="Arial"/>
          <w:b/>
          <w:u w:val="single"/>
        </w:rPr>
        <w:t xml:space="preserve">RESPONSE </w:t>
      </w:r>
      <w:r w:rsidR="00B13F3F">
        <w:rPr>
          <w:rFonts w:ascii="Arial" w:hAnsi="Arial" w:cs="Arial"/>
          <w:b/>
          <w:u w:val="single"/>
        </w:rPr>
        <w:t>6.</w:t>
      </w:r>
      <w:r>
        <w:rPr>
          <w:rFonts w:ascii="Arial" w:hAnsi="Arial" w:cs="Arial"/>
          <w:b/>
          <w:u w:val="single"/>
        </w:rPr>
        <w:t>4</w:t>
      </w:r>
      <w:r w:rsidRPr="00F759E8">
        <w:rPr>
          <w:rFonts w:ascii="Arial" w:hAnsi="Arial" w:cs="Arial"/>
          <w:b/>
          <w:u w:val="single"/>
        </w:rPr>
        <w:t>:</w:t>
      </w:r>
    </w:p>
    <w:p w:rsidR="00E97542" w:rsidRDefault="00E97542" w:rsidP="00F67377">
      <w:pPr>
        <w:rPr>
          <w:rFonts w:ascii="Arial" w:hAnsi="Arial" w:cs="Arial"/>
        </w:rPr>
      </w:pPr>
    </w:p>
    <w:p w:rsidR="00F67377" w:rsidRPr="00DA30B8" w:rsidRDefault="00DA30B8" w:rsidP="00F67377">
      <w:pPr>
        <w:rPr>
          <w:rFonts w:ascii="Arial" w:hAnsi="Arial" w:cs="Arial"/>
        </w:rPr>
      </w:pPr>
      <w:r>
        <w:rPr>
          <w:rFonts w:ascii="Arial" w:hAnsi="Arial" w:cs="Arial"/>
        </w:rPr>
        <w:t>See Response 6.2</w:t>
      </w:r>
      <w:r w:rsidR="00B0493B">
        <w:rPr>
          <w:rFonts w:ascii="Arial" w:hAnsi="Arial" w:cs="Arial"/>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F67377" w:rsidRPr="00DA30B8" w:rsidRDefault="00F67377" w:rsidP="00F67377">
      <w:pPr>
        <w:rPr>
          <w:rFonts w:ascii="Arial" w:hAnsi="Arial" w:cs="Arial"/>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B13F3F" w:rsidRDefault="00B13F3F"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sidR="00B13F3F">
        <w:rPr>
          <w:rFonts w:ascii="Arial" w:hAnsi="Arial" w:cs="Arial"/>
          <w:b/>
          <w:u w:val="single"/>
        </w:rPr>
        <w:t>6.</w:t>
      </w:r>
      <w:r>
        <w:rPr>
          <w:rFonts w:ascii="Arial" w:hAnsi="Arial" w:cs="Arial"/>
          <w:b/>
          <w:u w:val="single"/>
        </w:rPr>
        <w:t>5</w:t>
      </w:r>
      <w:r w:rsidRPr="00F759E8">
        <w:rPr>
          <w:rFonts w:ascii="Arial" w:hAnsi="Arial" w:cs="Arial"/>
          <w:b/>
          <w:u w:val="single"/>
        </w:rPr>
        <w:t>:</w:t>
      </w:r>
    </w:p>
    <w:p w:rsidR="005F4287" w:rsidRPr="0031141C" w:rsidRDefault="005F4287" w:rsidP="00F67377">
      <w:pPr>
        <w:rPr>
          <w:rFonts w:ascii="Arial" w:hAnsi="Arial" w:cs="Arial"/>
        </w:rPr>
      </w:pPr>
    </w:p>
    <w:p w:rsidR="00582C14" w:rsidRPr="0031141C" w:rsidRDefault="00B13F3F" w:rsidP="00F67377">
      <w:pPr>
        <w:rPr>
          <w:rFonts w:ascii="Arial" w:hAnsi="Arial" w:cs="Arial"/>
        </w:rPr>
      </w:pPr>
      <w:r w:rsidRPr="00B13F3F">
        <w:rPr>
          <w:rFonts w:ascii="Arial" w:hAnsi="Arial" w:cs="Arial"/>
        </w:rPr>
        <w:t>Please explain the response to the previous question.</w:t>
      </w:r>
    </w:p>
    <w:p w:rsidR="00F67377" w:rsidRPr="0031141C" w:rsidRDefault="00F67377" w:rsidP="00F67377">
      <w:pPr>
        <w:rPr>
          <w:rFonts w:ascii="Arial" w:hAnsi="Arial" w:cs="Arial"/>
        </w:rPr>
      </w:pPr>
    </w:p>
    <w:p w:rsidR="00B13F3F" w:rsidRDefault="00B13F3F" w:rsidP="00F67377">
      <w:pPr>
        <w:rPr>
          <w:rFonts w:ascii="Arial" w:hAnsi="Arial" w:cs="Arial"/>
          <w:b/>
          <w:u w:val="single"/>
        </w:rPr>
      </w:pPr>
    </w:p>
    <w:p w:rsidR="00E97542" w:rsidRDefault="00F67377" w:rsidP="00F67377">
      <w:pPr>
        <w:rPr>
          <w:rFonts w:ascii="Arial" w:hAnsi="Arial" w:cs="Arial"/>
        </w:rPr>
      </w:pPr>
      <w:r w:rsidRPr="00F759E8">
        <w:rPr>
          <w:rFonts w:ascii="Arial" w:hAnsi="Arial" w:cs="Arial"/>
          <w:b/>
          <w:u w:val="single"/>
        </w:rPr>
        <w:t xml:space="preserve">RESPONSE </w:t>
      </w:r>
      <w:r w:rsidR="00B13F3F">
        <w:rPr>
          <w:rFonts w:ascii="Arial" w:hAnsi="Arial" w:cs="Arial"/>
          <w:b/>
          <w:u w:val="single"/>
        </w:rPr>
        <w:t>6.</w:t>
      </w:r>
      <w:r>
        <w:rPr>
          <w:rFonts w:ascii="Arial" w:hAnsi="Arial" w:cs="Arial"/>
          <w:b/>
          <w:u w:val="single"/>
        </w:rPr>
        <w:t>5</w:t>
      </w:r>
      <w:r w:rsidRPr="00F759E8">
        <w:rPr>
          <w:rFonts w:ascii="Arial" w:hAnsi="Arial" w:cs="Arial"/>
          <w:b/>
          <w:u w:val="single"/>
        </w:rPr>
        <w:t>:</w:t>
      </w:r>
    </w:p>
    <w:p w:rsidR="00E97542" w:rsidRDefault="00E97542" w:rsidP="00F67377">
      <w:pPr>
        <w:rPr>
          <w:rFonts w:ascii="Arial" w:hAnsi="Arial" w:cs="Arial"/>
        </w:rPr>
      </w:pPr>
    </w:p>
    <w:p w:rsidR="00F67377" w:rsidRPr="00DA30B8" w:rsidRDefault="00DA30B8" w:rsidP="00F67377">
      <w:pPr>
        <w:rPr>
          <w:rFonts w:ascii="Arial" w:hAnsi="Arial" w:cs="Arial"/>
        </w:rPr>
      </w:pPr>
      <w:r>
        <w:rPr>
          <w:rFonts w:ascii="Arial" w:hAnsi="Arial" w:cs="Arial"/>
        </w:rPr>
        <w:t>See Response 6.2</w:t>
      </w:r>
      <w:r w:rsidR="00B0493B">
        <w:rPr>
          <w:rFonts w:ascii="Arial" w:hAnsi="Arial" w:cs="Arial"/>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B13F3F" w:rsidRDefault="00B13F3F"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B13F3F">
        <w:rPr>
          <w:rFonts w:ascii="Arial" w:hAnsi="Arial" w:cs="Arial"/>
          <w:b/>
          <w:u w:val="single"/>
        </w:rPr>
        <w:t>6.</w:t>
      </w:r>
      <w:r>
        <w:rPr>
          <w:rFonts w:ascii="Arial" w:hAnsi="Arial" w:cs="Arial"/>
          <w:b/>
          <w:u w:val="single"/>
        </w:rPr>
        <w:t>6</w:t>
      </w:r>
      <w:r w:rsidRPr="00F759E8">
        <w:rPr>
          <w:rFonts w:ascii="Arial" w:hAnsi="Arial" w:cs="Arial"/>
          <w:b/>
          <w:u w:val="single"/>
        </w:rPr>
        <w:t>:</w:t>
      </w:r>
    </w:p>
    <w:p w:rsidR="00F67377" w:rsidRPr="0031141C" w:rsidRDefault="00F67377" w:rsidP="00F67377">
      <w:pPr>
        <w:rPr>
          <w:rFonts w:ascii="Arial" w:hAnsi="Arial" w:cs="Arial"/>
        </w:rPr>
      </w:pPr>
    </w:p>
    <w:p w:rsidR="00582C14" w:rsidRPr="0031141C" w:rsidRDefault="00B13F3F" w:rsidP="006B5EE7">
      <w:pPr>
        <w:rPr>
          <w:rFonts w:ascii="Arial" w:hAnsi="Arial" w:cs="Arial"/>
        </w:rPr>
      </w:pPr>
      <w:r w:rsidRPr="00B13F3F">
        <w:rPr>
          <w:rFonts w:ascii="Arial" w:hAnsi="Arial" w:cs="Arial"/>
        </w:rPr>
        <w:t>Please explain how the Operational Hub would buy or sell gas in support of pipeline OBA resolution.</w:t>
      </w:r>
    </w:p>
    <w:p w:rsidR="00F67377" w:rsidRPr="0031141C" w:rsidRDefault="00F67377" w:rsidP="00F67377">
      <w:pPr>
        <w:rPr>
          <w:rFonts w:ascii="Arial" w:hAnsi="Arial" w:cs="Arial"/>
        </w:rPr>
      </w:pPr>
    </w:p>
    <w:p w:rsidR="00B13F3F" w:rsidRDefault="00B13F3F" w:rsidP="00F67377">
      <w:pPr>
        <w:rPr>
          <w:rFonts w:ascii="Arial" w:hAnsi="Arial" w:cs="Arial"/>
          <w:b/>
          <w:u w:val="single"/>
        </w:rPr>
      </w:pPr>
    </w:p>
    <w:p w:rsidR="00E97542" w:rsidRDefault="00F67377" w:rsidP="00F67377">
      <w:pPr>
        <w:rPr>
          <w:rFonts w:ascii="Arial" w:hAnsi="Arial" w:cs="Arial"/>
        </w:rPr>
      </w:pPr>
      <w:r w:rsidRPr="00F759E8">
        <w:rPr>
          <w:rFonts w:ascii="Arial" w:hAnsi="Arial" w:cs="Arial"/>
          <w:b/>
          <w:u w:val="single"/>
        </w:rPr>
        <w:t xml:space="preserve">RESPONSE </w:t>
      </w:r>
      <w:r w:rsidR="00B13F3F">
        <w:rPr>
          <w:rFonts w:ascii="Arial" w:hAnsi="Arial" w:cs="Arial"/>
          <w:b/>
          <w:u w:val="single"/>
        </w:rPr>
        <w:t>6.</w:t>
      </w:r>
      <w:r>
        <w:rPr>
          <w:rFonts w:ascii="Arial" w:hAnsi="Arial" w:cs="Arial"/>
          <w:b/>
          <w:u w:val="single"/>
        </w:rPr>
        <w:t>6</w:t>
      </w:r>
      <w:r w:rsidRPr="00F759E8">
        <w:rPr>
          <w:rFonts w:ascii="Arial" w:hAnsi="Arial" w:cs="Arial"/>
          <w:b/>
          <w:u w:val="single"/>
        </w:rPr>
        <w:t>:</w:t>
      </w:r>
    </w:p>
    <w:p w:rsidR="00E97542" w:rsidRDefault="00E97542" w:rsidP="00F67377">
      <w:pPr>
        <w:rPr>
          <w:rFonts w:ascii="Arial" w:hAnsi="Arial" w:cs="Arial"/>
        </w:rPr>
      </w:pPr>
    </w:p>
    <w:p w:rsidR="00F67377" w:rsidRPr="00835089" w:rsidRDefault="00835089" w:rsidP="00F67377">
      <w:pPr>
        <w:rPr>
          <w:rFonts w:ascii="Arial" w:hAnsi="Arial" w:cs="Arial"/>
        </w:rPr>
      </w:pPr>
      <w:r>
        <w:rPr>
          <w:rFonts w:ascii="Arial" w:hAnsi="Arial" w:cs="Arial"/>
        </w:rPr>
        <w:t xml:space="preserve">The net physical position from cashout activity would be purchased or sold by the Operational Hub at the SoCalGas </w:t>
      </w:r>
      <w:proofErr w:type="spellStart"/>
      <w:r>
        <w:rPr>
          <w:rFonts w:ascii="Arial" w:hAnsi="Arial" w:cs="Arial"/>
        </w:rPr>
        <w:t>City</w:t>
      </w:r>
      <w:r w:rsidR="00626E68">
        <w:rPr>
          <w:rFonts w:ascii="Arial" w:hAnsi="Arial" w:cs="Arial"/>
        </w:rPr>
        <w:t>g</w:t>
      </w:r>
      <w:r>
        <w:rPr>
          <w:rFonts w:ascii="Arial" w:hAnsi="Arial" w:cs="Arial"/>
        </w:rPr>
        <w:t>ate</w:t>
      </w:r>
      <w:proofErr w:type="spellEnd"/>
      <w:r>
        <w:rPr>
          <w:rFonts w:ascii="Arial" w:hAnsi="Arial" w:cs="Arial"/>
        </w:rPr>
        <w:t xml:space="preserve"> in a manner similar to purchase and sale activity for </w:t>
      </w:r>
      <w:r w:rsidR="00E97542">
        <w:rPr>
          <w:rFonts w:ascii="Arial" w:hAnsi="Arial" w:cs="Arial"/>
        </w:rPr>
        <w:t>Compressor Fuel.</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B13F3F" w:rsidRDefault="00B13F3F"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B13F3F">
        <w:rPr>
          <w:rFonts w:ascii="Arial" w:hAnsi="Arial" w:cs="Arial"/>
          <w:b/>
          <w:u w:val="single"/>
        </w:rPr>
        <w:t>6.</w:t>
      </w:r>
      <w:r>
        <w:rPr>
          <w:rFonts w:ascii="Arial" w:hAnsi="Arial" w:cs="Arial"/>
          <w:b/>
          <w:u w:val="single"/>
        </w:rPr>
        <w:t>7</w:t>
      </w:r>
      <w:r w:rsidRPr="00F759E8">
        <w:rPr>
          <w:rFonts w:ascii="Arial" w:hAnsi="Arial" w:cs="Arial"/>
          <w:b/>
          <w:u w:val="single"/>
        </w:rPr>
        <w:t>:</w:t>
      </w:r>
    </w:p>
    <w:p w:rsidR="00F67377" w:rsidRPr="0031141C" w:rsidRDefault="00F67377" w:rsidP="00F67377">
      <w:pPr>
        <w:rPr>
          <w:rFonts w:ascii="Arial" w:hAnsi="Arial" w:cs="Arial"/>
        </w:rPr>
      </w:pPr>
    </w:p>
    <w:p w:rsidR="00582C14" w:rsidRPr="0031141C" w:rsidRDefault="00B13F3F" w:rsidP="006B5EE7">
      <w:pPr>
        <w:rPr>
          <w:rFonts w:ascii="Arial" w:hAnsi="Arial" w:cs="Arial"/>
        </w:rPr>
      </w:pPr>
      <w:r w:rsidRPr="00B13F3F">
        <w:rPr>
          <w:rFonts w:ascii="Arial" w:hAnsi="Arial" w:cs="Arial"/>
        </w:rPr>
        <w:t>Under G-IMB, the buyback rate is applied to a customer’s cumulative positive transportation imbalance exceeding the 10 percent tolerance band.  How are the G-IMB buyback revenues accounted for by SoCalGas?</w:t>
      </w:r>
    </w:p>
    <w:p w:rsidR="00F67377" w:rsidRPr="0031141C" w:rsidRDefault="00F67377" w:rsidP="00F67377">
      <w:pPr>
        <w:rPr>
          <w:rFonts w:ascii="Arial" w:hAnsi="Arial" w:cs="Arial"/>
        </w:rPr>
      </w:pPr>
    </w:p>
    <w:p w:rsidR="00B13F3F" w:rsidRDefault="00B13F3F" w:rsidP="00F67377">
      <w:pPr>
        <w:rPr>
          <w:rFonts w:ascii="Arial" w:hAnsi="Arial" w:cs="Arial"/>
          <w:b/>
          <w:u w:val="single"/>
        </w:rPr>
      </w:pPr>
    </w:p>
    <w:p w:rsidR="00E97542" w:rsidRDefault="00F67377" w:rsidP="00F67377">
      <w:pPr>
        <w:rPr>
          <w:rFonts w:ascii="Arial" w:hAnsi="Arial" w:cs="Arial"/>
        </w:rPr>
      </w:pPr>
      <w:r w:rsidRPr="00F759E8">
        <w:rPr>
          <w:rFonts w:ascii="Arial" w:hAnsi="Arial" w:cs="Arial"/>
          <w:b/>
          <w:u w:val="single"/>
        </w:rPr>
        <w:t xml:space="preserve">RESPONSE </w:t>
      </w:r>
      <w:r w:rsidR="00B13F3F">
        <w:rPr>
          <w:rFonts w:ascii="Arial" w:hAnsi="Arial" w:cs="Arial"/>
          <w:b/>
          <w:u w:val="single"/>
        </w:rPr>
        <w:t>6.</w:t>
      </w:r>
      <w:r>
        <w:rPr>
          <w:rFonts w:ascii="Arial" w:hAnsi="Arial" w:cs="Arial"/>
          <w:b/>
          <w:u w:val="single"/>
        </w:rPr>
        <w:t>7</w:t>
      </w:r>
      <w:r w:rsidRPr="00F759E8">
        <w:rPr>
          <w:rFonts w:ascii="Arial" w:hAnsi="Arial" w:cs="Arial"/>
          <w:b/>
          <w:u w:val="single"/>
        </w:rPr>
        <w:t>:</w:t>
      </w:r>
    </w:p>
    <w:p w:rsidR="00E97542" w:rsidRDefault="00E97542" w:rsidP="00F67377">
      <w:pPr>
        <w:rPr>
          <w:rFonts w:ascii="Arial" w:hAnsi="Arial" w:cs="Arial"/>
        </w:rPr>
      </w:pPr>
    </w:p>
    <w:p w:rsidR="00F67377" w:rsidRPr="004B307F" w:rsidRDefault="002D609B" w:rsidP="00F67377">
      <w:pPr>
        <w:rPr>
          <w:rFonts w:ascii="Arial" w:hAnsi="Arial" w:cs="Arial"/>
        </w:rPr>
      </w:pPr>
      <w:r>
        <w:rPr>
          <w:rFonts w:ascii="Arial" w:hAnsi="Arial" w:cs="Arial"/>
        </w:rPr>
        <w:t>Per the Purchased Gas Account (PGA) Preliminary Statement, n</w:t>
      </w:r>
      <w:r w:rsidR="004B307F">
        <w:rPr>
          <w:rFonts w:ascii="Arial" w:hAnsi="Arial" w:cs="Arial"/>
        </w:rPr>
        <w:t xml:space="preserve">oncore standby and </w:t>
      </w:r>
      <w:r>
        <w:rPr>
          <w:rFonts w:ascii="Arial" w:hAnsi="Arial" w:cs="Arial"/>
        </w:rPr>
        <w:t>buyback services</w:t>
      </w:r>
      <w:r w:rsidR="004B307F">
        <w:rPr>
          <w:rFonts w:ascii="Arial" w:hAnsi="Arial" w:cs="Arial"/>
        </w:rPr>
        <w:t xml:space="preserve"> under Schedule No. G-IMB</w:t>
      </w:r>
      <w:r>
        <w:rPr>
          <w:rFonts w:ascii="Arial" w:hAnsi="Arial" w:cs="Arial"/>
        </w:rPr>
        <w:t>,</w:t>
      </w:r>
      <w:r w:rsidR="004B307F">
        <w:rPr>
          <w:rFonts w:ascii="Arial" w:hAnsi="Arial" w:cs="Arial"/>
        </w:rPr>
        <w:t xml:space="preserve"> excluding </w:t>
      </w:r>
      <w:r>
        <w:rPr>
          <w:rFonts w:ascii="Arial" w:hAnsi="Arial" w:cs="Arial"/>
        </w:rPr>
        <w:t xml:space="preserve">the </w:t>
      </w:r>
      <w:r w:rsidR="004B307F">
        <w:rPr>
          <w:rFonts w:ascii="Arial" w:hAnsi="Arial" w:cs="Arial"/>
        </w:rPr>
        <w:t xml:space="preserve">allowance for </w:t>
      </w:r>
      <w:r>
        <w:rPr>
          <w:rFonts w:ascii="Arial" w:hAnsi="Arial" w:cs="Arial"/>
        </w:rPr>
        <w:t>F</w:t>
      </w:r>
      <w:r w:rsidR="004B307F">
        <w:rPr>
          <w:rFonts w:ascii="Arial" w:hAnsi="Arial" w:cs="Arial"/>
        </w:rPr>
        <w:t>F</w:t>
      </w:r>
      <w:r w:rsidR="001B36A3">
        <w:rPr>
          <w:rFonts w:ascii="Arial" w:hAnsi="Arial" w:cs="Arial"/>
        </w:rPr>
        <w:t>&amp;U</w:t>
      </w:r>
      <w:r>
        <w:rPr>
          <w:rFonts w:ascii="Arial" w:hAnsi="Arial" w:cs="Arial"/>
        </w:rPr>
        <w:t>,</w:t>
      </w:r>
      <w:r w:rsidR="001B36A3">
        <w:rPr>
          <w:rFonts w:ascii="Arial" w:hAnsi="Arial" w:cs="Arial"/>
        </w:rPr>
        <w:t xml:space="preserve"> are booked as c</w:t>
      </w:r>
      <w:r>
        <w:rPr>
          <w:rFonts w:ascii="Arial" w:hAnsi="Arial" w:cs="Arial"/>
        </w:rPr>
        <w:t>redit entries</w:t>
      </w:r>
      <w:r w:rsidR="00E97542">
        <w:rPr>
          <w:rFonts w:ascii="Arial" w:hAnsi="Arial" w:cs="Arial"/>
        </w:rPr>
        <w:t xml:space="preserve"> to the </w:t>
      </w:r>
      <w:r w:rsidR="005C2AB8">
        <w:rPr>
          <w:rFonts w:ascii="Arial" w:hAnsi="Arial" w:cs="Arial"/>
        </w:rPr>
        <w:t>PGA</w:t>
      </w:r>
      <w:bookmarkStart w:id="0" w:name="_GoBack"/>
      <w:bookmarkEnd w:id="0"/>
      <w:r w:rsidR="001B36A3">
        <w:rPr>
          <w:rFonts w:ascii="Arial" w:hAnsi="Arial" w:cs="Arial"/>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B13F3F" w:rsidRDefault="00B13F3F"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B13F3F">
        <w:rPr>
          <w:rFonts w:ascii="Arial" w:hAnsi="Arial" w:cs="Arial"/>
          <w:b/>
          <w:u w:val="single"/>
        </w:rPr>
        <w:t>6.</w:t>
      </w:r>
      <w:r>
        <w:rPr>
          <w:rFonts w:ascii="Arial" w:hAnsi="Arial" w:cs="Arial"/>
          <w:b/>
          <w:u w:val="single"/>
        </w:rPr>
        <w:t>8</w:t>
      </w:r>
      <w:r w:rsidRPr="00F759E8">
        <w:rPr>
          <w:rFonts w:ascii="Arial" w:hAnsi="Arial" w:cs="Arial"/>
          <w:b/>
          <w:u w:val="single"/>
        </w:rPr>
        <w:t>:</w:t>
      </w:r>
    </w:p>
    <w:p w:rsidR="00F67377" w:rsidRPr="0031141C" w:rsidRDefault="00F67377" w:rsidP="00F67377">
      <w:pPr>
        <w:rPr>
          <w:rFonts w:ascii="Arial" w:hAnsi="Arial" w:cs="Arial"/>
        </w:rPr>
      </w:pPr>
    </w:p>
    <w:p w:rsidR="00582C14" w:rsidRPr="0031141C" w:rsidRDefault="00B13F3F" w:rsidP="006D4F05">
      <w:pPr>
        <w:rPr>
          <w:rFonts w:ascii="Arial" w:hAnsi="Arial" w:cs="Arial"/>
        </w:rPr>
      </w:pPr>
      <w:r w:rsidRPr="00B13F3F">
        <w:rPr>
          <w:rFonts w:ascii="Arial" w:hAnsi="Arial" w:cs="Arial"/>
        </w:rPr>
        <w:t>Please state the total monthly buyback amount in Dth (that is the cumulative amount of any positive imbalance quantities outside the 10 percent tolerance band) for the three years, 2013-2015.</w:t>
      </w:r>
    </w:p>
    <w:p w:rsidR="00F67377" w:rsidRPr="0031141C" w:rsidRDefault="00F67377" w:rsidP="00F67377">
      <w:pPr>
        <w:rPr>
          <w:rFonts w:ascii="Arial" w:hAnsi="Arial" w:cs="Arial"/>
        </w:rPr>
      </w:pPr>
    </w:p>
    <w:p w:rsidR="00B13F3F" w:rsidRDefault="00B13F3F" w:rsidP="00F67377">
      <w:pPr>
        <w:rPr>
          <w:rFonts w:ascii="Arial" w:hAnsi="Arial" w:cs="Arial"/>
          <w:b/>
          <w:u w:val="single"/>
        </w:rPr>
      </w:pPr>
    </w:p>
    <w:p w:rsidR="00E97542" w:rsidRDefault="00F67377" w:rsidP="00F67377">
      <w:pPr>
        <w:rPr>
          <w:rFonts w:ascii="Arial" w:hAnsi="Arial" w:cs="Arial"/>
        </w:rPr>
      </w:pPr>
      <w:r w:rsidRPr="00F759E8">
        <w:rPr>
          <w:rFonts w:ascii="Arial" w:hAnsi="Arial" w:cs="Arial"/>
          <w:b/>
          <w:u w:val="single"/>
        </w:rPr>
        <w:t xml:space="preserve">RESPONSE </w:t>
      </w:r>
      <w:r w:rsidR="00B13F3F">
        <w:rPr>
          <w:rFonts w:ascii="Arial" w:hAnsi="Arial" w:cs="Arial"/>
          <w:b/>
          <w:u w:val="single"/>
        </w:rPr>
        <w:t>6.</w:t>
      </w:r>
      <w:r>
        <w:rPr>
          <w:rFonts w:ascii="Arial" w:hAnsi="Arial" w:cs="Arial"/>
          <w:b/>
          <w:u w:val="single"/>
        </w:rPr>
        <w:t>8</w:t>
      </w:r>
      <w:r w:rsidRPr="00F759E8">
        <w:rPr>
          <w:rFonts w:ascii="Arial" w:hAnsi="Arial" w:cs="Arial"/>
          <w:b/>
          <w:u w:val="single"/>
        </w:rPr>
        <w:t>:</w:t>
      </w:r>
    </w:p>
    <w:p w:rsidR="00E97542" w:rsidRDefault="00E97542" w:rsidP="00F67377">
      <w:pPr>
        <w:rPr>
          <w:rFonts w:ascii="Arial" w:hAnsi="Arial" w:cs="Arial"/>
        </w:rPr>
      </w:pPr>
    </w:p>
    <w:p w:rsidR="00F67377" w:rsidRDefault="00633A71" w:rsidP="00F67377">
      <w:pPr>
        <w:rPr>
          <w:rFonts w:ascii="Arial" w:hAnsi="Arial" w:cs="Arial"/>
        </w:rPr>
      </w:pPr>
      <w:r>
        <w:rPr>
          <w:rFonts w:ascii="Arial" w:hAnsi="Arial" w:cs="Arial"/>
        </w:rPr>
        <w:t>Please see the Excel file below for the net mont</w:t>
      </w:r>
      <w:r w:rsidR="00E97542">
        <w:rPr>
          <w:rFonts w:ascii="Arial" w:hAnsi="Arial" w:cs="Arial"/>
        </w:rPr>
        <w:t>hly imbalance</w:t>
      </w:r>
      <w:r w:rsidR="002D609B">
        <w:rPr>
          <w:rFonts w:ascii="Arial" w:hAnsi="Arial" w:cs="Arial"/>
        </w:rPr>
        <w:t xml:space="preserve"> reported to the PGA</w:t>
      </w:r>
      <w:r>
        <w:rPr>
          <w:rFonts w:ascii="Arial" w:hAnsi="Arial" w:cs="Arial"/>
        </w:rPr>
        <w:t>.</w:t>
      </w:r>
    </w:p>
    <w:p w:rsidR="00A07F6E" w:rsidRDefault="00A07F6E" w:rsidP="00F67377">
      <w:pPr>
        <w:rPr>
          <w:rFonts w:ascii="Arial" w:hAnsi="Arial" w:cs="Arial"/>
        </w:rPr>
      </w:pPr>
    </w:p>
    <w:p w:rsidR="00A07F6E" w:rsidRPr="00633A71" w:rsidRDefault="00A07F6E" w:rsidP="00F67377">
      <w:pPr>
        <w:rPr>
          <w:rFonts w:ascii="Arial" w:hAnsi="Arial" w:cs="Arial"/>
        </w:rPr>
      </w:pPr>
      <w:r>
        <w:rPr>
          <w:rFonts w:ascii="Arial" w:hAnsi="Arial" w:cs="Arial"/>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Excel.Sheet.12" ShapeID="_x0000_i1025" DrawAspect="Icon" ObjectID="_1514808939" r:id="rId9"/>
        </w:objec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B13F3F" w:rsidRDefault="00B13F3F"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B13F3F">
        <w:rPr>
          <w:rFonts w:ascii="Arial" w:hAnsi="Arial" w:cs="Arial"/>
          <w:b/>
          <w:u w:val="single"/>
        </w:rPr>
        <w:t>6.</w:t>
      </w:r>
      <w:r>
        <w:rPr>
          <w:rFonts w:ascii="Arial" w:hAnsi="Arial" w:cs="Arial"/>
          <w:b/>
          <w:u w:val="single"/>
        </w:rPr>
        <w:t>9</w:t>
      </w:r>
      <w:r w:rsidRPr="00F759E8">
        <w:rPr>
          <w:rFonts w:ascii="Arial" w:hAnsi="Arial" w:cs="Arial"/>
          <w:b/>
          <w:u w:val="single"/>
        </w:rPr>
        <w:t>:</w:t>
      </w:r>
    </w:p>
    <w:p w:rsidR="00F67377" w:rsidRPr="0031141C" w:rsidRDefault="00F67377" w:rsidP="00F67377">
      <w:pPr>
        <w:rPr>
          <w:rFonts w:ascii="Arial" w:hAnsi="Arial" w:cs="Arial"/>
        </w:rPr>
      </w:pPr>
    </w:p>
    <w:p w:rsidR="00F67377" w:rsidRPr="0031141C" w:rsidRDefault="00B13F3F" w:rsidP="006D4F05">
      <w:pPr>
        <w:rPr>
          <w:rFonts w:ascii="Arial" w:hAnsi="Arial" w:cs="Arial"/>
        </w:rPr>
      </w:pPr>
      <w:r w:rsidRPr="00B13F3F">
        <w:rPr>
          <w:rFonts w:ascii="Arial" w:hAnsi="Arial" w:cs="Arial"/>
        </w:rPr>
        <w:t xml:space="preserve">Under G-IMB, the standby rate is applied to a customer’s cumulative negative transportation imbalance exceeding the 10 percent tolerance band.  How </w:t>
      </w:r>
      <w:proofErr w:type="gramStart"/>
      <w:r w:rsidRPr="00B13F3F">
        <w:rPr>
          <w:rFonts w:ascii="Arial" w:hAnsi="Arial" w:cs="Arial"/>
        </w:rPr>
        <w:t>are the G-IMB standby</w:t>
      </w:r>
      <w:proofErr w:type="gramEnd"/>
      <w:r w:rsidRPr="00B13F3F">
        <w:rPr>
          <w:rFonts w:ascii="Arial" w:hAnsi="Arial" w:cs="Arial"/>
        </w:rPr>
        <w:t xml:space="preserve"> revenues accounted for by SoCalGas?</w:t>
      </w:r>
    </w:p>
    <w:p w:rsidR="00582C14" w:rsidRPr="0031141C" w:rsidRDefault="00582C14" w:rsidP="00F67377">
      <w:pPr>
        <w:rPr>
          <w:rFonts w:ascii="Arial" w:hAnsi="Arial" w:cs="Arial"/>
        </w:rPr>
      </w:pPr>
    </w:p>
    <w:p w:rsidR="00B13F3F" w:rsidRDefault="00B13F3F" w:rsidP="00F67377">
      <w:pPr>
        <w:rPr>
          <w:rFonts w:ascii="Arial" w:hAnsi="Arial" w:cs="Arial"/>
          <w:b/>
          <w:u w:val="single"/>
        </w:rPr>
      </w:pPr>
    </w:p>
    <w:p w:rsidR="00E97542" w:rsidRDefault="00F67377" w:rsidP="00F67377">
      <w:pPr>
        <w:rPr>
          <w:rFonts w:ascii="Arial" w:hAnsi="Arial" w:cs="Arial"/>
        </w:rPr>
      </w:pPr>
      <w:r w:rsidRPr="00F759E8">
        <w:rPr>
          <w:rFonts w:ascii="Arial" w:hAnsi="Arial" w:cs="Arial"/>
          <w:b/>
          <w:u w:val="single"/>
        </w:rPr>
        <w:t>RESPONSE</w:t>
      </w:r>
      <w:r w:rsidR="00B13F3F">
        <w:rPr>
          <w:rFonts w:ascii="Arial" w:hAnsi="Arial" w:cs="Arial"/>
          <w:b/>
          <w:u w:val="single"/>
        </w:rPr>
        <w:t xml:space="preserve"> 6.</w:t>
      </w:r>
      <w:r>
        <w:rPr>
          <w:rFonts w:ascii="Arial" w:hAnsi="Arial" w:cs="Arial"/>
          <w:b/>
          <w:u w:val="single"/>
        </w:rPr>
        <w:t>9</w:t>
      </w:r>
      <w:r w:rsidRPr="00F759E8">
        <w:rPr>
          <w:rFonts w:ascii="Arial" w:hAnsi="Arial" w:cs="Arial"/>
          <w:b/>
          <w:u w:val="single"/>
        </w:rPr>
        <w:t>:</w:t>
      </w:r>
    </w:p>
    <w:p w:rsidR="00E97542" w:rsidRDefault="00E97542" w:rsidP="00F67377">
      <w:pPr>
        <w:rPr>
          <w:rFonts w:ascii="Arial" w:hAnsi="Arial" w:cs="Arial"/>
        </w:rPr>
      </w:pPr>
    </w:p>
    <w:p w:rsidR="00F67377" w:rsidRPr="00750E2B" w:rsidRDefault="00750E2B" w:rsidP="00F67377">
      <w:pPr>
        <w:rPr>
          <w:rFonts w:ascii="Arial" w:hAnsi="Arial" w:cs="Arial"/>
        </w:rPr>
      </w:pPr>
      <w:r>
        <w:rPr>
          <w:rFonts w:ascii="Arial" w:hAnsi="Arial" w:cs="Arial"/>
        </w:rPr>
        <w:t>See Response 6.7</w:t>
      </w:r>
      <w:r w:rsidR="002D609B">
        <w:rPr>
          <w:rFonts w:ascii="Arial" w:hAnsi="Arial" w:cs="Arial"/>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B13F3F" w:rsidRDefault="00B13F3F"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B13F3F">
        <w:rPr>
          <w:rFonts w:ascii="Arial" w:hAnsi="Arial" w:cs="Arial"/>
          <w:b/>
          <w:u w:val="single"/>
        </w:rPr>
        <w:t>6.</w:t>
      </w:r>
      <w:r w:rsidRPr="00F759E8">
        <w:rPr>
          <w:rFonts w:ascii="Arial" w:hAnsi="Arial" w:cs="Arial"/>
          <w:b/>
          <w:u w:val="single"/>
        </w:rPr>
        <w:t>1</w:t>
      </w:r>
      <w:r>
        <w:rPr>
          <w:rFonts w:ascii="Arial" w:hAnsi="Arial" w:cs="Arial"/>
          <w:b/>
          <w:u w:val="single"/>
        </w:rPr>
        <w:t>0</w:t>
      </w:r>
      <w:r w:rsidRPr="00F759E8">
        <w:rPr>
          <w:rFonts w:ascii="Arial" w:hAnsi="Arial" w:cs="Arial"/>
          <w:b/>
          <w:u w:val="single"/>
        </w:rPr>
        <w:t>:</w:t>
      </w:r>
    </w:p>
    <w:p w:rsidR="00582C14" w:rsidRPr="0031141C" w:rsidRDefault="00582C14" w:rsidP="00F67377">
      <w:pPr>
        <w:rPr>
          <w:rFonts w:ascii="Arial" w:hAnsi="Arial" w:cs="Arial"/>
        </w:rPr>
      </w:pPr>
    </w:p>
    <w:p w:rsidR="00F67377" w:rsidRPr="0031141C" w:rsidRDefault="00B13F3F" w:rsidP="006D4F05">
      <w:pPr>
        <w:rPr>
          <w:rFonts w:ascii="Arial" w:hAnsi="Arial" w:cs="Arial"/>
        </w:rPr>
      </w:pPr>
      <w:r w:rsidRPr="00B13F3F">
        <w:rPr>
          <w:rFonts w:ascii="Arial" w:hAnsi="Arial" w:cs="Arial"/>
        </w:rPr>
        <w:t>Please state the total monthly standby amount in Dth (that is the cumulative amount of any negative imbalance quantities outside the 10 percent tolerance band) for the three years, 2013-2015.</w:t>
      </w:r>
    </w:p>
    <w:p w:rsidR="00F67377" w:rsidRPr="0031141C" w:rsidRDefault="00F67377" w:rsidP="00F67377">
      <w:pPr>
        <w:rPr>
          <w:rFonts w:ascii="Arial" w:hAnsi="Arial" w:cs="Arial"/>
        </w:rPr>
      </w:pPr>
    </w:p>
    <w:p w:rsidR="00B13F3F" w:rsidRDefault="00B13F3F" w:rsidP="00F67377">
      <w:pPr>
        <w:rPr>
          <w:rFonts w:ascii="Arial" w:hAnsi="Arial" w:cs="Arial"/>
          <w:b/>
          <w:u w:val="single"/>
        </w:rPr>
      </w:pPr>
    </w:p>
    <w:p w:rsidR="00A07F6E" w:rsidRDefault="00F67377" w:rsidP="00F67377">
      <w:pPr>
        <w:rPr>
          <w:rFonts w:ascii="Arial" w:hAnsi="Arial" w:cs="Arial"/>
        </w:rPr>
      </w:pPr>
      <w:r w:rsidRPr="00F759E8">
        <w:rPr>
          <w:rFonts w:ascii="Arial" w:hAnsi="Arial" w:cs="Arial"/>
          <w:b/>
          <w:u w:val="single"/>
        </w:rPr>
        <w:t xml:space="preserve">RESPONSE </w:t>
      </w:r>
      <w:r w:rsidR="00B13F3F">
        <w:rPr>
          <w:rFonts w:ascii="Arial" w:hAnsi="Arial" w:cs="Arial"/>
          <w:b/>
          <w:u w:val="single"/>
        </w:rPr>
        <w:t>6.</w:t>
      </w:r>
      <w:r w:rsidRPr="00F759E8">
        <w:rPr>
          <w:rFonts w:ascii="Arial" w:hAnsi="Arial" w:cs="Arial"/>
          <w:b/>
          <w:u w:val="single"/>
        </w:rPr>
        <w:t>1</w:t>
      </w:r>
      <w:r>
        <w:rPr>
          <w:rFonts w:ascii="Arial" w:hAnsi="Arial" w:cs="Arial"/>
          <w:b/>
          <w:u w:val="single"/>
        </w:rPr>
        <w:t>0</w:t>
      </w:r>
      <w:r w:rsidRPr="00F759E8">
        <w:rPr>
          <w:rFonts w:ascii="Arial" w:hAnsi="Arial" w:cs="Arial"/>
          <w:b/>
          <w:u w:val="single"/>
        </w:rPr>
        <w:t>:</w:t>
      </w:r>
    </w:p>
    <w:p w:rsidR="00A07F6E" w:rsidRDefault="00A07F6E" w:rsidP="00F67377">
      <w:pPr>
        <w:rPr>
          <w:rFonts w:ascii="Arial" w:hAnsi="Arial" w:cs="Arial"/>
        </w:rPr>
      </w:pPr>
    </w:p>
    <w:p w:rsidR="00F67377" w:rsidRPr="00BB3BA9" w:rsidRDefault="00BB3BA9" w:rsidP="00F67377">
      <w:pPr>
        <w:rPr>
          <w:rFonts w:ascii="Arial" w:hAnsi="Arial" w:cs="Arial"/>
        </w:rPr>
      </w:pPr>
      <w:r>
        <w:rPr>
          <w:rFonts w:ascii="Arial" w:hAnsi="Arial" w:cs="Arial"/>
        </w:rPr>
        <w:t xml:space="preserve">See </w:t>
      </w:r>
      <w:r w:rsidR="00A07F6E">
        <w:rPr>
          <w:rFonts w:ascii="Arial" w:hAnsi="Arial" w:cs="Arial"/>
        </w:rPr>
        <w:t xml:space="preserve">the worksheet provided in </w:t>
      </w:r>
      <w:r>
        <w:rPr>
          <w:rFonts w:ascii="Arial" w:hAnsi="Arial" w:cs="Arial"/>
        </w:rPr>
        <w:t>Response 6.8</w:t>
      </w:r>
      <w:r w:rsidR="00A07F6E">
        <w:rPr>
          <w:rFonts w:ascii="Arial" w:hAnsi="Arial" w:cs="Arial"/>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sectPr w:rsidR="00F67377" w:rsidSect="009B540D">
      <w:headerReference w:type="default" r:id="rId10"/>
      <w:footerReference w:type="default" r:id="rId11"/>
      <w:pgSz w:w="12240" w:h="15840" w:code="1"/>
      <w:pgMar w:top="432" w:right="864" w:bottom="43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A1B" w:rsidRDefault="006C1A1B">
      <w:r>
        <w:separator/>
      </w:r>
    </w:p>
  </w:endnote>
  <w:endnote w:type="continuationSeparator" w:id="0">
    <w:p w:rsidR="006C1A1B" w:rsidRDefault="006C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C35C17">
      <w:rPr>
        <w:rStyle w:val="PageNumber"/>
        <w:rFonts w:ascii="Arial" w:hAnsi="Arial" w:cs="Arial"/>
        <w:noProof/>
      </w:rPr>
      <w:t>1</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A1B" w:rsidRDefault="006C1A1B">
      <w:r>
        <w:separator/>
      </w:r>
    </w:p>
  </w:footnote>
  <w:footnote w:type="continuationSeparator" w:id="0">
    <w:p w:rsidR="006C1A1B" w:rsidRDefault="006C1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APPLICATION OF SOUTHERN CALIFORNIA GAS COMPANY</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AND SAN DIEGO GAS &amp; ELECTRIC COMPANY</w:t>
    </w:r>
  </w:p>
  <w:p w:rsidR="001E5C86" w:rsidRDefault="00267335" w:rsidP="00267335">
    <w:pPr>
      <w:autoSpaceDE w:val="0"/>
      <w:autoSpaceDN w:val="0"/>
      <w:adjustRightInd w:val="0"/>
      <w:jc w:val="center"/>
      <w:rPr>
        <w:rFonts w:ascii="Arial" w:hAnsi="Arial" w:cs="Arial"/>
        <w:b/>
      </w:rPr>
    </w:pPr>
    <w:r w:rsidRPr="00267335">
      <w:rPr>
        <w:rFonts w:ascii="Arial" w:hAnsi="Arial" w:cs="Arial"/>
        <w:b/>
      </w:rPr>
      <w:t>FOR AUTHORITY TO REV</w:t>
    </w:r>
    <w:r w:rsidR="001E5C86">
      <w:rPr>
        <w:rFonts w:ascii="Arial" w:hAnsi="Arial" w:cs="Arial"/>
        <w:b/>
      </w:rPr>
      <w:t>I</w:t>
    </w:r>
    <w:r w:rsidRPr="00267335">
      <w:rPr>
        <w:rFonts w:ascii="Arial" w:hAnsi="Arial" w:cs="Arial"/>
        <w:b/>
      </w:rPr>
      <w:t xml:space="preserve">SE THEIR NATURAL GAS RATES </w:t>
    </w:r>
  </w:p>
  <w:p w:rsidR="001E5C86" w:rsidRDefault="00267335" w:rsidP="00267335">
    <w:pPr>
      <w:autoSpaceDE w:val="0"/>
      <w:autoSpaceDN w:val="0"/>
      <w:adjustRightInd w:val="0"/>
      <w:jc w:val="center"/>
      <w:rPr>
        <w:rFonts w:ascii="Arial" w:hAnsi="Arial" w:cs="Arial"/>
        <w:b/>
      </w:rPr>
    </w:pPr>
    <w:r w:rsidRPr="00267335">
      <w:rPr>
        <w:rFonts w:ascii="Arial" w:hAnsi="Arial" w:cs="Arial"/>
        <w:b/>
      </w:rPr>
      <w:t xml:space="preserve">EFFECTIVE JANUARY 1, 2017 IN THEIR </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 xml:space="preserve">TRIENNIAL COST ALLOCATION PROCEEDING </w:t>
    </w:r>
    <w:r w:rsidR="0086297C">
      <w:rPr>
        <w:rFonts w:ascii="Arial" w:hAnsi="Arial" w:cs="Arial"/>
        <w:b/>
      </w:rPr>
      <w:t>- PHASE 2</w:t>
    </w:r>
  </w:p>
  <w:p w:rsidR="00663B29" w:rsidRPr="00445088"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rPr>
    </w:pPr>
    <w:r w:rsidRPr="00663B29">
      <w:rPr>
        <w:rFonts w:ascii="Arial" w:hAnsi="Arial" w:cs="Arial"/>
        <w:b/>
      </w:rPr>
      <w:t>(A.1</w:t>
    </w:r>
    <w:r w:rsidR="004E625C">
      <w:rPr>
        <w:rFonts w:ascii="Arial" w:hAnsi="Arial" w:cs="Arial"/>
        <w:b/>
      </w:rPr>
      <w:t>5</w:t>
    </w:r>
    <w:r w:rsidRPr="00663B29">
      <w:rPr>
        <w:rFonts w:ascii="Arial" w:hAnsi="Arial" w:cs="Arial"/>
        <w:b/>
      </w:rPr>
      <w:t>-</w:t>
    </w:r>
    <w:r w:rsidR="004E625C">
      <w:rPr>
        <w:rFonts w:ascii="Arial" w:hAnsi="Arial" w:cs="Arial"/>
        <w:b/>
      </w:rPr>
      <w:t>07</w:t>
    </w:r>
    <w:r w:rsidRPr="00663B29">
      <w:rPr>
        <w:rFonts w:ascii="Arial" w:hAnsi="Arial" w:cs="Arial"/>
        <w:b/>
      </w:rPr>
      <w:t>-</w:t>
    </w:r>
    <w:r w:rsidR="001E5C86">
      <w:rPr>
        <w:rFonts w:ascii="Arial" w:hAnsi="Arial" w:cs="Arial"/>
        <w:b/>
      </w:rPr>
      <w:t>014</w:t>
    </w:r>
    <w:r w:rsidRPr="00663B29">
      <w:rPr>
        <w:rFonts w:ascii="Arial" w:hAnsi="Arial" w:cs="Arial"/>
        <w:b/>
      </w:rPr>
      <w:t>)</w:t>
    </w:r>
  </w:p>
  <w:p w:rsidR="00967F6A" w:rsidRDefault="00967F6A" w:rsidP="00F9456E">
    <w:pPr>
      <w:pStyle w:val="Header"/>
      <w:jc w:val="center"/>
      <w:rPr>
        <w:rFonts w:ascii="Arial" w:hAnsi="Arial" w:cs="Arial"/>
        <w:b/>
        <w:sz w:val="8"/>
        <w:szCs w:val="8"/>
      </w:rPr>
    </w:pPr>
  </w:p>
  <w:p w:rsidR="00300C57" w:rsidRPr="00C178B5" w:rsidRDefault="00300C57" w:rsidP="00F9456E">
    <w:pPr>
      <w:pStyle w:val="Header"/>
      <w:jc w:val="center"/>
      <w:rPr>
        <w:rFonts w:ascii="Arial" w:hAnsi="Arial" w:cs="Arial"/>
        <w:b/>
        <w:sz w:val="8"/>
        <w:szCs w:val="8"/>
      </w:rPr>
    </w:pPr>
  </w:p>
  <w:p w:rsidR="00967F6A" w:rsidRPr="00507F24" w:rsidRDefault="00AF3427" w:rsidP="00F9456E">
    <w:pPr>
      <w:pStyle w:val="Header"/>
      <w:jc w:val="center"/>
      <w:rPr>
        <w:rFonts w:ascii="Arial" w:hAnsi="Arial" w:cs="Arial"/>
        <w:b/>
      </w:rPr>
    </w:pPr>
    <w:r>
      <w:rPr>
        <w:rFonts w:ascii="Arial" w:hAnsi="Arial" w:cs="Arial"/>
        <w:b/>
      </w:rPr>
      <w:t>(</w:t>
    </w:r>
    <w:r w:rsidR="004666D9">
      <w:rPr>
        <w:rFonts w:ascii="Arial" w:hAnsi="Arial" w:cs="Arial"/>
        <w:b/>
      </w:rPr>
      <w:t>6</w:t>
    </w:r>
    <w:r w:rsidR="004666D9" w:rsidRPr="004666D9">
      <w:rPr>
        <w:rFonts w:ascii="Arial" w:hAnsi="Arial" w:cs="Arial"/>
        <w:b/>
        <w:vertAlign w:val="superscript"/>
      </w:rPr>
      <w:t>TH</w:t>
    </w:r>
    <w:r w:rsidR="004666D9">
      <w:rPr>
        <w:rFonts w:ascii="Arial" w:hAnsi="Arial" w:cs="Arial"/>
        <w:b/>
      </w:rPr>
      <w:t xml:space="preserve"> DATA REQUEST FROM SOUTHERN CALIFORNIA GENERATION COALITION</w:t>
    </w:r>
    <w:r>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w:t>
    </w:r>
    <w:r w:rsidR="009B540D">
      <w:rPr>
        <w:rFonts w:ascii="Arial" w:hAnsi="Arial" w:cs="Arial"/>
        <w:b/>
      </w:rPr>
      <w:t>________</w:t>
    </w:r>
    <w:r>
      <w:rPr>
        <w:rFonts w:ascii="Arial" w:hAnsi="Arial" w:cs="Arial"/>
        <w:b/>
      </w:rPr>
      <w:t>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0">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660F42"/>
    <w:multiLevelType w:val="multilevel"/>
    <w:tmpl w:val="3380432C"/>
    <w:lvl w:ilvl="0">
      <w:start w:val="1"/>
      <w:numFmt w:val="decimal"/>
      <w:lvlText w:val="6.%1."/>
      <w:lvlJc w:val="left"/>
      <w:pPr>
        <w:ind w:left="360" w:hanging="360"/>
      </w:pPr>
      <w:rPr>
        <w:rFonts w:hint="default"/>
      </w:rPr>
    </w:lvl>
    <w:lvl w:ilvl="1">
      <w:start w:val="1"/>
      <w:numFmt w:val="decimal"/>
      <w:lvlText w:val="6.%1.%2."/>
      <w:lvlJc w:val="left"/>
      <w:pPr>
        <w:ind w:left="792" w:hanging="432"/>
      </w:pPr>
      <w:rPr>
        <w:rFonts w:hint="default"/>
      </w:rPr>
    </w:lvl>
    <w:lvl w:ilvl="2">
      <w:start w:val="1"/>
      <w:numFmt w:val="decimal"/>
      <w:lvlText w:val="6.%1.%2.%3."/>
      <w:lvlJc w:val="left"/>
      <w:pPr>
        <w:ind w:left="1224" w:hanging="504"/>
      </w:pPr>
      <w:rPr>
        <w:rFonts w:hint="default"/>
      </w:rPr>
    </w:lvl>
    <w:lvl w:ilvl="3">
      <w:start w:val="1"/>
      <w:numFmt w:val="decimal"/>
      <w:lvlText w:val="6.%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A2548A"/>
    <w:multiLevelType w:val="hybridMultilevel"/>
    <w:tmpl w:val="E3A6E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1"/>
  </w:num>
  <w:num w:numId="3">
    <w:abstractNumId w:val="6"/>
  </w:num>
  <w:num w:numId="4">
    <w:abstractNumId w:val="19"/>
  </w:num>
  <w:num w:numId="5">
    <w:abstractNumId w:val="13"/>
  </w:num>
  <w:num w:numId="6">
    <w:abstractNumId w:val="18"/>
  </w:num>
  <w:num w:numId="7">
    <w:abstractNumId w:val="10"/>
  </w:num>
  <w:num w:numId="8">
    <w:abstractNumId w:val="20"/>
  </w:num>
  <w:num w:numId="9">
    <w:abstractNumId w:val="17"/>
  </w:num>
  <w:num w:numId="10">
    <w:abstractNumId w:val="7"/>
  </w:num>
  <w:num w:numId="11">
    <w:abstractNumId w:val="5"/>
  </w:num>
  <w:num w:numId="12">
    <w:abstractNumId w:val="3"/>
  </w:num>
  <w:num w:numId="13">
    <w:abstractNumId w:val="2"/>
  </w:num>
  <w:num w:numId="14">
    <w:abstractNumId w:val="14"/>
  </w:num>
  <w:num w:numId="15">
    <w:abstractNumId w:val="15"/>
  </w:num>
  <w:num w:numId="16">
    <w:abstractNumId w:val="11"/>
  </w:num>
  <w:num w:numId="17">
    <w:abstractNumId w:val="1"/>
  </w:num>
  <w:num w:numId="18">
    <w:abstractNumId w:val="8"/>
  </w:num>
  <w:num w:numId="19">
    <w:abstractNumId w:val="4"/>
  </w:num>
  <w:num w:numId="20">
    <w:abstractNumId w:val="9"/>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6804"/>
    <w:rsid w:val="000427F1"/>
    <w:rsid w:val="000445AE"/>
    <w:rsid w:val="000446FA"/>
    <w:rsid w:val="00050DEA"/>
    <w:rsid w:val="00054200"/>
    <w:rsid w:val="00062FD1"/>
    <w:rsid w:val="000973D6"/>
    <w:rsid w:val="000C0E9E"/>
    <w:rsid w:val="000D5EF6"/>
    <w:rsid w:val="000E2012"/>
    <w:rsid w:val="000E32F6"/>
    <w:rsid w:val="000E5737"/>
    <w:rsid w:val="000F0C29"/>
    <w:rsid w:val="00130F5D"/>
    <w:rsid w:val="00151F80"/>
    <w:rsid w:val="001576BC"/>
    <w:rsid w:val="00171E47"/>
    <w:rsid w:val="00171F7F"/>
    <w:rsid w:val="001754B0"/>
    <w:rsid w:val="001B2C3E"/>
    <w:rsid w:val="001B36A3"/>
    <w:rsid w:val="001D4131"/>
    <w:rsid w:val="001E4A11"/>
    <w:rsid w:val="001E5C86"/>
    <w:rsid w:val="001F22D6"/>
    <w:rsid w:val="001F2F28"/>
    <w:rsid w:val="002021F9"/>
    <w:rsid w:val="00214711"/>
    <w:rsid w:val="00215B6F"/>
    <w:rsid w:val="00217318"/>
    <w:rsid w:val="002447CF"/>
    <w:rsid w:val="00267335"/>
    <w:rsid w:val="002749B8"/>
    <w:rsid w:val="002A074C"/>
    <w:rsid w:val="002B7CDB"/>
    <w:rsid w:val="002C2AFC"/>
    <w:rsid w:val="002C432D"/>
    <w:rsid w:val="002D609B"/>
    <w:rsid w:val="002D7E7D"/>
    <w:rsid w:val="002E095B"/>
    <w:rsid w:val="00300C57"/>
    <w:rsid w:val="0031070C"/>
    <w:rsid w:val="0031141C"/>
    <w:rsid w:val="00335AB8"/>
    <w:rsid w:val="003405A5"/>
    <w:rsid w:val="00347ECE"/>
    <w:rsid w:val="00367398"/>
    <w:rsid w:val="003C64AC"/>
    <w:rsid w:val="003E7642"/>
    <w:rsid w:val="00405FCB"/>
    <w:rsid w:val="00442D6C"/>
    <w:rsid w:val="00443AB5"/>
    <w:rsid w:val="00445088"/>
    <w:rsid w:val="004628EB"/>
    <w:rsid w:val="004666D9"/>
    <w:rsid w:val="004710C7"/>
    <w:rsid w:val="004A11B8"/>
    <w:rsid w:val="004B00F4"/>
    <w:rsid w:val="004B1982"/>
    <w:rsid w:val="004B307F"/>
    <w:rsid w:val="004C0B63"/>
    <w:rsid w:val="004D1DD7"/>
    <w:rsid w:val="004E361C"/>
    <w:rsid w:val="004E625C"/>
    <w:rsid w:val="00507F24"/>
    <w:rsid w:val="005476B2"/>
    <w:rsid w:val="005757EF"/>
    <w:rsid w:val="00581DF1"/>
    <w:rsid w:val="00582C14"/>
    <w:rsid w:val="00586657"/>
    <w:rsid w:val="005945FF"/>
    <w:rsid w:val="00596EB7"/>
    <w:rsid w:val="005A54EE"/>
    <w:rsid w:val="005C2AB8"/>
    <w:rsid w:val="005C452D"/>
    <w:rsid w:val="005C5391"/>
    <w:rsid w:val="005C6E7A"/>
    <w:rsid w:val="005E3D81"/>
    <w:rsid w:val="005F1AAE"/>
    <w:rsid w:val="005F4287"/>
    <w:rsid w:val="006177F4"/>
    <w:rsid w:val="00626E68"/>
    <w:rsid w:val="00633A71"/>
    <w:rsid w:val="0063481C"/>
    <w:rsid w:val="00636BCF"/>
    <w:rsid w:val="0064053C"/>
    <w:rsid w:val="0065774B"/>
    <w:rsid w:val="00657A12"/>
    <w:rsid w:val="00657ADE"/>
    <w:rsid w:val="00663B29"/>
    <w:rsid w:val="0067709F"/>
    <w:rsid w:val="00685171"/>
    <w:rsid w:val="00685B80"/>
    <w:rsid w:val="00686DC5"/>
    <w:rsid w:val="00687D80"/>
    <w:rsid w:val="00693014"/>
    <w:rsid w:val="006947C7"/>
    <w:rsid w:val="006B0927"/>
    <w:rsid w:val="006B49A6"/>
    <w:rsid w:val="006B5580"/>
    <w:rsid w:val="006B5EE7"/>
    <w:rsid w:val="006C1A1B"/>
    <w:rsid w:val="006D2F9B"/>
    <w:rsid w:val="006D4F05"/>
    <w:rsid w:val="006E6D13"/>
    <w:rsid w:val="007022E5"/>
    <w:rsid w:val="00717106"/>
    <w:rsid w:val="00724B83"/>
    <w:rsid w:val="00726B5A"/>
    <w:rsid w:val="00750E2B"/>
    <w:rsid w:val="00751C4C"/>
    <w:rsid w:val="007603F9"/>
    <w:rsid w:val="007638A3"/>
    <w:rsid w:val="00764EE6"/>
    <w:rsid w:val="007758C7"/>
    <w:rsid w:val="00792FC7"/>
    <w:rsid w:val="00794553"/>
    <w:rsid w:val="00794E6C"/>
    <w:rsid w:val="00797B94"/>
    <w:rsid w:val="007B59E1"/>
    <w:rsid w:val="007E1BBA"/>
    <w:rsid w:val="0080163C"/>
    <w:rsid w:val="0081001C"/>
    <w:rsid w:val="00823F94"/>
    <w:rsid w:val="00827630"/>
    <w:rsid w:val="00835089"/>
    <w:rsid w:val="00846D35"/>
    <w:rsid w:val="00854D38"/>
    <w:rsid w:val="0086297C"/>
    <w:rsid w:val="00874121"/>
    <w:rsid w:val="008A0C1E"/>
    <w:rsid w:val="008A3929"/>
    <w:rsid w:val="008B0407"/>
    <w:rsid w:val="008B29B7"/>
    <w:rsid w:val="008B45FF"/>
    <w:rsid w:val="008C558B"/>
    <w:rsid w:val="008F2A13"/>
    <w:rsid w:val="009014E2"/>
    <w:rsid w:val="00924832"/>
    <w:rsid w:val="00927C7F"/>
    <w:rsid w:val="009308B2"/>
    <w:rsid w:val="0093303F"/>
    <w:rsid w:val="009353A5"/>
    <w:rsid w:val="00947DA8"/>
    <w:rsid w:val="00967F6A"/>
    <w:rsid w:val="009742EE"/>
    <w:rsid w:val="00994689"/>
    <w:rsid w:val="009951BE"/>
    <w:rsid w:val="00996B85"/>
    <w:rsid w:val="009B0636"/>
    <w:rsid w:val="009B540D"/>
    <w:rsid w:val="009E04A7"/>
    <w:rsid w:val="009E2A12"/>
    <w:rsid w:val="009E6BC2"/>
    <w:rsid w:val="00A07F6E"/>
    <w:rsid w:val="00A17B4A"/>
    <w:rsid w:val="00A21C4E"/>
    <w:rsid w:val="00A540FF"/>
    <w:rsid w:val="00A558C1"/>
    <w:rsid w:val="00A65A2F"/>
    <w:rsid w:val="00A67A4C"/>
    <w:rsid w:val="00A76001"/>
    <w:rsid w:val="00A85689"/>
    <w:rsid w:val="00A8757F"/>
    <w:rsid w:val="00A928A9"/>
    <w:rsid w:val="00AA7D9B"/>
    <w:rsid w:val="00AC3331"/>
    <w:rsid w:val="00AC79BC"/>
    <w:rsid w:val="00AE603A"/>
    <w:rsid w:val="00AF1AE8"/>
    <w:rsid w:val="00AF1FFF"/>
    <w:rsid w:val="00AF3427"/>
    <w:rsid w:val="00AF70D5"/>
    <w:rsid w:val="00B0493B"/>
    <w:rsid w:val="00B13F3F"/>
    <w:rsid w:val="00B1595B"/>
    <w:rsid w:val="00B177D4"/>
    <w:rsid w:val="00B23DF8"/>
    <w:rsid w:val="00B30845"/>
    <w:rsid w:val="00B32CAC"/>
    <w:rsid w:val="00B50348"/>
    <w:rsid w:val="00B714F3"/>
    <w:rsid w:val="00BB2092"/>
    <w:rsid w:val="00BB3BA9"/>
    <w:rsid w:val="00BC556D"/>
    <w:rsid w:val="00BD1AC1"/>
    <w:rsid w:val="00BD3336"/>
    <w:rsid w:val="00BE54FA"/>
    <w:rsid w:val="00C00BF1"/>
    <w:rsid w:val="00C02C2C"/>
    <w:rsid w:val="00C141A5"/>
    <w:rsid w:val="00C35C17"/>
    <w:rsid w:val="00C4302A"/>
    <w:rsid w:val="00C44CE1"/>
    <w:rsid w:val="00C478AC"/>
    <w:rsid w:val="00C50AFA"/>
    <w:rsid w:val="00C6106E"/>
    <w:rsid w:val="00C62CAA"/>
    <w:rsid w:val="00C855A8"/>
    <w:rsid w:val="00CB1F14"/>
    <w:rsid w:val="00CB2B75"/>
    <w:rsid w:val="00CB3FD9"/>
    <w:rsid w:val="00CD1FF2"/>
    <w:rsid w:val="00CD2A4C"/>
    <w:rsid w:val="00CD3A2B"/>
    <w:rsid w:val="00D00E73"/>
    <w:rsid w:val="00D14DA0"/>
    <w:rsid w:val="00D27711"/>
    <w:rsid w:val="00D42A9F"/>
    <w:rsid w:val="00D51BAE"/>
    <w:rsid w:val="00D62B84"/>
    <w:rsid w:val="00D66C29"/>
    <w:rsid w:val="00D80DD1"/>
    <w:rsid w:val="00DA30B8"/>
    <w:rsid w:val="00DB3DF1"/>
    <w:rsid w:val="00E00708"/>
    <w:rsid w:val="00E20F09"/>
    <w:rsid w:val="00E25E1B"/>
    <w:rsid w:val="00E42C0C"/>
    <w:rsid w:val="00E44F2B"/>
    <w:rsid w:val="00E46E42"/>
    <w:rsid w:val="00E54E2E"/>
    <w:rsid w:val="00E62046"/>
    <w:rsid w:val="00E77426"/>
    <w:rsid w:val="00E802E5"/>
    <w:rsid w:val="00E82FDE"/>
    <w:rsid w:val="00E84D1A"/>
    <w:rsid w:val="00E86619"/>
    <w:rsid w:val="00E97542"/>
    <w:rsid w:val="00EA0F7A"/>
    <w:rsid w:val="00EC4C69"/>
    <w:rsid w:val="00EC666E"/>
    <w:rsid w:val="00ED0B44"/>
    <w:rsid w:val="00ED0D66"/>
    <w:rsid w:val="00EE2B21"/>
    <w:rsid w:val="00EF0C48"/>
    <w:rsid w:val="00F01063"/>
    <w:rsid w:val="00F033B8"/>
    <w:rsid w:val="00F3113C"/>
    <w:rsid w:val="00F438E8"/>
    <w:rsid w:val="00F47E8C"/>
    <w:rsid w:val="00F66FE5"/>
    <w:rsid w:val="00F67377"/>
    <w:rsid w:val="00F759E8"/>
    <w:rsid w:val="00F86603"/>
    <w:rsid w:val="00F918F2"/>
    <w:rsid w:val="00F9456E"/>
    <w:rsid w:val="00FB06DC"/>
    <w:rsid w:val="00FB1C4C"/>
    <w:rsid w:val="00FB2385"/>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ListParagraph">
    <w:name w:val="List Paragraph"/>
    <w:basedOn w:val="Normal"/>
    <w:uiPriority w:val="34"/>
    <w:qFormat/>
    <w:rsid w:val="00B13F3F"/>
    <w:pPr>
      <w:ind w:left="720"/>
      <w:contextualSpacing/>
    </w:pPr>
  </w:style>
  <w:style w:type="character" w:styleId="CommentReference">
    <w:name w:val="annotation reference"/>
    <w:basedOn w:val="DefaultParagraphFont"/>
    <w:uiPriority w:val="99"/>
    <w:semiHidden/>
    <w:unhideWhenUsed/>
    <w:rsid w:val="00E97542"/>
    <w:rPr>
      <w:sz w:val="16"/>
      <w:szCs w:val="16"/>
    </w:rPr>
  </w:style>
  <w:style w:type="paragraph" w:styleId="CommentText">
    <w:name w:val="annotation text"/>
    <w:basedOn w:val="Normal"/>
    <w:link w:val="CommentTextChar"/>
    <w:uiPriority w:val="99"/>
    <w:semiHidden/>
    <w:unhideWhenUsed/>
    <w:rsid w:val="00E97542"/>
    <w:rPr>
      <w:sz w:val="20"/>
      <w:szCs w:val="20"/>
    </w:rPr>
  </w:style>
  <w:style w:type="character" w:customStyle="1" w:styleId="CommentTextChar">
    <w:name w:val="Comment Text Char"/>
    <w:basedOn w:val="DefaultParagraphFont"/>
    <w:link w:val="CommentText"/>
    <w:uiPriority w:val="99"/>
    <w:semiHidden/>
    <w:rsid w:val="00E97542"/>
  </w:style>
  <w:style w:type="paragraph" w:styleId="CommentSubject">
    <w:name w:val="annotation subject"/>
    <w:basedOn w:val="CommentText"/>
    <w:next w:val="CommentText"/>
    <w:link w:val="CommentSubjectChar"/>
    <w:uiPriority w:val="99"/>
    <w:semiHidden/>
    <w:unhideWhenUsed/>
    <w:rsid w:val="00E97542"/>
    <w:rPr>
      <w:b/>
      <w:bCs/>
    </w:rPr>
  </w:style>
  <w:style w:type="character" w:customStyle="1" w:styleId="CommentSubjectChar">
    <w:name w:val="Comment Subject Char"/>
    <w:basedOn w:val="CommentTextChar"/>
    <w:link w:val="CommentSubject"/>
    <w:uiPriority w:val="99"/>
    <w:semiHidden/>
    <w:rsid w:val="00E975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paragraph" w:styleId="ListParagraph">
    <w:name w:val="List Paragraph"/>
    <w:basedOn w:val="Normal"/>
    <w:uiPriority w:val="34"/>
    <w:qFormat/>
    <w:rsid w:val="00B13F3F"/>
    <w:pPr>
      <w:ind w:left="720"/>
      <w:contextualSpacing/>
    </w:pPr>
  </w:style>
  <w:style w:type="character" w:styleId="CommentReference">
    <w:name w:val="annotation reference"/>
    <w:basedOn w:val="DefaultParagraphFont"/>
    <w:uiPriority w:val="99"/>
    <w:semiHidden/>
    <w:unhideWhenUsed/>
    <w:rsid w:val="00E97542"/>
    <w:rPr>
      <w:sz w:val="16"/>
      <w:szCs w:val="16"/>
    </w:rPr>
  </w:style>
  <w:style w:type="paragraph" w:styleId="CommentText">
    <w:name w:val="annotation text"/>
    <w:basedOn w:val="Normal"/>
    <w:link w:val="CommentTextChar"/>
    <w:uiPriority w:val="99"/>
    <w:semiHidden/>
    <w:unhideWhenUsed/>
    <w:rsid w:val="00E97542"/>
    <w:rPr>
      <w:sz w:val="20"/>
      <w:szCs w:val="20"/>
    </w:rPr>
  </w:style>
  <w:style w:type="character" w:customStyle="1" w:styleId="CommentTextChar">
    <w:name w:val="Comment Text Char"/>
    <w:basedOn w:val="DefaultParagraphFont"/>
    <w:link w:val="CommentText"/>
    <w:uiPriority w:val="99"/>
    <w:semiHidden/>
    <w:rsid w:val="00E97542"/>
  </w:style>
  <w:style w:type="paragraph" w:styleId="CommentSubject">
    <w:name w:val="annotation subject"/>
    <w:basedOn w:val="CommentText"/>
    <w:next w:val="CommentText"/>
    <w:link w:val="CommentSubjectChar"/>
    <w:uiPriority w:val="99"/>
    <w:semiHidden/>
    <w:unhideWhenUsed/>
    <w:rsid w:val="00E97542"/>
    <w:rPr>
      <w:b/>
      <w:bCs/>
    </w:rPr>
  </w:style>
  <w:style w:type="character" w:customStyle="1" w:styleId="CommentSubjectChar">
    <w:name w:val="Comment Subject Char"/>
    <w:basedOn w:val="CommentTextChar"/>
    <w:link w:val="CommentSubject"/>
    <w:uiPriority w:val="99"/>
    <w:semiHidden/>
    <w:rsid w:val="00E97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10</Pages>
  <Words>609</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20</cp:revision>
  <cp:lastPrinted>2005-06-11T17:39:00Z</cp:lastPrinted>
  <dcterms:created xsi:type="dcterms:W3CDTF">2016-01-16T00:47:00Z</dcterms:created>
  <dcterms:modified xsi:type="dcterms:W3CDTF">2016-01-20T23:29:00Z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