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48" w:rsidRDefault="005B0748">
      <w:pPr>
        <w:jc w:val="center"/>
        <w:rPr>
          <w:b/>
          <w:bCs/>
        </w:rPr>
      </w:pPr>
      <w:r>
        <w:rPr>
          <w:b/>
          <w:bCs/>
        </w:rPr>
        <w:t>FIRST DATA REQUEST</w:t>
      </w:r>
    </w:p>
    <w:p w:rsidR="005B0748" w:rsidRDefault="005B0748">
      <w:pPr>
        <w:jc w:val="center"/>
        <w:rPr>
          <w:b/>
          <w:bCs/>
        </w:rPr>
      </w:pPr>
      <w:r>
        <w:rPr>
          <w:b/>
          <w:bCs/>
        </w:rPr>
        <w:t xml:space="preserve"> OF THE SOLAR ENERGY INDUSTRIES ASSOCIATION</w:t>
      </w:r>
      <w:r w:rsidR="0040663D">
        <w:rPr>
          <w:b/>
          <w:bCs/>
        </w:rPr>
        <w:t xml:space="preserve"> (SEIA)</w:t>
      </w:r>
    </w:p>
    <w:p w:rsidR="0040663D" w:rsidRDefault="0040663D">
      <w:pPr>
        <w:jc w:val="center"/>
        <w:rPr>
          <w:b/>
          <w:bCs/>
        </w:rPr>
      </w:pPr>
      <w:r>
        <w:rPr>
          <w:b/>
          <w:bCs/>
        </w:rPr>
        <w:t>June 1, 2016</w:t>
      </w:r>
    </w:p>
    <w:p w:rsidR="005B0748" w:rsidRDefault="005B0748"/>
    <w:p w:rsidR="00096A46" w:rsidRDefault="00096A46" w:rsidP="00593E55">
      <w:pPr>
        <w:pStyle w:val="Level1"/>
        <w:numPr>
          <w:ilvl w:val="0"/>
          <w:numId w:val="1"/>
        </w:numPr>
        <w:tabs>
          <w:tab w:val="left" w:pos="-1440"/>
        </w:tabs>
        <w:outlineLvl w:val="0"/>
      </w:pPr>
      <w:r>
        <w:t xml:space="preserve">Please provide all discovery </w:t>
      </w:r>
      <w:r w:rsidRPr="00096A46">
        <w:rPr>
          <w:u w:val="single"/>
        </w:rPr>
        <w:t>requests</w:t>
      </w:r>
      <w:r>
        <w:t xml:space="preserve"> that SDG&amp;E has received in this proceeding from other parties.  SEIA will then indicate which responses it would like to obtain. Alternatively, if SDG&amp;E has established a data repository for data requests &amp; responses for this case, please provide SEIA with information on how to access that data base.</w:t>
      </w:r>
    </w:p>
    <w:p w:rsidR="00096A46" w:rsidRDefault="00096A46" w:rsidP="00096A46">
      <w:pPr>
        <w:pStyle w:val="Level1"/>
        <w:tabs>
          <w:tab w:val="left" w:pos="-1440"/>
        </w:tabs>
        <w:ind w:left="720"/>
        <w:outlineLvl w:val="0"/>
      </w:pPr>
    </w:p>
    <w:p w:rsidR="00593E55" w:rsidRDefault="00593E55" w:rsidP="00593E55">
      <w:pPr>
        <w:pStyle w:val="Level1"/>
        <w:numPr>
          <w:ilvl w:val="0"/>
          <w:numId w:val="1"/>
        </w:numPr>
        <w:tabs>
          <w:tab w:val="left" w:pos="-1440"/>
        </w:tabs>
        <w:outlineLvl w:val="0"/>
      </w:pPr>
      <w:r>
        <w:t xml:space="preserve">Please provide a complete copy of SDG&amp;E’s </w:t>
      </w:r>
      <w:proofErr w:type="spellStart"/>
      <w:r>
        <w:t>workpapers</w:t>
      </w:r>
      <w:proofErr w:type="spellEnd"/>
      <w:r>
        <w:t xml:space="preserve"> for its application and supporting testimony.  All formulas in all spreadsheets should be intact, and any spreadsheets should be provided in Excel format rather than as an Adobe Acrobat (i.e. as a “.pdf” format”) file.</w:t>
      </w:r>
    </w:p>
    <w:p w:rsidR="00593E55" w:rsidRDefault="00593E55" w:rsidP="00593E55">
      <w:pPr>
        <w:tabs>
          <w:tab w:val="left" w:pos="-1440"/>
        </w:tabs>
        <w:ind w:left="720"/>
      </w:pPr>
    </w:p>
    <w:p w:rsidR="005B0748" w:rsidRDefault="005B0748" w:rsidP="003F7766">
      <w:pPr>
        <w:numPr>
          <w:ilvl w:val="0"/>
          <w:numId w:val="1"/>
        </w:numPr>
        <w:tabs>
          <w:tab w:val="left" w:pos="-1440"/>
        </w:tabs>
      </w:pPr>
      <w:r>
        <w:t xml:space="preserve">Please provide </w:t>
      </w:r>
      <w:r w:rsidR="00572007">
        <w:t xml:space="preserve">a full year, preferably 2014 or 2015, of data on the hourly demands (8,760 hours) at each of SDG&amp;E’s </w:t>
      </w:r>
      <w:r w:rsidR="00631BAF">
        <w:t xml:space="preserve">133 </w:t>
      </w:r>
      <w:r w:rsidR="001E51CA">
        <w:t xml:space="preserve">primary and secondary </w:t>
      </w:r>
      <w:r w:rsidR="00572007">
        <w:t>substations</w:t>
      </w:r>
      <w:r w:rsidR="001E51CA">
        <w:t xml:space="preserve"> for which such data is available</w:t>
      </w:r>
      <w:r w:rsidR="00631BAF">
        <w:t xml:space="preserve"> (see Baranowski Testimony, at p. JB-2)</w:t>
      </w:r>
      <w:r w:rsidR="00572007">
        <w:t xml:space="preserve">.  </w:t>
      </w:r>
      <w:r w:rsidR="00204BD3">
        <w:t>Generic (e.g. numbered) s</w:t>
      </w:r>
      <w:r w:rsidR="00572007">
        <w:t xml:space="preserve">ubstation </w:t>
      </w:r>
      <w:r w:rsidR="00204BD3">
        <w:t>l</w:t>
      </w:r>
      <w:r w:rsidR="00572007">
        <w:t xml:space="preserve">abels </w:t>
      </w:r>
      <w:r w:rsidR="00204BD3">
        <w:t>may be used</w:t>
      </w:r>
      <w:r w:rsidR="00572007">
        <w:t xml:space="preserve"> </w:t>
      </w:r>
      <w:r w:rsidR="00096A46">
        <w:t xml:space="preserve">if SDG&amp;E prefers, for security reasons or </w:t>
      </w:r>
      <w:r w:rsidR="00572007">
        <w:t>to preserve customer confidentiality.</w:t>
      </w:r>
      <w:r w:rsidR="005F022D">
        <w:t xml:space="preserve">  </w:t>
      </w:r>
      <w:r w:rsidR="00746009">
        <w:t>P</w:t>
      </w:r>
      <w:r w:rsidR="005F022D">
        <w:t>lease identify each substation by overall region (i.e. coastal, inland, mountain, or desert).</w:t>
      </w:r>
    </w:p>
    <w:p w:rsidR="00204BD3" w:rsidRDefault="00204BD3" w:rsidP="005432E1">
      <w:pPr>
        <w:tabs>
          <w:tab w:val="left" w:pos="-1440"/>
        </w:tabs>
      </w:pPr>
    </w:p>
    <w:p w:rsidR="00D75F52" w:rsidRDefault="00D75F52" w:rsidP="00D75F52">
      <w:pPr>
        <w:numPr>
          <w:ilvl w:val="0"/>
          <w:numId w:val="1"/>
        </w:numPr>
        <w:tabs>
          <w:tab w:val="left" w:pos="-1440"/>
        </w:tabs>
      </w:pPr>
      <w:r>
        <w:t>Please respond to the following questions regarding Schedule DG-R:</w:t>
      </w:r>
    </w:p>
    <w:p w:rsidR="00631BAF" w:rsidRDefault="00204BD3" w:rsidP="00D75F52">
      <w:pPr>
        <w:numPr>
          <w:ilvl w:val="1"/>
          <w:numId w:val="1"/>
        </w:numPr>
        <w:tabs>
          <w:tab w:val="left" w:pos="-1440"/>
        </w:tabs>
      </w:pPr>
      <w:r>
        <w:t>Please confirm that</w:t>
      </w:r>
      <w:r w:rsidR="0011663E">
        <w:t xml:space="preserve"> </w:t>
      </w:r>
      <w:r>
        <w:t xml:space="preserve">SDG&amp;E is </w:t>
      </w:r>
      <w:r w:rsidR="0011663E">
        <w:t xml:space="preserve">not </w:t>
      </w:r>
      <w:r>
        <w:t xml:space="preserve">proposing </w:t>
      </w:r>
      <w:r w:rsidR="00096A46">
        <w:t xml:space="preserve">any changes in the </w:t>
      </w:r>
      <w:r>
        <w:t xml:space="preserve">Schedule DG-R </w:t>
      </w:r>
      <w:r w:rsidR="00270613">
        <w:t xml:space="preserve">rate design </w:t>
      </w:r>
      <w:r w:rsidR="0011663E">
        <w:t xml:space="preserve">in this application.  (See SDG&amp;E witness Chris Swartz at page CS-41, which says that SDG&amp;E does not propose any changes to the current </w:t>
      </w:r>
      <w:r w:rsidR="00D75F52">
        <w:t>“</w:t>
      </w:r>
      <w:r w:rsidR="0011663E">
        <w:t>structure</w:t>
      </w:r>
      <w:r w:rsidR="00D75F52">
        <w:t>”</w:t>
      </w:r>
      <w:r w:rsidR="0011663E">
        <w:t xml:space="preserve"> of Schedule DG-R.)</w:t>
      </w:r>
    </w:p>
    <w:p w:rsidR="00D75F52" w:rsidRDefault="00631BAF" w:rsidP="00D75F52">
      <w:pPr>
        <w:numPr>
          <w:ilvl w:val="1"/>
          <w:numId w:val="1"/>
        </w:numPr>
        <w:tabs>
          <w:tab w:val="left" w:pos="-1440"/>
        </w:tabs>
      </w:pPr>
      <w:r>
        <w:t>Please explain how SDG&amp;E has designed the DG-R rate in this application.</w:t>
      </w:r>
      <w:r w:rsidR="0011663E">
        <w:t xml:space="preserve">  </w:t>
      </w:r>
    </w:p>
    <w:p w:rsidR="00D75F52" w:rsidRDefault="0093799C" w:rsidP="00D75F52">
      <w:pPr>
        <w:numPr>
          <w:ilvl w:val="1"/>
          <w:numId w:val="1"/>
        </w:numPr>
        <w:tabs>
          <w:tab w:val="left" w:pos="-1440"/>
        </w:tabs>
      </w:pPr>
      <w:r>
        <w:t xml:space="preserve">Please explain whether SDG&amp;E’s proposal for a </w:t>
      </w:r>
      <w:r w:rsidR="006B4922">
        <w:t>4</w:t>
      </w:r>
      <w:r w:rsidR="00270613">
        <w:t xml:space="preserve"> to 9 p.m. weekday on-peak period, as indicated in Table 2 of Cynthia Fang’s direct testimony (pages CF-20 to CF-21)</w:t>
      </w:r>
      <w:r>
        <w:t xml:space="preserve">, will impact the design of Schedule DG-R.  Will the only impacts on DG-R customers </w:t>
      </w:r>
      <w:r w:rsidR="00631BAF">
        <w:t xml:space="preserve">as a result of the change in TOU periods </w:t>
      </w:r>
      <w:r>
        <w:t>be the change in commodity rates applicable to Schedule DG-R</w:t>
      </w:r>
      <w:r w:rsidR="0011663E">
        <w:t>?</w:t>
      </w:r>
      <w:r w:rsidR="00270613">
        <w:t xml:space="preserve">  </w:t>
      </w:r>
      <w:r w:rsidR="0011663E">
        <w:t xml:space="preserve"> </w:t>
      </w:r>
    </w:p>
    <w:p w:rsidR="00D75F52" w:rsidRDefault="0011663E" w:rsidP="00D75F52">
      <w:pPr>
        <w:numPr>
          <w:ilvl w:val="1"/>
          <w:numId w:val="1"/>
        </w:numPr>
        <w:tabs>
          <w:tab w:val="left" w:pos="-1440"/>
        </w:tabs>
      </w:pPr>
      <w:r>
        <w:t>Would</w:t>
      </w:r>
      <w:r w:rsidR="00270613">
        <w:t xml:space="preserve"> SDG&amp;E </w:t>
      </w:r>
      <w:r>
        <w:t xml:space="preserve">continue to recover </w:t>
      </w:r>
      <w:r w:rsidR="00096A46">
        <w:t xml:space="preserve">a portion of </w:t>
      </w:r>
      <w:r>
        <w:t xml:space="preserve">distribution costs </w:t>
      </w:r>
      <w:r w:rsidR="00096A46">
        <w:t xml:space="preserve">using </w:t>
      </w:r>
      <w:r>
        <w:t xml:space="preserve">an energy rate for Schedule DG-R, rather than </w:t>
      </w:r>
      <w:r w:rsidR="00270613">
        <w:t>through demand charges</w:t>
      </w:r>
      <w:r>
        <w:t>?</w:t>
      </w:r>
      <w:r w:rsidR="00D75F52">
        <w:t xml:space="preserve">  </w:t>
      </w:r>
    </w:p>
    <w:p w:rsidR="005B0748" w:rsidRDefault="00D75F52" w:rsidP="00D75F52">
      <w:pPr>
        <w:numPr>
          <w:ilvl w:val="1"/>
          <w:numId w:val="1"/>
        </w:numPr>
        <w:tabs>
          <w:tab w:val="left" w:pos="-1440"/>
        </w:tabs>
      </w:pPr>
      <w:r>
        <w:t xml:space="preserve">If TOU periods are updated, how would that affect </w:t>
      </w:r>
      <w:r w:rsidR="00746009">
        <w:t xml:space="preserve">the rate component for </w:t>
      </w:r>
      <w:r>
        <w:t>distribution costs recovered through an energy rate for Schedule DG-R?</w:t>
      </w:r>
    </w:p>
    <w:p w:rsidR="005B0748" w:rsidRDefault="005B0748" w:rsidP="00391FDB">
      <w:pPr>
        <w:pStyle w:val="ListParagraph"/>
        <w:ind w:hanging="720"/>
      </w:pPr>
    </w:p>
    <w:p w:rsidR="005B0748" w:rsidRPr="00783AF8" w:rsidRDefault="005B0748" w:rsidP="00783AF8">
      <w:pPr>
        <w:numPr>
          <w:ilvl w:val="0"/>
          <w:numId w:val="1"/>
        </w:numPr>
        <w:tabs>
          <w:tab w:val="left" w:pos="-1440"/>
        </w:tabs>
      </w:pPr>
      <w:r>
        <w:rPr>
          <w:rFonts w:ascii="TimesNewRomanPSMT" w:hAnsi="TimesNewRomanPSMT" w:cs="TimesNewRomanPSMT"/>
        </w:rPr>
        <w:t xml:space="preserve">Please provide </w:t>
      </w:r>
      <w:r w:rsidR="00D75F52">
        <w:rPr>
          <w:rFonts w:ascii="TimesNewRomanPSMT" w:hAnsi="TimesNewRomanPSMT" w:cs="TimesNewRomanPSMT"/>
        </w:rPr>
        <w:t>the following information on the number of commercial and industrial (C&amp;I) solar customers that are on Schedule DG-R, and the total installed capacity:</w:t>
      </w:r>
    </w:p>
    <w:p w:rsidR="005B0748" w:rsidRPr="005A7AD7" w:rsidRDefault="005B0748" w:rsidP="00783AF8">
      <w:pPr>
        <w:numPr>
          <w:ilvl w:val="1"/>
          <w:numId w:val="1"/>
        </w:numPr>
        <w:tabs>
          <w:tab w:val="left" w:pos="-1440"/>
        </w:tabs>
      </w:pPr>
      <w:r>
        <w:rPr>
          <w:rFonts w:ascii="TimesNewRomanPSMT" w:hAnsi="TimesNewRomanPSMT" w:cs="TimesNewRomanPSMT"/>
        </w:rPr>
        <w:t>The number of C&amp;I customers that have installed or have pending applications for solar PV systems and that have elected Schedule DG-R rates, since DG-R rates became available in May 2008.</w:t>
      </w:r>
    </w:p>
    <w:p w:rsidR="005A7AD7" w:rsidRPr="00783AF8" w:rsidRDefault="005A7AD7" w:rsidP="005A7AD7">
      <w:pPr>
        <w:numPr>
          <w:ilvl w:val="1"/>
          <w:numId w:val="1"/>
        </w:numPr>
        <w:tabs>
          <w:tab w:val="left" w:pos="-1440"/>
        </w:tabs>
      </w:pPr>
      <w:r>
        <w:rPr>
          <w:rFonts w:ascii="TimesNewRomanPSMT" w:hAnsi="TimesNewRomanPSMT" w:cs="TimesNewRomanPSMT"/>
        </w:rPr>
        <w:t xml:space="preserve">The number of C&amp;I customers that have installed or have pending applications for solar PV systems or other renewable DG systems, and that have qualified for but have </w:t>
      </w:r>
      <w:r w:rsidRPr="00783AF8">
        <w:rPr>
          <w:rFonts w:ascii="TimesNewRomanPSMT" w:hAnsi="TimesNewRomanPSMT" w:cs="TimesNewRomanPSMT"/>
          <w:u w:val="single"/>
        </w:rPr>
        <w:t>not</w:t>
      </w:r>
      <w:r>
        <w:rPr>
          <w:rFonts w:ascii="TimesNewRomanPSMT" w:hAnsi="TimesNewRomanPSMT" w:cs="TimesNewRomanPSMT"/>
          <w:u w:val="single"/>
        </w:rPr>
        <w:t xml:space="preserve"> </w:t>
      </w:r>
      <w:r>
        <w:rPr>
          <w:rFonts w:ascii="TimesNewRomanPSMT" w:hAnsi="TimesNewRomanPSMT" w:cs="TimesNewRomanPSMT"/>
        </w:rPr>
        <w:t xml:space="preserve">elected DG-R rates, since DG-R rates became available in May 2008.  SDG&amp;E can derive this from the total number of C&amp;I customers that have </w:t>
      </w:r>
      <w:r>
        <w:rPr>
          <w:rFonts w:ascii="TimesNewRomanPSMT" w:hAnsi="TimesNewRomanPSMT" w:cs="TimesNewRomanPSMT"/>
        </w:rPr>
        <w:lastRenderedPageBreak/>
        <w:t>installed or have pending applications for solar PV systems or other renewable DG systems since DG-R rates became available in May 2008, less the number in the response to part (a) of this question.</w:t>
      </w:r>
    </w:p>
    <w:p w:rsidR="005B0748" w:rsidRPr="005A7AD7" w:rsidRDefault="005B0748" w:rsidP="00783AF8">
      <w:pPr>
        <w:numPr>
          <w:ilvl w:val="1"/>
          <w:numId w:val="1"/>
        </w:numPr>
        <w:tabs>
          <w:tab w:val="left" w:pos="-1440"/>
        </w:tabs>
      </w:pPr>
      <w:r>
        <w:rPr>
          <w:rFonts w:ascii="TimesNewRomanPSMT" w:hAnsi="TimesNewRomanPSMT" w:cs="TimesNewRomanPSMT"/>
        </w:rPr>
        <w:t xml:space="preserve">The total nameplate capacity (in kW or MW) of the solar PV systems installed or applied for by </w:t>
      </w:r>
      <w:proofErr w:type="gramStart"/>
      <w:r>
        <w:rPr>
          <w:rFonts w:ascii="TimesNewRomanPSMT" w:hAnsi="TimesNewRomanPSMT" w:cs="TimesNewRomanPSMT"/>
        </w:rPr>
        <w:t>C&amp;I</w:t>
      </w:r>
      <w:proofErr w:type="gramEnd"/>
      <w:r>
        <w:rPr>
          <w:rFonts w:ascii="TimesNewRomanPSMT" w:hAnsi="TimesNewRomanPSMT" w:cs="TimesNewRomanPSMT"/>
        </w:rPr>
        <w:t xml:space="preserve"> customers who have elected DG-R rates, since DG-R rates became available in May 2008.</w:t>
      </w:r>
    </w:p>
    <w:p w:rsidR="005A7AD7" w:rsidRPr="005F022D" w:rsidRDefault="005A7AD7" w:rsidP="005A7AD7">
      <w:pPr>
        <w:numPr>
          <w:ilvl w:val="1"/>
          <w:numId w:val="1"/>
        </w:numPr>
        <w:tabs>
          <w:tab w:val="left" w:pos="-1440"/>
        </w:tabs>
      </w:pPr>
      <w:r>
        <w:rPr>
          <w:rFonts w:ascii="TimesNewRomanPSMT" w:hAnsi="TimesNewRomanPSMT" w:cs="TimesNewRomanPSMT"/>
        </w:rPr>
        <w:t xml:space="preserve">The total nameplate capacity (in kW or MW) of the solar PV systems installed or applied for by </w:t>
      </w:r>
      <w:proofErr w:type="gramStart"/>
      <w:r>
        <w:rPr>
          <w:rFonts w:ascii="TimesNewRomanPSMT" w:hAnsi="TimesNewRomanPSMT" w:cs="TimesNewRomanPSMT"/>
        </w:rPr>
        <w:t>C&amp;I</w:t>
      </w:r>
      <w:proofErr w:type="gramEnd"/>
      <w:r>
        <w:rPr>
          <w:rFonts w:ascii="TimesNewRomanPSMT" w:hAnsi="TimesNewRomanPSMT" w:cs="TimesNewRomanPSMT"/>
        </w:rPr>
        <w:t xml:space="preserve"> customers who have qualified for but have </w:t>
      </w:r>
      <w:r>
        <w:rPr>
          <w:rFonts w:ascii="TimesNewRomanPSMT" w:hAnsi="TimesNewRomanPSMT" w:cs="TimesNewRomanPSMT"/>
          <w:u w:val="single"/>
        </w:rPr>
        <w:t>not</w:t>
      </w:r>
      <w:r>
        <w:rPr>
          <w:rFonts w:ascii="TimesNewRomanPSMT" w:hAnsi="TimesNewRomanPSMT" w:cs="TimesNewRomanPSMT"/>
        </w:rPr>
        <w:t xml:space="preserve"> elected the DG-R rate, since the DG-R rate became available in May 2008.  SDG&amp;E can derive this number from the total nameplate capacity (in kW or MW) of the solar PV systems installed or applied for by C&amp;I customers since DG-R rates became available in May 2008, less the number provided in response to part (c) of this question.</w:t>
      </w:r>
    </w:p>
    <w:p w:rsidR="005F022D" w:rsidRPr="005F022D" w:rsidRDefault="005F022D" w:rsidP="005F022D">
      <w:pPr>
        <w:tabs>
          <w:tab w:val="left" w:pos="-1440"/>
        </w:tabs>
        <w:ind w:left="1440"/>
      </w:pPr>
    </w:p>
    <w:p w:rsidR="005F022D" w:rsidRDefault="005F022D" w:rsidP="005F022D">
      <w:pPr>
        <w:numPr>
          <w:ilvl w:val="0"/>
          <w:numId w:val="1"/>
        </w:numPr>
        <w:tabs>
          <w:tab w:val="left" w:pos="-1440"/>
        </w:tabs>
      </w:pPr>
      <w:r>
        <w:t>Please explain why SDG&amp;E’s proposed 4</w:t>
      </w:r>
      <w:r w:rsidR="00096A46">
        <w:t xml:space="preserve"> to </w:t>
      </w:r>
      <w:r>
        <w:t>9</w:t>
      </w:r>
      <w:r w:rsidR="00096A46">
        <w:t xml:space="preserve"> </w:t>
      </w:r>
      <w:r>
        <w:t>p</w:t>
      </w:r>
      <w:r w:rsidR="00096A46">
        <w:t>.</w:t>
      </w:r>
      <w:r>
        <w:t>m</w:t>
      </w:r>
      <w:r w:rsidR="00096A46">
        <w:t>.</w:t>
      </w:r>
      <w:r>
        <w:t xml:space="preserve"> on peak period does not encompass the proposed hours of Critical Peak Pricing (CPP) from 2</w:t>
      </w:r>
      <w:r w:rsidR="00096A46">
        <w:t xml:space="preserve"> to </w:t>
      </w:r>
      <w:r>
        <w:t>6</w:t>
      </w:r>
      <w:r w:rsidR="00096A46">
        <w:t xml:space="preserve"> </w:t>
      </w:r>
      <w:r>
        <w:t>p</w:t>
      </w:r>
      <w:r w:rsidR="00096A46">
        <w:t>.</w:t>
      </w:r>
      <w:r>
        <w:t>m</w:t>
      </w:r>
      <w:r w:rsidR="00096A46">
        <w:t xml:space="preserve">. </w:t>
      </w:r>
      <w:r>
        <w:t>year round?  Should not all hours eligible to be CPP hours be on-peak hours, and not semi-peak or off-peak hou</w:t>
      </w:r>
      <w:r w:rsidR="00F52654">
        <w:t>r</w:t>
      </w:r>
      <w:r>
        <w:t>s?</w:t>
      </w:r>
      <w:r w:rsidR="00F52654">
        <w:t xml:space="preserve">  Are not CPP hours, on the top </w:t>
      </w:r>
      <w:r w:rsidR="00631BAF">
        <w:t>18</w:t>
      </w:r>
      <w:r w:rsidR="00F52654">
        <w:t xml:space="preserve"> days of the year when capacity </w:t>
      </w:r>
      <w:r w:rsidR="00096A46">
        <w:t xml:space="preserve">is most </w:t>
      </w:r>
      <w:r w:rsidR="006B4922">
        <w:t>needed, high cost hours that sh</w:t>
      </w:r>
      <w:r w:rsidR="00F52654">
        <w:t>ould be considered on-peak hours?</w:t>
      </w:r>
    </w:p>
    <w:p w:rsidR="00F52654" w:rsidRDefault="00F52654" w:rsidP="00F52654">
      <w:pPr>
        <w:tabs>
          <w:tab w:val="left" w:pos="-1440"/>
        </w:tabs>
        <w:ind w:left="720"/>
      </w:pPr>
    </w:p>
    <w:p w:rsidR="00F52654" w:rsidRDefault="00F52654" w:rsidP="005F022D">
      <w:pPr>
        <w:numPr>
          <w:ilvl w:val="0"/>
          <w:numId w:val="1"/>
        </w:numPr>
        <w:tabs>
          <w:tab w:val="left" w:pos="-1440"/>
        </w:tabs>
      </w:pPr>
      <w:r>
        <w:t xml:space="preserve">Does SDG&amp;E agree that </w:t>
      </w:r>
      <w:r w:rsidR="00344CB1">
        <w:t>designing a distribution system using non-</w:t>
      </w:r>
      <w:r>
        <w:t xml:space="preserve">coincident </w:t>
      </w:r>
      <w:r w:rsidR="00344CB1">
        <w:t>peak demand increase</w:t>
      </w:r>
      <w:r w:rsidR="00631BAF">
        <w:t>s</w:t>
      </w:r>
      <w:r w:rsidR="00344CB1">
        <w:t xml:space="preserve"> the distribution system’s cost, as well as increasing its safety and reliability?  (See Baranowski</w:t>
      </w:r>
      <w:r w:rsidR="00631BAF">
        <w:t xml:space="preserve"> Testimony</w:t>
      </w:r>
      <w:r w:rsidR="00344CB1">
        <w:t>, at page JB-1).</w:t>
      </w:r>
    </w:p>
    <w:p w:rsidR="00344CB1" w:rsidRDefault="00344CB1" w:rsidP="00344CB1">
      <w:pPr>
        <w:pStyle w:val="ListParagraph"/>
      </w:pPr>
    </w:p>
    <w:p w:rsidR="00526959" w:rsidRDefault="00344CB1" w:rsidP="005F022D">
      <w:pPr>
        <w:numPr>
          <w:ilvl w:val="0"/>
          <w:numId w:val="1"/>
        </w:numPr>
        <w:tabs>
          <w:tab w:val="left" w:pos="-1440"/>
        </w:tabs>
      </w:pPr>
      <w:r>
        <w:t>If a substation transformer, distribution transformer, or circuit is designed to meet the peak demand at its specific location (see</w:t>
      </w:r>
      <w:r w:rsidR="005432E1">
        <w:t xml:space="preserve"> Baranowski Testimony, at page</w:t>
      </w:r>
      <w:r>
        <w:t xml:space="preserve"> JB-1), does that mean that it is designed to meet the </w:t>
      </w:r>
      <w:r w:rsidRPr="00344CB1">
        <w:rPr>
          <w:u w:val="single"/>
        </w:rPr>
        <w:t>coincident</w:t>
      </w:r>
      <w:r>
        <w:t xml:space="preserve"> </w:t>
      </w:r>
      <w:r w:rsidR="00526959">
        <w:t xml:space="preserve">peak </w:t>
      </w:r>
      <w:r>
        <w:t xml:space="preserve">demand </w:t>
      </w:r>
      <w:r w:rsidR="00526959">
        <w:t xml:space="preserve">of all customers served </w:t>
      </w:r>
      <w:r>
        <w:t xml:space="preserve">at </w:t>
      </w:r>
      <w:r w:rsidR="00526959">
        <w:t>that</w:t>
      </w:r>
      <w:r>
        <w:t xml:space="preserve"> specific location, or does SDG&amp;E design it to meet </w:t>
      </w:r>
      <w:r w:rsidR="00631BAF">
        <w:t xml:space="preserve">the </w:t>
      </w:r>
      <w:r w:rsidR="002E4AB2">
        <w:t xml:space="preserve">sum of the </w:t>
      </w:r>
      <w:r>
        <w:t xml:space="preserve">non-coincident </w:t>
      </w:r>
      <w:r w:rsidR="00526959">
        <w:t xml:space="preserve">peak </w:t>
      </w:r>
      <w:r>
        <w:t>demand</w:t>
      </w:r>
      <w:r w:rsidR="002E4AB2">
        <w:t>s</w:t>
      </w:r>
      <w:r>
        <w:t xml:space="preserve"> for </w:t>
      </w:r>
      <w:r w:rsidR="00631BAF">
        <w:t xml:space="preserve">all of </w:t>
      </w:r>
      <w:r>
        <w:t xml:space="preserve">the </w:t>
      </w:r>
      <w:r w:rsidR="00631BAF">
        <w:t xml:space="preserve">individual </w:t>
      </w:r>
      <w:r>
        <w:t xml:space="preserve">loads </w:t>
      </w:r>
      <w:r w:rsidR="00526959">
        <w:t xml:space="preserve">served </w:t>
      </w:r>
      <w:r>
        <w:t xml:space="preserve">at </w:t>
      </w:r>
      <w:r w:rsidR="00526959">
        <w:t xml:space="preserve">that </w:t>
      </w:r>
      <w:r>
        <w:t>specific location</w:t>
      </w:r>
      <w:r w:rsidR="00526959">
        <w:t xml:space="preserve"> regardless of when those </w:t>
      </w:r>
      <w:proofErr w:type="spellStart"/>
      <w:r w:rsidR="00526959">
        <w:t>noncoincident</w:t>
      </w:r>
      <w:proofErr w:type="spellEnd"/>
      <w:r w:rsidR="00526959">
        <w:t xml:space="preserve"> peak demands may occur</w:t>
      </w:r>
      <w:r>
        <w:t>?</w:t>
      </w:r>
    </w:p>
    <w:p w:rsidR="00526959" w:rsidRDefault="00526959" w:rsidP="00526959">
      <w:pPr>
        <w:tabs>
          <w:tab w:val="left" w:pos="-1440"/>
        </w:tabs>
        <w:ind w:left="720"/>
      </w:pPr>
    </w:p>
    <w:p w:rsidR="00526959" w:rsidRDefault="00526959" w:rsidP="005F022D">
      <w:pPr>
        <w:numPr>
          <w:ilvl w:val="0"/>
          <w:numId w:val="1"/>
        </w:numPr>
        <w:tabs>
          <w:tab w:val="left" w:pos="-1440"/>
        </w:tabs>
      </w:pPr>
      <w:r>
        <w:t>Please discuss the extent to which Mr. Baranowski believes there is load diversity at the following locations on the SDG&amp;E distribution system:</w:t>
      </w:r>
    </w:p>
    <w:p w:rsidR="00526959" w:rsidRDefault="00526959" w:rsidP="00526959">
      <w:pPr>
        <w:numPr>
          <w:ilvl w:val="1"/>
          <w:numId w:val="1"/>
        </w:numPr>
        <w:tabs>
          <w:tab w:val="left" w:pos="-1440"/>
        </w:tabs>
      </w:pPr>
      <w:r>
        <w:t>The final line transformer.</w:t>
      </w:r>
    </w:p>
    <w:p w:rsidR="00526959" w:rsidRDefault="00526959" w:rsidP="00526959">
      <w:pPr>
        <w:numPr>
          <w:ilvl w:val="1"/>
          <w:numId w:val="1"/>
        </w:numPr>
        <w:tabs>
          <w:tab w:val="left" w:pos="-1440"/>
        </w:tabs>
      </w:pPr>
      <w:r>
        <w:t>The 1,032 SDG&amp;E distribution circuits.</w:t>
      </w:r>
    </w:p>
    <w:p w:rsidR="00344CB1" w:rsidRDefault="00526959" w:rsidP="00526959">
      <w:pPr>
        <w:numPr>
          <w:ilvl w:val="1"/>
          <w:numId w:val="1"/>
        </w:numPr>
        <w:tabs>
          <w:tab w:val="left" w:pos="-1440"/>
        </w:tabs>
      </w:pPr>
      <w:r>
        <w:t xml:space="preserve">The 133 SDG&amp;E distribution substations. </w:t>
      </w:r>
      <w:r w:rsidR="00344CB1">
        <w:t xml:space="preserve"> </w:t>
      </w:r>
    </w:p>
    <w:p w:rsidR="00344CB1" w:rsidRDefault="00344CB1" w:rsidP="00344CB1">
      <w:pPr>
        <w:pStyle w:val="ListParagraph"/>
      </w:pPr>
    </w:p>
    <w:p w:rsidR="005432E1" w:rsidRDefault="005432E1" w:rsidP="005432E1">
      <w:pPr>
        <w:numPr>
          <w:ilvl w:val="0"/>
          <w:numId w:val="1"/>
        </w:numPr>
        <w:tabs>
          <w:tab w:val="left" w:pos="-1440"/>
        </w:tabs>
      </w:pPr>
      <w:r>
        <w:t xml:space="preserve">Please provide the data for Figure 1 of John </w:t>
      </w:r>
      <w:proofErr w:type="spellStart"/>
      <w:r w:rsidRPr="00631BAF">
        <w:t>Baranowski</w:t>
      </w:r>
      <w:r>
        <w:t>’s</w:t>
      </w:r>
      <w:proofErr w:type="spellEnd"/>
      <w:r w:rsidRPr="00631BAF">
        <w:t xml:space="preserve"> </w:t>
      </w:r>
      <w:r>
        <w:t>t</w:t>
      </w:r>
      <w:r w:rsidRPr="00631BAF">
        <w:t>estimony</w:t>
      </w:r>
      <w:r>
        <w:t>.  Also provide comparable data for SDG&amp;E’s peak days in 2013 and 2015.</w:t>
      </w:r>
    </w:p>
    <w:p w:rsidR="005432E1" w:rsidRDefault="005432E1" w:rsidP="005432E1">
      <w:pPr>
        <w:tabs>
          <w:tab w:val="left" w:pos="-1440"/>
        </w:tabs>
        <w:ind w:left="720"/>
      </w:pPr>
    </w:p>
    <w:p w:rsidR="005432E1" w:rsidRDefault="005432E1" w:rsidP="005432E1">
      <w:pPr>
        <w:numPr>
          <w:ilvl w:val="0"/>
          <w:numId w:val="1"/>
        </w:numPr>
        <w:tabs>
          <w:tab w:val="left" w:pos="-1440"/>
        </w:tabs>
      </w:pPr>
      <w:r>
        <w:t>Please provide the data supporting Figure 2 in the testimony of John Baranowski.</w:t>
      </w:r>
    </w:p>
    <w:p w:rsidR="002E4AB2" w:rsidRDefault="002E4AB2" w:rsidP="002E4AB2">
      <w:pPr>
        <w:tabs>
          <w:tab w:val="left" w:pos="-1440"/>
        </w:tabs>
        <w:ind w:left="720"/>
      </w:pPr>
    </w:p>
    <w:p w:rsidR="002E4AB2" w:rsidRDefault="002E4AB2" w:rsidP="002E4AB2">
      <w:pPr>
        <w:numPr>
          <w:ilvl w:val="0"/>
          <w:numId w:val="1"/>
        </w:numPr>
        <w:tabs>
          <w:tab w:val="left" w:pos="-1440"/>
        </w:tabs>
      </w:pPr>
      <w:r>
        <w:lastRenderedPageBreak/>
        <w:t>Does the substation and circuit load data in Figures 3 and 4 in the testimony of John Baranowski represent (a</w:t>
      </w:r>
      <w:r w:rsidR="00526959">
        <w:t>)</w:t>
      </w:r>
      <w:r>
        <w:t xml:space="preserve"> the </w:t>
      </w:r>
      <w:r w:rsidRPr="002E4AB2">
        <w:t xml:space="preserve">coincident </w:t>
      </w:r>
      <w:r w:rsidR="00526959">
        <w:t xml:space="preserve">peak </w:t>
      </w:r>
      <w:r w:rsidRPr="002E4AB2">
        <w:t>demand</w:t>
      </w:r>
      <w:r>
        <w:t xml:space="preserve"> of all customers </w:t>
      </w:r>
      <w:r w:rsidR="00526959">
        <w:t>served from</w:t>
      </w:r>
      <w:r>
        <w:t xml:space="preserve"> </w:t>
      </w:r>
      <w:r w:rsidR="00526959">
        <w:t>each</w:t>
      </w:r>
      <w:r>
        <w:t xml:space="preserve"> substation or circuit or (b) </w:t>
      </w:r>
      <w:r w:rsidRPr="002E4AB2">
        <w:t>the sum of the non-coincident</w:t>
      </w:r>
      <w:r w:rsidR="00526959">
        <w:t>, individual</w:t>
      </w:r>
      <w:r w:rsidRPr="002E4AB2">
        <w:t xml:space="preserve"> </w:t>
      </w:r>
      <w:r w:rsidR="00526959">
        <w:t xml:space="preserve">peak </w:t>
      </w:r>
      <w:r w:rsidRPr="002E4AB2">
        <w:t>demands for all of the individual loads</w:t>
      </w:r>
      <w:r>
        <w:t xml:space="preserve"> </w:t>
      </w:r>
      <w:r w:rsidR="00526959">
        <w:t xml:space="preserve">served from that substation or circuit whenever those </w:t>
      </w:r>
      <w:proofErr w:type="spellStart"/>
      <w:r w:rsidR="00526959">
        <w:t>noncoincident</w:t>
      </w:r>
      <w:proofErr w:type="spellEnd"/>
      <w:r w:rsidR="00526959">
        <w:t xml:space="preserve"> demands may occur?</w:t>
      </w:r>
    </w:p>
    <w:p w:rsidR="000F112D" w:rsidRDefault="000F112D" w:rsidP="000F112D">
      <w:pPr>
        <w:pStyle w:val="ListParagraph"/>
      </w:pPr>
    </w:p>
    <w:p w:rsidR="000F112D" w:rsidRDefault="000F112D" w:rsidP="00526959">
      <w:pPr>
        <w:numPr>
          <w:ilvl w:val="0"/>
          <w:numId w:val="1"/>
        </w:numPr>
        <w:tabs>
          <w:tab w:val="left" w:pos="-1440"/>
        </w:tabs>
      </w:pPr>
      <w:r>
        <w:t>Regarding the testimony of witness R</w:t>
      </w:r>
      <w:r w:rsidR="00926A47">
        <w:t>obert</w:t>
      </w:r>
      <w:r>
        <w:t xml:space="preserve"> B. Anderson:</w:t>
      </w:r>
    </w:p>
    <w:p w:rsidR="000F112D" w:rsidRDefault="000F112D" w:rsidP="000F112D">
      <w:pPr>
        <w:numPr>
          <w:ilvl w:val="1"/>
          <w:numId w:val="1"/>
        </w:numPr>
        <w:tabs>
          <w:tab w:val="left" w:pos="-1440"/>
        </w:tabs>
      </w:pPr>
      <w:r>
        <w:t>Please provide the data supporting Charts RBA-1 to RBA-4.</w:t>
      </w:r>
    </w:p>
    <w:p w:rsidR="000F112D" w:rsidRDefault="000F112D" w:rsidP="000F112D">
      <w:pPr>
        <w:numPr>
          <w:ilvl w:val="1"/>
          <w:numId w:val="1"/>
        </w:numPr>
        <w:tabs>
          <w:tab w:val="left" w:pos="-1440"/>
        </w:tabs>
      </w:pPr>
      <w:r>
        <w:t xml:space="preserve">Please explain if net load </w:t>
      </w:r>
      <w:r w:rsidR="00AC7D84">
        <w:t>in Char</w:t>
      </w:r>
      <w:r w:rsidR="005432E1">
        <w:t>t</w:t>
      </w:r>
      <w:r w:rsidR="00AC7D84">
        <w:t xml:space="preserve">s RBA-1 and RBA-2 </w:t>
      </w:r>
      <w:r>
        <w:t>is based on SDG&amp;E load on the CAISO system, less SDG&amp;E renewables</w:t>
      </w:r>
      <w:r w:rsidR="00AC7D84">
        <w:t>. What types of “distributed generation and central station renewables” were removed to determine net load (i.e. did SDG&amp;E look only at wind and solar on its system that is not behind the meter?).</w:t>
      </w:r>
      <w:r>
        <w:t xml:space="preserve"> What were the sources of the data used to derive net load?</w:t>
      </w:r>
    </w:p>
    <w:p w:rsidR="005432E1" w:rsidRDefault="005432E1" w:rsidP="000F112D">
      <w:pPr>
        <w:numPr>
          <w:ilvl w:val="1"/>
          <w:numId w:val="1"/>
        </w:numPr>
        <w:tabs>
          <w:tab w:val="left" w:pos="-1440"/>
        </w:tabs>
      </w:pPr>
      <w:r>
        <w:t>Please provide the data for the renewable generation removed from SDG&amp;E load data to produce the net loads in Charts RBA-1 and RBA-2.</w:t>
      </w:r>
    </w:p>
    <w:p w:rsidR="005F022D" w:rsidRDefault="000F112D" w:rsidP="00AC7D84">
      <w:pPr>
        <w:numPr>
          <w:ilvl w:val="1"/>
          <w:numId w:val="1"/>
        </w:numPr>
        <w:tabs>
          <w:tab w:val="left" w:pos="-1440"/>
        </w:tabs>
      </w:pPr>
      <w:r>
        <w:t xml:space="preserve">Please provide any analysis SDG&amp;E has done to show a correlation between net load </w:t>
      </w:r>
      <w:r w:rsidR="00AC7D84">
        <w:t xml:space="preserve">on its system </w:t>
      </w:r>
      <w:r>
        <w:t xml:space="preserve">and </w:t>
      </w:r>
      <w:r w:rsidR="00AC7D84">
        <w:t xml:space="preserve">the </w:t>
      </w:r>
      <w:r>
        <w:t>CAISO day-ahead market price at the SDG&amp;E DLAP</w:t>
      </w:r>
      <w:r w:rsidR="005432E1">
        <w:t>.</w:t>
      </w:r>
    </w:p>
    <w:p w:rsidR="00AC7D84" w:rsidRDefault="00AC7D84" w:rsidP="00AC7D84">
      <w:pPr>
        <w:numPr>
          <w:ilvl w:val="1"/>
          <w:numId w:val="1"/>
        </w:numPr>
        <w:tabs>
          <w:tab w:val="left" w:pos="-1440"/>
        </w:tabs>
      </w:pPr>
      <w:r>
        <w:t>Please provide the 2010-2015 SDG&amp;E DLAP prices used to develop Charts RBA-5 and RBA-6.</w:t>
      </w:r>
    </w:p>
    <w:p w:rsidR="00AC7D84" w:rsidRDefault="00AC7D84" w:rsidP="00AC7D84">
      <w:pPr>
        <w:numPr>
          <w:ilvl w:val="1"/>
          <w:numId w:val="1"/>
        </w:numPr>
        <w:tabs>
          <w:tab w:val="left" w:pos="-1440"/>
        </w:tabs>
      </w:pPr>
      <w:r>
        <w:t>Please provide the hourly LOL</w:t>
      </w:r>
      <w:r w:rsidR="00C17885">
        <w:t>E</w:t>
      </w:r>
      <w:r>
        <w:t xml:space="preserve"> data supporting Chart RBA-11</w:t>
      </w:r>
      <w:r w:rsidR="000F196C">
        <w:t>, for both the San Diego Subarea and the San Diego Greater Reliability Area</w:t>
      </w:r>
      <w:r w:rsidR="009B03EB">
        <w:t>.</w:t>
      </w:r>
    </w:p>
    <w:p w:rsidR="00420031" w:rsidRDefault="00420031" w:rsidP="00420031">
      <w:pPr>
        <w:tabs>
          <w:tab w:val="left" w:pos="-1440"/>
        </w:tabs>
        <w:ind w:left="1440"/>
      </w:pPr>
    </w:p>
    <w:p w:rsidR="000F196C" w:rsidRDefault="000F196C" w:rsidP="00625E7B">
      <w:pPr>
        <w:numPr>
          <w:ilvl w:val="0"/>
          <w:numId w:val="1"/>
        </w:numPr>
        <w:tabs>
          <w:tab w:val="left" w:pos="-1440"/>
        </w:tabs>
      </w:pPr>
      <w:r>
        <w:t>These questions relate to the Testimony of William G. Saxe.</w:t>
      </w:r>
    </w:p>
    <w:p w:rsidR="00625E7B" w:rsidRDefault="00593E55" w:rsidP="000F196C">
      <w:pPr>
        <w:numPr>
          <w:ilvl w:val="1"/>
          <w:numId w:val="1"/>
        </w:numPr>
        <w:tabs>
          <w:tab w:val="left" w:pos="-1440"/>
        </w:tabs>
      </w:pPr>
      <w:r>
        <w:t xml:space="preserve">Please provide </w:t>
      </w:r>
      <w:proofErr w:type="gramStart"/>
      <w:r>
        <w:t xml:space="preserve">the  </w:t>
      </w:r>
      <w:proofErr w:type="spellStart"/>
      <w:r>
        <w:t>workpapers</w:t>
      </w:r>
      <w:proofErr w:type="spellEnd"/>
      <w:proofErr w:type="gramEnd"/>
      <w:r>
        <w:t xml:space="preserve"> supporting the NERA regression</w:t>
      </w:r>
      <w:r w:rsidR="000F196C">
        <w:t>s</w:t>
      </w:r>
      <w:r>
        <w:t xml:space="preserve"> that </w:t>
      </w:r>
      <w:r w:rsidR="00625E7B">
        <w:t xml:space="preserve">resulted in </w:t>
      </w:r>
      <w:r w:rsidR="000F196C">
        <w:t>the</w:t>
      </w:r>
      <w:r w:rsidR="00625E7B">
        <w:t xml:space="preserve"> $</w:t>
      </w:r>
      <w:r w:rsidR="000F196C">
        <w:t>7</w:t>
      </w:r>
      <w:r w:rsidR="00625E7B">
        <w:t>7.97 per kW-year marginal distribution costs</w:t>
      </w:r>
      <w:r w:rsidR="000F196C">
        <w:t xml:space="preserve"> and $22.05 per kW-year marginal substation costs</w:t>
      </w:r>
      <w:r w:rsidR="00625E7B">
        <w:t xml:space="preserve"> shown in Attachment A to </w:t>
      </w:r>
      <w:r w:rsidR="000F196C">
        <w:t>Mr. Saxe’s</w:t>
      </w:r>
      <w:r w:rsidR="00625E7B">
        <w:t xml:space="preserve"> </w:t>
      </w:r>
      <w:r w:rsidR="000F196C">
        <w:t>t</w:t>
      </w:r>
      <w:r w:rsidR="00625E7B">
        <w:t>estimony.</w:t>
      </w:r>
    </w:p>
    <w:p w:rsidR="002E4AB2" w:rsidRDefault="000F196C" w:rsidP="000878E2">
      <w:pPr>
        <w:numPr>
          <w:ilvl w:val="1"/>
          <w:numId w:val="1"/>
        </w:numPr>
        <w:tabs>
          <w:tab w:val="left" w:pos="-1440"/>
        </w:tabs>
      </w:pPr>
      <w:r>
        <w:t xml:space="preserve">Please specify </w:t>
      </w:r>
      <w:r w:rsidR="002E4AB2">
        <w:t xml:space="preserve">and provide </w:t>
      </w:r>
      <w:r>
        <w:t>the source</w:t>
      </w:r>
      <w:r w:rsidR="002E4AB2">
        <w:t>(s)</w:t>
      </w:r>
      <w:r>
        <w:t xml:space="preserve"> for the historical </w:t>
      </w:r>
      <w:r w:rsidR="002E4AB2">
        <w:t xml:space="preserve">and forecast </w:t>
      </w:r>
      <w:r>
        <w:t>data</w:t>
      </w:r>
      <w:r w:rsidR="002E4AB2">
        <w:t xml:space="preserve"> on annual distribution system peak loads</w:t>
      </w:r>
      <w:r>
        <w:t xml:space="preserve"> </w:t>
      </w:r>
      <w:r w:rsidR="002E4AB2">
        <w:t>used in these regressions.</w:t>
      </w:r>
    </w:p>
    <w:p w:rsidR="000878E2" w:rsidRDefault="002E4AB2" w:rsidP="000878E2">
      <w:pPr>
        <w:numPr>
          <w:ilvl w:val="1"/>
          <w:numId w:val="1"/>
        </w:numPr>
        <w:tabs>
          <w:tab w:val="left" w:pos="-1440"/>
        </w:tabs>
      </w:pPr>
      <w:r>
        <w:t xml:space="preserve">How does </w:t>
      </w:r>
      <w:r w:rsidR="000F196C">
        <w:t>SDG&amp;E forecast</w:t>
      </w:r>
      <w:r w:rsidR="000878E2">
        <w:t xml:space="preserve"> the annual distribution system peak loads</w:t>
      </w:r>
      <w:r>
        <w:t xml:space="preserve"> used in these regressions?</w:t>
      </w:r>
    </w:p>
    <w:p w:rsidR="000F196C" w:rsidRDefault="000F196C" w:rsidP="002E4AB2">
      <w:pPr>
        <w:numPr>
          <w:ilvl w:val="1"/>
          <w:numId w:val="1"/>
        </w:numPr>
        <w:tabs>
          <w:tab w:val="left" w:pos="-1440"/>
        </w:tabs>
      </w:pPr>
      <w:r>
        <w:t xml:space="preserve">Do the </w:t>
      </w:r>
      <w:r w:rsidR="000878E2">
        <w:t xml:space="preserve">annual distribution system peak loads used in these regressions measure (a) the </w:t>
      </w:r>
      <w:r w:rsidR="002E4AB2">
        <w:t xml:space="preserve">coincident peak demand of all customers served from the SDG&amp;E distribution system or (b) the sum of the </w:t>
      </w:r>
      <w:proofErr w:type="spellStart"/>
      <w:r w:rsidR="002E4AB2">
        <w:t>non</w:t>
      </w:r>
      <w:r w:rsidR="002E4AB2" w:rsidRPr="002E4AB2">
        <w:t>coincident</w:t>
      </w:r>
      <w:proofErr w:type="spellEnd"/>
      <w:r w:rsidR="002E4AB2" w:rsidRPr="002E4AB2">
        <w:t xml:space="preserve"> peak demand</w:t>
      </w:r>
      <w:r w:rsidR="002E4AB2">
        <w:t>s</w:t>
      </w:r>
      <w:r w:rsidR="002E4AB2" w:rsidRPr="002E4AB2">
        <w:t xml:space="preserve"> of all customers served from the SDG&amp;E distribution system</w:t>
      </w:r>
      <w:r w:rsidR="002E4AB2">
        <w:t xml:space="preserve">, or (c) some other peak demand?  If the answer is (c), please explain exactly what peak demand is used. </w:t>
      </w:r>
    </w:p>
    <w:p w:rsidR="00625E7B" w:rsidRDefault="00625E7B" w:rsidP="00625E7B">
      <w:pPr>
        <w:pStyle w:val="ListParagraph"/>
      </w:pPr>
    </w:p>
    <w:p w:rsidR="00625E7B" w:rsidRDefault="00625E7B" w:rsidP="009B03EB">
      <w:pPr>
        <w:numPr>
          <w:ilvl w:val="0"/>
          <w:numId w:val="1"/>
        </w:numPr>
        <w:tabs>
          <w:tab w:val="left" w:pos="-1440"/>
        </w:tabs>
      </w:pPr>
      <w:r>
        <w:t>If not already provided, please provide SDG&amp;E’s M</w:t>
      </w:r>
      <w:r w:rsidR="009B03EB">
        <w:t xml:space="preserve">arginal </w:t>
      </w:r>
      <w:r>
        <w:t>E</w:t>
      </w:r>
      <w:r w:rsidR="009B03EB">
        <w:t xml:space="preserve">nergy </w:t>
      </w:r>
      <w:r>
        <w:t>C</w:t>
      </w:r>
      <w:r w:rsidR="009B03EB">
        <w:t>ost</w:t>
      </w:r>
      <w:r>
        <w:t xml:space="preserve"> </w:t>
      </w:r>
      <w:r w:rsidR="002E4AB2">
        <w:t xml:space="preserve">(MEC) </w:t>
      </w:r>
      <w:proofErr w:type="spellStart"/>
      <w:r>
        <w:t>workpapers</w:t>
      </w:r>
      <w:proofErr w:type="spellEnd"/>
      <w:r>
        <w:t xml:space="preserve">, including the 2016 hourly price profile that was based on net demand on the SP-15 market and on-peak / off-peak SP-15 market price projections.  (See </w:t>
      </w:r>
      <w:r w:rsidR="009B03EB">
        <w:t xml:space="preserve">p. </w:t>
      </w:r>
      <w:r>
        <w:t>JJS-3</w:t>
      </w:r>
      <w:r w:rsidR="009B03EB">
        <w:t xml:space="preserve"> of the Testimony of </w:t>
      </w:r>
      <w:r w:rsidR="009B03EB" w:rsidRPr="009B03EB">
        <w:t>Jeffrey J. Shaughnessy</w:t>
      </w:r>
      <w:r>
        <w:t>).</w:t>
      </w:r>
    </w:p>
    <w:p w:rsidR="00625E7B" w:rsidRDefault="00625E7B" w:rsidP="00625E7B">
      <w:pPr>
        <w:pStyle w:val="ListParagraph"/>
      </w:pPr>
    </w:p>
    <w:p w:rsidR="00625E7B" w:rsidRDefault="00625E7B" w:rsidP="00625E7B">
      <w:pPr>
        <w:numPr>
          <w:ilvl w:val="0"/>
          <w:numId w:val="1"/>
        </w:numPr>
        <w:tabs>
          <w:tab w:val="left" w:pos="-1440"/>
        </w:tabs>
      </w:pPr>
      <w:r>
        <w:t>Please provide the 2014 and 2015 DLAP prices that support Chart</w:t>
      </w:r>
      <w:r w:rsidR="006B4922">
        <w:t>s</w:t>
      </w:r>
      <w:r>
        <w:t xml:space="preserve"> JJS-1 and JJS-2.</w:t>
      </w:r>
    </w:p>
    <w:p w:rsidR="00147969" w:rsidRDefault="00147969" w:rsidP="00147969">
      <w:pPr>
        <w:pStyle w:val="ListParagraph"/>
      </w:pPr>
    </w:p>
    <w:p w:rsidR="00147969" w:rsidRDefault="00147969" w:rsidP="00625E7B">
      <w:pPr>
        <w:numPr>
          <w:ilvl w:val="0"/>
          <w:numId w:val="1"/>
        </w:numPr>
        <w:tabs>
          <w:tab w:val="left" w:pos="-1440"/>
        </w:tabs>
      </w:pPr>
      <w:r>
        <w:t xml:space="preserve">Please explain why </w:t>
      </w:r>
      <w:r w:rsidR="009B03EB">
        <w:t xml:space="preserve">in </w:t>
      </w:r>
      <w:r>
        <w:t>Table</w:t>
      </w:r>
      <w:r w:rsidR="009B03EB">
        <w:t xml:space="preserve"> JJS-3</w:t>
      </w:r>
      <w:r>
        <w:t xml:space="preserve"> SDG&amp;E assumes that RPS purchases are “incremental” and affect the shape of MECs.  Does SDG&amp;E assert that one MW of incremental supply require</w:t>
      </w:r>
      <w:r w:rsidR="009B03EB">
        <w:t>s,</w:t>
      </w:r>
      <w:r>
        <w:t xml:space="preserve"> in the short run</w:t>
      </w:r>
      <w:r w:rsidR="009B03EB">
        <w:t>,</w:t>
      </w:r>
      <w:r>
        <w:t xml:space="preserve"> a purchase equal to 0.75 MW from SP-15 and 0.25 MW (i.e. a 25% RPS %) of renewable energy? Also, why does not SDG&amp;E sha</w:t>
      </w:r>
      <w:r w:rsidR="009B03EB">
        <w:t>pe RPS premiums by TOU period?</w:t>
      </w:r>
    </w:p>
    <w:p w:rsidR="00147969" w:rsidRDefault="00147969" w:rsidP="00147969">
      <w:pPr>
        <w:pStyle w:val="ListParagraph"/>
      </w:pPr>
    </w:p>
    <w:p w:rsidR="00176555" w:rsidRDefault="00147969" w:rsidP="00625E7B">
      <w:pPr>
        <w:numPr>
          <w:ilvl w:val="0"/>
          <w:numId w:val="1"/>
        </w:numPr>
        <w:tabs>
          <w:tab w:val="left" w:pos="-1440"/>
        </w:tabs>
      </w:pPr>
      <w:r>
        <w:t>If not already provided, please provide a copy of SDG&amp;E</w:t>
      </w:r>
      <w:r w:rsidR="009B03EB">
        <w:t>’s</w:t>
      </w:r>
      <w:r>
        <w:t xml:space="preserve"> M</w:t>
      </w:r>
      <w:r w:rsidR="009B03EB">
        <w:t xml:space="preserve">arginal </w:t>
      </w:r>
      <w:r>
        <w:t>G</w:t>
      </w:r>
      <w:r w:rsidR="009B03EB">
        <w:t xml:space="preserve">eneration </w:t>
      </w:r>
      <w:r>
        <w:t>C</w:t>
      </w:r>
      <w:r w:rsidR="009B03EB">
        <w:t xml:space="preserve">apacity </w:t>
      </w:r>
      <w:r>
        <w:t>C</w:t>
      </w:r>
      <w:r w:rsidR="009B03EB">
        <w:t>ost (MGCC)</w:t>
      </w:r>
      <w:r>
        <w:t xml:space="preserve"> </w:t>
      </w:r>
      <w:proofErr w:type="spellStart"/>
      <w:r>
        <w:t>workpapers</w:t>
      </w:r>
      <w:proofErr w:type="spellEnd"/>
      <w:r>
        <w:t xml:space="preserve">.  MGCCs are presented in </w:t>
      </w:r>
      <w:r w:rsidR="009B03EB">
        <w:t>S</w:t>
      </w:r>
      <w:r>
        <w:t xml:space="preserve">ection IV of the testimony of William Saxe.  Please include the </w:t>
      </w:r>
      <w:proofErr w:type="spellStart"/>
      <w:r w:rsidR="009B03EB">
        <w:t>workpapers</w:t>
      </w:r>
      <w:proofErr w:type="spellEnd"/>
      <w:r w:rsidR="009B03EB">
        <w:t xml:space="preserve"> and </w:t>
      </w:r>
      <w:r>
        <w:t>calculation</w:t>
      </w:r>
      <w:r w:rsidR="009B03EB">
        <w:t>s</w:t>
      </w:r>
      <w:r>
        <w:t xml:space="preserve"> of </w:t>
      </w:r>
      <w:r w:rsidR="009B03EB">
        <w:t xml:space="preserve">(a) </w:t>
      </w:r>
      <w:r>
        <w:t xml:space="preserve">all costs of a new CT that were assumed, </w:t>
      </w:r>
      <w:r w:rsidR="009B03EB">
        <w:t xml:space="preserve">(b) </w:t>
      </w:r>
      <w:r>
        <w:t xml:space="preserve">the assumed hourly energy market and ancillary service rents that are deducted from CT costs, </w:t>
      </w:r>
      <w:r w:rsidR="009B03EB">
        <w:t xml:space="preserve">(c) </w:t>
      </w:r>
      <w:r>
        <w:t xml:space="preserve">RECC factors, </w:t>
      </w:r>
      <w:r w:rsidR="009B03EB">
        <w:t xml:space="preserve">(d) </w:t>
      </w:r>
      <w:r>
        <w:t xml:space="preserve">O&amp;M and other loaders, and </w:t>
      </w:r>
      <w:r w:rsidR="009B03EB">
        <w:t xml:space="preserve">(e) </w:t>
      </w:r>
      <w:r>
        <w:t>escalation to 2016 dollars.</w:t>
      </w:r>
    </w:p>
    <w:p w:rsidR="00176555" w:rsidRDefault="00176555" w:rsidP="00176555">
      <w:pPr>
        <w:pStyle w:val="ListParagraph"/>
      </w:pPr>
    </w:p>
    <w:p w:rsidR="00147969" w:rsidRDefault="00176555" w:rsidP="00625E7B">
      <w:pPr>
        <w:numPr>
          <w:ilvl w:val="0"/>
          <w:numId w:val="1"/>
        </w:numPr>
        <w:tabs>
          <w:tab w:val="left" w:pos="-1440"/>
        </w:tabs>
      </w:pPr>
      <w:r>
        <w:t>Please comment on whether and how the 2011-2014 energy market and ancillary service market earnings in Table JJS-4 for MGCC determination are consistent with SDG&amp;E’s MEC forecast for 2016.  What would these earnings become assuming the 2016 forecast, rather than the CAISO’s June 2015 annual report?</w:t>
      </w:r>
    </w:p>
    <w:p w:rsidR="00176555" w:rsidRDefault="00176555" w:rsidP="00176555">
      <w:pPr>
        <w:pStyle w:val="ListParagraph"/>
      </w:pPr>
    </w:p>
    <w:p w:rsidR="009B03EB" w:rsidRDefault="009B03EB" w:rsidP="00625E7B">
      <w:pPr>
        <w:numPr>
          <w:ilvl w:val="0"/>
          <w:numId w:val="1"/>
        </w:numPr>
        <w:tabs>
          <w:tab w:val="left" w:pos="-1440"/>
        </w:tabs>
      </w:pPr>
      <w:r>
        <w:t xml:space="preserve">These questions concern the </w:t>
      </w:r>
      <w:proofErr w:type="spellStart"/>
      <w:r>
        <w:t>Ventyx</w:t>
      </w:r>
      <w:proofErr w:type="spellEnd"/>
      <w:r>
        <w:t xml:space="preserve"> Planning and Risk model discussed in the testimony of witness Robert B. Anderson.</w:t>
      </w:r>
    </w:p>
    <w:p w:rsidR="009B03EB" w:rsidRDefault="00176555" w:rsidP="009B03EB">
      <w:pPr>
        <w:numPr>
          <w:ilvl w:val="1"/>
          <w:numId w:val="1"/>
        </w:numPr>
        <w:tabs>
          <w:tab w:val="left" w:pos="-1440"/>
        </w:tabs>
      </w:pPr>
      <w:r>
        <w:t>W</w:t>
      </w:r>
      <w:r w:rsidR="00DF1A57">
        <w:t>as 2016 the assumed year for the LOLE determination?</w:t>
      </w:r>
      <w:r w:rsidR="000F196C">
        <w:t xml:space="preserve">  If not, what year was assumed, and provide LOLE results for 2016 if available.</w:t>
      </w:r>
      <w:r w:rsidR="00DF1A57">
        <w:t xml:space="preserve">  </w:t>
      </w:r>
    </w:p>
    <w:p w:rsidR="009B03EB" w:rsidRDefault="00DF1A57" w:rsidP="009B03EB">
      <w:pPr>
        <w:numPr>
          <w:ilvl w:val="1"/>
          <w:numId w:val="1"/>
        </w:numPr>
        <w:tabs>
          <w:tab w:val="left" w:pos="-1440"/>
        </w:tabs>
      </w:pPr>
      <w:r>
        <w:t xml:space="preserve">Did the </w:t>
      </w:r>
      <w:proofErr w:type="spellStart"/>
      <w:r>
        <w:t>Ventyx</w:t>
      </w:r>
      <w:proofErr w:type="spellEnd"/>
      <w:r>
        <w:t xml:space="preserve"> Planning and Risk model simulate economic dispatch of generation in each hour of 2016?</w:t>
      </w:r>
    </w:p>
    <w:p w:rsidR="009B03EB" w:rsidRDefault="009B03EB" w:rsidP="009B03EB">
      <w:pPr>
        <w:numPr>
          <w:ilvl w:val="1"/>
          <w:numId w:val="1"/>
        </w:numPr>
        <w:tabs>
          <w:tab w:val="left" w:pos="-1440"/>
        </w:tabs>
      </w:pPr>
      <w:r>
        <w:t>How did SDG&amp;E/</w:t>
      </w:r>
      <w:proofErr w:type="spellStart"/>
      <w:r>
        <w:t>Ventyx</w:t>
      </w:r>
      <w:proofErr w:type="spellEnd"/>
      <w:r>
        <w:t xml:space="preserve"> model the stochastic output of variable wind &amp; solar renewable resources?  Did this modeling assume any correlation between load and renewable output</w:t>
      </w:r>
      <w:r w:rsidR="002E4AB2">
        <w:t>?  For example, i</w:t>
      </w:r>
      <w:r>
        <w:t xml:space="preserve">s there any assumed correlation between solar output and high load days, i.e. </w:t>
      </w:r>
      <w:r w:rsidR="000F196C">
        <w:t xml:space="preserve">does the model consider that </w:t>
      </w:r>
      <w:r>
        <w:t>it is usually sun</w:t>
      </w:r>
      <w:r w:rsidR="000F196C">
        <w:t>ny when it is hot in California?</w:t>
      </w:r>
      <w:r w:rsidR="00DF1A57">
        <w:t xml:space="preserve">  </w:t>
      </w:r>
    </w:p>
    <w:p w:rsidR="00176555" w:rsidRDefault="00DF1A57" w:rsidP="009B03EB">
      <w:pPr>
        <w:numPr>
          <w:ilvl w:val="1"/>
          <w:numId w:val="1"/>
        </w:numPr>
        <w:tabs>
          <w:tab w:val="left" w:pos="-1440"/>
        </w:tabs>
      </w:pPr>
      <w:r>
        <w:t xml:space="preserve">What years were </w:t>
      </w:r>
      <w:r w:rsidR="000F196C">
        <w:t xml:space="preserve">used </w:t>
      </w:r>
      <w:r>
        <w:t xml:space="preserve">for the </w:t>
      </w:r>
      <w:r w:rsidR="000F196C">
        <w:t>historical data employed in the stochastic process</w:t>
      </w:r>
      <w:r>
        <w:t xml:space="preserve"> for determining load and renewable production?  (See </w:t>
      </w:r>
      <w:r w:rsidR="009B03EB">
        <w:t xml:space="preserve">p. </w:t>
      </w:r>
      <w:r>
        <w:t>RBA-15).</w:t>
      </w:r>
    </w:p>
    <w:p w:rsidR="00DF1A57" w:rsidRDefault="00DF1A57" w:rsidP="00DF1A57">
      <w:pPr>
        <w:pStyle w:val="ListParagraph"/>
      </w:pPr>
    </w:p>
    <w:p w:rsidR="00DF1A57" w:rsidRDefault="00DF1A57" w:rsidP="00625E7B">
      <w:pPr>
        <w:numPr>
          <w:ilvl w:val="0"/>
          <w:numId w:val="1"/>
        </w:numPr>
        <w:tabs>
          <w:tab w:val="left" w:pos="-1440"/>
        </w:tabs>
      </w:pPr>
      <w:r>
        <w:t xml:space="preserve">Which set of LOLEs were used to form a top 100 hour allocation for MGCC, San Diego Subarea or San Diego Greater Reliability Area, or a combination of the two?  (See Chart RBA-11).  Also, please describe if possible why the two areas have such different LOLE </w:t>
      </w:r>
      <w:r w:rsidR="002E4AB2">
        <w:t xml:space="preserve">hourly </w:t>
      </w:r>
      <w:r>
        <w:t>shapes.</w:t>
      </w:r>
    </w:p>
    <w:p w:rsidR="000F196C" w:rsidRDefault="000F196C" w:rsidP="000F196C">
      <w:pPr>
        <w:tabs>
          <w:tab w:val="left" w:pos="-1440"/>
        </w:tabs>
        <w:ind w:left="720"/>
      </w:pPr>
    </w:p>
    <w:p w:rsidR="005B0748" w:rsidRPr="00405274" w:rsidRDefault="000F196C" w:rsidP="0040663D">
      <w:pPr>
        <w:pStyle w:val="ListParagraph"/>
        <w:numPr>
          <w:ilvl w:val="0"/>
          <w:numId w:val="1"/>
        </w:numPr>
        <w:tabs>
          <w:tab w:val="left" w:pos="-1440"/>
        </w:tabs>
      </w:pPr>
      <w:bookmarkStart w:id="0" w:name="_GoBack"/>
      <w:bookmarkEnd w:id="0"/>
      <w:r>
        <w:t xml:space="preserve">Does SDG&amp;E serve all electric loads in the San Diego Subarea?  Does SDG&amp;E serve all electric loads in the San Diego Greater Reliability Area?  If not, what other utilities serve </w:t>
      </w:r>
      <w:r w:rsidR="002E4AB2">
        <w:t xml:space="preserve">each of </w:t>
      </w:r>
      <w:r>
        <w:t>these areas?  Please explain the overlap between SDG&amp;E’s certificated electric service territory and these two reliability areas.</w:t>
      </w:r>
    </w:p>
    <w:sectPr w:rsidR="005B0748" w:rsidRPr="00405274" w:rsidSect="00B4763C">
      <w:headerReference w:type="default" r:id="rId8"/>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748" w:rsidRDefault="005B0748" w:rsidP="00CA5660">
      <w:r>
        <w:separator/>
      </w:r>
    </w:p>
  </w:endnote>
  <w:endnote w:type="continuationSeparator" w:id="0">
    <w:p w:rsidR="005B0748" w:rsidRDefault="005B0748" w:rsidP="00CA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748" w:rsidRDefault="005B0748" w:rsidP="00CA5660">
      <w:r>
        <w:separator/>
      </w:r>
    </w:p>
  </w:footnote>
  <w:footnote w:type="continuationSeparator" w:id="0">
    <w:p w:rsidR="005B0748" w:rsidRDefault="005B0748" w:rsidP="00CA5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48" w:rsidRDefault="005B0748">
    <w:pPr>
      <w:rPr>
        <w:b/>
        <w:bCs/>
        <w:sz w:val="20"/>
        <w:szCs w:val="20"/>
      </w:rPr>
    </w:pPr>
    <w:r>
      <w:rPr>
        <w:b/>
        <w:bCs/>
        <w:sz w:val="20"/>
        <w:szCs w:val="20"/>
      </w:rPr>
      <w:t>First Data Request of SEIA</w:t>
    </w:r>
    <w:r>
      <w:rPr>
        <w:b/>
        <w:bCs/>
        <w:sz w:val="20"/>
        <w:szCs w:val="20"/>
      </w:rPr>
      <w:tab/>
    </w:r>
    <w:r>
      <w:rPr>
        <w:b/>
        <w:bCs/>
        <w:sz w:val="20"/>
        <w:szCs w:val="20"/>
      </w:rPr>
      <w:tab/>
    </w:r>
    <w:r>
      <w:rPr>
        <w:b/>
        <w:bCs/>
        <w:sz w:val="20"/>
        <w:szCs w:val="20"/>
      </w:rPr>
      <w:tab/>
    </w:r>
    <w:r>
      <w:rPr>
        <w:b/>
        <w:bCs/>
        <w:sz w:val="20"/>
        <w:szCs w:val="20"/>
      </w:rPr>
      <w:tab/>
    </w:r>
    <w:r>
      <w:rPr>
        <w:b/>
        <w:bCs/>
        <w:sz w:val="20"/>
        <w:szCs w:val="20"/>
      </w:rPr>
      <w:tab/>
    </w:r>
  </w:p>
  <w:p w:rsidR="005B0748" w:rsidRDefault="005B0748">
    <w:pPr>
      <w:rPr>
        <w:b/>
        <w:bCs/>
        <w:sz w:val="20"/>
        <w:szCs w:val="20"/>
      </w:rPr>
    </w:pPr>
    <w:r>
      <w:rPr>
        <w:b/>
        <w:bCs/>
        <w:sz w:val="20"/>
        <w:szCs w:val="20"/>
      </w:rPr>
      <w:t>A. 1</w:t>
    </w:r>
    <w:r w:rsidR="00572007">
      <w:rPr>
        <w:b/>
        <w:bCs/>
        <w:sz w:val="20"/>
        <w:szCs w:val="20"/>
      </w:rPr>
      <w:t>5</w:t>
    </w:r>
    <w:r>
      <w:rPr>
        <w:b/>
        <w:bCs/>
        <w:sz w:val="20"/>
        <w:szCs w:val="20"/>
      </w:rPr>
      <w:t>-</w:t>
    </w:r>
    <w:r w:rsidR="00572007">
      <w:rPr>
        <w:b/>
        <w:bCs/>
        <w:sz w:val="20"/>
        <w:szCs w:val="20"/>
      </w:rPr>
      <w:t>04</w:t>
    </w:r>
    <w:r>
      <w:rPr>
        <w:b/>
        <w:bCs/>
        <w:sz w:val="20"/>
        <w:szCs w:val="20"/>
      </w:rPr>
      <w:t>-0</w:t>
    </w:r>
    <w:r w:rsidR="00572007">
      <w:rPr>
        <w:b/>
        <w:bCs/>
        <w:sz w:val="20"/>
        <w:szCs w:val="20"/>
      </w:rPr>
      <w:t>1</w:t>
    </w:r>
    <w:r>
      <w:rPr>
        <w:b/>
        <w:bCs/>
        <w:sz w:val="20"/>
        <w:szCs w:val="20"/>
      </w:rPr>
      <w:t>2</w:t>
    </w:r>
  </w:p>
  <w:p w:rsidR="005B0748" w:rsidRDefault="00096A46">
    <w:pPr>
      <w:rPr>
        <w:b/>
        <w:bCs/>
        <w:sz w:val="20"/>
        <w:szCs w:val="20"/>
      </w:rPr>
    </w:pPr>
    <w:r>
      <w:rPr>
        <w:b/>
        <w:bCs/>
        <w:sz w:val="20"/>
        <w:szCs w:val="20"/>
      </w:rPr>
      <w:t>June 1</w:t>
    </w:r>
    <w:r w:rsidR="00572007">
      <w:rPr>
        <w:b/>
        <w:bCs/>
        <w:sz w:val="20"/>
        <w:szCs w:val="20"/>
      </w:rPr>
      <w:t>, 2016</w:t>
    </w:r>
  </w:p>
  <w:p w:rsidR="005B0748" w:rsidRDefault="005B0748">
    <w:pPr>
      <w:rPr>
        <w:sz w:val="20"/>
        <w:szCs w:val="20"/>
      </w:rPr>
    </w:pPr>
    <w:r>
      <w:rPr>
        <w:b/>
        <w:bCs/>
        <w:sz w:val="20"/>
        <w:szCs w:val="20"/>
      </w:rPr>
      <w:t xml:space="preserve">Page </w:t>
    </w:r>
    <w:r>
      <w:rPr>
        <w:b/>
        <w:bCs/>
        <w:sz w:val="20"/>
        <w:szCs w:val="20"/>
      </w:rPr>
      <w:fldChar w:fldCharType="begin"/>
    </w:r>
    <w:r>
      <w:rPr>
        <w:b/>
        <w:bCs/>
        <w:sz w:val="20"/>
        <w:szCs w:val="20"/>
      </w:rPr>
      <w:instrText xml:space="preserve">PAGE </w:instrText>
    </w:r>
    <w:r>
      <w:rPr>
        <w:b/>
        <w:bCs/>
        <w:sz w:val="20"/>
        <w:szCs w:val="20"/>
      </w:rPr>
      <w:fldChar w:fldCharType="separate"/>
    </w:r>
    <w:r w:rsidR="0040663D">
      <w:rPr>
        <w:b/>
        <w:bCs/>
        <w:noProof/>
        <w:sz w:val="20"/>
        <w:szCs w:val="20"/>
      </w:rPr>
      <w:t>4</w:t>
    </w:r>
    <w:r>
      <w:rPr>
        <w:b/>
        <w:bCs/>
        <w:sz w:val="20"/>
        <w:szCs w:val="20"/>
      </w:rPr>
      <w:fldChar w:fldCharType="end"/>
    </w:r>
  </w:p>
  <w:p w:rsidR="005B0748" w:rsidRDefault="005B0748">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60FD1A4C"/>
    <w:multiLevelType w:val="hybridMultilevel"/>
    <w:tmpl w:val="37528D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60"/>
    <w:rsid w:val="00007A43"/>
    <w:rsid w:val="000112A0"/>
    <w:rsid w:val="000878E2"/>
    <w:rsid w:val="00096A46"/>
    <w:rsid w:val="000A26A1"/>
    <w:rsid w:val="000C7AE4"/>
    <w:rsid w:val="000F112D"/>
    <w:rsid w:val="000F196C"/>
    <w:rsid w:val="0011663E"/>
    <w:rsid w:val="00117927"/>
    <w:rsid w:val="001270FE"/>
    <w:rsid w:val="00147969"/>
    <w:rsid w:val="00176555"/>
    <w:rsid w:val="001B7321"/>
    <w:rsid w:val="001C58CB"/>
    <w:rsid w:val="001E51CA"/>
    <w:rsid w:val="00204BD3"/>
    <w:rsid w:val="00227D7C"/>
    <w:rsid w:val="00261BB9"/>
    <w:rsid w:val="00270613"/>
    <w:rsid w:val="002E4AB2"/>
    <w:rsid w:val="003419D2"/>
    <w:rsid w:val="00344CB1"/>
    <w:rsid w:val="00391FDB"/>
    <w:rsid w:val="003F7766"/>
    <w:rsid w:val="00405274"/>
    <w:rsid w:val="0040663D"/>
    <w:rsid w:val="00411B00"/>
    <w:rsid w:val="00420031"/>
    <w:rsid w:val="004D4525"/>
    <w:rsid w:val="004E542F"/>
    <w:rsid w:val="00526959"/>
    <w:rsid w:val="005432E1"/>
    <w:rsid w:val="00564918"/>
    <w:rsid w:val="00570C1C"/>
    <w:rsid w:val="00572007"/>
    <w:rsid w:val="00593E55"/>
    <w:rsid w:val="005A7AD7"/>
    <w:rsid w:val="005B0748"/>
    <w:rsid w:val="005F022D"/>
    <w:rsid w:val="0061627A"/>
    <w:rsid w:val="00625E7B"/>
    <w:rsid w:val="00631BAF"/>
    <w:rsid w:val="00651E66"/>
    <w:rsid w:val="00662F60"/>
    <w:rsid w:val="006B4922"/>
    <w:rsid w:val="00746009"/>
    <w:rsid w:val="00783AF8"/>
    <w:rsid w:val="008D4FD6"/>
    <w:rsid w:val="00926A47"/>
    <w:rsid w:val="0093799C"/>
    <w:rsid w:val="0094318E"/>
    <w:rsid w:val="009A4773"/>
    <w:rsid w:val="009A4B16"/>
    <w:rsid w:val="009B03EB"/>
    <w:rsid w:val="009D0578"/>
    <w:rsid w:val="009D2630"/>
    <w:rsid w:val="00AC7950"/>
    <w:rsid w:val="00AC7D84"/>
    <w:rsid w:val="00AD48C0"/>
    <w:rsid w:val="00AE5C4C"/>
    <w:rsid w:val="00B040B2"/>
    <w:rsid w:val="00B052CA"/>
    <w:rsid w:val="00B07B1A"/>
    <w:rsid w:val="00B4763C"/>
    <w:rsid w:val="00B81B84"/>
    <w:rsid w:val="00C17885"/>
    <w:rsid w:val="00C57B4F"/>
    <w:rsid w:val="00CA0006"/>
    <w:rsid w:val="00CA5660"/>
    <w:rsid w:val="00CE27E8"/>
    <w:rsid w:val="00CF6DEE"/>
    <w:rsid w:val="00D44997"/>
    <w:rsid w:val="00D47524"/>
    <w:rsid w:val="00D75F52"/>
    <w:rsid w:val="00D958AD"/>
    <w:rsid w:val="00DF1A57"/>
    <w:rsid w:val="00F27A75"/>
    <w:rsid w:val="00F37BAF"/>
    <w:rsid w:val="00F52654"/>
    <w:rsid w:val="00FE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43"/>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007A43"/>
  </w:style>
  <w:style w:type="character" w:customStyle="1" w:styleId="Hypertext">
    <w:name w:val="Hypertext"/>
    <w:uiPriority w:val="99"/>
    <w:rsid w:val="00007A43"/>
    <w:rPr>
      <w:color w:val="0000FF"/>
      <w:u w:val="single"/>
    </w:rPr>
  </w:style>
  <w:style w:type="paragraph" w:styleId="Header">
    <w:name w:val="header"/>
    <w:basedOn w:val="Normal"/>
    <w:link w:val="HeaderChar"/>
    <w:uiPriority w:val="99"/>
    <w:rsid w:val="003F7766"/>
    <w:pPr>
      <w:tabs>
        <w:tab w:val="center" w:pos="4680"/>
        <w:tab w:val="right" w:pos="9360"/>
      </w:tabs>
    </w:pPr>
  </w:style>
  <w:style w:type="character" w:customStyle="1" w:styleId="HeaderChar">
    <w:name w:val="Header Char"/>
    <w:basedOn w:val="DefaultParagraphFont"/>
    <w:link w:val="Header"/>
    <w:uiPriority w:val="99"/>
    <w:locked/>
    <w:rsid w:val="003F7766"/>
    <w:rPr>
      <w:rFonts w:ascii="Times New Roman" w:hAnsi="Times New Roman" w:cs="Times New Roman"/>
      <w:sz w:val="24"/>
      <w:szCs w:val="24"/>
    </w:rPr>
  </w:style>
  <w:style w:type="paragraph" w:styleId="Footer">
    <w:name w:val="footer"/>
    <w:basedOn w:val="Normal"/>
    <w:link w:val="FooterChar"/>
    <w:uiPriority w:val="99"/>
    <w:rsid w:val="003F7766"/>
    <w:pPr>
      <w:tabs>
        <w:tab w:val="center" w:pos="4680"/>
        <w:tab w:val="right" w:pos="9360"/>
      </w:tabs>
    </w:pPr>
  </w:style>
  <w:style w:type="character" w:customStyle="1" w:styleId="FooterChar">
    <w:name w:val="Footer Char"/>
    <w:basedOn w:val="DefaultParagraphFont"/>
    <w:link w:val="Footer"/>
    <w:uiPriority w:val="99"/>
    <w:locked/>
    <w:rsid w:val="003F7766"/>
    <w:rPr>
      <w:rFonts w:ascii="Times New Roman" w:hAnsi="Times New Roman" w:cs="Times New Roman"/>
      <w:sz w:val="24"/>
      <w:szCs w:val="24"/>
    </w:rPr>
  </w:style>
  <w:style w:type="paragraph" w:styleId="ListParagraph">
    <w:name w:val="List Paragraph"/>
    <w:basedOn w:val="Normal"/>
    <w:uiPriority w:val="99"/>
    <w:qFormat/>
    <w:rsid w:val="00391FDB"/>
    <w:pPr>
      <w:ind w:left="720"/>
    </w:pPr>
  </w:style>
  <w:style w:type="character" w:styleId="Hyperlink">
    <w:name w:val="Hyperlink"/>
    <w:basedOn w:val="DefaultParagraphFont"/>
    <w:uiPriority w:val="99"/>
    <w:rsid w:val="00570C1C"/>
    <w:rPr>
      <w:color w:val="0000FF"/>
      <w:u w:val="single"/>
    </w:rPr>
  </w:style>
  <w:style w:type="paragraph" w:styleId="BalloonText">
    <w:name w:val="Balloon Text"/>
    <w:basedOn w:val="Normal"/>
    <w:link w:val="BalloonTextChar"/>
    <w:uiPriority w:val="99"/>
    <w:semiHidden/>
    <w:rsid w:val="00D475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524"/>
    <w:rPr>
      <w:rFonts w:ascii="Tahoma" w:hAnsi="Tahoma" w:cs="Tahoma"/>
      <w:sz w:val="16"/>
      <w:szCs w:val="16"/>
    </w:rPr>
  </w:style>
  <w:style w:type="paragraph" w:customStyle="1" w:styleId="Level1">
    <w:name w:val="Level 1"/>
    <w:basedOn w:val="Normal"/>
    <w:uiPriority w:val="99"/>
    <w:rsid w:val="00593E5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43"/>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007A43"/>
  </w:style>
  <w:style w:type="character" w:customStyle="1" w:styleId="Hypertext">
    <w:name w:val="Hypertext"/>
    <w:uiPriority w:val="99"/>
    <w:rsid w:val="00007A43"/>
    <w:rPr>
      <w:color w:val="0000FF"/>
      <w:u w:val="single"/>
    </w:rPr>
  </w:style>
  <w:style w:type="paragraph" w:styleId="Header">
    <w:name w:val="header"/>
    <w:basedOn w:val="Normal"/>
    <w:link w:val="HeaderChar"/>
    <w:uiPriority w:val="99"/>
    <w:rsid w:val="003F7766"/>
    <w:pPr>
      <w:tabs>
        <w:tab w:val="center" w:pos="4680"/>
        <w:tab w:val="right" w:pos="9360"/>
      </w:tabs>
    </w:pPr>
  </w:style>
  <w:style w:type="character" w:customStyle="1" w:styleId="HeaderChar">
    <w:name w:val="Header Char"/>
    <w:basedOn w:val="DefaultParagraphFont"/>
    <w:link w:val="Header"/>
    <w:uiPriority w:val="99"/>
    <w:locked/>
    <w:rsid w:val="003F7766"/>
    <w:rPr>
      <w:rFonts w:ascii="Times New Roman" w:hAnsi="Times New Roman" w:cs="Times New Roman"/>
      <w:sz w:val="24"/>
      <w:szCs w:val="24"/>
    </w:rPr>
  </w:style>
  <w:style w:type="paragraph" w:styleId="Footer">
    <w:name w:val="footer"/>
    <w:basedOn w:val="Normal"/>
    <w:link w:val="FooterChar"/>
    <w:uiPriority w:val="99"/>
    <w:rsid w:val="003F7766"/>
    <w:pPr>
      <w:tabs>
        <w:tab w:val="center" w:pos="4680"/>
        <w:tab w:val="right" w:pos="9360"/>
      </w:tabs>
    </w:pPr>
  </w:style>
  <w:style w:type="character" w:customStyle="1" w:styleId="FooterChar">
    <w:name w:val="Footer Char"/>
    <w:basedOn w:val="DefaultParagraphFont"/>
    <w:link w:val="Footer"/>
    <w:uiPriority w:val="99"/>
    <w:locked/>
    <w:rsid w:val="003F7766"/>
    <w:rPr>
      <w:rFonts w:ascii="Times New Roman" w:hAnsi="Times New Roman" w:cs="Times New Roman"/>
      <w:sz w:val="24"/>
      <w:szCs w:val="24"/>
    </w:rPr>
  </w:style>
  <w:style w:type="paragraph" w:styleId="ListParagraph">
    <w:name w:val="List Paragraph"/>
    <w:basedOn w:val="Normal"/>
    <w:uiPriority w:val="99"/>
    <w:qFormat/>
    <w:rsid w:val="00391FDB"/>
    <w:pPr>
      <w:ind w:left="720"/>
    </w:pPr>
  </w:style>
  <w:style w:type="character" w:styleId="Hyperlink">
    <w:name w:val="Hyperlink"/>
    <w:basedOn w:val="DefaultParagraphFont"/>
    <w:uiPriority w:val="99"/>
    <w:rsid w:val="00570C1C"/>
    <w:rPr>
      <w:color w:val="0000FF"/>
      <w:u w:val="single"/>
    </w:rPr>
  </w:style>
  <w:style w:type="paragraph" w:styleId="BalloonText">
    <w:name w:val="Balloon Text"/>
    <w:basedOn w:val="Normal"/>
    <w:link w:val="BalloonTextChar"/>
    <w:uiPriority w:val="99"/>
    <w:semiHidden/>
    <w:rsid w:val="00D475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524"/>
    <w:rPr>
      <w:rFonts w:ascii="Tahoma" w:hAnsi="Tahoma" w:cs="Tahoma"/>
      <w:sz w:val="16"/>
      <w:szCs w:val="16"/>
    </w:rPr>
  </w:style>
  <w:style w:type="paragraph" w:customStyle="1" w:styleId="Level1">
    <w:name w:val="Level 1"/>
    <w:basedOn w:val="Normal"/>
    <w:uiPriority w:val="99"/>
    <w:rsid w:val="00593E5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1765</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afaustin</cp:lastModifiedBy>
  <cp:revision>6</cp:revision>
  <cp:lastPrinted>2016-06-01T19:28:00Z</cp:lastPrinted>
  <dcterms:created xsi:type="dcterms:W3CDTF">2016-06-01T19:29:00Z</dcterms:created>
  <dcterms:modified xsi:type="dcterms:W3CDTF">2016-06-06T22:44:00Z</dcterms:modified>
</cp:coreProperties>
</file>