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20" w:rsidRDefault="00084D20" w:rsidP="00084D20">
      <w:pPr>
        <w:pBdr>
          <w:bottom w:val="double" w:sz="6" w:space="1" w:color="auto"/>
        </w:pBdr>
        <w:tabs>
          <w:tab w:val="right" w:pos="11070"/>
        </w:tabs>
        <w:rPr>
          <w:rFonts w:ascii="Arial" w:hAnsi="Arial"/>
          <w:i/>
        </w:rPr>
      </w:pPr>
      <w:r>
        <w:rPr>
          <w:rFonts w:ascii="Arial" w:hAnsi="Arial"/>
          <w:sz w:val="16"/>
        </w:rPr>
        <w:t xml:space="preserve">STATE OF CALIFORNIA                                                                                                                   </w:t>
      </w:r>
      <w:r w:rsidRPr="00E84AB2">
        <w:rPr>
          <w:rFonts w:ascii="Arial" w:hAnsi="Arial"/>
          <w:sz w:val="16"/>
        </w:rPr>
        <w:t>Edmund G. Brown Jr., Governor</w:t>
      </w:r>
    </w:p>
    <w:p w:rsidR="00084D20" w:rsidRDefault="00084D20" w:rsidP="00084D20">
      <w:pPr>
        <w:framePr w:hSpace="180" w:wrap="around" w:vAnchor="text" w:hAnchor="page" w:x="9637" w:y="173"/>
      </w:pPr>
      <w:r>
        <w:rPr>
          <w:noProof/>
        </w:rPr>
        <w:drawing>
          <wp:inline distT="0" distB="0" distL="0" distR="0">
            <wp:extent cx="6731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09600"/>
                    </a:xfrm>
                    <a:prstGeom prst="rect">
                      <a:avLst/>
                    </a:prstGeom>
                    <a:noFill/>
                    <a:ln>
                      <a:noFill/>
                    </a:ln>
                  </pic:spPr>
                </pic:pic>
              </a:graphicData>
            </a:graphic>
          </wp:inline>
        </w:drawing>
      </w:r>
    </w:p>
    <w:p w:rsidR="00084D20" w:rsidRDefault="00084D20" w:rsidP="00084D20">
      <w:pPr>
        <w:tabs>
          <w:tab w:val="right" w:pos="11070"/>
        </w:tabs>
        <w:spacing w:before="80"/>
        <w:rPr>
          <w:rFonts w:ascii="Arial" w:hAnsi="Arial"/>
        </w:rPr>
      </w:pPr>
      <w:r>
        <w:rPr>
          <w:rFonts w:ascii="Arial" w:hAnsi="Arial"/>
        </w:rPr>
        <w:t>PUBLIC UTILITIES COMMISSION</w:t>
      </w:r>
    </w:p>
    <w:p w:rsidR="00084D20" w:rsidRDefault="00084D20" w:rsidP="00084D20">
      <w:pPr>
        <w:tabs>
          <w:tab w:val="right" w:pos="11070"/>
        </w:tabs>
        <w:spacing w:before="80"/>
        <w:rPr>
          <w:rFonts w:ascii="Arial" w:hAnsi="Arial"/>
          <w:sz w:val="12"/>
        </w:rPr>
      </w:pPr>
      <w:r>
        <w:rPr>
          <w:rFonts w:ascii="Arial" w:hAnsi="Arial"/>
          <w:sz w:val="12"/>
        </w:rPr>
        <w:t>505 VAN NESS AVENUE</w:t>
      </w:r>
    </w:p>
    <w:p w:rsidR="00084D20" w:rsidRDefault="00084D20" w:rsidP="00084D20">
      <w:pPr>
        <w:tabs>
          <w:tab w:val="right" w:pos="11070"/>
        </w:tabs>
        <w:spacing w:before="80"/>
        <w:rPr>
          <w:rFonts w:ascii="Arial" w:hAnsi="Arial"/>
          <w:sz w:val="12"/>
        </w:rPr>
      </w:pPr>
      <w:r>
        <w:rPr>
          <w:rFonts w:ascii="Arial" w:hAnsi="Arial"/>
          <w:sz w:val="12"/>
        </w:rPr>
        <w:t>SAN FRANCISCO, CA  94102-3298</w:t>
      </w:r>
    </w:p>
    <w:p w:rsidR="00084D20" w:rsidRDefault="00084D20" w:rsidP="00084D20">
      <w:pPr>
        <w:rPr>
          <w:sz w:val="26"/>
        </w:rPr>
      </w:pPr>
    </w:p>
    <w:p w:rsidR="00084D20" w:rsidRDefault="00084D20" w:rsidP="00084D20">
      <w:pPr>
        <w:rPr>
          <w:sz w:val="26"/>
        </w:rPr>
      </w:pPr>
    </w:p>
    <w:p w:rsidR="00084D20" w:rsidRPr="0081667D" w:rsidRDefault="00084D20" w:rsidP="00376621">
      <w:pPr>
        <w:jc w:val="center"/>
        <w:rPr>
          <w:b/>
          <w:sz w:val="24"/>
          <w:szCs w:val="24"/>
        </w:rPr>
      </w:pPr>
      <w:r w:rsidRPr="0081667D">
        <w:rPr>
          <w:b/>
          <w:sz w:val="24"/>
          <w:szCs w:val="24"/>
        </w:rPr>
        <w:t xml:space="preserve">Data Request </w:t>
      </w:r>
      <w:r w:rsidR="000952C9">
        <w:rPr>
          <w:b/>
          <w:sz w:val="24"/>
          <w:szCs w:val="24"/>
        </w:rPr>
        <w:t xml:space="preserve">#2 </w:t>
      </w:r>
      <w:r w:rsidRPr="0081667D">
        <w:rPr>
          <w:b/>
          <w:sz w:val="24"/>
          <w:szCs w:val="24"/>
        </w:rPr>
        <w:t>to</w:t>
      </w:r>
      <w:r>
        <w:rPr>
          <w:b/>
          <w:sz w:val="24"/>
          <w:szCs w:val="24"/>
        </w:rPr>
        <w:t xml:space="preserve"> San Diego Gas &amp; Electric Company</w:t>
      </w:r>
      <w:r w:rsidR="001B2951">
        <w:rPr>
          <w:b/>
          <w:sz w:val="24"/>
          <w:szCs w:val="24"/>
        </w:rPr>
        <w:t xml:space="preserve"> Regarding its </w:t>
      </w:r>
      <w:r w:rsidR="00376621">
        <w:rPr>
          <w:b/>
          <w:sz w:val="24"/>
          <w:szCs w:val="24"/>
        </w:rPr>
        <w:t>SB 350 Transportation Electrification</w:t>
      </w:r>
      <w:r w:rsidR="000952C9">
        <w:rPr>
          <w:b/>
          <w:sz w:val="24"/>
          <w:szCs w:val="24"/>
        </w:rPr>
        <w:t xml:space="preserve"> </w:t>
      </w:r>
      <w:r w:rsidR="003B6212">
        <w:rPr>
          <w:b/>
          <w:sz w:val="24"/>
          <w:szCs w:val="24"/>
        </w:rPr>
        <w:t>Proposals</w:t>
      </w:r>
      <w:r w:rsidR="001B2951">
        <w:rPr>
          <w:b/>
          <w:sz w:val="24"/>
          <w:szCs w:val="24"/>
        </w:rPr>
        <w:t xml:space="preserve"> Filed in A.17-01-020</w:t>
      </w:r>
    </w:p>
    <w:p w:rsidR="00084D20" w:rsidRPr="0081667D" w:rsidRDefault="00084D20" w:rsidP="00084D20">
      <w:pPr>
        <w:rPr>
          <w:sz w:val="24"/>
          <w:szCs w:val="24"/>
        </w:rPr>
      </w:pPr>
    </w:p>
    <w:p w:rsidR="00084D20" w:rsidRPr="0081667D" w:rsidRDefault="00084D20" w:rsidP="00084D20">
      <w:pPr>
        <w:rPr>
          <w:sz w:val="24"/>
          <w:szCs w:val="24"/>
        </w:rPr>
      </w:pPr>
      <w:r w:rsidRPr="0081667D">
        <w:rPr>
          <w:b/>
          <w:sz w:val="24"/>
          <w:szCs w:val="24"/>
        </w:rPr>
        <w:t xml:space="preserve">Date: </w:t>
      </w:r>
      <w:r w:rsidR="00A372E3">
        <w:rPr>
          <w:sz w:val="24"/>
          <w:szCs w:val="24"/>
        </w:rPr>
        <w:t>June</w:t>
      </w:r>
      <w:r w:rsidR="006F5515">
        <w:rPr>
          <w:sz w:val="24"/>
          <w:szCs w:val="24"/>
        </w:rPr>
        <w:t xml:space="preserve"> </w:t>
      </w:r>
      <w:r w:rsidR="001D7494">
        <w:rPr>
          <w:sz w:val="24"/>
          <w:szCs w:val="24"/>
        </w:rPr>
        <w:t>13</w:t>
      </w:r>
      <w:r w:rsidR="006F5515">
        <w:rPr>
          <w:sz w:val="24"/>
          <w:szCs w:val="24"/>
        </w:rPr>
        <w:t>, 2017</w:t>
      </w:r>
    </w:p>
    <w:p w:rsidR="00084D20" w:rsidRPr="0081667D" w:rsidRDefault="00084D20" w:rsidP="00084D20">
      <w:pPr>
        <w:rPr>
          <w:sz w:val="24"/>
          <w:szCs w:val="24"/>
        </w:rPr>
      </w:pPr>
      <w:r w:rsidRPr="0081667D">
        <w:rPr>
          <w:b/>
          <w:sz w:val="24"/>
          <w:szCs w:val="24"/>
        </w:rPr>
        <w:t xml:space="preserve">Response Due: </w:t>
      </w:r>
      <w:r w:rsidR="001D7494">
        <w:rPr>
          <w:sz w:val="24"/>
          <w:szCs w:val="24"/>
        </w:rPr>
        <w:t>June 27</w:t>
      </w:r>
      <w:r w:rsidR="00376621" w:rsidRPr="00376621">
        <w:rPr>
          <w:sz w:val="24"/>
          <w:szCs w:val="24"/>
        </w:rPr>
        <w:t>, 2017</w:t>
      </w:r>
    </w:p>
    <w:p w:rsidR="00084D20" w:rsidRPr="0081667D" w:rsidRDefault="00084D20" w:rsidP="00084D20">
      <w:pPr>
        <w:rPr>
          <w:sz w:val="24"/>
          <w:szCs w:val="24"/>
        </w:rPr>
      </w:pPr>
    </w:p>
    <w:p w:rsidR="00084D20" w:rsidRPr="00DC4727" w:rsidRDefault="00084D20" w:rsidP="00084D20">
      <w:pPr>
        <w:rPr>
          <w:sz w:val="24"/>
          <w:szCs w:val="24"/>
        </w:rPr>
      </w:pPr>
      <w:r>
        <w:rPr>
          <w:b/>
          <w:sz w:val="24"/>
          <w:szCs w:val="24"/>
        </w:rPr>
        <w:t xml:space="preserve">To: </w:t>
      </w:r>
      <w:r>
        <w:rPr>
          <w:b/>
          <w:sz w:val="24"/>
          <w:szCs w:val="24"/>
        </w:rPr>
        <w:tab/>
      </w:r>
      <w:r>
        <w:rPr>
          <w:b/>
          <w:sz w:val="24"/>
          <w:szCs w:val="24"/>
        </w:rPr>
        <w:tab/>
      </w:r>
      <w:r w:rsidR="006F5515">
        <w:rPr>
          <w:sz w:val="24"/>
          <w:szCs w:val="24"/>
        </w:rPr>
        <w:t>Jennifer Wright</w:t>
      </w:r>
    </w:p>
    <w:p w:rsidR="00084D20" w:rsidRPr="00DC4727" w:rsidRDefault="00084D20" w:rsidP="00084D20">
      <w:pPr>
        <w:ind w:left="720" w:firstLine="720"/>
        <w:rPr>
          <w:sz w:val="24"/>
          <w:szCs w:val="24"/>
        </w:rPr>
      </w:pPr>
      <w:r w:rsidRPr="00DC4727">
        <w:rPr>
          <w:sz w:val="24"/>
          <w:szCs w:val="24"/>
        </w:rPr>
        <w:t>San Diego Gas &amp; Electric Company</w:t>
      </w:r>
    </w:p>
    <w:p w:rsidR="006F5515" w:rsidRPr="006F5515" w:rsidRDefault="001D7494" w:rsidP="006F5515">
      <w:pPr>
        <w:ind w:left="720" w:firstLine="720"/>
        <w:rPr>
          <w:sz w:val="24"/>
          <w:szCs w:val="24"/>
        </w:rPr>
      </w:pPr>
      <w:hyperlink r:id="rId10" w:history="1">
        <w:r w:rsidR="006F5515" w:rsidRPr="006F5515">
          <w:rPr>
            <w:rStyle w:val="Hyperlink"/>
            <w:sz w:val="24"/>
            <w:szCs w:val="24"/>
          </w:rPr>
          <w:t>jwright@semprautilities.com</w:t>
        </w:r>
      </w:hyperlink>
    </w:p>
    <w:p w:rsidR="006F5515" w:rsidRDefault="006F5515" w:rsidP="006F5515">
      <w:pPr>
        <w:ind w:left="720" w:firstLine="720"/>
        <w:rPr>
          <w:sz w:val="24"/>
          <w:szCs w:val="24"/>
        </w:rPr>
      </w:pPr>
      <w:r w:rsidRPr="006F5515">
        <w:rPr>
          <w:sz w:val="24"/>
          <w:szCs w:val="24"/>
        </w:rPr>
        <w:t>(858) 654-1891</w:t>
      </w:r>
    </w:p>
    <w:p w:rsidR="00E02E43" w:rsidRDefault="00E02E43" w:rsidP="006F5515">
      <w:pPr>
        <w:ind w:left="720" w:firstLine="720"/>
        <w:rPr>
          <w:sz w:val="24"/>
          <w:szCs w:val="24"/>
        </w:rPr>
      </w:pPr>
    </w:p>
    <w:p w:rsidR="00084D20" w:rsidRDefault="00084D20" w:rsidP="00084D20">
      <w:pPr>
        <w:rPr>
          <w:sz w:val="24"/>
          <w:szCs w:val="24"/>
        </w:rPr>
      </w:pPr>
    </w:p>
    <w:p w:rsidR="00084D20" w:rsidRPr="0081667D" w:rsidRDefault="00084D20" w:rsidP="00084D20">
      <w:pPr>
        <w:rPr>
          <w:sz w:val="24"/>
          <w:szCs w:val="24"/>
        </w:rPr>
      </w:pPr>
      <w:r w:rsidRPr="0081667D">
        <w:rPr>
          <w:b/>
          <w:sz w:val="24"/>
          <w:szCs w:val="24"/>
        </w:rPr>
        <w:t xml:space="preserve">From: </w:t>
      </w:r>
      <w:r w:rsidRPr="0081667D">
        <w:rPr>
          <w:b/>
          <w:sz w:val="24"/>
          <w:szCs w:val="24"/>
        </w:rPr>
        <w:tab/>
      </w:r>
      <w:r w:rsidRPr="0081667D">
        <w:rPr>
          <w:b/>
          <w:sz w:val="24"/>
          <w:szCs w:val="24"/>
        </w:rPr>
        <w:tab/>
      </w:r>
      <w:r>
        <w:rPr>
          <w:sz w:val="24"/>
          <w:szCs w:val="24"/>
        </w:rPr>
        <w:t>Amy Mesrobian</w:t>
      </w:r>
    </w:p>
    <w:p w:rsidR="00084D20" w:rsidRPr="0081667D" w:rsidRDefault="00084D20" w:rsidP="00084D20">
      <w:pPr>
        <w:rPr>
          <w:sz w:val="24"/>
          <w:szCs w:val="24"/>
        </w:rPr>
      </w:pPr>
      <w:r w:rsidRPr="0081667D">
        <w:rPr>
          <w:sz w:val="24"/>
          <w:szCs w:val="24"/>
        </w:rPr>
        <w:tab/>
      </w:r>
      <w:r w:rsidRPr="0081667D">
        <w:rPr>
          <w:sz w:val="24"/>
          <w:szCs w:val="24"/>
        </w:rPr>
        <w:tab/>
        <w:t>CPUC Energy Division</w:t>
      </w:r>
    </w:p>
    <w:p w:rsidR="00084D20" w:rsidRPr="0081667D" w:rsidRDefault="00084D20" w:rsidP="00084D20">
      <w:pPr>
        <w:rPr>
          <w:sz w:val="24"/>
          <w:szCs w:val="24"/>
        </w:rPr>
      </w:pPr>
      <w:r w:rsidRPr="0081667D">
        <w:rPr>
          <w:sz w:val="24"/>
          <w:szCs w:val="24"/>
        </w:rPr>
        <w:tab/>
      </w:r>
      <w:r w:rsidRPr="0081667D">
        <w:rPr>
          <w:sz w:val="24"/>
          <w:szCs w:val="24"/>
        </w:rPr>
        <w:tab/>
      </w:r>
      <w:hyperlink r:id="rId11" w:history="1">
        <w:r w:rsidRPr="00B44C8D">
          <w:rPr>
            <w:rStyle w:val="Hyperlink"/>
            <w:sz w:val="24"/>
            <w:szCs w:val="24"/>
          </w:rPr>
          <w:t>amy.mesrobian@cpuc.ca.gov</w:t>
        </w:r>
      </w:hyperlink>
    </w:p>
    <w:p w:rsidR="00084D20" w:rsidRDefault="00084D20" w:rsidP="00084D20">
      <w:pPr>
        <w:rPr>
          <w:sz w:val="24"/>
          <w:szCs w:val="24"/>
        </w:rPr>
      </w:pPr>
      <w:r>
        <w:rPr>
          <w:sz w:val="24"/>
          <w:szCs w:val="24"/>
        </w:rPr>
        <w:tab/>
      </w:r>
      <w:r>
        <w:rPr>
          <w:sz w:val="24"/>
          <w:szCs w:val="24"/>
        </w:rPr>
        <w:tab/>
        <w:t>(415) 703-3175</w:t>
      </w:r>
    </w:p>
    <w:p w:rsidR="006F5515" w:rsidRDefault="006F5515" w:rsidP="00084D20">
      <w:pPr>
        <w:rPr>
          <w:sz w:val="24"/>
          <w:szCs w:val="24"/>
        </w:rPr>
      </w:pPr>
    </w:p>
    <w:p w:rsidR="006F5515" w:rsidRDefault="006F5515" w:rsidP="00084D20">
      <w:pPr>
        <w:rPr>
          <w:sz w:val="24"/>
          <w:szCs w:val="24"/>
        </w:rPr>
      </w:pPr>
      <w:r>
        <w:rPr>
          <w:sz w:val="24"/>
          <w:szCs w:val="24"/>
        </w:rPr>
        <w:tab/>
      </w:r>
      <w:r>
        <w:rPr>
          <w:sz w:val="24"/>
          <w:szCs w:val="24"/>
        </w:rPr>
        <w:tab/>
        <w:t>Carrie Sisto</w:t>
      </w:r>
    </w:p>
    <w:p w:rsidR="006F5515" w:rsidRDefault="006F5515" w:rsidP="00084D20">
      <w:pPr>
        <w:rPr>
          <w:sz w:val="24"/>
          <w:szCs w:val="24"/>
        </w:rPr>
      </w:pPr>
      <w:r>
        <w:rPr>
          <w:sz w:val="24"/>
          <w:szCs w:val="24"/>
        </w:rPr>
        <w:tab/>
      </w:r>
      <w:r>
        <w:rPr>
          <w:sz w:val="24"/>
          <w:szCs w:val="24"/>
        </w:rPr>
        <w:tab/>
        <w:t>CPUC Energy Division</w:t>
      </w:r>
    </w:p>
    <w:p w:rsidR="006F5515" w:rsidRDefault="006F5515" w:rsidP="00084D20">
      <w:pPr>
        <w:rPr>
          <w:sz w:val="24"/>
          <w:szCs w:val="24"/>
        </w:rPr>
      </w:pPr>
      <w:r>
        <w:rPr>
          <w:sz w:val="24"/>
          <w:szCs w:val="24"/>
        </w:rPr>
        <w:tab/>
      </w:r>
      <w:r>
        <w:rPr>
          <w:sz w:val="24"/>
          <w:szCs w:val="24"/>
        </w:rPr>
        <w:tab/>
      </w:r>
      <w:hyperlink r:id="rId12" w:history="1">
        <w:r w:rsidRPr="00E87C76">
          <w:rPr>
            <w:rStyle w:val="Hyperlink"/>
            <w:sz w:val="24"/>
            <w:szCs w:val="24"/>
          </w:rPr>
          <w:t>Carolyn.sisto@cpuc.ca.gov</w:t>
        </w:r>
      </w:hyperlink>
    </w:p>
    <w:p w:rsidR="006F5515" w:rsidRPr="0081667D" w:rsidRDefault="006F5515" w:rsidP="00084D20">
      <w:pPr>
        <w:rPr>
          <w:sz w:val="24"/>
          <w:szCs w:val="24"/>
        </w:rPr>
      </w:pPr>
      <w:r>
        <w:rPr>
          <w:sz w:val="24"/>
          <w:szCs w:val="24"/>
        </w:rPr>
        <w:tab/>
      </w:r>
      <w:r>
        <w:rPr>
          <w:sz w:val="24"/>
          <w:szCs w:val="24"/>
        </w:rPr>
        <w:tab/>
        <w:t>(415) 703-2872</w:t>
      </w:r>
    </w:p>
    <w:p w:rsidR="00084D20" w:rsidRDefault="00084D20" w:rsidP="00084D20">
      <w:pPr>
        <w:rPr>
          <w:sz w:val="24"/>
          <w:szCs w:val="24"/>
        </w:rPr>
      </w:pPr>
    </w:p>
    <w:p w:rsidR="00160CCD" w:rsidRDefault="00160CCD" w:rsidP="00084D20">
      <w:pPr>
        <w:rPr>
          <w:sz w:val="24"/>
          <w:szCs w:val="24"/>
        </w:rPr>
      </w:pPr>
      <w:r>
        <w:rPr>
          <w:sz w:val="24"/>
          <w:szCs w:val="24"/>
        </w:rPr>
        <w:t xml:space="preserve">Please provide answers to the following questions. </w:t>
      </w:r>
      <w:r w:rsidRPr="006F5515">
        <w:rPr>
          <w:sz w:val="24"/>
          <w:szCs w:val="24"/>
        </w:rPr>
        <w:t>In light of the Prehearing Co</w:t>
      </w:r>
      <w:r>
        <w:rPr>
          <w:sz w:val="24"/>
          <w:szCs w:val="24"/>
        </w:rPr>
        <w:t>nference held on March 16, 2017,</w:t>
      </w:r>
      <w:r w:rsidRPr="006F5515">
        <w:rPr>
          <w:sz w:val="24"/>
          <w:szCs w:val="24"/>
        </w:rPr>
        <w:t xml:space="preserve"> the Administrative Law Judge may instruct </w:t>
      </w:r>
      <w:r>
        <w:rPr>
          <w:sz w:val="24"/>
          <w:szCs w:val="24"/>
        </w:rPr>
        <w:t>SDG&amp;E</w:t>
      </w:r>
      <w:r w:rsidRPr="006F5515">
        <w:rPr>
          <w:sz w:val="24"/>
          <w:szCs w:val="24"/>
        </w:rPr>
        <w:t xml:space="preserve"> to formally file their Data Responses.</w:t>
      </w:r>
    </w:p>
    <w:p w:rsidR="00160CCD" w:rsidRDefault="00160CCD" w:rsidP="00084D20">
      <w:pPr>
        <w:rPr>
          <w:sz w:val="24"/>
          <w:szCs w:val="24"/>
        </w:rPr>
      </w:pPr>
    </w:p>
    <w:p w:rsidR="00202F9C" w:rsidRPr="003B7E3D" w:rsidRDefault="00202F9C" w:rsidP="00084D20">
      <w:pPr>
        <w:rPr>
          <w:b/>
          <w:sz w:val="24"/>
          <w:szCs w:val="24"/>
          <w:u w:val="single"/>
        </w:rPr>
      </w:pPr>
      <w:r w:rsidRPr="003B7E3D">
        <w:rPr>
          <w:b/>
          <w:sz w:val="24"/>
          <w:szCs w:val="24"/>
          <w:u w:val="single"/>
        </w:rPr>
        <w:t>Priority Review: Electrify Local Highways</w:t>
      </w:r>
    </w:p>
    <w:p w:rsidR="00604188" w:rsidRDefault="00256787" w:rsidP="001F50E8">
      <w:pPr>
        <w:numPr>
          <w:ilvl w:val="0"/>
          <w:numId w:val="9"/>
        </w:numPr>
        <w:rPr>
          <w:sz w:val="24"/>
          <w:szCs w:val="24"/>
        </w:rPr>
      </w:pPr>
      <w:r>
        <w:rPr>
          <w:sz w:val="24"/>
          <w:szCs w:val="24"/>
        </w:rPr>
        <w:t>In response to Energy Division’s questions during the May 17 Priority Review workshop about the Oceanside Transit Center, SDG&amp;E stated the site currently has 10 Blink charging stations but many of them are inoperable.</w:t>
      </w:r>
    </w:p>
    <w:p w:rsidR="00256787" w:rsidRDefault="00256787" w:rsidP="00256787">
      <w:pPr>
        <w:numPr>
          <w:ilvl w:val="1"/>
          <w:numId w:val="9"/>
        </w:numPr>
        <w:rPr>
          <w:sz w:val="24"/>
          <w:szCs w:val="24"/>
        </w:rPr>
      </w:pPr>
      <w:r>
        <w:rPr>
          <w:sz w:val="24"/>
          <w:szCs w:val="24"/>
        </w:rPr>
        <w:t>How long were the existing EVSE</w:t>
      </w:r>
      <w:r w:rsidR="00376621">
        <w:rPr>
          <w:sz w:val="24"/>
          <w:szCs w:val="24"/>
        </w:rPr>
        <w:t>s</w:t>
      </w:r>
      <w:r>
        <w:rPr>
          <w:sz w:val="24"/>
          <w:szCs w:val="24"/>
        </w:rPr>
        <w:t xml:space="preserve"> in place? How much of that time have the majority been inoperable?</w:t>
      </w:r>
    </w:p>
    <w:p w:rsidR="00256787" w:rsidRDefault="00256787" w:rsidP="00256787">
      <w:pPr>
        <w:numPr>
          <w:ilvl w:val="1"/>
          <w:numId w:val="9"/>
        </w:numPr>
        <w:rPr>
          <w:sz w:val="24"/>
          <w:szCs w:val="24"/>
        </w:rPr>
      </w:pPr>
      <w:r>
        <w:rPr>
          <w:sz w:val="24"/>
          <w:szCs w:val="24"/>
        </w:rPr>
        <w:t>Has Caltrans, the Car Charging Group, or SDG&amp;E collected any data from these charging stations?</w:t>
      </w:r>
    </w:p>
    <w:p w:rsidR="00256787" w:rsidRDefault="00256787" w:rsidP="00256787">
      <w:pPr>
        <w:numPr>
          <w:ilvl w:val="1"/>
          <w:numId w:val="9"/>
        </w:numPr>
        <w:rPr>
          <w:sz w:val="24"/>
          <w:szCs w:val="24"/>
        </w:rPr>
      </w:pPr>
      <w:r>
        <w:rPr>
          <w:sz w:val="24"/>
          <w:szCs w:val="24"/>
        </w:rPr>
        <w:t>Will SDG&amp;E be able to utilize the solar canopy as part of its EVSE installation at t</w:t>
      </w:r>
      <w:r w:rsidR="00376621">
        <w:rPr>
          <w:sz w:val="24"/>
          <w:szCs w:val="24"/>
        </w:rPr>
        <w:t>he Oceanside Transit Center?</w:t>
      </w:r>
    </w:p>
    <w:p w:rsidR="00256787" w:rsidRDefault="00256787" w:rsidP="00256787">
      <w:pPr>
        <w:numPr>
          <w:ilvl w:val="2"/>
          <w:numId w:val="9"/>
        </w:numPr>
        <w:rPr>
          <w:sz w:val="24"/>
          <w:szCs w:val="24"/>
        </w:rPr>
      </w:pPr>
      <w:r>
        <w:rPr>
          <w:sz w:val="24"/>
          <w:szCs w:val="24"/>
        </w:rPr>
        <w:t>If so, how would it utilize the solar canopy?</w:t>
      </w:r>
    </w:p>
    <w:p w:rsidR="00256787" w:rsidRDefault="00256787" w:rsidP="00256787">
      <w:pPr>
        <w:numPr>
          <w:ilvl w:val="2"/>
          <w:numId w:val="9"/>
        </w:numPr>
        <w:rPr>
          <w:sz w:val="24"/>
          <w:szCs w:val="24"/>
        </w:rPr>
      </w:pPr>
      <w:r>
        <w:rPr>
          <w:sz w:val="24"/>
          <w:szCs w:val="24"/>
        </w:rPr>
        <w:t>If not, why not?</w:t>
      </w:r>
    </w:p>
    <w:p w:rsidR="00ED3016" w:rsidRDefault="00ED3016" w:rsidP="00ED3016">
      <w:pPr>
        <w:numPr>
          <w:ilvl w:val="0"/>
          <w:numId w:val="9"/>
        </w:numPr>
        <w:rPr>
          <w:sz w:val="24"/>
          <w:szCs w:val="24"/>
        </w:rPr>
      </w:pPr>
      <w:r>
        <w:rPr>
          <w:sz w:val="24"/>
          <w:szCs w:val="24"/>
        </w:rPr>
        <w:t xml:space="preserve">SDG&amp;E provided data from the Del Lago Park and Ride in its response to Energy Division’s data request 1 that showed the majority of charging occurred at the site’s fast chargers, rather than the level 2 chargers. </w:t>
      </w:r>
    </w:p>
    <w:p w:rsidR="00ED3016" w:rsidRDefault="00ED3016" w:rsidP="00ED3016">
      <w:pPr>
        <w:numPr>
          <w:ilvl w:val="1"/>
          <w:numId w:val="9"/>
        </w:numPr>
        <w:rPr>
          <w:sz w:val="24"/>
          <w:szCs w:val="24"/>
        </w:rPr>
      </w:pPr>
      <w:r>
        <w:rPr>
          <w:sz w:val="24"/>
          <w:szCs w:val="24"/>
        </w:rPr>
        <w:lastRenderedPageBreak/>
        <w:t xml:space="preserve">Is this because the L2 charging equipment is largely inoperable or is there </w:t>
      </w:r>
      <w:r w:rsidR="000952C9">
        <w:rPr>
          <w:sz w:val="24"/>
          <w:szCs w:val="24"/>
        </w:rPr>
        <w:t>some other explanation</w:t>
      </w:r>
      <w:r>
        <w:rPr>
          <w:sz w:val="24"/>
          <w:szCs w:val="24"/>
        </w:rPr>
        <w:t>?</w:t>
      </w:r>
    </w:p>
    <w:p w:rsidR="00376621" w:rsidRDefault="00376621" w:rsidP="00376621">
      <w:pPr>
        <w:numPr>
          <w:ilvl w:val="0"/>
          <w:numId w:val="9"/>
        </w:numPr>
        <w:rPr>
          <w:sz w:val="24"/>
          <w:szCs w:val="24"/>
        </w:rPr>
      </w:pPr>
      <w:r>
        <w:rPr>
          <w:sz w:val="24"/>
          <w:szCs w:val="24"/>
        </w:rPr>
        <w:t>During the May 17, 2017 workshop on priority review projects, SDG&amp;E ment</w:t>
      </w:r>
      <w:r w:rsidR="00B26787">
        <w:rPr>
          <w:sz w:val="24"/>
          <w:szCs w:val="24"/>
        </w:rPr>
        <w:t xml:space="preserve">ioned that it partnered with </w:t>
      </w:r>
      <w:proofErr w:type="spellStart"/>
      <w:r w:rsidR="00B26787">
        <w:rPr>
          <w:sz w:val="24"/>
          <w:szCs w:val="24"/>
        </w:rPr>
        <w:t>ECO</w:t>
      </w:r>
      <w:r>
        <w:rPr>
          <w:sz w:val="24"/>
          <w:szCs w:val="24"/>
        </w:rPr>
        <w:t>tality</w:t>
      </w:r>
      <w:proofErr w:type="spellEnd"/>
      <w:r>
        <w:rPr>
          <w:sz w:val="24"/>
          <w:szCs w:val="24"/>
        </w:rPr>
        <w:t xml:space="preserve"> at the Del Lago Park and Ride with solar and storage. Please provide any reports or lessons learned from the data collected at this site, including any lessons learned related to the onsite solar and </w:t>
      </w:r>
      <w:proofErr w:type="spellStart"/>
      <w:r>
        <w:rPr>
          <w:sz w:val="24"/>
          <w:szCs w:val="24"/>
        </w:rPr>
        <w:t>stoarge</w:t>
      </w:r>
      <w:proofErr w:type="spellEnd"/>
      <w:r>
        <w:rPr>
          <w:sz w:val="24"/>
          <w:szCs w:val="24"/>
        </w:rPr>
        <w:t>.</w:t>
      </w:r>
    </w:p>
    <w:p w:rsidR="00ED3016" w:rsidRPr="00465961" w:rsidRDefault="000952C9" w:rsidP="00465961">
      <w:pPr>
        <w:numPr>
          <w:ilvl w:val="0"/>
          <w:numId w:val="9"/>
        </w:numPr>
        <w:rPr>
          <w:sz w:val="24"/>
          <w:szCs w:val="24"/>
        </w:rPr>
      </w:pPr>
      <w:r>
        <w:rPr>
          <w:sz w:val="24"/>
          <w:szCs w:val="24"/>
        </w:rPr>
        <w:t>In Chapter 3 of its testimony</w:t>
      </w:r>
      <w:r w:rsidR="00A1678B">
        <w:rPr>
          <w:sz w:val="24"/>
          <w:szCs w:val="24"/>
        </w:rPr>
        <w:t xml:space="preserve"> on page RS-21,</w:t>
      </w:r>
      <w:r w:rsidR="00ED3016">
        <w:rPr>
          <w:sz w:val="24"/>
          <w:szCs w:val="24"/>
        </w:rPr>
        <w:t xml:space="preserve"> SDG&amp;E states that out of 60 park-and-rides in the San Diego region, Caltrans owns 33. </w:t>
      </w:r>
      <w:r w:rsidR="00ED3016" w:rsidRPr="00465961">
        <w:rPr>
          <w:sz w:val="24"/>
          <w:szCs w:val="24"/>
        </w:rPr>
        <w:t>Do any of the non-state-owned park-and-rides offer charging options for commuters?</w:t>
      </w:r>
      <w:r w:rsidR="0085107D" w:rsidRPr="00465961">
        <w:rPr>
          <w:sz w:val="24"/>
          <w:szCs w:val="24"/>
        </w:rPr>
        <w:t xml:space="preserve"> If so, could any information be collected or </w:t>
      </w:r>
      <w:r w:rsidR="00465961">
        <w:rPr>
          <w:sz w:val="24"/>
          <w:szCs w:val="24"/>
        </w:rPr>
        <w:t xml:space="preserve">are there </w:t>
      </w:r>
      <w:r w:rsidR="0085107D" w:rsidRPr="00465961">
        <w:rPr>
          <w:sz w:val="24"/>
          <w:szCs w:val="24"/>
        </w:rPr>
        <w:t xml:space="preserve">lessons learned </w:t>
      </w:r>
      <w:r w:rsidR="00465961">
        <w:rPr>
          <w:sz w:val="24"/>
          <w:szCs w:val="24"/>
        </w:rPr>
        <w:t xml:space="preserve">that could </w:t>
      </w:r>
      <w:r w:rsidR="0085107D" w:rsidRPr="00465961">
        <w:rPr>
          <w:sz w:val="24"/>
          <w:szCs w:val="24"/>
        </w:rPr>
        <w:t>be applied to SDG&amp;E’s pilot?</w:t>
      </w:r>
    </w:p>
    <w:p w:rsidR="00ED3016" w:rsidRDefault="002648A3" w:rsidP="00E20F5E">
      <w:pPr>
        <w:numPr>
          <w:ilvl w:val="0"/>
          <w:numId w:val="9"/>
        </w:numPr>
        <w:rPr>
          <w:sz w:val="24"/>
          <w:szCs w:val="24"/>
        </w:rPr>
      </w:pPr>
      <w:r w:rsidRPr="002648A3">
        <w:rPr>
          <w:sz w:val="24"/>
          <w:szCs w:val="24"/>
        </w:rPr>
        <w:t>In its response to the Energy Division</w:t>
      </w:r>
      <w:r>
        <w:rPr>
          <w:sz w:val="24"/>
          <w:szCs w:val="24"/>
        </w:rPr>
        <w:t xml:space="preserve"> data request 1, SDG&amp;E’s cost work papers show it is only assuming a 5 percent EVSE replacement need across the four sites and only a $38,240 budget total for operation and maintenance costs in outer years. </w:t>
      </w:r>
    </w:p>
    <w:p w:rsidR="002648A3" w:rsidRDefault="0085107D" w:rsidP="002648A3">
      <w:pPr>
        <w:numPr>
          <w:ilvl w:val="1"/>
          <w:numId w:val="9"/>
        </w:numPr>
        <w:rPr>
          <w:sz w:val="24"/>
          <w:szCs w:val="24"/>
        </w:rPr>
      </w:pPr>
      <w:r>
        <w:rPr>
          <w:sz w:val="24"/>
          <w:szCs w:val="24"/>
        </w:rPr>
        <w:t>What assumptions is SDG&amp;E making about the need for operations and maintenance and EVSE replacement under its proposed ownership? How does that compare to the O&amp;M and replacement needs at the two Caltrans sites where EVSE is currently installed?</w:t>
      </w:r>
    </w:p>
    <w:p w:rsidR="002648A3" w:rsidRDefault="002648A3" w:rsidP="002648A3">
      <w:pPr>
        <w:numPr>
          <w:ilvl w:val="1"/>
          <w:numId w:val="9"/>
        </w:numPr>
        <w:rPr>
          <w:sz w:val="24"/>
          <w:szCs w:val="24"/>
        </w:rPr>
      </w:pPr>
      <w:r>
        <w:rPr>
          <w:sz w:val="24"/>
          <w:szCs w:val="24"/>
        </w:rPr>
        <w:t>How long does SDG&amp;E intend to operate and maintain the EVSE at the four Caltrans sites?</w:t>
      </w:r>
    </w:p>
    <w:p w:rsidR="00202F9C" w:rsidRDefault="00202F9C" w:rsidP="00202F9C">
      <w:pPr>
        <w:rPr>
          <w:sz w:val="24"/>
          <w:szCs w:val="24"/>
        </w:rPr>
      </w:pPr>
    </w:p>
    <w:p w:rsidR="00202F9C" w:rsidRPr="003B7E3D" w:rsidRDefault="00202F9C" w:rsidP="00202F9C">
      <w:pPr>
        <w:rPr>
          <w:b/>
          <w:sz w:val="24"/>
          <w:szCs w:val="24"/>
          <w:u w:val="single"/>
        </w:rPr>
      </w:pPr>
      <w:r w:rsidRPr="003B7E3D">
        <w:rPr>
          <w:b/>
          <w:sz w:val="24"/>
          <w:szCs w:val="24"/>
          <w:u w:val="single"/>
        </w:rPr>
        <w:t>Priority Review: Green Taxi/Shuttle/Rideshare</w:t>
      </w:r>
    </w:p>
    <w:p w:rsidR="007F7271" w:rsidRDefault="007F7271" w:rsidP="007F7271">
      <w:pPr>
        <w:numPr>
          <w:ilvl w:val="0"/>
          <w:numId w:val="9"/>
        </w:numPr>
        <w:rPr>
          <w:sz w:val="24"/>
          <w:szCs w:val="24"/>
        </w:rPr>
      </w:pPr>
      <w:r>
        <w:rPr>
          <w:sz w:val="24"/>
          <w:szCs w:val="24"/>
        </w:rPr>
        <w:t xml:space="preserve">SDG&amp;E states in response to Energy Division data request 1 that the EVSE will only be available for usage by program participants, so as to minimize wait times. </w:t>
      </w:r>
    </w:p>
    <w:p w:rsidR="007F7271" w:rsidRDefault="007F7271" w:rsidP="007F7271">
      <w:pPr>
        <w:numPr>
          <w:ilvl w:val="1"/>
          <w:numId w:val="9"/>
        </w:numPr>
        <w:rPr>
          <w:sz w:val="24"/>
          <w:szCs w:val="24"/>
        </w:rPr>
      </w:pPr>
      <w:r>
        <w:rPr>
          <w:sz w:val="24"/>
          <w:szCs w:val="24"/>
        </w:rPr>
        <w:t>How does SDG&amp;E intend to restrict the usage of the EVSE installed as part of this program?</w:t>
      </w:r>
    </w:p>
    <w:p w:rsidR="007F7271" w:rsidRDefault="007F7271" w:rsidP="007F7271">
      <w:pPr>
        <w:numPr>
          <w:ilvl w:val="1"/>
          <w:numId w:val="9"/>
        </w:numPr>
        <w:rPr>
          <w:sz w:val="24"/>
          <w:szCs w:val="24"/>
        </w:rPr>
      </w:pPr>
      <w:r>
        <w:rPr>
          <w:sz w:val="24"/>
          <w:szCs w:val="24"/>
        </w:rPr>
        <w:t xml:space="preserve">Will EVSE usage continue to be restricted after the one-year term of the </w:t>
      </w:r>
      <w:r w:rsidR="00202F9C">
        <w:rPr>
          <w:sz w:val="24"/>
          <w:szCs w:val="24"/>
        </w:rPr>
        <w:t>pilot</w:t>
      </w:r>
      <w:r>
        <w:rPr>
          <w:sz w:val="24"/>
          <w:szCs w:val="24"/>
        </w:rPr>
        <w:t>?</w:t>
      </w:r>
    </w:p>
    <w:p w:rsidR="00240B48" w:rsidRDefault="00240B48" w:rsidP="00240B48">
      <w:pPr>
        <w:rPr>
          <w:sz w:val="24"/>
          <w:szCs w:val="24"/>
        </w:rPr>
      </w:pPr>
    </w:p>
    <w:p w:rsidR="00240B48" w:rsidRPr="003B7E3D" w:rsidRDefault="00240B48" w:rsidP="00240B48">
      <w:pPr>
        <w:rPr>
          <w:b/>
          <w:sz w:val="24"/>
          <w:szCs w:val="24"/>
          <w:u w:val="single"/>
        </w:rPr>
      </w:pPr>
      <w:r w:rsidRPr="003B7E3D">
        <w:rPr>
          <w:b/>
          <w:sz w:val="24"/>
          <w:szCs w:val="24"/>
          <w:u w:val="single"/>
        </w:rPr>
        <w:t>Priority Review: Dealership Incentives</w:t>
      </w:r>
    </w:p>
    <w:p w:rsidR="00240B48" w:rsidRDefault="004C6EF4" w:rsidP="00240B48">
      <w:pPr>
        <w:numPr>
          <w:ilvl w:val="0"/>
          <w:numId w:val="9"/>
        </w:numPr>
        <w:rPr>
          <w:sz w:val="24"/>
          <w:szCs w:val="24"/>
        </w:rPr>
      </w:pPr>
      <w:r>
        <w:rPr>
          <w:sz w:val="24"/>
          <w:szCs w:val="24"/>
        </w:rPr>
        <w:t>In response to Energy Division data request #1 question 5b, SDG&amp;E states that it cannot gather data from dealers about current EV sales. Without this baseline, how does SDG&amp;E propose to measure the effectiveness of its pilot? Would SDG&amp;E require participating dealers to report sales information?</w:t>
      </w:r>
    </w:p>
    <w:p w:rsidR="004C6EF4" w:rsidRDefault="004C6EF4" w:rsidP="00240B48">
      <w:pPr>
        <w:numPr>
          <w:ilvl w:val="0"/>
          <w:numId w:val="9"/>
        </w:numPr>
        <w:rPr>
          <w:sz w:val="24"/>
          <w:szCs w:val="24"/>
        </w:rPr>
      </w:pPr>
      <w:r>
        <w:rPr>
          <w:sz w:val="24"/>
          <w:szCs w:val="24"/>
        </w:rPr>
        <w:t xml:space="preserve">Why is the </w:t>
      </w:r>
      <w:r w:rsidR="00D71ED0">
        <w:rPr>
          <w:sz w:val="24"/>
          <w:szCs w:val="24"/>
        </w:rPr>
        <w:t>Sierra Club Multi-State S</w:t>
      </w:r>
      <w:r>
        <w:rPr>
          <w:sz w:val="24"/>
          <w:szCs w:val="24"/>
        </w:rPr>
        <w:t>tudy of EV Shopping Experience</w:t>
      </w:r>
      <w:r>
        <w:rPr>
          <w:rStyle w:val="FootnoteReference"/>
          <w:sz w:val="24"/>
          <w:szCs w:val="24"/>
        </w:rPr>
        <w:footnoteReference w:id="1"/>
      </w:r>
      <w:r>
        <w:rPr>
          <w:sz w:val="24"/>
          <w:szCs w:val="24"/>
        </w:rPr>
        <w:t xml:space="preserve"> a good baseline to evaluate the success of the dealership incentive pilot?</w:t>
      </w:r>
    </w:p>
    <w:p w:rsidR="004C6EF4" w:rsidRDefault="004C6EF4" w:rsidP="004C6EF4">
      <w:pPr>
        <w:numPr>
          <w:ilvl w:val="1"/>
          <w:numId w:val="9"/>
        </w:numPr>
        <w:rPr>
          <w:sz w:val="24"/>
          <w:szCs w:val="24"/>
        </w:rPr>
      </w:pPr>
      <w:r>
        <w:rPr>
          <w:sz w:val="24"/>
          <w:szCs w:val="24"/>
        </w:rPr>
        <w:t xml:space="preserve">What data contained in the study does SDG&amp;E </w:t>
      </w:r>
      <w:proofErr w:type="gramStart"/>
      <w:r>
        <w:rPr>
          <w:sz w:val="24"/>
          <w:szCs w:val="24"/>
        </w:rPr>
        <w:t>suggest</w:t>
      </w:r>
      <w:proofErr w:type="gramEnd"/>
      <w:r>
        <w:rPr>
          <w:sz w:val="24"/>
          <w:szCs w:val="24"/>
        </w:rPr>
        <w:t xml:space="preserve"> using as a baseline?  Is there any California-specific data?</w:t>
      </w:r>
    </w:p>
    <w:p w:rsidR="004C6EF4" w:rsidRDefault="004C6EF4" w:rsidP="004C6EF4">
      <w:pPr>
        <w:rPr>
          <w:sz w:val="24"/>
          <w:szCs w:val="24"/>
        </w:rPr>
      </w:pPr>
    </w:p>
    <w:p w:rsidR="004C6EF4" w:rsidRPr="00E55FF0" w:rsidRDefault="004C6EF4" w:rsidP="004C6EF4">
      <w:pPr>
        <w:rPr>
          <w:b/>
          <w:sz w:val="24"/>
          <w:szCs w:val="24"/>
          <w:u w:val="single"/>
        </w:rPr>
      </w:pPr>
      <w:r w:rsidRPr="00E55FF0">
        <w:rPr>
          <w:b/>
          <w:sz w:val="24"/>
          <w:szCs w:val="24"/>
          <w:u w:val="single"/>
        </w:rPr>
        <w:t>Standard Review:</w:t>
      </w:r>
      <w:r w:rsidR="00E55FF0" w:rsidRPr="00E55FF0">
        <w:rPr>
          <w:b/>
          <w:sz w:val="24"/>
          <w:szCs w:val="24"/>
          <w:u w:val="single"/>
        </w:rPr>
        <w:t xml:space="preserve"> Residential Charging</w:t>
      </w:r>
    </w:p>
    <w:p w:rsidR="004C6EF4" w:rsidRDefault="00B178EA" w:rsidP="004C6EF4">
      <w:pPr>
        <w:numPr>
          <w:ilvl w:val="0"/>
          <w:numId w:val="9"/>
        </w:numPr>
        <w:rPr>
          <w:sz w:val="24"/>
          <w:szCs w:val="24"/>
        </w:rPr>
      </w:pPr>
      <w:r>
        <w:rPr>
          <w:sz w:val="24"/>
          <w:szCs w:val="24"/>
        </w:rPr>
        <w:t xml:space="preserve">If </w:t>
      </w:r>
      <w:r w:rsidR="004B502D">
        <w:rPr>
          <w:sz w:val="24"/>
          <w:szCs w:val="24"/>
        </w:rPr>
        <w:t>a household has more than one</w:t>
      </w:r>
      <w:r>
        <w:rPr>
          <w:sz w:val="24"/>
          <w:szCs w:val="24"/>
        </w:rPr>
        <w:t xml:space="preserve"> EV, does SDG&amp;E plan to install multiple EVSEs for a single </w:t>
      </w:r>
      <w:r w:rsidR="00593331">
        <w:rPr>
          <w:sz w:val="24"/>
          <w:szCs w:val="24"/>
        </w:rPr>
        <w:t>residence</w:t>
      </w:r>
      <w:r>
        <w:rPr>
          <w:sz w:val="24"/>
          <w:szCs w:val="24"/>
        </w:rPr>
        <w:t>?</w:t>
      </w:r>
    </w:p>
    <w:p w:rsidR="00D71ED0" w:rsidRDefault="00D71ED0" w:rsidP="004C6EF4">
      <w:pPr>
        <w:numPr>
          <w:ilvl w:val="0"/>
          <w:numId w:val="9"/>
        </w:numPr>
        <w:rPr>
          <w:sz w:val="24"/>
          <w:szCs w:val="24"/>
        </w:rPr>
      </w:pPr>
      <w:r>
        <w:rPr>
          <w:sz w:val="24"/>
          <w:szCs w:val="24"/>
        </w:rPr>
        <w:t>SDG&amp;E states that it will pay for installations up to a cap</w:t>
      </w:r>
      <w:r w:rsidR="00297D42">
        <w:rPr>
          <w:sz w:val="24"/>
          <w:szCs w:val="24"/>
        </w:rPr>
        <w:t>, but that cap is well below the amount SDG&amp;E states is the average cost of installing an L2 charger</w:t>
      </w:r>
      <w:r>
        <w:rPr>
          <w:sz w:val="24"/>
          <w:szCs w:val="24"/>
        </w:rPr>
        <w:t xml:space="preserve">. Does this mean a </w:t>
      </w:r>
      <w:r>
        <w:rPr>
          <w:sz w:val="24"/>
          <w:szCs w:val="24"/>
        </w:rPr>
        <w:lastRenderedPageBreak/>
        <w:t>customer would pay all of the costs and then be reimbursed by SDG&amp;E up to the cap? Or, would SDG&amp;E cover all costs, but seek payment from customers above the cap? Or, would installations that are projected to exceed the cost caps be ineligible for the program?</w:t>
      </w:r>
    </w:p>
    <w:p w:rsidR="00593331" w:rsidRDefault="00593331" w:rsidP="004C6EF4">
      <w:pPr>
        <w:numPr>
          <w:ilvl w:val="0"/>
          <w:numId w:val="9"/>
        </w:numPr>
        <w:rPr>
          <w:sz w:val="24"/>
          <w:szCs w:val="24"/>
        </w:rPr>
      </w:pPr>
      <w:r>
        <w:rPr>
          <w:sz w:val="24"/>
          <w:szCs w:val="24"/>
        </w:rPr>
        <w:t xml:space="preserve">Does SDG&amp;E plan to procure EVSE with embedded </w:t>
      </w:r>
      <w:proofErr w:type="spellStart"/>
      <w:r>
        <w:rPr>
          <w:sz w:val="24"/>
          <w:szCs w:val="24"/>
        </w:rPr>
        <w:t>submeters</w:t>
      </w:r>
      <w:proofErr w:type="spellEnd"/>
      <w:r>
        <w:rPr>
          <w:sz w:val="24"/>
          <w:szCs w:val="24"/>
        </w:rPr>
        <w:t xml:space="preserve">, to be capable of participating in any future Submetering </w:t>
      </w:r>
      <w:r w:rsidR="00D71ED0">
        <w:rPr>
          <w:sz w:val="24"/>
          <w:szCs w:val="24"/>
        </w:rPr>
        <w:t>P</w:t>
      </w:r>
      <w:r>
        <w:rPr>
          <w:sz w:val="24"/>
          <w:szCs w:val="24"/>
        </w:rPr>
        <w:t>rotocol?</w:t>
      </w:r>
    </w:p>
    <w:p w:rsidR="00297D42" w:rsidRDefault="00297D42" w:rsidP="00297D42">
      <w:pPr>
        <w:numPr>
          <w:ilvl w:val="0"/>
          <w:numId w:val="9"/>
        </w:numPr>
        <w:rPr>
          <w:sz w:val="24"/>
          <w:szCs w:val="24"/>
        </w:rPr>
      </w:pPr>
      <w:r>
        <w:rPr>
          <w:sz w:val="24"/>
          <w:szCs w:val="24"/>
        </w:rPr>
        <w:t xml:space="preserve">Would SDG&amp;E consider using </w:t>
      </w:r>
      <w:proofErr w:type="spellStart"/>
      <w:r>
        <w:rPr>
          <w:sz w:val="24"/>
          <w:szCs w:val="24"/>
        </w:rPr>
        <w:t>submeters</w:t>
      </w:r>
      <w:proofErr w:type="spellEnd"/>
      <w:r>
        <w:rPr>
          <w:sz w:val="24"/>
          <w:szCs w:val="24"/>
        </w:rPr>
        <w:t xml:space="preserve"> rather than installing new separate meters for each customer? If not, why not?</w:t>
      </w:r>
    </w:p>
    <w:p w:rsidR="00D355C5" w:rsidRDefault="00D71ED0" w:rsidP="004C6EF4">
      <w:pPr>
        <w:numPr>
          <w:ilvl w:val="0"/>
          <w:numId w:val="9"/>
        </w:numPr>
        <w:rPr>
          <w:sz w:val="24"/>
          <w:szCs w:val="24"/>
        </w:rPr>
      </w:pPr>
      <w:r>
        <w:rPr>
          <w:sz w:val="24"/>
          <w:szCs w:val="24"/>
        </w:rPr>
        <w:t>Does the customer need to agree to take service on the Residential GIR for a minimum amount of time to be eligible for the Program?</w:t>
      </w:r>
    </w:p>
    <w:p w:rsidR="00D71ED0" w:rsidRDefault="00D355C5" w:rsidP="004C6EF4">
      <w:pPr>
        <w:numPr>
          <w:ilvl w:val="0"/>
          <w:numId w:val="9"/>
        </w:numPr>
        <w:rPr>
          <w:sz w:val="24"/>
          <w:szCs w:val="24"/>
        </w:rPr>
      </w:pPr>
      <w:r>
        <w:rPr>
          <w:sz w:val="24"/>
          <w:szCs w:val="24"/>
        </w:rPr>
        <w:t>How will SDG&amp;E determine whether a participant is no longer using the L2 EVSE installed in its residential garage? Is there a certain amount of time the L2 could remain unused before SDG&amp;E removes it?</w:t>
      </w:r>
    </w:p>
    <w:p w:rsidR="00593331" w:rsidRPr="00D71ED0" w:rsidRDefault="00593331" w:rsidP="00D71ED0">
      <w:pPr>
        <w:numPr>
          <w:ilvl w:val="0"/>
          <w:numId w:val="9"/>
        </w:numPr>
        <w:rPr>
          <w:sz w:val="24"/>
          <w:szCs w:val="24"/>
        </w:rPr>
      </w:pPr>
      <w:r>
        <w:rPr>
          <w:sz w:val="24"/>
          <w:szCs w:val="24"/>
        </w:rPr>
        <w:t>SDG&amp;E provided</w:t>
      </w:r>
      <w:r w:rsidR="00B178EA">
        <w:rPr>
          <w:sz w:val="24"/>
          <w:szCs w:val="24"/>
        </w:rPr>
        <w:t xml:space="preserve"> cost </w:t>
      </w:r>
      <w:proofErr w:type="spellStart"/>
      <w:r w:rsidR="00B178EA">
        <w:rPr>
          <w:sz w:val="24"/>
          <w:szCs w:val="24"/>
        </w:rPr>
        <w:t>workpapers</w:t>
      </w:r>
      <w:proofErr w:type="spellEnd"/>
      <w:r w:rsidR="00B178EA">
        <w:rPr>
          <w:sz w:val="24"/>
          <w:szCs w:val="24"/>
        </w:rPr>
        <w:t xml:space="preserve"> in response to Energy Division’s data </w:t>
      </w:r>
      <w:r>
        <w:rPr>
          <w:sz w:val="24"/>
          <w:szCs w:val="24"/>
        </w:rPr>
        <w:t>request #1</w:t>
      </w:r>
      <w:r w:rsidR="00D71ED0">
        <w:rPr>
          <w:sz w:val="24"/>
          <w:szCs w:val="24"/>
        </w:rPr>
        <w:t xml:space="preserve">. </w:t>
      </w:r>
      <w:r w:rsidRPr="00D71ED0">
        <w:rPr>
          <w:sz w:val="24"/>
          <w:szCs w:val="24"/>
        </w:rPr>
        <w:t>Line 41 “Maintenance (service calls)” assumes “1 service call / install @ $250 each.” Is this for the initial installation, or a subsequent visit to ensu</w:t>
      </w:r>
      <w:r w:rsidR="000C3089" w:rsidRPr="00D71ED0">
        <w:rPr>
          <w:sz w:val="24"/>
          <w:szCs w:val="24"/>
        </w:rPr>
        <w:t>re the equipment is operational?</w:t>
      </w:r>
    </w:p>
    <w:p w:rsidR="00B26787" w:rsidRDefault="000313A2" w:rsidP="0075272C">
      <w:pPr>
        <w:numPr>
          <w:ilvl w:val="0"/>
          <w:numId w:val="9"/>
        </w:numPr>
        <w:rPr>
          <w:sz w:val="24"/>
          <w:szCs w:val="24"/>
        </w:rPr>
      </w:pPr>
      <w:r>
        <w:rPr>
          <w:sz w:val="24"/>
          <w:szCs w:val="24"/>
        </w:rPr>
        <w:t xml:space="preserve">Testimony states that the program aims to give customers a choice of EVSEs. </w:t>
      </w:r>
      <w:r w:rsidR="0075272C">
        <w:rPr>
          <w:sz w:val="24"/>
          <w:szCs w:val="24"/>
        </w:rPr>
        <w:t>SDG&amp;E states that it intends to keep the Po</w:t>
      </w:r>
      <w:r>
        <w:rPr>
          <w:sz w:val="24"/>
          <w:szCs w:val="24"/>
        </w:rPr>
        <w:t>wer Your Drive RFP process open</w:t>
      </w:r>
      <w:r w:rsidR="0075272C">
        <w:rPr>
          <w:rStyle w:val="FootnoteReference"/>
          <w:sz w:val="24"/>
          <w:szCs w:val="24"/>
        </w:rPr>
        <w:footnoteReference w:id="2"/>
      </w:r>
      <w:r>
        <w:rPr>
          <w:sz w:val="24"/>
          <w:szCs w:val="24"/>
        </w:rPr>
        <w:t xml:space="preserve"> to provide opportunities for the Residential Charging program. H</w:t>
      </w:r>
      <w:r w:rsidR="0075272C">
        <w:rPr>
          <w:sz w:val="24"/>
          <w:szCs w:val="24"/>
        </w:rPr>
        <w:t xml:space="preserve">owever, </w:t>
      </w:r>
      <w:r w:rsidR="000C3089">
        <w:rPr>
          <w:sz w:val="24"/>
          <w:szCs w:val="24"/>
        </w:rPr>
        <w:t xml:space="preserve">SDG&amp;E has closed </w:t>
      </w:r>
      <w:r>
        <w:rPr>
          <w:sz w:val="24"/>
          <w:szCs w:val="24"/>
        </w:rPr>
        <w:t>its Power Your Drive</w:t>
      </w:r>
      <w:r w:rsidR="000C3089">
        <w:rPr>
          <w:sz w:val="24"/>
          <w:szCs w:val="24"/>
        </w:rPr>
        <w:t xml:space="preserve"> RFP.</w:t>
      </w:r>
      <w:r w:rsidR="001D7494">
        <w:rPr>
          <w:sz w:val="24"/>
          <w:szCs w:val="24"/>
        </w:rPr>
        <w:t xml:space="preserve"> The testimony at RS-24</w:t>
      </w:r>
      <w:bookmarkStart w:id="0" w:name="_GoBack"/>
      <w:bookmarkEnd w:id="0"/>
      <w:r w:rsidR="004B502D">
        <w:rPr>
          <w:sz w:val="24"/>
          <w:szCs w:val="24"/>
        </w:rPr>
        <w:t xml:space="preserve"> also includes a summary of the process that will be followed for “both RFPs.”</w:t>
      </w:r>
      <w:r w:rsidR="00B26787">
        <w:rPr>
          <w:sz w:val="24"/>
          <w:szCs w:val="24"/>
        </w:rPr>
        <w:t xml:space="preserve"> </w:t>
      </w:r>
    </w:p>
    <w:p w:rsidR="0075272C" w:rsidRPr="004B502D" w:rsidRDefault="004B502D" w:rsidP="004B502D">
      <w:pPr>
        <w:numPr>
          <w:ilvl w:val="1"/>
          <w:numId w:val="9"/>
        </w:numPr>
        <w:rPr>
          <w:sz w:val="24"/>
          <w:szCs w:val="24"/>
        </w:rPr>
      </w:pPr>
      <w:r>
        <w:rPr>
          <w:sz w:val="24"/>
          <w:szCs w:val="24"/>
        </w:rPr>
        <w:t xml:space="preserve">What are the two RFPs that will follow that summarized process? </w:t>
      </w:r>
      <w:r w:rsidR="00B26787" w:rsidRPr="004B502D">
        <w:rPr>
          <w:sz w:val="24"/>
          <w:szCs w:val="24"/>
        </w:rPr>
        <w:t xml:space="preserve">Does SDG&amp;E intend to re-open the RFP for Power Your Drive and </w:t>
      </w:r>
      <w:r>
        <w:rPr>
          <w:sz w:val="24"/>
          <w:szCs w:val="24"/>
        </w:rPr>
        <w:t xml:space="preserve">conduct a second RFP for </w:t>
      </w:r>
      <w:r w:rsidR="00B26787" w:rsidRPr="004B502D">
        <w:rPr>
          <w:sz w:val="24"/>
          <w:szCs w:val="24"/>
        </w:rPr>
        <w:t>the proposed Residential Charging program?</w:t>
      </w:r>
      <w:r>
        <w:rPr>
          <w:sz w:val="24"/>
          <w:szCs w:val="24"/>
        </w:rPr>
        <w:t xml:space="preserve"> Or is there another RFP associated with the Residential Charging program?</w:t>
      </w:r>
    </w:p>
    <w:p w:rsidR="00B26787" w:rsidRDefault="00B26787" w:rsidP="00B26787">
      <w:pPr>
        <w:numPr>
          <w:ilvl w:val="1"/>
          <w:numId w:val="9"/>
        </w:numPr>
        <w:rPr>
          <w:sz w:val="24"/>
          <w:szCs w:val="24"/>
        </w:rPr>
      </w:pPr>
      <w:r>
        <w:rPr>
          <w:sz w:val="24"/>
          <w:szCs w:val="24"/>
        </w:rPr>
        <w:t xml:space="preserve">Will SDG&amp;E limit the number of approved vendors or EVSE models that are qualified for the Residential Charging program? </w:t>
      </w:r>
    </w:p>
    <w:p w:rsidR="004B502D" w:rsidRDefault="004B502D" w:rsidP="00B26787">
      <w:pPr>
        <w:numPr>
          <w:ilvl w:val="1"/>
          <w:numId w:val="9"/>
        </w:numPr>
        <w:rPr>
          <w:sz w:val="24"/>
          <w:szCs w:val="24"/>
        </w:rPr>
      </w:pPr>
      <w:r>
        <w:rPr>
          <w:sz w:val="24"/>
          <w:szCs w:val="24"/>
        </w:rPr>
        <w:t>What lessons learned from the Power Your Drive RFP process could be used to expedite the RFP(s) conducted for the Residential Charging program?</w:t>
      </w:r>
    </w:p>
    <w:p w:rsidR="004B502D" w:rsidRPr="001F50E8" w:rsidRDefault="004B502D" w:rsidP="004B502D">
      <w:pPr>
        <w:numPr>
          <w:ilvl w:val="0"/>
          <w:numId w:val="9"/>
        </w:numPr>
        <w:rPr>
          <w:sz w:val="24"/>
          <w:szCs w:val="24"/>
        </w:rPr>
      </w:pPr>
      <w:r>
        <w:rPr>
          <w:sz w:val="24"/>
          <w:szCs w:val="24"/>
        </w:rPr>
        <w:t>Why does SDG&amp;E anticipate the Residential Charging program will not begin until 2020?</w:t>
      </w:r>
    </w:p>
    <w:sectPr w:rsidR="004B502D" w:rsidRPr="001F50E8" w:rsidSect="001C0D7A">
      <w:headerReference w:type="default" r:id="rId13"/>
      <w:footerReference w:type="even" r:id="rId14"/>
      <w:footerReference w:type="default" r:id="rId15"/>
      <w:pgSz w:w="12240" w:h="15840" w:code="1"/>
      <w:pgMar w:top="720" w:right="1440" w:bottom="1152" w:left="1440" w:header="720" w:footer="1008"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91" w:rsidRDefault="00DA703A">
      <w:r>
        <w:separator/>
      </w:r>
    </w:p>
  </w:endnote>
  <w:endnote w:type="continuationSeparator" w:id="0">
    <w:p w:rsidR="008E0F91" w:rsidRDefault="00D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Default="001B2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667D" w:rsidRDefault="001D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Default="001B2951">
    <w:pPr>
      <w:pStyle w:val="Footer"/>
      <w:framePr w:wrap="around" w:vAnchor="text" w:hAnchor="margin" w:xAlign="center" w:y="1"/>
      <w:rPr>
        <w:rStyle w:val="PageNumber"/>
      </w:rPr>
    </w:pPr>
    <w:r>
      <w:rPr>
        <w:rStyle w:val="PageNumber"/>
      </w:rPr>
      <w:tab/>
    </w:r>
  </w:p>
  <w:p w:rsidR="0081667D" w:rsidRDefault="001D7494">
    <w:pPr>
      <w:pStyle w:val="Footer"/>
      <w:framePr w:wrap="around" w:vAnchor="text" w:hAnchor="margin" w:xAlign="center" w:y="1"/>
      <w:rPr>
        <w:rStyle w:val="PageNumber"/>
      </w:rPr>
    </w:pPr>
  </w:p>
  <w:p w:rsidR="0081667D" w:rsidRDefault="001D7494">
    <w:pPr>
      <w:pStyle w:val="Foote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91" w:rsidRDefault="00DA703A">
      <w:r>
        <w:separator/>
      </w:r>
    </w:p>
  </w:footnote>
  <w:footnote w:type="continuationSeparator" w:id="0">
    <w:p w:rsidR="008E0F91" w:rsidRDefault="00DA703A">
      <w:r>
        <w:continuationSeparator/>
      </w:r>
    </w:p>
  </w:footnote>
  <w:footnote w:id="1">
    <w:p w:rsidR="004C6EF4" w:rsidRDefault="004C6EF4">
      <w:pPr>
        <w:pStyle w:val="FootnoteText"/>
      </w:pPr>
      <w:r>
        <w:rPr>
          <w:rStyle w:val="FootnoteReference"/>
        </w:rPr>
        <w:footnoteRef/>
      </w:r>
      <w:r>
        <w:t xml:space="preserve"> </w:t>
      </w:r>
      <w:r w:rsidRPr="004C6EF4">
        <w:t>http://sierraclub.org/sites/www.sierraclub.org/files/uploads-wysiwig/1371%20Rev%20Up%20EVs%20Report_09_web%20FINAL.pdf</w:t>
      </w:r>
    </w:p>
  </w:footnote>
  <w:footnote w:id="2">
    <w:p w:rsidR="0075272C" w:rsidRDefault="0075272C">
      <w:pPr>
        <w:pStyle w:val="FootnoteText"/>
      </w:pPr>
      <w:r>
        <w:rPr>
          <w:rStyle w:val="FootnoteReference"/>
        </w:rPr>
        <w:footnoteRef/>
      </w:r>
      <w:r>
        <w:t xml:space="preserve"> </w:t>
      </w:r>
      <w:proofErr w:type="gramStart"/>
      <w:r>
        <w:t>Testimony Chapter 4 at RS-24.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7D" w:rsidRPr="0081667D" w:rsidRDefault="001B2951">
    <w:pPr>
      <w:pStyle w:val="Header"/>
      <w:rPr>
        <w:rFonts w:ascii="Calibri" w:hAnsi="Calibri"/>
        <w:sz w:val="22"/>
        <w:szCs w:val="22"/>
      </w:rPr>
    </w:pPr>
    <w:r w:rsidRPr="0081667D">
      <w:rPr>
        <w:rFonts w:ascii="Calibri" w:hAnsi="Calibri"/>
        <w:sz w:val="22"/>
        <w:szCs w:val="22"/>
      </w:rPr>
      <w:t xml:space="preserve">Page </w:t>
    </w:r>
    <w:r w:rsidRPr="0081667D">
      <w:rPr>
        <w:rFonts w:ascii="Calibri" w:hAnsi="Calibri"/>
        <w:sz w:val="22"/>
        <w:szCs w:val="22"/>
      </w:rPr>
      <w:fldChar w:fldCharType="begin"/>
    </w:r>
    <w:r w:rsidRPr="0081667D">
      <w:rPr>
        <w:rFonts w:ascii="Calibri" w:hAnsi="Calibri"/>
        <w:sz w:val="22"/>
        <w:szCs w:val="22"/>
      </w:rPr>
      <w:instrText xml:space="preserve"> PAGE </w:instrText>
    </w:r>
    <w:r w:rsidRPr="0081667D">
      <w:rPr>
        <w:rFonts w:ascii="Calibri" w:hAnsi="Calibri"/>
        <w:sz w:val="22"/>
        <w:szCs w:val="22"/>
      </w:rPr>
      <w:fldChar w:fldCharType="separate"/>
    </w:r>
    <w:r w:rsidR="001D7494">
      <w:rPr>
        <w:rFonts w:ascii="Calibri" w:hAnsi="Calibri"/>
        <w:noProof/>
        <w:sz w:val="22"/>
        <w:szCs w:val="22"/>
      </w:rPr>
      <w:t>2</w:t>
    </w:r>
    <w:r w:rsidRPr="0081667D">
      <w:rPr>
        <w:rFonts w:ascii="Calibri" w:hAnsi="Calibri"/>
        <w:sz w:val="22"/>
        <w:szCs w:val="22"/>
      </w:rPr>
      <w:fldChar w:fldCharType="end"/>
    </w:r>
    <w:r w:rsidRPr="0081667D">
      <w:rPr>
        <w:rFonts w:ascii="Calibri" w:hAnsi="Calibri"/>
        <w:sz w:val="22"/>
        <w:szCs w:val="22"/>
      </w:rPr>
      <w:t xml:space="preserve"> </w:t>
    </w:r>
  </w:p>
  <w:p w:rsidR="0081667D" w:rsidRDefault="001D7494">
    <w:pPr>
      <w:pStyle w:val="Header"/>
      <w:rPr>
        <w:sz w:val="22"/>
        <w:szCs w:val="22"/>
      </w:rPr>
    </w:pPr>
  </w:p>
  <w:p w:rsidR="0081667D" w:rsidRDefault="001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E32"/>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370D5"/>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13091"/>
    <w:multiLevelType w:val="hybridMultilevel"/>
    <w:tmpl w:val="0BBEC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1024D"/>
    <w:multiLevelType w:val="hybridMultilevel"/>
    <w:tmpl w:val="2B8E5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73EAA"/>
    <w:multiLevelType w:val="hybridMultilevel"/>
    <w:tmpl w:val="5C8E0D0A"/>
    <w:lvl w:ilvl="0" w:tplc="B824BCA6">
      <w:start w:val="1"/>
      <w:numFmt w:val="bullet"/>
      <w:lvlText w:val="•"/>
      <w:lvlJc w:val="left"/>
      <w:pPr>
        <w:tabs>
          <w:tab w:val="num" w:pos="720"/>
        </w:tabs>
        <w:ind w:left="720" w:hanging="360"/>
      </w:pPr>
      <w:rPr>
        <w:rFonts w:ascii="Arial" w:hAnsi="Arial" w:hint="default"/>
      </w:rPr>
    </w:lvl>
    <w:lvl w:ilvl="1" w:tplc="9C90BCF4" w:tentative="1">
      <w:start w:val="1"/>
      <w:numFmt w:val="bullet"/>
      <w:lvlText w:val="•"/>
      <w:lvlJc w:val="left"/>
      <w:pPr>
        <w:tabs>
          <w:tab w:val="num" w:pos="1440"/>
        </w:tabs>
        <w:ind w:left="1440" w:hanging="360"/>
      </w:pPr>
      <w:rPr>
        <w:rFonts w:ascii="Arial" w:hAnsi="Arial" w:hint="default"/>
      </w:rPr>
    </w:lvl>
    <w:lvl w:ilvl="2" w:tplc="96722A70" w:tentative="1">
      <w:start w:val="1"/>
      <w:numFmt w:val="bullet"/>
      <w:lvlText w:val="•"/>
      <w:lvlJc w:val="left"/>
      <w:pPr>
        <w:tabs>
          <w:tab w:val="num" w:pos="2160"/>
        </w:tabs>
        <w:ind w:left="2160" w:hanging="360"/>
      </w:pPr>
      <w:rPr>
        <w:rFonts w:ascii="Arial" w:hAnsi="Arial" w:hint="default"/>
      </w:rPr>
    </w:lvl>
    <w:lvl w:ilvl="3" w:tplc="5BE83D8A" w:tentative="1">
      <w:start w:val="1"/>
      <w:numFmt w:val="bullet"/>
      <w:lvlText w:val="•"/>
      <w:lvlJc w:val="left"/>
      <w:pPr>
        <w:tabs>
          <w:tab w:val="num" w:pos="2880"/>
        </w:tabs>
        <w:ind w:left="2880" w:hanging="360"/>
      </w:pPr>
      <w:rPr>
        <w:rFonts w:ascii="Arial" w:hAnsi="Arial" w:hint="default"/>
      </w:rPr>
    </w:lvl>
    <w:lvl w:ilvl="4" w:tplc="5AB2F4B2" w:tentative="1">
      <w:start w:val="1"/>
      <w:numFmt w:val="bullet"/>
      <w:lvlText w:val="•"/>
      <w:lvlJc w:val="left"/>
      <w:pPr>
        <w:tabs>
          <w:tab w:val="num" w:pos="3600"/>
        </w:tabs>
        <w:ind w:left="3600" w:hanging="360"/>
      </w:pPr>
      <w:rPr>
        <w:rFonts w:ascii="Arial" w:hAnsi="Arial" w:hint="default"/>
      </w:rPr>
    </w:lvl>
    <w:lvl w:ilvl="5" w:tplc="F6DCFCC4" w:tentative="1">
      <w:start w:val="1"/>
      <w:numFmt w:val="bullet"/>
      <w:lvlText w:val="•"/>
      <w:lvlJc w:val="left"/>
      <w:pPr>
        <w:tabs>
          <w:tab w:val="num" w:pos="4320"/>
        </w:tabs>
        <w:ind w:left="4320" w:hanging="360"/>
      </w:pPr>
      <w:rPr>
        <w:rFonts w:ascii="Arial" w:hAnsi="Arial" w:hint="default"/>
      </w:rPr>
    </w:lvl>
    <w:lvl w:ilvl="6" w:tplc="94142E84" w:tentative="1">
      <w:start w:val="1"/>
      <w:numFmt w:val="bullet"/>
      <w:lvlText w:val="•"/>
      <w:lvlJc w:val="left"/>
      <w:pPr>
        <w:tabs>
          <w:tab w:val="num" w:pos="5040"/>
        </w:tabs>
        <w:ind w:left="5040" w:hanging="360"/>
      </w:pPr>
      <w:rPr>
        <w:rFonts w:ascii="Arial" w:hAnsi="Arial" w:hint="default"/>
      </w:rPr>
    </w:lvl>
    <w:lvl w:ilvl="7" w:tplc="F2FA1D44" w:tentative="1">
      <w:start w:val="1"/>
      <w:numFmt w:val="bullet"/>
      <w:lvlText w:val="•"/>
      <w:lvlJc w:val="left"/>
      <w:pPr>
        <w:tabs>
          <w:tab w:val="num" w:pos="5760"/>
        </w:tabs>
        <w:ind w:left="5760" w:hanging="360"/>
      </w:pPr>
      <w:rPr>
        <w:rFonts w:ascii="Arial" w:hAnsi="Arial" w:hint="default"/>
      </w:rPr>
    </w:lvl>
    <w:lvl w:ilvl="8" w:tplc="19F41168" w:tentative="1">
      <w:start w:val="1"/>
      <w:numFmt w:val="bullet"/>
      <w:lvlText w:val="•"/>
      <w:lvlJc w:val="left"/>
      <w:pPr>
        <w:tabs>
          <w:tab w:val="num" w:pos="6480"/>
        </w:tabs>
        <w:ind w:left="6480" w:hanging="360"/>
      </w:pPr>
      <w:rPr>
        <w:rFonts w:ascii="Arial" w:hAnsi="Arial" w:hint="default"/>
      </w:rPr>
    </w:lvl>
  </w:abstractNum>
  <w:abstractNum w:abstractNumId="5">
    <w:nsid w:val="593C2E0A"/>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73F73"/>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8411B"/>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A1134"/>
    <w:multiLevelType w:val="hybridMultilevel"/>
    <w:tmpl w:val="C5C4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20"/>
    <w:rsid w:val="000313A2"/>
    <w:rsid w:val="00084D20"/>
    <w:rsid w:val="000952C9"/>
    <w:rsid w:val="000B4602"/>
    <w:rsid w:val="000C3089"/>
    <w:rsid w:val="000E2C31"/>
    <w:rsid w:val="00123FC3"/>
    <w:rsid w:val="00142B58"/>
    <w:rsid w:val="00152FC3"/>
    <w:rsid w:val="00160CCD"/>
    <w:rsid w:val="001866CE"/>
    <w:rsid w:val="0019724D"/>
    <w:rsid w:val="001B069A"/>
    <w:rsid w:val="001B20BE"/>
    <w:rsid w:val="001B2951"/>
    <w:rsid w:val="001D7494"/>
    <w:rsid w:val="001D7F3A"/>
    <w:rsid w:val="001F1983"/>
    <w:rsid w:val="001F50E8"/>
    <w:rsid w:val="001F5E06"/>
    <w:rsid w:val="00202F9C"/>
    <w:rsid w:val="00214847"/>
    <w:rsid w:val="00240B48"/>
    <w:rsid w:val="00256787"/>
    <w:rsid w:val="002648A3"/>
    <w:rsid w:val="00297D42"/>
    <w:rsid w:val="002E4CC7"/>
    <w:rsid w:val="0031703B"/>
    <w:rsid w:val="003438E0"/>
    <w:rsid w:val="0035779D"/>
    <w:rsid w:val="00376621"/>
    <w:rsid w:val="00387D73"/>
    <w:rsid w:val="003B6212"/>
    <w:rsid w:val="003B7E3D"/>
    <w:rsid w:val="003D29E0"/>
    <w:rsid w:val="00406373"/>
    <w:rsid w:val="00441155"/>
    <w:rsid w:val="004476EA"/>
    <w:rsid w:val="00465961"/>
    <w:rsid w:val="00473501"/>
    <w:rsid w:val="004B502D"/>
    <w:rsid w:val="004C590C"/>
    <w:rsid w:val="004C6EF4"/>
    <w:rsid w:val="00533FFD"/>
    <w:rsid w:val="005344D2"/>
    <w:rsid w:val="00562450"/>
    <w:rsid w:val="00565D96"/>
    <w:rsid w:val="00593331"/>
    <w:rsid w:val="00604188"/>
    <w:rsid w:val="00661B97"/>
    <w:rsid w:val="006F069C"/>
    <w:rsid w:val="006F5515"/>
    <w:rsid w:val="00704FBD"/>
    <w:rsid w:val="0075272C"/>
    <w:rsid w:val="0078761F"/>
    <w:rsid w:val="007F7271"/>
    <w:rsid w:val="00842E79"/>
    <w:rsid w:val="0085107D"/>
    <w:rsid w:val="008E0F91"/>
    <w:rsid w:val="008F4CE9"/>
    <w:rsid w:val="009B126C"/>
    <w:rsid w:val="00A1678B"/>
    <w:rsid w:val="00A372E3"/>
    <w:rsid w:val="00AC48F0"/>
    <w:rsid w:val="00AF6CA1"/>
    <w:rsid w:val="00B178EA"/>
    <w:rsid w:val="00B26787"/>
    <w:rsid w:val="00B54E0D"/>
    <w:rsid w:val="00B86E43"/>
    <w:rsid w:val="00B904A4"/>
    <w:rsid w:val="00CA6E16"/>
    <w:rsid w:val="00D355C5"/>
    <w:rsid w:val="00D45C02"/>
    <w:rsid w:val="00D71ED0"/>
    <w:rsid w:val="00DA703A"/>
    <w:rsid w:val="00DB7681"/>
    <w:rsid w:val="00DC4727"/>
    <w:rsid w:val="00E02E43"/>
    <w:rsid w:val="00E3748D"/>
    <w:rsid w:val="00E55FF0"/>
    <w:rsid w:val="00ED3016"/>
    <w:rsid w:val="00F504D9"/>
    <w:rsid w:val="00F9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2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D20"/>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084D20"/>
    <w:rPr>
      <w:rFonts w:ascii="Times New Roman" w:eastAsia="Times New Roman" w:hAnsi="Times New Roman" w:cs="Times New Roman"/>
      <w:sz w:val="24"/>
      <w:szCs w:val="24"/>
    </w:rPr>
  </w:style>
  <w:style w:type="paragraph" w:styleId="Footer">
    <w:name w:val="footer"/>
    <w:basedOn w:val="Normal"/>
    <w:link w:val="FooterChar"/>
    <w:rsid w:val="00084D20"/>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084D20"/>
    <w:rPr>
      <w:rFonts w:ascii="Times New Roman" w:eastAsia="Times New Roman" w:hAnsi="Times New Roman" w:cs="Times New Roman"/>
      <w:sz w:val="24"/>
      <w:szCs w:val="24"/>
    </w:rPr>
  </w:style>
  <w:style w:type="character" w:styleId="PageNumber">
    <w:name w:val="page number"/>
    <w:basedOn w:val="DefaultParagraphFont"/>
    <w:rsid w:val="00084D20"/>
  </w:style>
  <w:style w:type="character" w:styleId="Hyperlink">
    <w:name w:val="Hyperlink"/>
    <w:rsid w:val="00084D20"/>
    <w:rPr>
      <w:color w:val="0000FF"/>
      <w:u w:val="single"/>
    </w:rPr>
  </w:style>
  <w:style w:type="paragraph" w:styleId="BalloonText">
    <w:name w:val="Balloon Text"/>
    <w:basedOn w:val="Normal"/>
    <w:link w:val="BalloonTextChar"/>
    <w:uiPriority w:val="99"/>
    <w:semiHidden/>
    <w:unhideWhenUsed/>
    <w:rsid w:val="00084D20"/>
    <w:rPr>
      <w:rFonts w:ascii="Tahoma" w:hAnsi="Tahoma" w:cs="Tahoma"/>
      <w:sz w:val="16"/>
      <w:szCs w:val="16"/>
    </w:rPr>
  </w:style>
  <w:style w:type="character" w:customStyle="1" w:styleId="BalloonTextChar">
    <w:name w:val="Balloon Text Char"/>
    <w:basedOn w:val="DefaultParagraphFont"/>
    <w:link w:val="BalloonText"/>
    <w:uiPriority w:val="99"/>
    <w:semiHidden/>
    <w:rsid w:val="00084D20"/>
    <w:rPr>
      <w:rFonts w:ascii="Tahoma" w:eastAsia="Calibri" w:hAnsi="Tahoma" w:cs="Tahoma"/>
      <w:sz w:val="16"/>
      <w:szCs w:val="16"/>
    </w:rPr>
  </w:style>
  <w:style w:type="paragraph" w:styleId="ListParagraph">
    <w:name w:val="List Paragraph"/>
    <w:basedOn w:val="Normal"/>
    <w:uiPriority w:val="34"/>
    <w:qFormat/>
    <w:rsid w:val="000E2C31"/>
    <w:pPr>
      <w:ind w:left="720"/>
      <w:contextualSpacing/>
    </w:pPr>
  </w:style>
  <w:style w:type="character" w:styleId="CommentReference">
    <w:name w:val="annotation reference"/>
    <w:basedOn w:val="DefaultParagraphFont"/>
    <w:uiPriority w:val="99"/>
    <w:semiHidden/>
    <w:unhideWhenUsed/>
    <w:rsid w:val="001F1983"/>
    <w:rPr>
      <w:sz w:val="16"/>
      <w:szCs w:val="16"/>
    </w:rPr>
  </w:style>
  <w:style w:type="paragraph" w:styleId="CommentText">
    <w:name w:val="annotation text"/>
    <w:basedOn w:val="Normal"/>
    <w:link w:val="CommentTextChar"/>
    <w:uiPriority w:val="99"/>
    <w:semiHidden/>
    <w:unhideWhenUsed/>
    <w:rsid w:val="001F1983"/>
    <w:rPr>
      <w:sz w:val="20"/>
      <w:szCs w:val="20"/>
    </w:rPr>
  </w:style>
  <w:style w:type="character" w:customStyle="1" w:styleId="CommentTextChar">
    <w:name w:val="Comment Text Char"/>
    <w:basedOn w:val="DefaultParagraphFont"/>
    <w:link w:val="CommentText"/>
    <w:uiPriority w:val="99"/>
    <w:semiHidden/>
    <w:rsid w:val="001F19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1983"/>
    <w:rPr>
      <w:b/>
      <w:bCs/>
    </w:rPr>
  </w:style>
  <w:style w:type="character" w:customStyle="1" w:styleId="CommentSubjectChar">
    <w:name w:val="Comment Subject Char"/>
    <w:basedOn w:val="CommentTextChar"/>
    <w:link w:val="CommentSubject"/>
    <w:uiPriority w:val="99"/>
    <w:semiHidden/>
    <w:rsid w:val="001F1983"/>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B54E0D"/>
    <w:rPr>
      <w:sz w:val="20"/>
      <w:szCs w:val="20"/>
    </w:rPr>
  </w:style>
  <w:style w:type="character" w:customStyle="1" w:styleId="FootnoteTextChar">
    <w:name w:val="Footnote Text Char"/>
    <w:basedOn w:val="DefaultParagraphFont"/>
    <w:link w:val="FootnoteText"/>
    <w:uiPriority w:val="99"/>
    <w:semiHidden/>
    <w:rsid w:val="00B54E0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54E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2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D20"/>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084D20"/>
    <w:rPr>
      <w:rFonts w:ascii="Times New Roman" w:eastAsia="Times New Roman" w:hAnsi="Times New Roman" w:cs="Times New Roman"/>
      <w:sz w:val="24"/>
      <w:szCs w:val="24"/>
    </w:rPr>
  </w:style>
  <w:style w:type="paragraph" w:styleId="Footer">
    <w:name w:val="footer"/>
    <w:basedOn w:val="Normal"/>
    <w:link w:val="FooterChar"/>
    <w:rsid w:val="00084D20"/>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084D20"/>
    <w:rPr>
      <w:rFonts w:ascii="Times New Roman" w:eastAsia="Times New Roman" w:hAnsi="Times New Roman" w:cs="Times New Roman"/>
      <w:sz w:val="24"/>
      <w:szCs w:val="24"/>
    </w:rPr>
  </w:style>
  <w:style w:type="character" w:styleId="PageNumber">
    <w:name w:val="page number"/>
    <w:basedOn w:val="DefaultParagraphFont"/>
    <w:rsid w:val="00084D20"/>
  </w:style>
  <w:style w:type="character" w:styleId="Hyperlink">
    <w:name w:val="Hyperlink"/>
    <w:rsid w:val="00084D20"/>
    <w:rPr>
      <w:color w:val="0000FF"/>
      <w:u w:val="single"/>
    </w:rPr>
  </w:style>
  <w:style w:type="paragraph" w:styleId="BalloonText">
    <w:name w:val="Balloon Text"/>
    <w:basedOn w:val="Normal"/>
    <w:link w:val="BalloonTextChar"/>
    <w:uiPriority w:val="99"/>
    <w:semiHidden/>
    <w:unhideWhenUsed/>
    <w:rsid w:val="00084D20"/>
    <w:rPr>
      <w:rFonts w:ascii="Tahoma" w:hAnsi="Tahoma" w:cs="Tahoma"/>
      <w:sz w:val="16"/>
      <w:szCs w:val="16"/>
    </w:rPr>
  </w:style>
  <w:style w:type="character" w:customStyle="1" w:styleId="BalloonTextChar">
    <w:name w:val="Balloon Text Char"/>
    <w:basedOn w:val="DefaultParagraphFont"/>
    <w:link w:val="BalloonText"/>
    <w:uiPriority w:val="99"/>
    <w:semiHidden/>
    <w:rsid w:val="00084D20"/>
    <w:rPr>
      <w:rFonts w:ascii="Tahoma" w:eastAsia="Calibri" w:hAnsi="Tahoma" w:cs="Tahoma"/>
      <w:sz w:val="16"/>
      <w:szCs w:val="16"/>
    </w:rPr>
  </w:style>
  <w:style w:type="paragraph" w:styleId="ListParagraph">
    <w:name w:val="List Paragraph"/>
    <w:basedOn w:val="Normal"/>
    <w:uiPriority w:val="34"/>
    <w:qFormat/>
    <w:rsid w:val="000E2C31"/>
    <w:pPr>
      <w:ind w:left="720"/>
      <w:contextualSpacing/>
    </w:pPr>
  </w:style>
  <w:style w:type="character" w:styleId="CommentReference">
    <w:name w:val="annotation reference"/>
    <w:basedOn w:val="DefaultParagraphFont"/>
    <w:uiPriority w:val="99"/>
    <w:semiHidden/>
    <w:unhideWhenUsed/>
    <w:rsid w:val="001F1983"/>
    <w:rPr>
      <w:sz w:val="16"/>
      <w:szCs w:val="16"/>
    </w:rPr>
  </w:style>
  <w:style w:type="paragraph" w:styleId="CommentText">
    <w:name w:val="annotation text"/>
    <w:basedOn w:val="Normal"/>
    <w:link w:val="CommentTextChar"/>
    <w:uiPriority w:val="99"/>
    <w:semiHidden/>
    <w:unhideWhenUsed/>
    <w:rsid w:val="001F1983"/>
    <w:rPr>
      <w:sz w:val="20"/>
      <w:szCs w:val="20"/>
    </w:rPr>
  </w:style>
  <w:style w:type="character" w:customStyle="1" w:styleId="CommentTextChar">
    <w:name w:val="Comment Text Char"/>
    <w:basedOn w:val="DefaultParagraphFont"/>
    <w:link w:val="CommentText"/>
    <w:uiPriority w:val="99"/>
    <w:semiHidden/>
    <w:rsid w:val="001F19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1983"/>
    <w:rPr>
      <w:b/>
      <w:bCs/>
    </w:rPr>
  </w:style>
  <w:style w:type="character" w:customStyle="1" w:styleId="CommentSubjectChar">
    <w:name w:val="Comment Subject Char"/>
    <w:basedOn w:val="CommentTextChar"/>
    <w:link w:val="CommentSubject"/>
    <w:uiPriority w:val="99"/>
    <w:semiHidden/>
    <w:rsid w:val="001F1983"/>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B54E0D"/>
    <w:rPr>
      <w:sz w:val="20"/>
      <w:szCs w:val="20"/>
    </w:rPr>
  </w:style>
  <w:style w:type="character" w:customStyle="1" w:styleId="FootnoteTextChar">
    <w:name w:val="Footnote Text Char"/>
    <w:basedOn w:val="DefaultParagraphFont"/>
    <w:link w:val="FootnoteText"/>
    <w:uiPriority w:val="99"/>
    <w:semiHidden/>
    <w:rsid w:val="00B54E0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54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8517">
      <w:bodyDiv w:val="1"/>
      <w:marLeft w:val="0"/>
      <w:marRight w:val="0"/>
      <w:marTop w:val="0"/>
      <w:marBottom w:val="0"/>
      <w:divBdr>
        <w:top w:val="none" w:sz="0" w:space="0" w:color="auto"/>
        <w:left w:val="none" w:sz="0" w:space="0" w:color="auto"/>
        <w:bottom w:val="none" w:sz="0" w:space="0" w:color="auto"/>
        <w:right w:val="none" w:sz="0" w:space="0" w:color="auto"/>
      </w:divBdr>
      <w:divsChild>
        <w:div w:id="770273999">
          <w:marLeft w:val="547"/>
          <w:marRight w:val="0"/>
          <w:marTop w:val="72"/>
          <w:marBottom w:val="0"/>
          <w:divBdr>
            <w:top w:val="none" w:sz="0" w:space="0" w:color="auto"/>
            <w:left w:val="none" w:sz="0" w:space="0" w:color="auto"/>
            <w:bottom w:val="none" w:sz="0" w:space="0" w:color="auto"/>
            <w:right w:val="none" w:sz="0" w:space="0" w:color="auto"/>
          </w:divBdr>
        </w:div>
      </w:divsChild>
    </w:div>
    <w:div w:id="606231934">
      <w:bodyDiv w:val="1"/>
      <w:marLeft w:val="0"/>
      <w:marRight w:val="0"/>
      <w:marTop w:val="0"/>
      <w:marBottom w:val="0"/>
      <w:divBdr>
        <w:top w:val="none" w:sz="0" w:space="0" w:color="auto"/>
        <w:left w:val="none" w:sz="0" w:space="0" w:color="auto"/>
        <w:bottom w:val="none" w:sz="0" w:space="0" w:color="auto"/>
        <w:right w:val="none" w:sz="0" w:space="0" w:color="auto"/>
      </w:divBdr>
    </w:div>
    <w:div w:id="1011417723">
      <w:bodyDiv w:val="1"/>
      <w:marLeft w:val="0"/>
      <w:marRight w:val="0"/>
      <w:marTop w:val="0"/>
      <w:marBottom w:val="0"/>
      <w:divBdr>
        <w:top w:val="none" w:sz="0" w:space="0" w:color="auto"/>
        <w:left w:val="none" w:sz="0" w:space="0" w:color="auto"/>
        <w:bottom w:val="none" w:sz="0" w:space="0" w:color="auto"/>
        <w:right w:val="none" w:sz="0" w:space="0" w:color="auto"/>
      </w:divBdr>
    </w:div>
    <w:div w:id="1811247170">
      <w:bodyDiv w:val="1"/>
      <w:marLeft w:val="0"/>
      <w:marRight w:val="0"/>
      <w:marTop w:val="0"/>
      <w:marBottom w:val="0"/>
      <w:divBdr>
        <w:top w:val="none" w:sz="0" w:space="0" w:color="auto"/>
        <w:left w:val="none" w:sz="0" w:space="0" w:color="auto"/>
        <w:bottom w:val="none" w:sz="0" w:space="0" w:color="auto"/>
        <w:right w:val="none" w:sz="0" w:space="0" w:color="auto"/>
      </w:divBdr>
      <w:divsChild>
        <w:div w:id="66198733">
          <w:marLeft w:val="547"/>
          <w:marRight w:val="0"/>
          <w:marTop w:val="96"/>
          <w:marBottom w:val="0"/>
          <w:divBdr>
            <w:top w:val="none" w:sz="0" w:space="0" w:color="auto"/>
            <w:left w:val="none" w:sz="0" w:space="0" w:color="auto"/>
            <w:bottom w:val="none" w:sz="0" w:space="0" w:color="auto"/>
            <w:right w:val="none" w:sz="0" w:space="0" w:color="auto"/>
          </w:divBdr>
        </w:div>
      </w:divsChild>
    </w:div>
    <w:div w:id="19631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olyn.sisto@cpuc.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y.mesrobian@cpuc.c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wright@semprautilitie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E764-61DE-44EE-A7B2-386DB376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Sisto, Carolyn</dc:creator>
  <cp:lastModifiedBy>Amy Mesrobian</cp:lastModifiedBy>
  <cp:revision>21</cp:revision>
  <dcterms:created xsi:type="dcterms:W3CDTF">2017-06-02T22:30:00Z</dcterms:created>
  <dcterms:modified xsi:type="dcterms:W3CDTF">2017-06-13T17:06:00Z</dcterms:modified>
</cp:coreProperties>
</file>