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D4E" w:rsidRDefault="008B7D4E"/>
    <w:p w:rsidR="008B7D4E" w:rsidRDefault="008B7D4E"/>
    <w:p w:rsidR="008B7D4E" w:rsidRDefault="008B7D4E"/>
    <w:p w:rsidR="008B7D4E" w:rsidRDefault="008B7D4E"/>
    <w:p w:rsidR="008B7D4E" w:rsidRDefault="00A36EA8">
      <w:r>
        <w:rPr>
          <w:noProof/>
        </w:rPr>
        <w:pict>
          <v:shapetype id="_x0000_t202" coordsize="21600,21600" o:spt="202" path="m,l,21600r21600,l21600,xe">
            <v:stroke joinstyle="miter"/>
            <v:path gradientshapeok="t" o:connecttype="rect"/>
          </v:shapetype>
          <v:shape id="_x0000_s1050" type="#_x0000_t202" style="position:absolute;margin-left:131.3pt;margin-top:24.9pt;width:316.65pt;height:55.5pt;z-index:251694080" filled="f" stroked="f">
            <v:textbox style="mso-next-textbox:#_x0000_s1050">
              <w:txbxContent>
                <w:p w:rsidR="004F57FA" w:rsidRPr="008B7D4E" w:rsidRDefault="004F57FA" w:rsidP="008B7D4E">
                  <w:pPr>
                    <w:pStyle w:val="TitleProposal"/>
                    <w:rPr>
                      <w:color w:val="auto"/>
                    </w:rPr>
                  </w:pPr>
                  <w:r w:rsidRPr="008B7D4E">
                    <w:rPr>
                      <w:color w:val="auto"/>
                    </w:rPr>
                    <w:t xml:space="preserve">2011 </w:t>
                  </w:r>
                  <w:r>
                    <w:rPr>
                      <w:color w:val="auto"/>
                    </w:rPr>
                    <w:t>Ex Post and Ex Ante Load Impact Evaluation of San Diego Gas &amp; Electric Company's Summer Saver Program</w:t>
                  </w:r>
                  <w:r w:rsidRPr="008B7D4E">
                    <w:tab/>
                  </w:r>
                  <w:r w:rsidR="007820DA">
                    <w:rPr>
                      <w:rFonts w:ascii="Verdana" w:hAnsi="Verdana"/>
                      <w:color w:val="990000"/>
                      <w:sz w:val="15"/>
                      <w:szCs w:val="15"/>
                    </w:rPr>
                    <w:t>SDG0262</w:t>
                  </w:r>
                </w:p>
              </w:txbxContent>
            </v:textbox>
          </v:shape>
        </w:pict>
      </w:r>
      <w:r>
        <w:rPr>
          <w:noProof/>
        </w:rPr>
        <w:pict>
          <v:shape id="_x0000_s1054" type="#_x0000_t202" style="position:absolute;margin-left:129.95pt;margin-top:367.8pt;width:191.15pt;height:86.6pt;z-index:251698176" filled="f" stroked="f">
            <v:textbox style="mso-next-textbox:#_x0000_s1054">
              <w:txbxContent>
                <w:p w:rsidR="004F57FA" w:rsidRPr="008B7D4E" w:rsidRDefault="004F57FA" w:rsidP="008B7D4E">
                  <w:pPr>
                    <w:pStyle w:val="TitleAddress"/>
                    <w:tabs>
                      <w:tab w:val="clear" w:pos="3960"/>
                    </w:tabs>
                    <w:rPr>
                      <w:b w:val="0"/>
                      <w:color w:val="auto"/>
                      <w:sz w:val="24"/>
                      <w:szCs w:val="24"/>
                    </w:rPr>
                  </w:pPr>
                  <w:r w:rsidRPr="008B7D4E">
                    <w:rPr>
                      <w:b w:val="0"/>
                      <w:color w:val="auto"/>
                      <w:sz w:val="24"/>
                      <w:szCs w:val="24"/>
                    </w:rPr>
                    <w:t>Freeman, Sullivan &amp; Co.</w:t>
                  </w:r>
                  <w:r w:rsidRPr="008B7D4E">
                    <w:rPr>
                      <w:b w:val="0"/>
                      <w:color w:val="auto"/>
                      <w:sz w:val="24"/>
                      <w:szCs w:val="24"/>
                    </w:rPr>
                    <w:br/>
                    <w:t>101 Montgomery St., 15th Floor</w:t>
                  </w:r>
                  <w:r w:rsidRPr="008B7D4E">
                    <w:rPr>
                      <w:b w:val="0"/>
                      <w:color w:val="auto"/>
                      <w:sz w:val="24"/>
                      <w:szCs w:val="24"/>
                    </w:rPr>
                    <w:br/>
                    <w:t>San Francisco, CA  94104</w:t>
                  </w:r>
                  <w:r w:rsidRPr="008B7D4E">
                    <w:rPr>
                      <w:b w:val="0"/>
                      <w:color w:val="auto"/>
                      <w:sz w:val="24"/>
                      <w:szCs w:val="24"/>
                    </w:rPr>
                    <w:br/>
                    <w:t>fscgroup.com</w:t>
                  </w:r>
                </w:p>
                <w:p w:rsidR="004F57FA" w:rsidRPr="000D67D1" w:rsidRDefault="004F57FA" w:rsidP="008B7D4E">
                  <w:pPr>
                    <w:pStyle w:val="TitleAddress"/>
                  </w:pPr>
                  <w:r w:rsidRPr="000D67D1">
                    <w:tab/>
                  </w:r>
                </w:p>
              </w:txbxContent>
            </v:textbox>
          </v:shape>
        </w:pict>
      </w:r>
      <w:r w:rsidR="008B7D4E" w:rsidRPr="008B7D4E">
        <w:rPr>
          <w:noProof/>
        </w:rPr>
        <w:drawing>
          <wp:anchor distT="0" distB="0" distL="114300" distR="114300" simplePos="0" relativeHeight="251693056" behindDoc="1" locked="0" layoutInCell="1" allowOverlap="1">
            <wp:simplePos x="0" y="0"/>
            <wp:positionH relativeFrom="column">
              <wp:posOffset>-583037</wp:posOffset>
            </wp:positionH>
            <wp:positionV relativeFrom="paragraph">
              <wp:posOffset>201724</wp:posOffset>
            </wp:positionV>
            <wp:extent cx="1769843" cy="5537916"/>
            <wp:effectExtent l="19050" t="0" r="1807" b="0"/>
            <wp:wrapNone/>
            <wp:docPr id="1" name="Picture 8" descr="C:\Users\mrohde\AppData\Local\Temp\SNAGHTML9674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rohde\AppData\Local\Temp\SNAGHTML967438.PNG"/>
                    <pic:cNvPicPr>
                      <a:picLocks noChangeAspect="1" noChangeArrowheads="1"/>
                    </pic:cNvPicPr>
                  </pic:nvPicPr>
                  <pic:blipFill>
                    <a:blip r:embed="rId8" cstate="print"/>
                    <a:srcRect/>
                    <a:stretch>
                      <a:fillRect/>
                    </a:stretch>
                  </pic:blipFill>
                  <pic:spPr bwMode="auto">
                    <a:xfrm>
                      <a:off x="0" y="0"/>
                      <a:ext cx="1769843" cy="5537916"/>
                    </a:xfrm>
                    <a:prstGeom prst="rect">
                      <a:avLst/>
                    </a:prstGeom>
                    <a:noFill/>
                    <a:ln w="9525">
                      <a:noFill/>
                      <a:miter lim="800000"/>
                      <a:headEnd/>
                      <a:tailEnd/>
                    </a:ln>
                  </pic:spPr>
                </pic:pic>
              </a:graphicData>
            </a:graphic>
          </wp:anchor>
        </w:drawing>
      </w:r>
    </w:p>
    <w:p w:rsidR="008B7D4E" w:rsidRDefault="008B7D4E"/>
    <w:p w:rsidR="008B7D4E" w:rsidRDefault="008B7D4E"/>
    <w:p w:rsidR="008B7D4E" w:rsidRDefault="008B7D4E"/>
    <w:p w:rsidR="008B7D4E" w:rsidRDefault="00A36EA8">
      <w:r>
        <w:rPr>
          <w:noProof/>
        </w:rPr>
        <w:pict>
          <v:shape id="_x0000_s1052" type="#_x0000_t202" style="position:absolute;margin-left:131.3pt;margin-top:5.85pt;width:316.65pt;height:33.1pt;z-index:251696128" filled="f" stroked="f">
            <v:textbox style="mso-next-textbox:#_x0000_s1052">
              <w:txbxContent>
                <w:p w:rsidR="004F57FA" w:rsidRPr="008B7D4E" w:rsidRDefault="00431BD7" w:rsidP="008B7D4E">
                  <w:pPr>
                    <w:pStyle w:val="TitleProposal"/>
                    <w:rPr>
                      <w:b w:val="0"/>
                      <w:color w:val="auto"/>
                      <w:sz w:val="24"/>
                      <w:szCs w:val="24"/>
                    </w:rPr>
                  </w:pPr>
                  <w:r>
                    <w:rPr>
                      <w:b w:val="0"/>
                      <w:color w:val="auto"/>
                      <w:sz w:val="24"/>
                      <w:szCs w:val="24"/>
                    </w:rPr>
                    <w:t xml:space="preserve">June </w:t>
                  </w:r>
                  <w:r w:rsidR="004F57FA">
                    <w:rPr>
                      <w:b w:val="0"/>
                      <w:color w:val="auto"/>
                      <w:sz w:val="24"/>
                      <w:szCs w:val="24"/>
                    </w:rPr>
                    <w:t>1</w:t>
                  </w:r>
                  <w:r w:rsidR="004F57FA" w:rsidRPr="008B7D4E">
                    <w:rPr>
                      <w:b w:val="0"/>
                      <w:color w:val="auto"/>
                      <w:sz w:val="24"/>
                      <w:szCs w:val="24"/>
                    </w:rPr>
                    <w:t>, 2012</w:t>
                  </w:r>
                </w:p>
              </w:txbxContent>
            </v:textbox>
          </v:shape>
        </w:pict>
      </w:r>
    </w:p>
    <w:p w:rsidR="008B7D4E" w:rsidRDefault="008B7D4E"/>
    <w:p w:rsidR="008B7D4E" w:rsidRDefault="00A36EA8">
      <w:r>
        <w:rPr>
          <w:noProof/>
        </w:rPr>
        <w:pict>
          <v:shape id="_x0000_s1051" type="#_x0000_t202" style="position:absolute;margin-left:130pt;margin-top:2.4pt;width:211.65pt;height:69pt;z-index:251695104" filled="f" stroked="f">
            <v:textbox style="mso-next-textbox:#_x0000_s1051">
              <w:txbxContent>
                <w:p w:rsidR="004F57FA" w:rsidRPr="008B7D4E" w:rsidRDefault="004F57FA" w:rsidP="008B7D4E">
                  <w:pPr>
                    <w:pStyle w:val="PreparedFor"/>
                    <w:spacing w:before="0" w:after="0"/>
                    <w:jc w:val="left"/>
                    <w:rPr>
                      <w:rFonts w:cs="Arial"/>
                      <w:sz w:val="24"/>
                      <w:szCs w:val="24"/>
                    </w:rPr>
                  </w:pPr>
                  <w:r w:rsidRPr="008B7D4E">
                    <w:rPr>
                      <w:rFonts w:cs="Arial"/>
                      <w:sz w:val="24"/>
                      <w:szCs w:val="24"/>
                    </w:rPr>
                    <w:t>Prepared for:</w:t>
                  </w:r>
                </w:p>
                <w:p w:rsidR="004F57FA" w:rsidRPr="008B7D4E" w:rsidRDefault="004F57FA" w:rsidP="008B7D4E">
                  <w:pPr>
                    <w:pStyle w:val="PreparedForCompany"/>
                    <w:jc w:val="left"/>
                    <w:rPr>
                      <w:rFonts w:cs="Arial"/>
                      <w:sz w:val="24"/>
                    </w:rPr>
                  </w:pPr>
                  <w:r>
                    <w:rPr>
                      <w:rFonts w:cs="Arial"/>
                      <w:sz w:val="24"/>
                    </w:rPr>
                    <w:t>San Diego Gas &amp; Electric Co.</w:t>
                  </w:r>
                </w:p>
                <w:p w:rsidR="004F57FA" w:rsidRPr="008B7D4E" w:rsidRDefault="004F57FA" w:rsidP="008B7D4E">
                  <w:pPr>
                    <w:pStyle w:val="PreparedForCompany"/>
                    <w:jc w:val="left"/>
                    <w:rPr>
                      <w:rFonts w:cs="Arial"/>
                      <w:sz w:val="28"/>
                      <w:szCs w:val="28"/>
                    </w:rPr>
                  </w:pPr>
                </w:p>
                <w:p w:rsidR="004F57FA" w:rsidRPr="000B2255" w:rsidRDefault="004F57FA" w:rsidP="008B7D4E">
                  <w:pPr>
                    <w:pStyle w:val="PreparedForCompany"/>
                    <w:jc w:val="left"/>
                    <w:rPr>
                      <w:rFonts w:ascii="TitilliumText22L Rg" w:hAnsi="TitilliumText22L Rg"/>
                      <w:sz w:val="28"/>
                      <w:szCs w:val="28"/>
                    </w:rPr>
                  </w:pPr>
                </w:p>
              </w:txbxContent>
            </v:textbox>
          </v:shape>
        </w:pict>
      </w:r>
    </w:p>
    <w:p w:rsidR="008B7D4E" w:rsidRDefault="008B7D4E"/>
    <w:p w:rsidR="008B7D4E" w:rsidRDefault="00A36EA8">
      <w:r>
        <w:rPr>
          <w:noProof/>
        </w:rPr>
        <w:pict>
          <v:shape id="_x0000_s1053" type="#_x0000_t202" style="position:absolute;margin-left:130pt;margin-top:13.05pt;width:163.3pt;height:69pt;z-index:251697152" filled="f" stroked="f">
            <v:textbox style="mso-next-textbox:#_x0000_s1053">
              <w:txbxContent>
                <w:p w:rsidR="004F57FA" w:rsidRPr="008B7D4E" w:rsidRDefault="004F57FA" w:rsidP="008B7D4E">
                  <w:pPr>
                    <w:pStyle w:val="PreparedForCompany"/>
                    <w:jc w:val="left"/>
                    <w:rPr>
                      <w:rFonts w:cs="Arial"/>
                      <w:i/>
                      <w:sz w:val="24"/>
                    </w:rPr>
                  </w:pPr>
                  <w:r w:rsidRPr="008B7D4E">
                    <w:rPr>
                      <w:rFonts w:cs="Arial"/>
                      <w:i/>
                      <w:sz w:val="24"/>
                    </w:rPr>
                    <w:t>Prepared by:</w:t>
                  </w:r>
                </w:p>
                <w:p w:rsidR="004F57FA" w:rsidRDefault="004F57FA" w:rsidP="008B7D4E">
                  <w:pPr>
                    <w:pStyle w:val="PreparedForCompany"/>
                    <w:jc w:val="left"/>
                    <w:rPr>
                      <w:rFonts w:cs="Arial"/>
                      <w:sz w:val="24"/>
                    </w:rPr>
                  </w:pPr>
                  <w:r>
                    <w:rPr>
                      <w:rFonts w:cs="Arial"/>
                      <w:sz w:val="24"/>
                    </w:rPr>
                    <w:t>Peter Malaspina</w:t>
                  </w:r>
                </w:p>
                <w:p w:rsidR="004F57FA" w:rsidRPr="008B7D4E" w:rsidRDefault="004F57FA" w:rsidP="008B7D4E">
                  <w:pPr>
                    <w:pStyle w:val="PreparedForCompany"/>
                    <w:jc w:val="left"/>
                    <w:rPr>
                      <w:rFonts w:cs="Arial"/>
                      <w:sz w:val="24"/>
                    </w:rPr>
                  </w:pPr>
                  <w:r>
                    <w:rPr>
                      <w:rFonts w:cs="Arial"/>
                      <w:sz w:val="24"/>
                    </w:rPr>
                    <w:t>Michael Perry</w:t>
                  </w:r>
                </w:p>
                <w:p w:rsidR="004F57FA" w:rsidRPr="008B7D4E" w:rsidRDefault="004F57FA" w:rsidP="008B7D4E">
                  <w:pPr>
                    <w:pStyle w:val="PreparedForCompany"/>
                    <w:jc w:val="left"/>
                    <w:rPr>
                      <w:rFonts w:cs="Arial"/>
                      <w:sz w:val="24"/>
                    </w:rPr>
                  </w:pPr>
                  <w:r w:rsidRPr="008B7D4E">
                    <w:rPr>
                      <w:rFonts w:cs="Arial"/>
                      <w:sz w:val="24"/>
                    </w:rPr>
                    <w:t>Freeman, Sullivan &amp; Co.</w:t>
                  </w:r>
                </w:p>
                <w:p w:rsidR="004F57FA" w:rsidRPr="008B7D4E" w:rsidRDefault="004F57FA" w:rsidP="008B7D4E">
                  <w:pPr>
                    <w:pStyle w:val="PreparedForCompany"/>
                    <w:jc w:val="left"/>
                    <w:rPr>
                      <w:rFonts w:cs="Arial"/>
                      <w:sz w:val="28"/>
                      <w:szCs w:val="28"/>
                    </w:rPr>
                  </w:pPr>
                </w:p>
              </w:txbxContent>
            </v:textbox>
          </v:shape>
        </w:pict>
      </w:r>
    </w:p>
    <w:p w:rsidR="008B7D4E" w:rsidRDefault="008B7D4E"/>
    <w:p w:rsidR="008B7D4E" w:rsidRDefault="008B7D4E"/>
    <w:p w:rsidR="008B7D4E" w:rsidRDefault="008B7D4E"/>
    <w:p w:rsidR="008B7D4E" w:rsidRDefault="008B7D4E"/>
    <w:p w:rsidR="008B7D4E" w:rsidRDefault="008B7D4E"/>
    <w:p w:rsidR="008B7D4E" w:rsidRDefault="008B7D4E"/>
    <w:p w:rsidR="008B7D4E" w:rsidRDefault="008B7D4E"/>
    <w:p w:rsidR="008B7D4E" w:rsidRDefault="008B7D4E"/>
    <w:p w:rsidR="008B7D4E" w:rsidRDefault="008B7D4E"/>
    <w:p w:rsidR="008B7D4E" w:rsidRDefault="008B7D4E"/>
    <w:p w:rsidR="00914E05" w:rsidRDefault="00A36EA8" w:rsidP="008B7D4E">
      <w:pPr>
        <w:rPr>
          <w:b/>
          <w:color w:val="433B67"/>
          <w:sz w:val="28"/>
          <w:szCs w:val="28"/>
        </w:rPr>
        <w:sectPr w:rsidR="00914E05" w:rsidSect="00DB35F9">
          <w:headerReference w:type="default" r:id="rId9"/>
          <w:footerReference w:type="default" r:id="rId10"/>
          <w:headerReference w:type="first" r:id="rId11"/>
          <w:footerReference w:type="first" r:id="rId12"/>
          <w:pgSz w:w="12240" w:h="15840"/>
          <w:pgMar w:top="1440" w:right="1800" w:bottom="1440" w:left="1800" w:header="720" w:footer="720" w:gutter="0"/>
          <w:pgNumType w:fmt="lowerRoman" w:start="1"/>
          <w:cols w:space="720"/>
          <w:titlePg/>
          <w:docGrid w:linePitch="360"/>
        </w:sectPr>
      </w:pPr>
      <w:r w:rsidRPr="00A36EA8">
        <w:rPr>
          <w:noProof/>
        </w:rPr>
        <w:pict>
          <v:shape id="_x0000_s1055" type="#_x0000_t202" style="position:absolute;margin-left:-25.1pt;margin-top:43.85pt;width:156.4pt;height:24.5pt;z-index:251699200" filled="f" stroked="f">
            <v:textbox style="mso-next-textbox:#_x0000_s1055">
              <w:txbxContent>
                <w:p w:rsidR="004F57FA" w:rsidRPr="00A01BC6" w:rsidRDefault="004F57FA" w:rsidP="008B7D4E">
                  <w:pPr>
                    <w:pStyle w:val="TitleProposal"/>
                    <w:rPr>
                      <w:rFonts w:ascii="TitilliumText22L Rg" w:hAnsi="TitilliumText22L Rg"/>
                      <w:color w:val="auto"/>
                    </w:rPr>
                  </w:pPr>
                  <w:r w:rsidRPr="00A01BC6">
                    <w:rPr>
                      <w:rFonts w:ascii="TitilliumText22L Rg" w:hAnsi="TitilliumText22L Rg"/>
                      <w:color w:val="auto"/>
                    </w:rPr>
                    <w:t>The FSC Group</w:t>
                  </w:r>
                </w:p>
                <w:p w:rsidR="004F57FA" w:rsidRPr="000D67D1" w:rsidRDefault="004F57FA" w:rsidP="008B7D4E">
                  <w:pPr>
                    <w:pStyle w:val="TitleProposal"/>
                  </w:pPr>
                </w:p>
              </w:txbxContent>
            </v:textbox>
          </v:shape>
        </w:pict>
      </w:r>
      <w:r w:rsidRPr="00A36EA8">
        <w:rPr>
          <w:noProof/>
        </w:rPr>
        <w:pict>
          <v:shapetype id="_x0000_t32" coordsize="21600,21600" o:spt="32" o:oned="t" path="m,l21600,21600e" filled="f">
            <v:path arrowok="t" fillok="f" o:connecttype="none"/>
            <o:lock v:ext="edit" shapetype="t"/>
          </v:shapetype>
          <v:shape id="_x0000_s1057" type="#_x0000_t32" style="position:absolute;margin-left:-95.4pt;margin-top:91.35pt;width:644.25pt;height:.05pt;z-index:251701248" o:connectortype="straight" strokecolor="black [3213]" strokeweight="1pt"/>
        </w:pict>
      </w:r>
      <w:r w:rsidRPr="00A36EA8">
        <w:rPr>
          <w:noProof/>
        </w:rPr>
        <w:pict>
          <v:shape id="_x0000_s1056" type="#_x0000_t32" style="position:absolute;margin-left:-107.4pt;margin-top:90.15pt;width:644.25pt;height:.05pt;z-index:251700224" o:connectortype="straight" strokecolor="#433b67" strokeweight="2pt"/>
        </w:pict>
      </w:r>
    </w:p>
    <w:sdt>
      <w:sdtPr>
        <w:rPr>
          <w:rFonts w:asciiTheme="minorHAnsi" w:eastAsiaTheme="minorHAnsi" w:hAnsiTheme="minorHAnsi" w:cstheme="minorBidi"/>
          <w:b w:val="0"/>
          <w:color w:val="auto"/>
          <w:sz w:val="22"/>
          <w:szCs w:val="22"/>
        </w:rPr>
        <w:id w:val="1780305"/>
        <w:docPartObj>
          <w:docPartGallery w:val="Table of Contents"/>
          <w:docPartUnique/>
        </w:docPartObj>
      </w:sdtPr>
      <w:sdtEndPr>
        <w:rPr>
          <w:rFonts w:ascii="Calibri" w:eastAsia="Calibri" w:hAnsi="Calibri" w:cs="Times New Roman"/>
        </w:rPr>
      </w:sdtEndPr>
      <w:sdtContent>
        <w:p w:rsidR="00914E05" w:rsidRDefault="00914E05" w:rsidP="00914E05">
          <w:pPr>
            <w:pStyle w:val="TableofContents"/>
            <w:ind w:left="0"/>
          </w:pPr>
          <w:r>
            <w:t>Table of Contents</w:t>
          </w:r>
        </w:p>
        <w:p w:rsidR="004F57FA" w:rsidRDefault="00A36EA8">
          <w:pPr>
            <w:pStyle w:val="TOC1"/>
            <w:rPr>
              <w:rFonts w:asciiTheme="minorHAnsi" w:eastAsiaTheme="minorEastAsia" w:hAnsiTheme="minorHAnsi" w:cstheme="minorBidi"/>
              <w:sz w:val="22"/>
              <w:szCs w:val="22"/>
            </w:rPr>
          </w:pPr>
          <w:r>
            <w:fldChar w:fldCharType="begin"/>
          </w:r>
          <w:r w:rsidR="00914E05">
            <w:instrText xml:space="preserve"> TOC \o "1-3" \h \z \t "Appendix Heading 1,2,Appendix Heading 2,3,Appendix Heading 3,4" </w:instrText>
          </w:r>
          <w:r>
            <w:fldChar w:fldCharType="separate"/>
          </w:r>
          <w:hyperlink w:anchor="_Toc325370133" w:history="1">
            <w:r w:rsidR="004F57FA" w:rsidRPr="00455C5B">
              <w:rPr>
                <w:rStyle w:val="Hyperlink"/>
              </w:rPr>
              <w:t>1</w:t>
            </w:r>
            <w:r w:rsidR="004F57FA">
              <w:rPr>
                <w:rFonts w:asciiTheme="minorHAnsi" w:eastAsiaTheme="minorEastAsia" w:hAnsiTheme="minorHAnsi" w:cstheme="minorBidi"/>
                <w:sz w:val="22"/>
                <w:szCs w:val="22"/>
              </w:rPr>
              <w:tab/>
            </w:r>
            <w:r w:rsidR="004F57FA" w:rsidRPr="00455C5B">
              <w:rPr>
                <w:rStyle w:val="Hyperlink"/>
              </w:rPr>
              <w:t>Executive Summary</w:t>
            </w:r>
            <w:r w:rsidR="004F57FA">
              <w:rPr>
                <w:webHidden/>
              </w:rPr>
              <w:tab/>
            </w:r>
            <w:r>
              <w:rPr>
                <w:webHidden/>
              </w:rPr>
              <w:fldChar w:fldCharType="begin"/>
            </w:r>
            <w:r w:rsidR="004F57FA">
              <w:rPr>
                <w:webHidden/>
              </w:rPr>
              <w:instrText xml:space="preserve"> PAGEREF _Toc325370133 \h </w:instrText>
            </w:r>
            <w:r>
              <w:rPr>
                <w:webHidden/>
              </w:rPr>
            </w:r>
            <w:r>
              <w:rPr>
                <w:webHidden/>
              </w:rPr>
              <w:fldChar w:fldCharType="separate"/>
            </w:r>
            <w:r w:rsidR="004F57FA">
              <w:rPr>
                <w:webHidden/>
              </w:rPr>
              <w:t>3</w:t>
            </w:r>
            <w:r>
              <w:rPr>
                <w:webHidden/>
              </w:rPr>
              <w:fldChar w:fldCharType="end"/>
            </w:r>
          </w:hyperlink>
        </w:p>
        <w:p w:rsidR="004F57FA" w:rsidRDefault="00A36EA8">
          <w:pPr>
            <w:pStyle w:val="TOC1"/>
            <w:rPr>
              <w:rFonts w:asciiTheme="minorHAnsi" w:eastAsiaTheme="minorEastAsia" w:hAnsiTheme="minorHAnsi" w:cstheme="minorBidi"/>
              <w:sz w:val="22"/>
              <w:szCs w:val="22"/>
            </w:rPr>
          </w:pPr>
          <w:hyperlink w:anchor="_Toc325370134" w:history="1">
            <w:r w:rsidR="004F57FA" w:rsidRPr="00455C5B">
              <w:rPr>
                <w:rStyle w:val="Hyperlink"/>
              </w:rPr>
              <w:t>2</w:t>
            </w:r>
            <w:r w:rsidR="004F57FA">
              <w:rPr>
                <w:rFonts w:asciiTheme="minorHAnsi" w:eastAsiaTheme="minorEastAsia" w:hAnsiTheme="minorHAnsi" w:cstheme="minorBidi"/>
                <w:sz w:val="22"/>
                <w:szCs w:val="22"/>
              </w:rPr>
              <w:tab/>
            </w:r>
            <w:r w:rsidR="004F57FA" w:rsidRPr="00455C5B">
              <w:rPr>
                <w:rStyle w:val="Hyperlink"/>
              </w:rPr>
              <w:t>Introduction and Program Summary</w:t>
            </w:r>
            <w:r w:rsidR="004F57FA">
              <w:rPr>
                <w:webHidden/>
              </w:rPr>
              <w:tab/>
            </w:r>
            <w:r>
              <w:rPr>
                <w:webHidden/>
              </w:rPr>
              <w:fldChar w:fldCharType="begin"/>
            </w:r>
            <w:r w:rsidR="004F57FA">
              <w:rPr>
                <w:webHidden/>
              </w:rPr>
              <w:instrText xml:space="preserve"> PAGEREF _Toc325370134 \h </w:instrText>
            </w:r>
            <w:r>
              <w:rPr>
                <w:webHidden/>
              </w:rPr>
            </w:r>
            <w:r>
              <w:rPr>
                <w:webHidden/>
              </w:rPr>
              <w:fldChar w:fldCharType="separate"/>
            </w:r>
            <w:r w:rsidR="004F57FA">
              <w:rPr>
                <w:webHidden/>
              </w:rPr>
              <w:t>5</w:t>
            </w:r>
            <w:r>
              <w:rPr>
                <w:webHidden/>
              </w:rPr>
              <w:fldChar w:fldCharType="end"/>
            </w:r>
          </w:hyperlink>
        </w:p>
        <w:p w:rsidR="004F57FA" w:rsidRDefault="00A36EA8">
          <w:pPr>
            <w:pStyle w:val="TOC2"/>
            <w:rPr>
              <w:rFonts w:asciiTheme="minorHAnsi" w:eastAsiaTheme="minorEastAsia" w:hAnsiTheme="minorHAnsi" w:cstheme="minorBidi"/>
              <w:sz w:val="22"/>
              <w:szCs w:val="22"/>
            </w:rPr>
          </w:pPr>
          <w:hyperlink w:anchor="_Toc325370135" w:history="1">
            <w:r w:rsidR="004F57FA" w:rsidRPr="00455C5B">
              <w:rPr>
                <w:rStyle w:val="Hyperlink"/>
              </w:rPr>
              <w:t>2.1</w:t>
            </w:r>
            <w:r w:rsidR="004F57FA">
              <w:rPr>
                <w:rFonts w:asciiTheme="minorHAnsi" w:eastAsiaTheme="minorEastAsia" w:hAnsiTheme="minorHAnsi" w:cstheme="minorBidi"/>
                <w:sz w:val="22"/>
                <w:szCs w:val="22"/>
              </w:rPr>
              <w:tab/>
            </w:r>
            <w:r w:rsidR="004F57FA" w:rsidRPr="00455C5B">
              <w:rPr>
                <w:rStyle w:val="Hyperlink"/>
              </w:rPr>
              <w:t>Program Overview</w:t>
            </w:r>
            <w:r w:rsidR="004F57FA">
              <w:rPr>
                <w:webHidden/>
              </w:rPr>
              <w:tab/>
            </w:r>
            <w:r>
              <w:rPr>
                <w:webHidden/>
              </w:rPr>
              <w:fldChar w:fldCharType="begin"/>
            </w:r>
            <w:r w:rsidR="004F57FA">
              <w:rPr>
                <w:webHidden/>
              </w:rPr>
              <w:instrText xml:space="preserve"> PAGEREF _Toc325370135 \h </w:instrText>
            </w:r>
            <w:r>
              <w:rPr>
                <w:webHidden/>
              </w:rPr>
            </w:r>
            <w:r>
              <w:rPr>
                <w:webHidden/>
              </w:rPr>
              <w:fldChar w:fldCharType="separate"/>
            </w:r>
            <w:r w:rsidR="004F57FA">
              <w:rPr>
                <w:webHidden/>
              </w:rPr>
              <w:t>5</w:t>
            </w:r>
            <w:r>
              <w:rPr>
                <w:webHidden/>
              </w:rPr>
              <w:fldChar w:fldCharType="end"/>
            </w:r>
          </w:hyperlink>
        </w:p>
        <w:p w:rsidR="004F57FA" w:rsidRDefault="00A36EA8">
          <w:pPr>
            <w:pStyle w:val="TOC2"/>
            <w:rPr>
              <w:rFonts w:asciiTheme="minorHAnsi" w:eastAsiaTheme="minorEastAsia" w:hAnsiTheme="minorHAnsi" w:cstheme="minorBidi"/>
              <w:sz w:val="22"/>
              <w:szCs w:val="22"/>
            </w:rPr>
          </w:pPr>
          <w:hyperlink w:anchor="_Toc325370136" w:history="1">
            <w:r w:rsidR="004F57FA" w:rsidRPr="00455C5B">
              <w:rPr>
                <w:rStyle w:val="Hyperlink"/>
              </w:rPr>
              <w:t>2.2</w:t>
            </w:r>
            <w:r w:rsidR="004F57FA">
              <w:rPr>
                <w:rFonts w:asciiTheme="minorHAnsi" w:eastAsiaTheme="minorEastAsia" w:hAnsiTheme="minorHAnsi" w:cstheme="minorBidi"/>
                <w:sz w:val="22"/>
                <w:szCs w:val="22"/>
              </w:rPr>
              <w:tab/>
            </w:r>
            <w:r w:rsidR="004F57FA" w:rsidRPr="00455C5B">
              <w:rPr>
                <w:rStyle w:val="Hyperlink"/>
              </w:rPr>
              <w:t>Ex Post Load Impact Estimates</w:t>
            </w:r>
            <w:r w:rsidR="004F57FA">
              <w:rPr>
                <w:webHidden/>
              </w:rPr>
              <w:tab/>
            </w:r>
            <w:r>
              <w:rPr>
                <w:webHidden/>
              </w:rPr>
              <w:fldChar w:fldCharType="begin"/>
            </w:r>
            <w:r w:rsidR="004F57FA">
              <w:rPr>
                <w:webHidden/>
              </w:rPr>
              <w:instrText xml:space="preserve"> PAGEREF _Toc325370136 \h </w:instrText>
            </w:r>
            <w:r>
              <w:rPr>
                <w:webHidden/>
              </w:rPr>
            </w:r>
            <w:r>
              <w:rPr>
                <w:webHidden/>
              </w:rPr>
              <w:fldChar w:fldCharType="separate"/>
            </w:r>
            <w:r w:rsidR="004F57FA">
              <w:rPr>
                <w:webHidden/>
              </w:rPr>
              <w:t>6</w:t>
            </w:r>
            <w:r>
              <w:rPr>
                <w:webHidden/>
              </w:rPr>
              <w:fldChar w:fldCharType="end"/>
            </w:r>
          </w:hyperlink>
        </w:p>
        <w:p w:rsidR="004F57FA" w:rsidRDefault="00A36EA8">
          <w:pPr>
            <w:pStyle w:val="TOC2"/>
            <w:rPr>
              <w:rFonts w:asciiTheme="minorHAnsi" w:eastAsiaTheme="minorEastAsia" w:hAnsiTheme="minorHAnsi" w:cstheme="minorBidi"/>
              <w:sz w:val="22"/>
              <w:szCs w:val="22"/>
            </w:rPr>
          </w:pPr>
          <w:hyperlink w:anchor="_Toc325370137" w:history="1">
            <w:r w:rsidR="004F57FA" w:rsidRPr="00455C5B">
              <w:rPr>
                <w:rStyle w:val="Hyperlink"/>
              </w:rPr>
              <w:t>2.3</w:t>
            </w:r>
            <w:r w:rsidR="004F57FA">
              <w:rPr>
                <w:rFonts w:asciiTheme="minorHAnsi" w:eastAsiaTheme="minorEastAsia" w:hAnsiTheme="minorHAnsi" w:cstheme="minorBidi"/>
                <w:sz w:val="22"/>
                <w:szCs w:val="22"/>
              </w:rPr>
              <w:tab/>
            </w:r>
            <w:r w:rsidR="004F57FA" w:rsidRPr="00455C5B">
              <w:rPr>
                <w:rStyle w:val="Hyperlink"/>
              </w:rPr>
              <w:t>Ex Ante Load Impact Estimates</w:t>
            </w:r>
            <w:r w:rsidR="004F57FA">
              <w:rPr>
                <w:webHidden/>
              </w:rPr>
              <w:tab/>
            </w:r>
            <w:r>
              <w:rPr>
                <w:webHidden/>
              </w:rPr>
              <w:fldChar w:fldCharType="begin"/>
            </w:r>
            <w:r w:rsidR="004F57FA">
              <w:rPr>
                <w:webHidden/>
              </w:rPr>
              <w:instrText xml:space="preserve"> PAGEREF _Toc325370137 \h </w:instrText>
            </w:r>
            <w:r>
              <w:rPr>
                <w:webHidden/>
              </w:rPr>
            </w:r>
            <w:r>
              <w:rPr>
                <w:webHidden/>
              </w:rPr>
              <w:fldChar w:fldCharType="separate"/>
            </w:r>
            <w:r w:rsidR="004F57FA">
              <w:rPr>
                <w:webHidden/>
              </w:rPr>
              <w:t>9</w:t>
            </w:r>
            <w:r>
              <w:rPr>
                <w:webHidden/>
              </w:rPr>
              <w:fldChar w:fldCharType="end"/>
            </w:r>
          </w:hyperlink>
        </w:p>
        <w:p w:rsidR="004F57FA" w:rsidRDefault="00A36EA8">
          <w:pPr>
            <w:pStyle w:val="TOC2"/>
            <w:rPr>
              <w:rFonts w:asciiTheme="minorHAnsi" w:eastAsiaTheme="minorEastAsia" w:hAnsiTheme="minorHAnsi" w:cstheme="minorBidi"/>
              <w:sz w:val="22"/>
              <w:szCs w:val="22"/>
            </w:rPr>
          </w:pPr>
          <w:hyperlink w:anchor="_Toc325370138" w:history="1">
            <w:r w:rsidR="004F57FA" w:rsidRPr="00455C5B">
              <w:rPr>
                <w:rStyle w:val="Hyperlink"/>
              </w:rPr>
              <w:t>2.4</w:t>
            </w:r>
            <w:r w:rsidR="004F57FA">
              <w:rPr>
                <w:rFonts w:asciiTheme="minorHAnsi" w:eastAsiaTheme="minorEastAsia" w:hAnsiTheme="minorHAnsi" w:cstheme="minorBidi"/>
                <w:sz w:val="22"/>
                <w:szCs w:val="22"/>
              </w:rPr>
              <w:tab/>
            </w:r>
            <w:r w:rsidR="004F57FA" w:rsidRPr="00455C5B">
              <w:rPr>
                <w:rStyle w:val="Hyperlink"/>
              </w:rPr>
              <w:t>Report Structure</w:t>
            </w:r>
            <w:r w:rsidR="004F57FA">
              <w:rPr>
                <w:webHidden/>
              </w:rPr>
              <w:tab/>
            </w:r>
            <w:r>
              <w:rPr>
                <w:webHidden/>
              </w:rPr>
              <w:fldChar w:fldCharType="begin"/>
            </w:r>
            <w:r w:rsidR="004F57FA">
              <w:rPr>
                <w:webHidden/>
              </w:rPr>
              <w:instrText xml:space="preserve"> PAGEREF _Toc325370138 \h </w:instrText>
            </w:r>
            <w:r>
              <w:rPr>
                <w:webHidden/>
              </w:rPr>
            </w:r>
            <w:r>
              <w:rPr>
                <w:webHidden/>
              </w:rPr>
              <w:fldChar w:fldCharType="separate"/>
            </w:r>
            <w:r w:rsidR="004F57FA">
              <w:rPr>
                <w:webHidden/>
              </w:rPr>
              <w:t>11</w:t>
            </w:r>
            <w:r>
              <w:rPr>
                <w:webHidden/>
              </w:rPr>
              <w:fldChar w:fldCharType="end"/>
            </w:r>
          </w:hyperlink>
        </w:p>
        <w:p w:rsidR="004F57FA" w:rsidRDefault="00A36EA8">
          <w:pPr>
            <w:pStyle w:val="TOC1"/>
            <w:rPr>
              <w:rFonts w:asciiTheme="minorHAnsi" w:eastAsiaTheme="minorEastAsia" w:hAnsiTheme="minorHAnsi" w:cstheme="minorBidi"/>
              <w:sz w:val="22"/>
              <w:szCs w:val="22"/>
            </w:rPr>
          </w:pPr>
          <w:hyperlink w:anchor="_Toc325370139" w:history="1">
            <w:r w:rsidR="004F57FA" w:rsidRPr="00455C5B">
              <w:rPr>
                <w:rStyle w:val="Hyperlink"/>
              </w:rPr>
              <w:t>3</w:t>
            </w:r>
            <w:r w:rsidR="004F57FA">
              <w:rPr>
                <w:rFonts w:asciiTheme="minorHAnsi" w:eastAsiaTheme="minorEastAsia" w:hAnsiTheme="minorHAnsi" w:cstheme="minorBidi"/>
                <w:sz w:val="22"/>
                <w:szCs w:val="22"/>
              </w:rPr>
              <w:tab/>
            </w:r>
            <w:r w:rsidR="004F57FA" w:rsidRPr="00455C5B">
              <w:rPr>
                <w:rStyle w:val="Hyperlink"/>
              </w:rPr>
              <w:t>Data and Methodology</w:t>
            </w:r>
            <w:r w:rsidR="004F57FA">
              <w:rPr>
                <w:webHidden/>
              </w:rPr>
              <w:tab/>
            </w:r>
            <w:r>
              <w:rPr>
                <w:webHidden/>
              </w:rPr>
              <w:fldChar w:fldCharType="begin"/>
            </w:r>
            <w:r w:rsidR="004F57FA">
              <w:rPr>
                <w:webHidden/>
              </w:rPr>
              <w:instrText xml:space="preserve"> PAGEREF _Toc325370139 \h </w:instrText>
            </w:r>
            <w:r>
              <w:rPr>
                <w:webHidden/>
              </w:rPr>
            </w:r>
            <w:r>
              <w:rPr>
                <w:webHidden/>
              </w:rPr>
              <w:fldChar w:fldCharType="separate"/>
            </w:r>
            <w:r w:rsidR="004F57FA">
              <w:rPr>
                <w:webHidden/>
              </w:rPr>
              <w:t>12</w:t>
            </w:r>
            <w:r>
              <w:rPr>
                <w:webHidden/>
              </w:rPr>
              <w:fldChar w:fldCharType="end"/>
            </w:r>
          </w:hyperlink>
        </w:p>
        <w:p w:rsidR="004F57FA" w:rsidRDefault="00A36EA8">
          <w:pPr>
            <w:pStyle w:val="TOC2"/>
            <w:rPr>
              <w:rFonts w:asciiTheme="minorHAnsi" w:eastAsiaTheme="minorEastAsia" w:hAnsiTheme="minorHAnsi" w:cstheme="minorBidi"/>
              <w:sz w:val="22"/>
              <w:szCs w:val="22"/>
            </w:rPr>
          </w:pPr>
          <w:hyperlink w:anchor="_Toc325370140" w:history="1">
            <w:r w:rsidR="004F57FA" w:rsidRPr="00455C5B">
              <w:rPr>
                <w:rStyle w:val="Hyperlink"/>
              </w:rPr>
              <w:t>3.1</w:t>
            </w:r>
            <w:r w:rsidR="004F57FA">
              <w:rPr>
                <w:rFonts w:asciiTheme="minorHAnsi" w:eastAsiaTheme="minorEastAsia" w:hAnsiTheme="minorHAnsi" w:cstheme="minorBidi"/>
                <w:sz w:val="22"/>
                <w:szCs w:val="22"/>
              </w:rPr>
              <w:tab/>
            </w:r>
            <w:r w:rsidR="004F57FA" w:rsidRPr="00455C5B">
              <w:rPr>
                <w:rStyle w:val="Hyperlink"/>
              </w:rPr>
              <w:t>Data</w:t>
            </w:r>
            <w:r w:rsidR="004F57FA">
              <w:rPr>
                <w:webHidden/>
              </w:rPr>
              <w:tab/>
            </w:r>
            <w:r>
              <w:rPr>
                <w:webHidden/>
              </w:rPr>
              <w:fldChar w:fldCharType="begin"/>
            </w:r>
            <w:r w:rsidR="004F57FA">
              <w:rPr>
                <w:webHidden/>
              </w:rPr>
              <w:instrText xml:space="preserve"> PAGEREF _Toc325370140 \h </w:instrText>
            </w:r>
            <w:r>
              <w:rPr>
                <w:webHidden/>
              </w:rPr>
            </w:r>
            <w:r>
              <w:rPr>
                <w:webHidden/>
              </w:rPr>
              <w:fldChar w:fldCharType="separate"/>
            </w:r>
            <w:r w:rsidR="004F57FA">
              <w:rPr>
                <w:webHidden/>
              </w:rPr>
              <w:t>12</w:t>
            </w:r>
            <w:r>
              <w:rPr>
                <w:webHidden/>
              </w:rPr>
              <w:fldChar w:fldCharType="end"/>
            </w:r>
          </w:hyperlink>
        </w:p>
        <w:p w:rsidR="004F57FA" w:rsidRDefault="00A36EA8">
          <w:pPr>
            <w:pStyle w:val="TOC2"/>
            <w:rPr>
              <w:rFonts w:asciiTheme="minorHAnsi" w:eastAsiaTheme="minorEastAsia" w:hAnsiTheme="minorHAnsi" w:cstheme="minorBidi"/>
              <w:sz w:val="22"/>
              <w:szCs w:val="22"/>
            </w:rPr>
          </w:pPr>
          <w:hyperlink w:anchor="_Toc325370141" w:history="1">
            <w:r w:rsidR="004F57FA" w:rsidRPr="00455C5B">
              <w:rPr>
                <w:rStyle w:val="Hyperlink"/>
              </w:rPr>
              <w:t>3.2</w:t>
            </w:r>
            <w:r w:rsidR="004F57FA">
              <w:rPr>
                <w:rFonts w:asciiTheme="minorHAnsi" w:eastAsiaTheme="minorEastAsia" w:hAnsiTheme="minorHAnsi" w:cstheme="minorBidi"/>
                <w:sz w:val="22"/>
                <w:szCs w:val="22"/>
              </w:rPr>
              <w:tab/>
            </w:r>
            <w:r w:rsidR="004F57FA" w:rsidRPr="00455C5B">
              <w:rPr>
                <w:rStyle w:val="Hyperlink"/>
              </w:rPr>
              <w:t>Methodology</w:t>
            </w:r>
            <w:r w:rsidR="004F57FA">
              <w:rPr>
                <w:webHidden/>
              </w:rPr>
              <w:tab/>
            </w:r>
            <w:r>
              <w:rPr>
                <w:webHidden/>
              </w:rPr>
              <w:fldChar w:fldCharType="begin"/>
            </w:r>
            <w:r w:rsidR="004F57FA">
              <w:rPr>
                <w:webHidden/>
              </w:rPr>
              <w:instrText xml:space="preserve"> PAGEREF _Toc325370141 \h </w:instrText>
            </w:r>
            <w:r>
              <w:rPr>
                <w:webHidden/>
              </w:rPr>
            </w:r>
            <w:r>
              <w:rPr>
                <w:webHidden/>
              </w:rPr>
              <w:fldChar w:fldCharType="separate"/>
            </w:r>
            <w:r w:rsidR="004F57FA">
              <w:rPr>
                <w:webHidden/>
              </w:rPr>
              <w:t>13</w:t>
            </w:r>
            <w:r>
              <w:rPr>
                <w:webHidden/>
              </w:rPr>
              <w:fldChar w:fldCharType="end"/>
            </w:r>
          </w:hyperlink>
        </w:p>
        <w:p w:rsidR="004F57FA" w:rsidRDefault="00A36EA8">
          <w:pPr>
            <w:pStyle w:val="TOC3"/>
            <w:rPr>
              <w:rFonts w:asciiTheme="minorHAnsi" w:hAnsiTheme="minorHAnsi" w:cstheme="minorBidi"/>
              <w:sz w:val="22"/>
              <w:szCs w:val="22"/>
            </w:rPr>
          </w:pPr>
          <w:hyperlink w:anchor="_Toc325370142" w:history="1">
            <w:r w:rsidR="004F57FA" w:rsidRPr="00455C5B">
              <w:rPr>
                <w:rStyle w:val="Hyperlink"/>
              </w:rPr>
              <w:t>3.2.1</w:t>
            </w:r>
            <w:r w:rsidR="004F57FA">
              <w:rPr>
                <w:rFonts w:asciiTheme="minorHAnsi" w:hAnsiTheme="minorHAnsi" w:cstheme="minorBidi"/>
                <w:sz w:val="22"/>
                <w:szCs w:val="22"/>
              </w:rPr>
              <w:tab/>
            </w:r>
            <w:r w:rsidR="004F57FA" w:rsidRPr="00455C5B">
              <w:rPr>
                <w:rStyle w:val="Hyperlink"/>
              </w:rPr>
              <w:t>Customer Regression Models for Residential Customers</w:t>
            </w:r>
            <w:r w:rsidR="004F57FA">
              <w:rPr>
                <w:webHidden/>
              </w:rPr>
              <w:tab/>
            </w:r>
            <w:r>
              <w:rPr>
                <w:webHidden/>
              </w:rPr>
              <w:fldChar w:fldCharType="begin"/>
            </w:r>
            <w:r w:rsidR="004F57FA">
              <w:rPr>
                <w:webHidden/>
              </w:rPr>
              <w:instrText xml:space="preserve"> PAGEREF _Toc325370142 \h </w:instrText>
            </w:r>
            <w:r>
              <w:rPr>
                <w:webHidden/>
              </w:rPr>
            </w:r>
            <w:r>
              <w:rPr>
                <w:webHidden/>
              </w:rPr>
              <w:fldChar w:fldCharType="separate"/>
            </w:r>
            <w:r w:rsidR="004F57FA">
              <w:rPr>
                <w:webHidden/>
              </w:rPr>
              <w:t>14</w:t>
            </w:r>
            <w:r>
              <w:rPr>
                <w:webHidden/>
              </w:rPr>
              <w:fldChar w:fldCharType="end"/>
            </w:r>
          </w:hyperlink>
        </w:p>
        <w:p w:rsidR="004F57FA" w:rsidRDefault="00A36EA8">
          <w:pPr>
            <w:pStyle w:val="TOC3"/>
            <w:rPr>
              <w:rFonts w:asciiTheme="minorHAnsi" w:hAnsiTheme="minorHAnsi" w:cstheme="minorBidi"/>
              <w:sz w:val="22"/>
              <w:szCs w:val="22"/>
            </w:rPr>
          </w:pPr>
          <w:hyperlink w:anchor="_Toc325370143" w:history="1">
            <w:r w:rsidR="004F57FA" w:rsidRPr="00455C5B">
              <w:rPr>
                <w:rStyle w:val="Hyperlink"/>
              </w:rPr>
              <w:t>3.2.2</w:t>
            </w:r>
            <w:r w:rsidR="004F57FA">
              <w:rPr>
                <w:rFonts w:asciiTheme="minorHAnsi" w:hAnsiTheme="minorHAnsi" w:cstheme="minorBidi"/>
                <w:sz w:val="22"/>
                <w:szCs w:val="22"/>
              </w:rPr>
              <w:tab/>
            </w:r>
            <w:r w:rsidR="004F57FA" w:rsidRPr="00455C5B">
              <w:rPr>
                <w:rStyle w:val="Hyperlink"/>
              </w:rPr>
              <w:t>Residential Regression Model Validation</w:t>
            </w:r>
            <w:r w:rsidR="004F57FA">
              <w:rPr>
                <w:webHidden/>
              </w:rPr>
              <w:tab/>
            </w:r>
            <w:r>
              <w:rPr>
                <w:webHidden/>
              </w:rPr>
              <w:fldChar w:fldCharType="begin"/>
            </w:r>
            <w:r w:rsidR="004F57FA">
              <w:rPr>
                <w:webHidden/>
              </w:rPr>
              <w:instrText xml:space="preserve"> PAGEREF _Toc325370143 \h </w:instrText>
            </w:r>
            <w:r>
              <w:rPr>
                <w:webHidden/>
              </w:rPr>
            </w:r>
            <w:r>
              <w:rPr>
                <w:webHidden/>
              </w:rPr>
              <w:fldChar w:fldCharType="separate"/>
            </w:r>
            <w:r w:rsidR="004F57FA">
              <w:rPr>
                <w:webHidden/>
              </w:rPr>
              <w:t>16</w:t>
            </w:r>
            <w:r>
              <w:rPr>
                <w:webHidden/>
              </w:rPr>
              <w:fldChar w:fldCharType="end"/>
            </w:r>
          </w:hyperlink>
        </w:p>
        <w:p w:rsidR="004F57FA" w:rsidRDefault="00A36EA8">
          <w:pPr>
            <w:pStyle w:val="TOC3"/>
            <w:rPr>
              <w:rFonts w:asciiTheme="minorHAnsi" w:hAnsiTheme="minorHAnsi" w:cstheme="minorBidi"/>
              <w:sz w:val="22"/>
              <w:szCs w:val="22"/>
            </w:rPr>
          </w:pPr>
          <w:hyperlink w:anchor="_Toc325370144" w:history="1">
            <w:r w:rsidR="004F57FA" w:rsidRPr="00455C5B">
              <w:rPr>
                <w:rStyle w:val="Hyperlink"/>
              </w:rPr>
              <w:t>3.2.3</w:t>
            </w:r>
            <w:r w:rsidR="004F57FA">
              <w:rPr>
                <w:rFonts w:asciiTheme="minorHAnsi" w:hAnsiTheme="minorHAnsi" w:cstheme="minorBidi"/>
                <w:sz w:val="22"/>
                <w:szCs w:val="22"/>
              </w:rPr>
              <w:tab/>
            </w:r>
            <w:r w:rsidR="004F57FA" w:rsidRPr="00455C5B">
              <w:rPr>
                <w:rStyle w:val="Hyperlink"/>
              </w:rPr>
              <w:t>Day-matching for Commercial Customers</w:t>
            </w:r>
            <w:r w:rsidR="004F57FA">
              <w:rPr>
                <w:webHidden/>
              </w:rPr>
              <w:tab/>
            </w:r>
            <w:r>
              <w:rPr>
                <w:webHidden/>
              </w:rPr>
              <w:fldChar w:fldCharType="begin"/>
            </w:r>
            <w:r w:rsidR="004F57FA">
              <w:rPr>
                <w:webHidden/>
              </w:rPr>
              <w:instrText xml:space="preserve"> PAGEREF _Toc325370144 \h </w:instrText>
            </w:r>
            <w:r>
              <w:rPr>
                <w:webHidden/>
              </w:rPr>
            </w:r>
            <w:r>
              <w:rPr>
                <w:webHidden/>
              </w:rPr>
              <w:fldChar w:fldCharType="separate"/>
            </w:r>
            <w:r w:rsidR="004F57FA">
              <w:rPr>
                <w:webHidden/>
              </w:rPr>
              <w:t>19</w:t>
            </w:r>
            <w:r>
              <w:rPr>
                <w:webHidden/>
              </w:rPr>
              <w:fldChar w:fldCharType="end"/>
            </w:r>
          </w:hyperlink>
        </w:p>
        <w:p w:rsidR="004F57FA" w:rsidRDefault="00A36EA8">
          <w:pPr>
            <w:pStyle w:val="TOC2"/>
            <w:rPr>
              <w:rFonts w:asciiTheme="minorHAnsi" w:eastAsiaTheme="minorEastAsia" w:hAnsiTheme="minorHAnsi" w:cstheme="minorBidi"/>
              <w:sz w:val="22"/>
              <w:szCs w:val="22"/>
            </w:rPr>
          </w:pPr>
          <w:hyperlink w:anchor="_Toc325370145" w:history="1">
            <w:r w:rsidR="004F57FA" w:rsidRPr="00455C5B">
              <w:rPr>
                <w:rStyle w:val="Hyperlink"/>
              </w:rPr>
              <w:t>3.3</w:t>
            </w:r>
            <w:r w:rsidR="004F57FA">
              <w:rPr>
                <w:rFonts w:asciiTheme="minorHAnsi" w:eastAsiaTheme="minorEastAsia" w:hAnsiTheme="minorHAnsi" w:cstheme="minorBidi"/>
                <w:sz w:val="22"/>
                <w:szCs w:val="22"/>
              </w:rPr>
              <w:tab/>
            </w:r>
            <w:r w:rsidR="004F57FA" w:rsidRPr="00455C5B">
              <w:rPr>
                <w:rStyle w:val="Hyperlink"/>
              </w:rPr>
              <w:t>Ex Ante Impact Estimation Methodology</w:t>
            </w:r>
            <w:r w:rsidR="004F57FA">
              <w:rPr>
                <w:webHidden/>
              </w:rPr>
              <w:tab/>
            </w:r>
            <w:r>
              <w:rPr>
                <w:webHidden/>
              </w:rPr>
              <w:fldChar w:fldCharType="begin"/>
            </w:r>
            <w:r w:rsidR="004F57FA">
              <w:rPr>
                <w:webHidden/>
              </w:rPr>
              <w:instrText xml:space="preserve"> PAGEREF _Toc325370145 \h </w:instrText>
            </w:r>
            <w:r>
              <w:rPr>
                <w:webHidden/>
              </w:rPr>
            </w:r>
            <w:r>
              <w:rPr>
                <w:webHidden/>
              </w:rPr>
              <w:fldChar w:fldCharType="separate"/>
            </w:r>
            <w:r w:rsidR="004F57FA">
              <w:rPr>
                <w:webHidden/>
              </w:rPr>
              <w:t>21</w:t>
            </w:r>
            <w:r>
              <w:rPr>
                <w:webHidden/>
              </w:rPr>
              <w:fldChar w:fldCharType="end"/>
            </w:r>
          </w:hyperlink>
        </w:p>
        <w:p w:rsidR="004F57FA" w:rsidRDefault="00A36EA8">
          <w:pPr>
            <w:pStyle w:val="TOC1"/>
            <w:rPr>
              <w:rFonts w:asciiTheme="minorHAnsi" w:eastAsiaTheme="minorEastAsia" w:hAnsiTheme="minorHAnsi" w:cstheme="minorBidi"/>
              <w:sz w:val="22"/>
              <w:szCs w:val="22"/>
            </w:rPr>
          </w:pPr>
          <w:hyperlink w:anchor="_Toc325370146" w:history="1">
            <w:r w:rsidR="004F57FA" w:rsidRPr="00455C5B">
              <w:rPr>
                <w:rStyle w:val="Hyperlink"/>
              </w:rPr>
              <w:t>4</w:t>
            </w:r>
            <w:r w:rsidR="004F57FA">
              <w:rPr>
                <w:rFonts w:asciiTheme="minorHAnsi" w:eastAsiaTheme="minorEastAsia" w:hAnsiTheme="minorHAnsi" w:cstheme="minorBidi"/>
                <w:sz w:val="22"/>
                <w:szCs w:val="22"/>
              </w:rPr>
              <w:tab/>
            </w:r>
            <w:r w:rsidR="004F57FA" w:rsidRPr="00455C5B">
              <w:rPr>
                <w:rStyle w:val="Hyperlink"/>
              </w:rPr>
              <w:t>Ex Post Load Impact Estimates</w:t>
            </w:r>
            <w:r w:rsidR="004F57FA">
              <w:rPr>
                <w:webHidden/>
              </w:rPr>
              <w:tab/>
            </w:r>
            <w:r>
              <w:rPr>
                <w:webHidden/>
              </w:rPr>
              <w:fldChar w:fldCharType="begin"/>
            </w:r>
            <w:r w:rsidR="004F57FA">
              <w:rPr>
                <w:webHidden/>
              </w:rPr>
              <w:instrText xml:space="preserve"> PAGEREF _Toc325370146 \h </w:instrText>
            </w:r>
            <w:r>
              <w:rPr>
                <w:webHidden/>
              </w:rPr>
            </w:r>
            <w:r>
              <w:rPr>
                <w:webHidden/>
              </w:rPr>
              <w:fldChar w:fldCharType="separate"/>
            </w:r>
            <w:r w:rsidR="004F57FA">
              <w:rPr>
                <w:webHidden/>
              </w:rPr>
              <w:t>25</w:t>
            </w:r>
            <w:r>
              <w:rPr>
                <w:webHidden/>
              </w:rPr>
              <w:fldChar w:fldCharType="end"/>
            </w:r>
          </w:hyperlink>
        </w:p>
        <w:p w:rsidR="004F57FA" w:rsidRDefault="00A36EA8">
          <w:pPr>
            <w:pStyle w:val="TOC2"/>
            <w:rPr>
              <w:rFonts w:asciiTheme="minorHAnsi" w:eastAsiaTheme="minorEastAsia" w:hAnsiTheme="minorHAnsi" w:cstheme="minorBidi"/>
              <w:sz w:val="22"/>
              <w:szCs w:val="22"/>
            </w:rPr>
          </w:pPr>
          <w:hyperlink w:anchor="_Toc325370147" w:history="1">
            <w:r w:rsidR="004F57FA" w:rsidRPr="00455C5B">
              <w:rPr>
                <w:rStyle w:val="Hyperlink"/>
              </w:rPr>
              <w:t>4.1</w:t>
            </w:r>
            <w:r w:rsidR="004F57FA">
              <w:rPr>
                <w:rFonts w:asciiTheme="minorHAnsi" w:eastAsiaTheme="minorEastAsia" w:hAnsiTheme="minorHAnsi" w:cstheme="minorBidi"/>
                <w:sz w:val="22"/>
                <w:szCs w:val="22"/>
              </w:rPr>
              <w:tab/>
            </w:r>
            <w:r w:rsidR="004F57FA" w:rsidRPr="00455C5B">
              <w:rPr>
                <w:rStyle w:val="Hyperlink"/>
              </w:rPr>
              <w:t>Residential Ex Post Load Impact Estimates</w:t>
            </w:r>
            <w:r w:rsidR="004F57FA">
              <w:rPr>
                <w:webHidden/>
              </w:rPr>
              <w:tab/>
            </w:r>
            <w:r>
              <w:rPr>
                <w:webHidden/>
              </w:rPr>
              <w:fldChar w:fldCharType="begin"/>
            </w:r>
            <w:r w:rsidR="004F57FA">
              <w:rPr>
                <w:webHidden/>
              </w:rPr>
              <w:instrText xml:space="preserve"> PAGEREF _Toc325370147 \h </w:instrText>
            </w:r>
            <w:r>
              <w:rPr>
                <w:webHidden/>
              </w:rPr>
            </w:r>
            <w:r>
              <w:rPr>
                <w:webHidden/>
              </w:rPr>
              <w:fldChar w:fldCharType="separate"/>
            </w:r>
            <w:r w:rsidR="004F57FA">
              <w:rPr>
                <w:webHidden/>
              </w:rPr>
              <w:t>25</w:t>
            </w:r>
            <w:r>
              <w:rPr>
                <w:webHidden/>
              </w:rPr>
              <w:fldChar w:fldCharType="end"/>
            </w:r>
          </w:hyperlink>
        </w:p>
        <w:p w:rsidR="004F57FA" w:rsidRDefault="00A36EA8">
          <w:pPr>
            <w:pStyle w:val="TOC2"/>
            <w:rPr>
              <w:rFonts w:asciiTheme="minorHAnsi" w:eastAsiaTheme="minorEastAsia" w:hAnsiTheme="minorHAnsi" w:cstheme="minorBidi"/>
              <w:sz w:val="22"/>
              <w:szCs w:val="22"/>
            </w:rPr>
          </w:pPr>
          <w:hyperlink w:anchor="_Toc325370148" w:history="1">
            <w:r w:rsidR="004F57FA" w:rsidRPr="00455C5B">
              <w:rPr>
                <w:rStyle w:val="Hyperlink"/>
              </w:rPr>
              <w:t>4.2</w:t>
            </w:r>
            <w:r w:rsidR="004F57FA">
              <w:rPr>
                <w:rFonts w:asciiTheme="minorHAnsi" w:eastAsiaTheme="minorEastAsia" w:hAnsiTheme="minorHAnsi" w:cstheme="minorBidi"/>
                <w:sz w:val="22"/>
                <w:szCs w:val="22"/>
              </w:rPr>
              <w:tab/>
            </w:r>
            <w:r w:rsidR="004F57FA" w:rsidRPr="00455C5B">
              <w:rPr>
                <w:rStyle w:val="Hyperlink"/>
              </w:rPr>
              <w:t>Commercial Ex Post Load Impact Results</w:t>
            </w:r>
            <w:r w:rsidR="004F57FA">
              <w:rPr>
                <w:webHidden/>
              </w:rPr>
              <w:tab/>
            </w:r>
            <w:r>
              <w:rPr>
                <w:webHidden/>
              </w:rPr>
              <w:fldChar w:fldCharType="begin"/>
            </w:r>
            <w:r w:rsidR="004F57FA">
              <w:rPr>
                <w:webHidden/>
              </w:rPr>
              <w:instrText xml:space="preserve"> PAGEREF _Toc325370148 \h </w:instrText>
            </w:r>
            <w:r>
              <w:rPr>
                <w:webHidden/>
              </w:rPr>
            </w:r>
            <w:r>
              <w:rPr>
                <w:webHidden/>
              </w:rPr>
              <w:fldChar w:fldCharType="separate"/>
            </w:r>
            <w:r w:rsidR="004F57FA">
              <w:rPr>
                <w:webHidden/>
              </w:rPr>
              <w:t>25</w:t>
            </w:r>
            <w:r>
              <w:rPr>
                <w:webHidden/>
              </w:rPr>
              <w:fldChar w:fldCharType="end"/>
            </w:r>
          </w:hyperlink>
        </w:p>
        <w:p w:rsidR="004F57FA" w:rsidRDefault="00A36EA8">
          <w:pPr>
            <w:pStyle w:val="TOC2"/>
            <w:rPr>
              <w:rFonts w:asciiTheme="minorHAnsi" w:eastAsiaTheme="minorEastAsia" w:hAnsiTheme="minorHAnsi" w:cstheme="minorBidi"/>
              <w:sz w:val="22"/>
              <w:szCs w:val="22"/>
            </w:rPr>
          </w:pPr>
          <w:hyperlink w:anchor="_Toc325370149" w:history="1">
            <w:r w:rsidR="004F57FA" w:rsidRPr="00455C5B">
              <w:rPr>
                <w:rStyle w:val="Hyperlink"/>
              </w:rPr>
              <w:t>4.3</w:t>
            </w:r>
            <w:r w:rsidR="004F57FA">
              <w:rPr>
                <w:rFonts w:asciiTheme="minorHAnsi" w:eastAsiaTheme="minorEastAsia" w:hAnsiTheme="minorHAnsi" w:cstheme="minorBidi"/>
                <w:sz w:val="22"/>
                <w:szCs w:val="22"/>
              </w:rPr>
              <w:tab/>
            </w:r>
            <w:r w:rsidR="004F57FA" w:rsidRPr="00455C5B">
              <w:rPr>
                <w:rStyle w:val="Hyperlink"/>
              </w:rPr>
              <w:t>Load Impacts by Cycling Option</w:t>
            </w:r>
            <w:r w:rsidR="004F57FA">
              <w:rPr>
                <w:webHidden/>
              </w:rPr>
              <w:tab/>
            </w:r>
            <w:r>
              <w:rPr>
                <w:webHidden/>
              </w:rPr>
              <w:fldChar w:fldCharType="begin"/>
            </w:r>
            <w:r w:rsidR="004F57FA">
              <w:rPr>
                <w:webHidden/>
              </w:rPr>
              <w:instrText xml:space="preserve"> PAGEREF _Toc325370149 \h </w:instrText>
            </w:r>
            <w:r>
              <w:rPr>
                <w:webHidden/>
              </w:rPr>
            </w:r>
            <w:r>
              <w:rPr>
                <w:webHidden/>
              </w:rPr>
              <w:fldChar w:fldCharType="separate"/>
            </w:r>
            <w:r w:rsidR="004F57FA">
              <w:rPr>
                <w:webHidden/>
              </w:rPr>
              <w:t>26</w:t>
            </w:r>
            <w:r>
              <w:rPr>
                <w:webHidden/>
              </w:rPr>
              <w:fldChar w:fldCharType="end"/>
            </w:r>
          </w:hyperlink>
        </w:p>
        <w:p w:rsidR="004F57FA" w:rsidRDefault="00A36EA8">
          <w:pPr>
            <w:pStyle w:val="TOC2"/>
            <w:rPr>
              <w:rFonts w:asciiTheme="minorHAnsi" w:eastAsiaTheme="minorEastAsia" w:hAnsiTheme="minorHAnsi" w:cstheme="minorBidi"/>
              <w:sz w:val="22"/>
              <w:szCs w:val="22"/>
            </w:rPr>
          </w:pPr>
          <w:hyperlink w:anchor="_Toc325370150" w:history="1">
            <w:r w:rsidR="004F57FA" w:rsidRPr="00455C5B">
              <w:rPr>
                <w:rStyle w:val="Hyperlink"/>
                <w:rFonts w:eastAsia="Times New Roman"/>
              </w:rPr>
              <w:t>4.4</w:t>
            </w:r>
            <w:r w:rsidR="004F57FA">
              <w:rPr>
                <w:rFonts w:asciiTheme="minorHAnsi" w:eastAsiaTheme="minorEastAsia" w:hAnsiTheme="minorHAnsi" w:cstheme="minorBidi"/>
                <w:sz w:val="22"/>
                <w:szCs w:val="22"/>
              </w:rPr>
              <w:tab/>
            </w:r>
            <w:r w:rsidR="004F57FA" w:rsidRPr="00455C5B">
              <w:rPr>
                <w:rStyle w:val="Hyperlink"/>
                <w:rFonts w:eastAsia="Times New Roman"/>
              </w:rPr>
              <w:t>Control Device Communications Failure</w:t>
            </w:r>
            <w:r w:rsidR="004F57FA">
              <w:rPr>
                <w:webHidden/>
              </w:rPr>
              <w:tab/>
            </w:r>
            <w:r>
              <w:rPr>
                <w:webHidden/>
              </w:rPr>
              <w:fldChar w:fldCharType="begin"/>
            </w:r>
            <w:r w:rsidR="004F57FA">
              <w:rPr>
                <w:webHidden/>
              </w:rPr>
              <w:instrText xml:space="preserve"> PAGEREF _Toc325370150 \h </w:instrText>
            </w:r>
            <w:r>
              <w:rPr>
                <w:webHidden/>
              </w:rPr>
            </w:r>
            <w:r>
              <w:rPr>
                <w:webHidden/>
              </w:rPr>
              <w:fldChar w:fldCharType="separate"/>
            </w:r>
            <w:r w:rsidR="004F57FA">
              <w:rPr>
                <w:webHidden/>
              </w:rPr>
              <w:t>27</w:t>
            </w:r>
            <w:r>
              <w:rPr>
                <w:webHidden/>
              </w:rPr>
              <w:fldChar w:fldCharType="end"/>
            </w:r>
          </w:hyperlink>
        </w:p>
        <w:p w:rsidR="004F57FA" w:rsidRDefault="00A36EA8">
          <w:pPr>
            <w:pStyle w:val="TOC2"/>
            <w:rPr>
              <w:rFonts w:asciiTheme="minorHAnsi" w:eastAsiaTheme="minorEastAsia" w:hAnsiTheme="minorHAnsi" w:cstheme="minorBidi"/>
              <w:sz w:val="22"/>
              <w:szCs w:val="22"/>
            </w:rPr>
          </w:pPr>
          <w:hyperlink w:anchor="_Toc325370151" w:history="1">
            <w:r w:rsidR="004F57FA" w:rsidRPr="00455C5B">
              <w:rPr>
                <w:rStyle w:val="Hyperlink"/>
              </w:rPr>
              <w:t>4.5</w:t>
            </w:r>
            <w:r w:rsidR="004F57FA">
              <w:rPr>
                <w:rFonts w:asciiTheme="minorHAnsi" w:eastAsiaTheme="minorEastAsia" w:hAnsiTheme="minorHAnsi" w:cstheme="minorBidi"/>
                <w:sz w:val="22"/>
                <w:szCs w:val="22"/>
              </w:rPr>
              <w:tab/>
            </w:r>
            <w:r w:rsidR="004F57FA" w:rsidRPr="00455C5B">
              <w:rPr>
                <w:rStyle w:val="Hyperlink"/>
              </w:rPr>
              <w:t>The Distribution of Impacts across Customers</w:t>
            </w:r>
            <w:r w:rsidR="004F57FA">
              <w:rPr>
                <w:webHidden/>
              </w:rPr>
              <w:tab/>
            </w:r>
            <w:r>
              <w:rPr>
                <w:webHidden/>
              </w:rPr>
              <w:fldChar w:fldCharType="begin"/>
            </w:r>
            <w:r w:rsidR="004F57FA">
              <w:rPr>
                <w:webHidden/>
              </w:rPr>
              <w:instrText xml:space="preserve"> PAGEREF _Toc325370151 \h </w:instrText>
            </w:r>
            <w:r>
              <w:rPr>
                <w:webHidden/>
              </w:rPr>
            </w:r>
            <w:r>
              <w:rPr>
                <w:webHidden/>
              </w:rPr>
              <w:fldChar w:fldCharType="separate"/>
            </w:r>
            <w:r w:rsidR="004F57FA">
              <w:rPr>
                <w:webHidden/>
              </w:rPr>
              <w:t>28</w:t>
            </w:r>
            <w:r>
              <w:rPr>
                <w:webHidden/>
              </w:rPr>
              <w:fldChar w:fldCharType="end"/>
            </w:r>
          </w:hyperlink>
        </w:p>
        <w:p w:rsidR="004F57FA" w:rsidRDefault="00A36EA8">
          <w:pPr>
            <w:pStyle w:val="TOC1"/>
            <w:rPr>
              <w:rFonts w:asciiTheme="minorHAnsi" w:eastAsiaTheme="minorEastAsia" w:hAnsiTheme="minorHAnsi" w:cstheme="minorBidi"/>
              <w:sz w:val="22"/>
              <w:szCs w:val="22"/>
            </w:rPr>
          </w:pPr>
          <w:hyperlink w:anchor="_Toc325370152" w:history="1">
            <w:r w:rsidR="004F57FA" w:rsidRPr="00455C5B">
              <w:rPr>
                <w:rStyle w:val="Hyperlink"/>
              </w:rPr>
              <w:t>5</w:t>
            </w:r>
            <w:r w:rsidR="004F57FA">
              <w:rPr>
                <w:rFonts w:asciiTheme="minorHAnsi" w:eastAsiaTheme="minorEastAsia" w:hAnsiTheme="minorHAnsi" w:cstheme="minorBidi"/>
                <w:sz w:val="22"/>
                <w:szCs w:val="22"/>
              </w:rPr>
              <w:tab/>
            </w:r>
            <w:r w:rsidR="004F57FA" w:rsidRPr="00455C5B">
              <w:rPr>
                <w:rStyle w:val="Hyperlink"/>
              </w:rPr>
              <w:t>Ex Ante Load Impact Estimates</w:t>
            </w:r>
            <w:r w:rsidR="004F57FA">
              <w:rPr>
                <w:webHidden/>
              </w:rPr>
              <w:tab/>
            </w:r>
            <w:r>
              <w:rPr>
                <w:webHidden/>
              </w:rPr>
              <w:fldChar w:fldCharType="begin"/>
            </w:r>
            <w:r w:rsidR="004F57FA">
              <w:rPr>
                <w:webHidden/>
              </w:rPr>
              <w:instrText xml:space="preserve"> PAGEREF _Toc325370152 \h </w:instrText>
            </w:r>
            <w:r>
              <w:rPr>
                <w:webHidden/>
              </w:rPr>
            </w:r>
            <w:r>
              <w:rPr>
                <w:webHidden/>
              </w:rPr>
              <w:fldChar w:fldCharType="separate"/>
            </w:r>
            <w:r w:rsidR="004F57FA">
              <w:rPr>
                <w:webHidden/>
              </w:rPr>
              <w:t>30</w:t>
            </w:r>
            <w:r>
              <w:rPr>
                <w:webHidden/>
              </w:rPr>
              <w:fldChar w:fldCharType="end"/>
            </w:r>
          </w:hyperlink>
        </w:p>
        <w:p w:rsidR="004F57FA" w:rsidRDefault="00A36EA8">
          <w:pPr>
            <w:pStyle w:val="TOC1"/>
            <w:tabs>
              <w:tab w:val="left" w:pos="1540"/>
            </w:tabs>
            <w:rPr>
              <w:rFonts w:asciiTheme="minorHAnsi" w:eastAsiaTheme="minorEastAsia" w:hAnsiTheme="minorHAnsi" w:cstheme="minorBidi"/>
              <w:sz w:val="22"/>
              <w:szCs w:val="22"/>
            </w:rPr>
          </w:pPr>
          <w:hyperlink w:anchor="_Toc325370153" w:history="1">
            <w:r w:rsidR="004F57FA" w:rsidRPr="00455C5B">
              <w:rPr>
                <w:rStyle w:val="Hyperlink"/>
                <w:snapToGrid w:val="0"/>
                <w:w w:val="0"/>
              </w:rPr>
              <w:t>Appendix A.</w:t>
            </w:r>
            <w:r w:rsidR="004F57FA">
              <w:rPr>
                <w:rFonts w:asciiTheme="minorHAnsi" w:eastAsiaTheme="minorEastAsia" w:hAnsiTheme="minorHAnsi" w:cstheme="minorBidi"/>
                <w:sz w:val="22"/>
                <w:szCs w:val="22"/>
              </w:rPr>
              <w:tab/>
            </w:r>
            <w:r w:rsidR="004F57FA" w:rsidRPr="00455C5B">
              <w:rPr>
                <w:rStyle w:val="Hyperlink"/>
              </w:rPr>
              <w:t>Discussion of Modeling Choices</w:t>
            </w:r>
            <w:r w:rsidR="004F57FA">
              <w:rPr>
                <w:webHidden/>
              </w:rPr>
              <w:tab/>
            </w:r>
            <w:r>
              <w:rPr>
                <w:webHidden/>
              </w:rPr>
              <w:fldChar w:fldCharType="begin"/>
            </w:r>
            <w:r w:rsidR="004F57FA">
              <w:rPr>
                <w:webHidden/>
              </w:rPr>
              <w:instrText xml:space="preserve"> PAGEREF _Toc325370153 \h </w:instrText>
            </w:r>
            <w:r>
              <w:rPr>
                <w:webHidden/>
              </w:rPr>
            </w:r>
            <w:r>
              <w:rPr>
                <w:webHidden/>
              </w:rPr>
              <w:fldChar w:fldCharType="separate"/>
            </w:r>
            <w:r w:rsidR="004F57FA">
              <w:rPr>
                <w:webHidden/>
              </w:rPr>
              <w:t>35</w:t>
            </w:r>
            <w:r>
              <w:rPr>
                <w:webHidden/>
              </w:rPr>
              <w:fldChar w:fldCharType="end"/>
            </w:r>
          </w:hyperlink>
        </w:p>
        <w:p w:rsidR="004F57FA" w:rsidRDefault="00A36EA8">
          <w:pPr>
            <w:pStyle w:val="TOC3"/>
            <w:rPr>
              <w:rFonts w:asciiTheme="minorHAnsi" w:hAnsiTheme="minorHAnsi" w:cstheme="minorBidi"/>
              <w:sz w:val="22"/>
              <w:szCs w:val="22"/>
            </w:rPr>
          </w:pPr>
          <w:hyperlink w:anchor="_Toc325370154" w:history="1">
            <w:r w:rsidR="004F57FA" w:rsidRPr="00455C5B">
              <w:rPr>
                <w:rStyle w:val="Hyperlink"/>
                <w:rFonts w:ascii="Arial" w:hAnsi="Arial"/>
                <w:snapToGrid w:val="0"/>
                <w:w w:val="0"/>
              </w:rPr>
              <w:t>A.1.</w:t>
            </w:r>
            <w:r w:rsidR="004F57FA">
              <w:rPr>
                <w:rFonts w:asciiTheme="minorHAnsi" w:hAnsiTheme="minorHAnsi" w:cstheme="minorBidi"/>
                <w:sz w:val="22"/>
                <w:szCs w:val="22"/>
              </w:rPr>
              <w:tab/>
            </w:r>
            <w:r w:rsidR="004F57FA" w:rsidRPr="00455C5B">
              <w:rPr>
                <w:rStyle w:val="Hyperlink"/>
              </w:rPr>
              <w:t>Day Matching</w:t>
            </w:r>
            <w:r w:rsidR="004F57FA">
              <w:rPr>
                <w:webHidden/>
              </w:rPr>
              <w:tab/>
            </w:r>
            <w:r>
              <w:rPr>
                <w:webHidden/>
              </w:rPr>
              <w:fldChar w:fldCharType="begin"/>
            </w:r>
            <w:r w:rsidR="004F57FA">
              <w:rPr>
                <w:webHidden/>
              </w:rPr>
              <w:instrText xml:space="preserve"> PAGEREF _Toc325370154 \h </w:instrText>
            </w:r>
            <w:r>
              <w:rPr>
                <w:webHidden/>
              </w:rPr>
            </w:r>
            <w:r>
              <w:rPr>
                <w:webHidden/>
              </w:rPr>
              <w:fldChar w:fldCharType="separate"/>
            </w:r>
            <w:r w:rsidR="004F57FA">
              <w:rPr>
                <w:webHidden/>
              </w:rPr>
              <w:t>37</w:t>
            </w:r>
            <w:r>
              <w:rPr>
                <w:webHidden/>
              </w:rPr>
              <w:fldChar w:fldCharType="end"/>
            </w:r>
          </w:hyperlink>
        </w:p>
        <w:p w:rsidR="004F57FA" w:rsidRDefault="00A36EA8">
          <w:pPr>
            <w:pStyle w:val="TOC3"/>
            <w:rPr>
              <w:rFonts w:asciiTheme="minorHAnsi" w:hAnsiTheme="minorHAnsi" w:cstheme="minorBidi"/>
              <w:sz w:val="22"/>
              <w:szCs w:val="22"/>
            </w:rPr>
          </w:pPr>
          <w:hyperlink w:anchor="_Toc325370155" w:history="1">
            <w:r w:rsidR="004F57FA" w:rsidRPr="00455C5B">
              <w:rPr>
                <w:rStyle w:val="Hyperlink"/>
                <w:rFonts w:ascii="Arial" w:hAnsi="Arial"/>
                <w:snapToGrid w:val="0"/>
                <w:w w:val="0"/>
              </w:rPr>
              <w:t>A.2.</w:t>
            </w:r>
            <w:r w:rsidR="004F57FA">
              <w:rPr>
                <w:rFonts w:asciiTheme="minorHAnsi" w:hAnsiTheme="minorHAnsi" w:cstheme="minorBidi"/>
                <w:sz w:val="22"/>
                <w:szCs w:val="22"/>
              </w:rPr>
              <w:tab/>
            </w:r>
            <w:r w:rsidR="004F57FA" w:rsidRPr="00455C5B">
              <w:rPr>
                <w:rStyle w:val="Hyperlink"/>
              </w:rPr>
              <w:t>Results Comparison</w:t>
            </w:r>
            <w:r w:rsidR="004F57FA">
              <w:rPr>
                <w:webHidden/>
              </w:rPr>
              <w:tab/>
            </w:r>
            <w:r>
              <w:rPr>
                <w:webHidden/>
              </w:rPr>
              <w:fldChar w:fldCharType="begin"/>
            </w:r>
            <w:r w:rsidR="004F57FA">
              <w:rPr>
                <w:webHidden/>
              </w:rPr>
              <w:instrText xml:space="preserve"> PAGEREF _Toc325370155 \h </w:instrText>
            </w:r>
            <w:r>
              <w:rPr>
                <w:webHidden/>
              </w:rPr>
            </w:r>
            <w:r>
              <w:rPr>
                <w:webHidden/>
              </w:rPr>
              <w:fldChar w:fldCharType="separate"/>
            </w:r>
            <w:r w:rsidR="004F57FA">
              <w:rPr>
                <w:webHidden/>
              </w:rPr>
              <w:t>41</w:t>
            </w:r>
            <w:r>
              <w:rPr>
                <w:webHidden/>
              </w:rPr>
              <w:fldChar w:fldCharType="end"/>
            </w:r>
          </w:hyperlink>
        </w:p>
        <w:p w:rsidR="004F57FA" w:rsidRDefault="00A36EA8">
          <w:pPr>
            <w:pStyle w:val="TOC1"/>
            <w:tabs>
              <w:tab w:val="left" w:pos="1540"/>
            </w:tabs>
            <w:rPr>
              <w:rFonts w:asciiTheme="minorHAnsi" w:eastAsiaTheme="minorEastAsia" w:hAnsiTheme="minorHAnsi" w:cstheme="minorBidi"/>
              <w:sz w:val="22"/>
              <w:szCs w:val="22"/>
            </w:rPr>
          </w:pPr>
          <w:hyperlink w:anchor="_Toc325370156" w:history="1">
            <w:r w:rsidR="004F57FA" w:rsidRPr="00455C5B">
              <w:rPr>
                <w:rStyle w:val="Hyperlink"/>
                <w:snapToGrid w:val="0"/>
                <w:w w:val="0"/>
              </w:rPr>
              <w:t>Appendix B.</w:t>
            </w:r>
            <w:r w:rsidR="004F57FA">
              <w:rPr>
                <w:rFonts w:asciiTheme="minorHAnsi" w:eastAsiaTheme="minorEastAsia" w:hAnsiTheme="minorHAnsi" w:cstheme="minorBidi"/>
                <w:sz w:val="22"/>
                <w:szCs w:val="22"/>
              </w:rPr>
              <w:tab/>
            </w:r>
            <w:r w:rsidR="004F57FA" w:rsidRPr="00455C5B">
              <w:rPr>
                <w:rStyle w:val="Hyperlink"/>
              </w:rPr>
              <w:t>Day-matching Load Shapes</w:t>
            </w:r>
            <w:r w:rsidR="004F57FA">
              <w:rPr>
                <w:webHidden/>
              </w:rPr>
              <w:tab/>
            </w:r>
            <w:r>
              <w:rPr>
                <w:webHidden/>
              </w:rPr>
              <w:fldChar w:fldCharType="begin"/>
            </w:r>
            <w:r w:rsidR="004F57FA">
              <w:rPr>
                <w:webHidden/>
              </w:rPr>
              <w:instrText xml:space="preserve"> PAGEREF _Toc325370156 \h </w:instrText>
            </w:r>
            <w:r>
              <w:rPr>
                <w:webHidden/>
              </w:rPr>
            </w:r>
            <w:r>
              <w:rPr>
                <w:webHidden/>
              </w:rPr>
              <w:fldChar w:fldCharType="separate"/>
            </w:r>
            <w:r w:rsidR="004F57FA">
              <w:rPr>
                <w:webHidden/>
              </w:rPr>
              <w:t>43</w:t>
            </w:r>
            <w:r>
              <w:rPr>
                <w:webHidden/>
              </w:rPr>
              <w:fldChar w:fldCharType="end"/>
            </w:r>
          </w:hyperlink>
        </w:p>
        <w:p w:rsidR="004F57FA" w:rsidRDefault="00A36EA8">
          <w:pPr>
            <w:pStyle w:val="TOC3"/>
            <w:rPr>
              <w:rFonts w:asciiTheme="minorHAnsi" w:hAnsiTheme="minorHAnsi" w:cstheme="minorBidi"/>
              <w:sz w:val="22"/>
              <w:szCs w:val="22"/>
            </w:rPr>
          </w:pPr>
          <w:hyperlink w:anchor="_Toc325370157" w:history="1">
            <w:r w:rsidR="004F57FA" w:rsidRPr="00455C5B">
              <w:rPr>
                <w:rStyle w:val="Hyperlink"/>
                <w:rFonts w:ascii="Arial" w:hAnsi="Arial"/>
                <w:snapToGrid w:val="0"/>
                <w:w w:val="0"/>
              </w:rPr>
              <w:t>B.1.</w:t>
            </w:r>
            <w:r w:rsidR="004F57FA">
              <w:rPr>
                <w:rFonts w:asciiTheme="minorHAnsi" w:hAnsiTheme="minorHAnsi" w:cstheme="minorBidi"/>
                <w:sz w:val="22"/>
                <w:szCs w:val="22"/>
              </w:rPr>
              <w:tab/>
            </w:r>
            <w:r w:rsidR="004F57FA" w:rsidRPr="00455C5B">
              <w:rPr>
                <w:rStyle w:val="Hyperlink"/>
              </w:rPr>
              <w:t>Residential Day-Matching Figures (Event Window Shaded)</w:t>
            </w:r>
            <w:r w:rsidR="004F57FA">
              <w:rPr>
                <w:webHidden/>
              </w:rPr>
              <w:tab/>
            </w:r>
            <w:r>
              <w:rPr>
                <w:webHidden/>
              </w:rPr>
              <w:fldChar w:fldCharType="begin"/>
            </w:r>
            <w:r w:rsidR="004F57FA">
              <w:rPr>
                <w:webHidden/>
              </w:rPr>
              <w:instrText xml:space="preserve"> PAGEREF _Toc325370157 \h </w:instrText>
            </w:r>
            <w:r>
              <w:rPr>
                <w:webHidden/>
              </w:rPr>
            </w:r>
            <w:r>
              <w:rPr>
                <w:webHidden/>
              </w:rPr>
              <w:fldChar w:fldCharType="separate"/>
            </w:r>
            <w:r w:rsidR="004F57FA">
              <w:rPr>
                <w:webHidden/>
              </w:rPr>
              <w:t>44</w:t>
            </w:r>
            <w:r>
              <w:rPr>
                <w:webHidden/>
              </w:rPr>
              <w:fldChar w:fldCharType="end"/>
            </w:r>
          </w:hyperlink>
        </w:p>
        <w:p w:rsidR="004F57FA" w:rsidRDefault="00A36EA8">
          <w:pPr>
            <w:pStyle w:val="TOC3"/>
            <w:rPr>
              <w:rFonts w:asciiTheme="minorHAnsi" w:hAnsiTheme="minorHAnsi" w:cstheme="minorBidi"/>
              <w:sz w:val="22"/>
              <w:szCs w:val="22"/>
            </w:rPr>
          </w:pPr>
          <w:hyperlink w:anchor="_Toc325370158" w:history="1">
            <w:r w:rsidR="004F57FA" w:rsidRPr="00455C5B">
              <w:rPr>
                <w:rStyle w:val="Hyperlink"/>
                <w:rFonts w:ascii="Arial" w:hAnsi="Arial"/>
                <w:snapToGrid w:val="0"/>
                <w:w w:val="0"/>
              </w:rPr>
              <w:t>B.2.</w:t>
            </w:r>
            <w:r w:rsidR="004F57FA">
              <w:rPr>
                <w:rFonts w:asciiTheme="minorHAnsi" w:hAnsiTheme="minorHAnsi" w:cstheme="minorBidi"/>
                <w:sz w:val="22"/>
                <w:szCs w:val="22"/>
              </w:rPr>
              <w:tab/>
            </w:r>
            <w:r w:rsidR="004F57FA" w:rsidRPr="00455C5B">
              <w:rPr>
                <w:rStyle w:val="Hyperlink"/>
              </w:rPr>
              <w:t>Commercial Day-Matching Figures (Event Window Shaded)</w:t>
            </w:r>
            <w:r w:rsidR="004F57FA">
              <w:rPr>
                <w:webHidden/>
              </w:rPr>
              <w:tab/>
            </w:r>
            <w:r>
              <w:rPr>
                <w:webHidden/>
              </w:rPr>
              <w:fldChar w:fldCharType="begin"/>
            </w:r>
            <w:r w:rsidR="004F57FA">
              <w:rPr>
                <w:webHidden/>
              </w:rPr>
              <w:instrText xml:space="preserve"> PAGEREF _Toc325370158 \h </w:instrText>
            </w:r>
            <w:r>
              <w:rPr>
                <w:webHidden/>
              </w:rPr>
            </w:r>
            <w:r>
              <w:rPr>
                <w:webHidden/>
              </w:rPr>
              <w:fldChar w:fldCharType="separate"/>
            </w:r>
            <w:r w:rsidR="004F57FA">
              <w:rPr>
                <w:webHidden/>
              </w:rPr>
              <w:t>49</w:t>
            </w:r>
            <w:r>
              <w:rPr>
                <w:webHidden/>
              </w:rPr>
              <w:fldChar w:fldCharType="end"/>
            </w:r>
          </w:hyperlink>
        </w:p>
        <w:p w:rsidR="004F57FA" w:rsidRDefault="00A36EA8">
          <w:pPr>
            <w:pStyle w:val="TOC1"/>
            <w:tabs>
              <w:tab w:val="left" w:pos="1540"/>
            </w:tabs>
            <w:rPr>
              <w:rFonts w:asciiTheme="minorHAnsi" w:eastAsiaTheme="minorEastAsia" w:hAnsiTheme="minorHAnsi" w:cstheme="minorBidi"/>
              <w:sz w:val="22"/>
              <w:szCs w:val="22"/>
            </w:rPr>
          </w:pPr>
          <w:hyperlink w:anchor="_Toc325370159" w:history="1">
            <w:r w:rsidR="004F57FA" w:rsidRPr="00455C5B">
              <w:rPr>
                <w:rStyle w:val="Hyperlink"/>
                <w:snapToGrid w:val="0"/>
                <w:w w:val="0"/>
              </w:rPr>
              <w:t>Appendix C.</w:t>
            </w:r>
            <w:r w:rsidR="004F57FA">
              <w:rPr>
                <w:rFonts w:asciiTheme="minorHAnsi" w:eastAsiaTheme="minorEastAsia" w:hAnsiTheme="minorHAnsi" w:cstheme="minorBidi"/>
                <w:sz w:val="22"/>
                <w:szCs w:val="22"/>
              </w:rPr>
              <w:tab/>
            </w:r>
            <w:r w:rsidR="004F57FA" w:rsidRPr="00455C5B">
              <w:rPr>
                <w:rStyle w:val="Hyperlink"/>
              </w:rPr>
              <w:t>Revised 2010 Ex Post Values</w:t>
            </w:r>
            <w:r w:rsidR="004F57FA">
              <w:rPr>
                <w:webHidden/>
              </w:rPr>
              <w:tab/>
            </w:r>
            <w:r>
              <w:rPr>
                <w:webHidden/>
              </w:rPr>
              <w:fldChar w:fldCharType="begin"/>
            </w:r>
            <w:r w:rsidR="004F57FA">
              <w:rPr>
                <w:webHidden/>
              </w:rPr>
              <w:instrText xml:space="preserve"> PAGEREF _Toc325370159 \h </w:instrText>
            </w:r>
            <w:r>
              <w:rPr>
                <w:webHidden/>
              </w:rPr>
            </w:r>
            <w:r>
              <w:rPr>
                <w:webHidden/>
              </w:rPr>
              <w:fldChar w:fldCharType="separate"/>
            </w:r>
            <w:r w:rsidR="004F57FA">
              <w:rPr>
                <w:webHidden/>
              </w:rPr>
              <w:t>56</w:t>
            </w:r>
            <w:r>
              <w:rPr>
                <w:webHidden/>
              </w:rPr>
              <w:fldChar w:fldCharType="end"/>
            </w:r>
          </w:hyperlink>
        </w:p>
        <w:p w:rsidR="00914E05" w:rsidRPr="008526DC" w:rsidRDefault="00A36EA8">
          <w:r>
            <w:rPr>
              <w:rFonts w:ascii="Arial" w:hAnsi="Arial" w:cs="Arial"/>
              <w:noProof/>
              <w:sz w:val="24"/>
              <w:szCs w:val="24"/>
            </w:rPr>
            <w:fldChar w:fldCharType="end"/>
          </w:r>
        </w:p>
      </w:sdtContent>
    </w:sdt>
    <w:p w:rsidR="00A57221" w:rsidRDefault="00914E05" w:rsidP="00914E05">
      <w:pPr>
        <w:pStyle w:val="Heading1"/>
      </w:pPr>
      <w:r>
        <w:lastRenderedPageBreak/>
        <w:t xml:space="preserve"> </w:t>
      </w:r>
      <w:bookmarkStart w:id="0" w:name="_Toc325370133"/>
      <w:r w:rsidR="00A57221">
        <w:t>Executive Summary</w:t>
      </w:r>
      <w:bookmarkEnd w:id="0"/>
    </w:p>
    <w:p w:rsidR="002354B7" w:rsidRDefault="002354B7" w:rsidP="002354B7">
      <w:pPr>
        <w:pStyle w:val="BodyParagraph"/>
      </w:pPr>
      <w:r>
        <w:t xml:space="preserve">San Diego Gas and Electric Company’s (SDG&amp;E) Summer Saver program is a demand response resource based on central air conditioner (CAC) load control.  It is implemented through an agreement between SDG&amp;E and Comverge Inc, and is currently scheduled to continue through </w:t>
      </w:r>
      <w:r w:rsidRPr="002F02E6">
        <w:t>2016</w:t>
      </w:r>
      <w:r>
        <w:t>.  This report provides ex post load impact estimates for the Summer Saver program for 2011 and ex ante load impact forecasts for 2012 through 2022.</w:t>
      </w:r>
    </w:p>
    <w:p w:rsidR="002354B7" w:rsidRDefault="002354B7" w:rsidP="002354B7">
      <w:pPr>
        <w:pStyle w:val="BodyParagraph"/>
      </w:pPr>
      <w:r>
        <w:t xml:space="preserve">The Summer Saver program is available to residential customers and commercial facilities with average monthly peak demand up to a maximum of 100 kW over a 12-month period.  The Summer Saver season runs from May 1 through October 31 and does not notify participating customers of an event.  A Summer Saver event may be triggered if warranted by temperature and system load conditions.  </w:t>
      </w:r>
    </w:p>
    <w:p w:rsidR="002354B7" w:rsidRDefault="002354B7" w:rsidP="002354B7">
      <w:pPr>
        <w:pStyle w:val="BodyParagraph"/>
      </w:pPr>
      <w:r>
        <w:t xml:space="preserve">There are four enrollment options each for both residential and commercial customers.  Residential customers can </w:t>
      </w:r>
      <w:r w:rsidRPr="002F02E6">
        <w:t>choose</w:t>
      </w:r>
      <w:r>
        <w:t xml:space="preserve"> to be cycled 50% or 100% of the time, and can have cycling occur only on weekdays or on weekends as well.  Commercial customers have an option of choosing 30% or 50% cycling, on weekdays only or for seven days a week.  The incentive paid for each option varies and is based on the number of CAC tons being controlled at each site.  </w:t>
      </w:r>
    </w:p>
    <w:p w:rsidR="002354B7" w:rsidRDefault="002354B7" w:rsidP="002354B7">
      <w:pPr>
        <w:pStyle w:val="BodyParagraph"/>
      </w:pPr>
      <w:r>
        <w:t>As of the end of 2011 there were 29,591 premises enrolled in the program, which in aggregate have 152,137 tons of CAC capacity.  About 83% of participants were residential customers, who account for 68% of the total tons of cooling that are subject to control under the program.  Roughly 53% of residential participants are on the 100% cycling option.  Approximately 63% of commercial customers selected the 50% cycling option over the 30% option.  Summer Saver enrollment is expected to stay roughly the same for the foreseeable future.</w:t>
      </w:r>
    </w:p>
    <w:p w:rsidR="002354B7" w:rsidRDefault="002354B7" w:rsidP="002354B7">
      <w:pPr>
        <w:pStyle w:val="BodyParagraph"/>
      </w:pPr>
      <w:r>
        <w:t>In 2011 the program provided an average of about 18 MW of demand response over six events.  Commercial customers provided an average of 3.7 MW, and residential customers provided about 14 MW.  Due to weather and seasonal conditions, events in 2011 did not provide nearly the amount of demand response which could be expected under more severe heat.  Under 1-in-10 September weather conditions (the hottest conditions currently modeled), it is expected that the program could provide up to 30 MW of demand response on average over a 1-6 PM event.</w:t>
      </w:r>
    </w:p>
    <w:p w:rsidR="002354B7" w:rsidRDefault="002354B7" w:rsidP="002354B7">
      <w:pPr>
        <w:pStyle w:val="BodyParagraph"/>
      </w:pPr>
      <w:r>
        <w:t>This is the first Summer Saver evaluation that has been performed using smart meter interval data exclusively.  The prevalence of smart meters in the Summer Saver population allows for results to be more representative of the entire Summer Saver population because load data is available for a much greater number of customers.  Using smart meter data also reduces the cost of evaluation because they do not require the expensive installation of CAC load loggers.  In the future, the implementation of a treatment-control design in conjunction with the use of smart meter data could provide for a highly streamlined evaluation process in which ex post impact estimates are available as soon as the smart meter data becomes available and ex ante estimates become available soon after the end of the summer.</w:t>
      </w:r>
    </w:p>
    <w:p w:rsidR="002354B7" w:rsidRDefault="002354B7" w:rsidP="002354B7">
      <w:pPr>
        <w:pStyle w:val="BodyParagraph"/>
      </w:pPr>
      <w:r>
        <w:t xml:space="preserve">For the future, it is recommended that more data be gathered on the different impacts provided by customers on different cycling strategies.  This could best be accomplished using an experimental protocol. The current data suggests that the different cycling options within each customer segment </w:t>
      </w:r>
      <w:r>
        <w:lastRenderedPageBreak/>
        <w:t>do not provide significantly greater load impacts despite customers on each option having similar overall CAC capacity.   If true, this would mean that the annual bill credits paid to participants either over pay for customers on the more severe cycling options or under pay those on the less severe options.</w:t>
      </w:r>
    </w:p>
    <w:p w:rsidR="008526DC" w:rsidRDefault="008526DC">
      <w:pPr>
        <w:rPr>
          <w:rFonts w:ascii="Arial Bold" w:eastAsia="Times New Roman" w:hAnsi="Arial Bold"/>
          <w:b/>
          <w:color w:val="433B67"/>
          <w:sz w:val="28"/>
          <w:szCs w:val="28"/>
        </w:rPr>
      </w:pPr>
      <w:r>
        <w:br w:type="page"/>
      </w:r>
    </w:p>
    <w:p w:rsidR="00A57221" w:rsidRDefault="00A57221" w:rsidP="00A57221">
      <w:pPr>
        <w:pStyle w:val="Heading1"/>
      </w:pPr>
      <w:bookmarkStart w:id="1" w:name="_Toc325370134"/>
      <w:r>
        <w:lastRenderedPageBreak/>
        <w:t>Introduction and Program Summary</w:t>
      </w:r>
      <w:bookmarkEnd w:id="1"/>
    </w:p>
    <w:p w:rsidR="00A57221" w:rsidRDefault="00A57221" w:rsidP="00A57221">
      <w:pPr>
        <w:pStyle w:val="BodyParagraph"/>
      </w:pPr>
      <w:r w:rsidRPr="009E5F87">
        <w:t xml:space="preserve">SDG&amp;E’s Summer Saver program is a demand response resource based on </w:t>
      </w:r>
      <w:r w:rsidR="0030278A">
        <w:t>C</w:t>
      </w:r>
      <w:r>
        <w:t>AC</w:t>
      </w:r>
      <w:r w:rsidRPr="009E5F87">
        <w:t xml:space="preserve"> load control.  It is implemented through an agreement between SDG&amp;E and </w:t>
      </w:r>
      <w:r w:rsidR="00633DD2">
        <w:t>Alternative Energy Resources (AER), a subsidiary o</w:t>
      </w:r>
      <w:r w:rsidR="008526DC">
        <w:t>f</w:t>
      </w:r>
      <w:r w:rsidR="00633DD2">
        <w:t xml:space="preserve"> Comverge</w:t>
      </w:r>
      <w:r w:rsidR="00DD6C96">
        <w:t xml:space="preserve"> Inc</w:t>
      </w:r>
      <w:r w:rsidR="00633DD2">
        <w:t>,</w:t>
      </w:r>
      <w:r w:rsidR="00633DD2">
        <w:rPr>
          <w:rStyle w:val="FootnoteReference"/>
        </w:rPr>
        <w:footnoteReference w:id="1"/>
      </w:r>
      <w:r w:rsidR="00633DD2">
        <w:t xml:space="preserve"> </w:t>
      </w:r>
      <w:r w:rsidRPr="009E5F87">
        <w:t>and is currently scheduled to continue through 2016.</w:t>
      </w:r>
      <w:r>
        <w:t xml:space="preserve">  This report provides ex post load impact estimates for 2011</w:t>
      </w:r>
      <w:r w:rsidR="008526DC" w:rsidRPr="008526DC">
        <w:t xml:space="preserve"> </w:t>
      </w:r>
      <w:r w:rsidR="008526DC">
        <w:t>and ex ante load impact forecasts for 2012 through 2022.</w:t>
      </w:r>
    </w:p>
    <w:p w:rsidR="00A57221" w:rsidRDefault="00A57221" w:rsidP="00A57221">
      <w:pPr>
        <w:pStyle w:val="Heading2"/>
      </w:pPr>
      <w:bookmarkStart w:id="2" w:name="_Toc325370135"/>
      <w:r>
        <w:t>Program Overview</w:t>
      </w:r>
      <w:bookmarkEnd w:id="2"/>
    </w:p>
    <w:p w:rsidR="00A57221" w:rsidRDefault="00A57221" w:rsidP="00A57221">
      <w:pPr>
        <w:pStyle w:val="BodyParagraph"/>
      </w:pPr>
      <w:r w:rsidRPr="009E5F87">
        <w:t xml:space="preserve">The </w:t>
      </w:r>
      <w:r w:rsidRPr="002F02E6">
        <w:t>Summer</w:t>
      </w:r>
      <w:r w:rsidRPr="009E5F87">
        <w:t xml:space="preserve"> Saver program is available to residential customers and commercial facilities </w:t>
      </w:r>
      <w:r>
        <w:t xml:space="preserve">with </w:t>
      </w:r>
      <w:r w:rsidR="007F1D30">
        <w:t>average monthly peak demand up to a maximum of 100 kW over a 12-month period</w:t>
      </w:r>
      <w:r w:rsidRPr="009E5F87">
        <w:t xml:space="preserve">.  For </w:t>
      </w:r>
      <w:r w:rsidR="00F95E0D">
        <w:t xml:space="preserve">both residential and commercial </w:t>
      </w:r>
      <w:r w:rsidRPr="009E5F87">
        <w:t>customers enrolled in the program, events may be called</w:t>
      </w:r>
      <w:r w:rsidR="009331D8">
        <w:t xml:space="preserve"> </w:t>
      </w:r>
      <w:r w:rsidRPr="009E5F87">
        <w:t xml:space="preserve">between May 1 and October 31.  </w:t>
      </w:r>
      <w:r w:rsidR="007F1D30">
        <w:t xml:space="preserve">Customers can elect to be eligible for events on weekdays only or on weekdays and weekends.  </w:t>
      </w:r>
      <w:r w:rsidRPr="009E5F87">
        <w:t xml:space="preserve">Events must be between </w:t>
      </w:r>
      <w:r>
        <w:t>2</w:t>
      </w:r>
      <w:r w:rsidRPr="009E5F87">
        <w:t xml:space="preserve">-hours and </w:t>
      </w:r>
      <w:r>
        <w:t>4-</w:t>
      </w:r>
      <w:r w:rsidRPr="009E5F87">
        <w:t xml:space="preserve">hours in duration and cannot be called for more than 40 hours per month or 120 hours per year.  </w:t>
      </w:r>
      <w:r>
        <w:t>E</w:t>
      </w:r>
      <w:r w:rsidRPr="009E5F87">
        <w:t xml:space="preserve">vent days cannot include holidays or be called on more than three days in any calendar week.  </w:t>
      </w:r>
    </w:p>
    <w:p w:rsidR="00A57221" w:rsidRDefault="00A57221" w:rsidP="00A57221">
      <w:pPr>
        <w:pStyle w:val="BodyParagraph"/>
      </w:pPr>
      <w:r w:rsidRPr="009E5F87">
        <w:t>Su</w:t>
      </w:r>
      <w:r>
        <w:t>mmer Saver is classified as a “d</w:t>
      </w:r>
      <w:r w:rsidRPr="009E5F87">
        <w:t>a</w:t>
      </w:r>
      <w:r>
        <w:t>y-o</w:t>
      </w:r>
      <w:r w:rsidRPr="009E5F87">
        <w:t xml:space="preserve">f” demand response program and does not notify participating customers when an event is being called.  SDG&amp;E may call an event whenever the </w:t>
      </w:r>
      <w:r w:rsidR="002B2110">
        <w:t>utility</w:t>
      </w:r>
      <w:r w:rsidRPr="009E5F87">
        <w:t>’s electric system supply portfolio reaches resource dispatch equivalence of 15,000 Btu/kWh heat rate, or as utility system conditions warrant.  A Summer Saver event may also be triggered as warranted by extreme system conditions</w:t>
      </w:r>
      <w:r w:rsidR="00F95E0D">
        <w:t>,</w:t>
      </w:r>
      <w:r w:rsidRPr="009E5F87">
        <w:t xml:space="preserve"> such as</w:t>
      </w:r>
      <w:r w:rsidR="00F95E0D">
        <w:t>:</w:t>
      </w:r>
      <w:r w:rsidRPr="009E5F87">
        <w:t xml:space="preserve"> special alerts issued by the California Independent System Operator</w:t>
      </w:r>
      <w:r w:rsidR="00F95E0D">
        <w:t>;</w:t>
      </w:r>
      <w:r w:rsidRPr="009E5F87">
        <w:t xml:space="preserve"> SDG&amp;E system emergencies related to grid operations</w:t>
      </w:r>
      <w:r w:rsidR="00F95E0D">
        <w:t>;</w:t>
      </w:r>
      <w:r w:rsidRPr="009E5F87">
        <w:t xml:space="preserve"> conditions of high forecasted California spot market prices</w:t>
      </w:r>
      <w:r w:rsidR="00F95E0D">
        <w:t>;</w:t>
      </w:r>
      <w:r w:rsidRPr="009E5F87">
        <w:t xml:space="preserve"> or for testing</w:t>
      </w:r>
      <w:r w:rsidR="002B2110">
        <w:t xml:space="preserve"> or </w:t>
      </w:r>
      <w:r w:rsidRPr="009E5F87">
        <w:t xml:space="preserve">evaluation purposes.  </w:t>
      </w:r>
    </w:p>
    <w:p w:rsidR="00A57221" w:rsidRDefault="00A57221" w:rsidP="00A57221">
      <w:pPr>
        <w:pStyle w:val="BodyBeforeBullet"/>
      </w:pPr>
      <w:r w:rsidRPr="009E5F87">
        <w:t xml:space="preserve">There are </w:t>
      </w:r>
      <w:r w:rsidR="00F95E0D">
        <w:t>four</w:t>
      </w:r>
      <w:r w:rsidRPr="009E5F87">
        <w:t xml:space="preserve"> enrollment options </w:t>
      </w:r>
      <w:r w:rsidR="00F95E0D">
        <w:t xml:space="preserve">each </w:t>
      </w:r>
      <w:r w:rsidRPr="009E5F87">
        <w:t xml:space="preserve">for residential and commercial customers.  Residential customers can choose to be cycled 50% or 100% of the time </w:t>
      </w:r>
      <w:r w:rsidR="00270B6D">
        <w:t xml:space="preserve">during an event </w:t>
      </w:r>
      <w:r w:rsidRPr="009E5F87">
        <w:t>and can have cycling occur only on weekdays or on both weekdays and weekends.  The incent</w:t>
      </w:r>
      <w:r w:rsidR="00F95E0D">
        <w:t>ive paid for each option varies; t</w:t>
      </w:r>
      <w:r w:rsidRPr="009E5F87">
        <w:t xml:space="preserve">he 50% cycling option pays $11.50/ton of </w:t>
      </w:r>
      <w:r w:rsidR="00147EF8">
        <w:t>CAC</w:t>
      </w:r>
      <w:r w:rsidRPr="009E5F87">
        <w:t xml:space="preserve"> capacity and the 100% cycling option pays $46/ton.  The 7-day option pays an extra $10 </w:t>
      </w:r>
      <w:r w:rsidR="001E77A8">
        <w:t>compared to the weekday-only option</w:t>
      </w:r>
      <w:r w:rsidRPr="009E5F87">
        <w:t>.  Thus, a residential customer with a 4</w:t>
      </w:r>
      <w:r>
        <w:t>-</w:t>
      </w:r>
      <w:r w:rsidRPr="009E5F87">
        <w:t xml:space="preserve">ton </w:t>
      </w:r>
      <w:r w:rsidR="00147EF8">
        <w:t>CAC</w:t>
      </w:r>
      <w:r w:rsidR="00F95E0D">
        <w:t xml:space="preserve"> (which is close to the average)</w:t>
      </w:r>
      <w:r w:rsidR="00147EF8" w:rsidRPr="009E5F87">
        <w:t xml:space="preserve"> </w:t>
      </w:r>
      <w:r w:rsidRPr="009E5F87">
        <w:t>would be paid the following under each option:</w:t>
      </w:r>
    </w:p>
    <w:p w:rsidR="00A57221" w:rsidRPr="002F02E6" w:rsidRDefault="00A57221" w:rsidP="00A57221">
      <w:pPr>
        <w:pStyle w:val="Bullets"/>
      </w:pPr>
      <w:r w:rsidRPr="002F02E6">
        <w:t>$46 for the summer for the weekday, 50% cycling option;</w:t>
      </w:r>
    </w:p>
    <w:p w:rsidR="00A57221" w:rsidRPr="002F02E6" w:rsidRDefault="00A57221" w:rsidP="00A57221">
      <w:pPr>
        <w:pStyle w:val="Bullets"/>
      </w:pPr>
      <w:r w:rsidRPr="002F02E6">
        <w:t>$56 for the 7-day, 50% cycling option;</w:t>
      </w:r>
    </w:p>
    <w:p w:rsidR="00A57221" w:rsidRDefault="00A57221" w:rsidP="00A57221">
      <w:pPr>
        <w:pStyle w:val="Bullets"/>
      </w:pPr>
      <w:r w:rsidRPr="002F02E6">
        <w:t>$184 for</w:t>
      </w:r>
      <w:r w:rsidRPr="009E5F87">
        <w:t xml:space="preserve"> the weekday only, 100% cycling option; </w:t>
      </w:r>
      <w:r w:rsidR="00F95E0D">
        <w:t>or</w:t>
      </w:r>
      <w:r w:rsidRPr="009E5F87">
        <w:t xml:space="preserve"> </w:t>
      </w:r>
    </w:p>
    <w:p w:rsidR="00A57221" w:rsidRDefault="00A57221" w:rsidP="00A57221">
      <w:pPr>
        <w:pStyle w:val="BulletLast"/>
      </w:pPr>
      <w:r w:rsidRPr="009E5F87">
        <w:t xml:space="preserve">$194 for the 7-day, 100% cycling option.  </w:t>
      </w:r>
    </w:p>
    <w:p w:rsidR="00A57221" w:rsidRDefault="00A57221" w:rsidP="00A57221">
      <w:pPr>
        <w:pStyle w:val="BodyBeforeBullet"/>
      </w:pPr>
      <w:r w:rsidRPr="009E5F87">
        <w:t>Commercial customers have an option of choosing 30% or 50% cycling, on weekdays only or for seven days a week.  The incentive payment equals $9/ton for the 30% cycling option and $15/ton for the 50% cycling option.  As was true for residential customers, the incremental payment for the 7-day a week option compared with the weekday</w:t>
      </w:r>
      <w:r>
        <w:t>-</w:t>
      </w:r>
      <w:r w:rsidRPr="009E5F87">
        <w:t xml:space="preserve">only option is $10.  The average commercial participant has </w:t>
      </w:r>
      <w:r w:rsidRPr="00FA655B">
        <w:t xml:space="preserve">roughly </w:t>
      </w:r>
      <w:r>
        <w:t>nine</w:t>
      </w:r>
      <w:r w:rsidRPr="00FA655B">
        <w:t xml:space="preserve"> </w:t>
      </w:r>
      <w:r w:rsidR="008B263E">
        <w:t xml:space="preserve">enrolled </w:t>
      </w:r>
      <w:r w:rsidRPr="00FA655B">
        <w:t>tons</w:t>
      </w:r>
      <w:r>
        <w:t xml:space="preserve"> </w:t>
      </w:r>
      <w:r w:rsidRPr="009E5F87">
        <w:t xml:space="preserve">of </w:t>
      </w:r>
      <w:r w:rsidR="00147EF8">
        <w:t>CAC</w:t>
      </w:r>
      <w:r w:rsidRPr="009E5F87">
        <w:t xml:space="preserve"> (although </w:t>
      </w:r>
      <w:r w:rsidR="0030278A">
        <w:t>some</w:t>
      </w:r>
      <w:r w:rsidRPr="009E5F87">
        <w:t xml:space="preserve"> participants have significantly more).  As such, </w:t>
      </w:r>
      <w:r w:rsidRPr="009E5F87">
        <w:lastRenderedPageBreak/>
        <w:t>the incentive payment for the average commercial customer under each enrollment option is as</w:t>
      </w:r>
      <w:r w:rsidR="008B7D4E">
        <w:t> </w:t>
      </w:r>
      <w:r w:rsidRPr="009E5F87">
        <w:t>follows:</w:t>
      </w:r>
    </w:p>
    <w:p w:rsidR="00A57221" w:rsidRPr="002F02E6" w:rsidRDefault="00A57221" w:rsidP="00A57221">
      <w:pPr>
        <w:pStyle w:val="Bullets"/>
      </w:pPr>
      <w:r w:rsidRPr="002F02E6">
        <w:t>$81 for the summer for the weekday, 30% cycling option;</w:t>
      </w:r>
    </w:p>
    <w:p w:rsidR="00A57221" w:rsidRPr="002F02E6" w:rsidRDefault="00A57221" w:rsidP="00A57221">
      <w:pPr>
        <w:pStyle w:val="Bullets"/>
      </w:pPr>
      <w:r w:rsidRPr="002F02E6">
        <w:t>$91 for the 7-day, 30% cycling option;</w:t>
      </w:r>
    </w:p>
    <w:p w:rsidR="00A57221" w:rsidRDefault="00A57221" w:rsidP="00A57221">
      <w:pPr>
        <w:pStyle w:val="Bullets"/>
        <w:keepNext/>
      </w:pPr>
      <w:r w:rsidRPr="002F02E6">
        <w:t>$135 for</w:t>
      </w:r>
      <w:r w:rsidRPr="009E5F87">
        <w:t xml:space="preserve"> the weekday only, 50% cycling option; </w:t>
      </w:r>
      <w:r w:rsidR="00F95E0D">
        <w:t>or</w:t>
      </w:r>
      <w:r w:rsidRPr="009E5F87">
        <w:t xml:space="preserve"> </w:t>
      </w:r>
    </w:p>
    <w:p w:rsidR="00A57221" w:rsidRDefault="00A57221" w:rsidP="00A57221">
      <w:pPr>
        <w:pStyle w:val="BulletLast"/>
      </w:pPr>
      <w:r w:rsidRPr="009E5F87">
        <w:t>$145 for the 7-day, 50% cycling option.</w:t>
      </w:r>
    </w:p>
    <w:p w:rsidR="00A57221" w:rsidRPr="002E7559" w:rsidRDefault="00A57221" w:rsidP="00A57221">
      <w:pPr>
        <w:pStyle w:val="BodyParagraph"/>
        <w:rPr>
          <w:highlight w:val="yellow"/>
        </w:rPr>
      </w:pPr>
      <w:r w:rsidRPr="009E5F87">
        <w:t xml:space="preserve">Enrollment in the Summer Saver program is summarized in Table 2-1.  </w:t>
      </w:r>
      <w:r>
        <w:t>A</w:t>
      </w:r>
      <w:r w:rsidRPr="009E5F87">
        <w:t xml:space="preserve">s of </w:t>
      </w:r>
      <w:r>
        <w:t>November</w:t>
      </w:r>
      <w:r w:rsidRPr="009E5F87">
        <w:t xml:space="preserve"> 201</w:t>
      </w:r>
      <w:r w:rsidR="0093730D">
        <w:t>1</w:t>
      </w:r>
      <w:r>
        <w:t>,</w:t>
      </w:r>
      <w:r w:rsidRPr="009E5F87">
        <w:t xml:space="preserve"> </w:t>
      </w:r>
      <w:r>
        <w:t>t</w:t>
      </w:r>
      <w:r w:rsidRPr="009E5F87">
        <w:t xml:space="preserve">here </w:t>
      </w:r>
      <w:r>
        <w:t>are</w:t>
      </w:r>
      <w:r w:rsidRPr="009E5F87">
        <w:t xml:space="preserve"> </w:t>
      </w:r>
      <w:r w:rsidR="00A47B7E">
        <w:t>29,591</w:t>
      </w:r>
      <w:r w:rsidR="00F27557">
        <w:rPr>
          <w:rFonts w:eastAsia="Times New Roman" w:cs="Arial"/>
          <w:color w:val="000000"/>
          <w:szCs w:val="18"/>
        </w:rPr>
        <w:t xml:space="preserve"> </w:t>
      </w:r>
      <w:r>
        <w:t>customers</w:t>
      </w:r>
      <w:r w:rsidRPr="009E5F87">
        <w:t xml:space="preserve"> enrolled in the program, which in aggregate </w:t>
      </w:r>
      <w:r>
        <w:t>had</w:t>
      </w:r>
      <w:r w:rsidRPr="009E5F87">
        <w:t xml:space="preserve"> </w:t>
      </w:r>
      <w:r>
        <w:t xml:space="preserve">about </w:t>
      </w:r>
      <w:r w:rsidR="00A47B7E">
        <w:t>152,137</w:t>
      </w:r>
      <w:r>
        <w:t xml:space="preserve"> </w:t>
      </w:r>
      <w:r w:rsidRPr="009E5F87">
        <w:t xml:space="preserve">tons of </w:t>
      </w:r>
      <w:r w:rsidR="00147EF8">
        <w:t>CAC</w:t>
      </w:r>
      <w:r w:rsidRPr="009E5F87">
        <w:t xml:space="preserve"> capacity.  </w:t>
      </w:r>
      <w:r w:rsidRPr="002F02E6">
        <w:t>About</w:t>
      </w:r>
      <w:r>
        <w:t xml:space="preserve"> 8</w:t>
      </w:r>
      <w:r w:rsidR="004D0DDB">
        <w:t>3</w:t>
      </w:r>
      <w:r>
        <w:t>%</w:t>
      </w:r>
      <w:r w:rsidRPr="009E5F87">
        <w:t xml:space="preserve"> of particip</w:t>
      </w:r>
      <w:r>
        <w:t>ants were residential customers who</w:t>
      </w:r>
      <w:r w:rsidRPr="009E5F87">
        <w:t xml:space="preserve"> accounted for </w:t>
      </w:r>
      <w:r>
        <w:t>6</w:t>
      </w:r>
      <w:r w:rsidR="00D7681D">
        <w:t>8</w:t>
      </w:r>
      <w:r>
        <w:t>%</w:t>
      </w:r>
      <w:r w:rsidRPr="009E5F87">
        <w:t xml:space="preserve"> of the total tons of c</w:t>
      </w:r>
      <w:r>
        <w:t>ooling</w:t>
      </w:r>
      <w:r w:rsidRPr="009E5F87">
        <w:t xml:space="preserve"> subject to control under the program.  </w:t>
      </w:r>
      <w:r>
        <w:t>Just over</w:t>
      </w:r>
      <w:r w:rsidRPr="009E5F87">
        <w:t xml:space="preserve"> </w:t>
      </w:r>
      <w:r>
        <w:t>5</w:t>
      </w:r>
      <w:r w:rsidR="00A47B7E">
        <w:t>3</w:t>
      </w:r>
      <w:r w:rsidRPr="009E5F87">
        <w:t xml:space="preserve">% of residential participants </w:t>
      </w:r>
      <w:r>
        <w:t xml:space="preserve">were on the 100% </w:t>
      </w:r>
      <w:r w:rsidRPr="009E5F87">
        <w:t>cycling option</w:t>
      </w:r>
      <w:r>
        <w:t xml:space="preserve"> and roughly</w:t>
      </w:r>
      <w:r w:rsidRPr="009E5F87">
        <w:t xml:space="preserve"> </w:t>
      </w:r>
      <w:r w:rsidR="00F95E0D">
        <w:t>63</w:t>
      </w:r>
      <w:r w:rsidRPr="009E5F87">
        <w:t xml:space="preserve">% of commercial customers </w:t>
      </w:r>
      <w:r>
        <w:t xml:space="preserve">were on the </w:t>
      </w:r>
      <w:r w:rsidR="00F95E0D">
        <w:t>5</w:t>
      </w:r>
      <w:r>
        <w:t xml:space="preserve">0% </w:t>
      </w:r>
      <w:r w:rsidRPr="009E5F87">
        <w:t>cycling option</w:t>
      </w:r>
      <w:r>
        <w:t>.</w:t>
      </w:r>
      <w:r w:rsidRPr="009E5F87">
        <w:t xml:space="preserve">  </w:t>
      </w:r>
      <w:r>
        <w:t xml:space="preserve">Summer Saver enrollment </w:t>
      </w:r>
      <w:r w:rsidRPr="005C09F1">
        <w:t xml:space="preserve">is expected to remain roughly constant in the </w:t>
      </w:r>
      <w:r w:rsidR="00F95E0D">
        <w:t xml:space="preserve">immediate </w:t>
      </w:r>
      <w:r w:rsidRPr="005C09F1">
        <w:t>future.</w:t>
      </w:r>
    </w:p>
    <w:p w:rsidR="00A57221" w:rsidRPr="005C09F1" w:rsidRDefault="00A57221" w:rsidP="0059288A">
      <w:pPr>
        <w:pStyle w:val="TableFigureCaption"/>
      </w:pPr>
      <w:r w:rsidRPr="0059288A">
        <w:t>Table</w:t>
      </w:r>
      <w:r w:rsidRPr="005C09F1">
        <w:t xml:space="preserve"> 2-1:</w:t>
      </w:r>
      <w:r w:rsidR="008B7D4E">
        <w:t xml:space="preserve"> </w:t>
      </w:r>
      <w:r w:rsidRPr="005C09F1">
        <w:t>Summer Saver Enrollment</w:t>
      </w:r>
      <w:r w:rsidR="002C5429">
        <w:t>, November 2011</w:t>
      </w:r>
    </w:p>
    <w:tbl>
      <w:tblPr>
        <w:tblW w:w="5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7"/>
        <w:gridCol w:w="1080"/>
        <w:gridCol w:w="1261"/>
        <w:gridCol w:w="1080"/>
        <w:gridCol w:w="1080"/>
      </w:tblGrid>
      <w:tr w:rsidR="00012AA1" w:rsidRPr="00A47B7E" w:rsidTr="008B7D4E">
        <w:trPr>
          <w:trHeight w:val="780"/>
          <w:jc w:val="center"/>
        </w:trPr>
        <w:tc>
          <w:tcPr>
            <w:tcW w:w="1177" w:type="dxa"/>
            <w:tcBorders>
              <w:right w:val="single" w:sz="4" w:space="0" w:color="FFFFFF" w:themeColor="background1"/>
            </w:tcBorders>
            <w:shd w:val="clear" w:color="000000" w:fill="1F497D" w:themeFill="text2"/>
            <w:vAlign w:val="center"/>
            <w:hideMark/>
          </w:tcPr>
          <w:p w:rsidR="00012AA1" w:rsidRPr="00A47B7E" w:rsidRDefault="00012AA1" w:rsidP="008B7D4E">
            <w:pPr>
              <w:pStyle w:val="TableHeader"/>
            </w:pPr>
            <w:r w:rsidRPr="00A47B7E">
              <w:t>Customer Type</w:t>
            </w:r>
          </w:p>
        </w:tc>
        <w:tc>
          <w:tcPr>
            <w:tcW w:w="1080" w:type="dxa"/>
            <w:tcBorders>
              <w:left w:val="single" w:sz="4" w:space="0" w:color="FFFFFF" w:themeColor="background1"/>
              <w:right w:val="single" w:sz="4" w:space="0" w:color="FFFFFF" w:themeColor="background1"/>
            </w:tcBorders>
            <w:shd w:val="clear" w:color="000000" w:fill="1F497D" w:themeFill="text2"/>
            <w:vAlign w:val="center"/>
            <w:hideMark/>
          </w:tcPr>
          <w:p w:rsidR="00012AA1" w:rsidRPr="00A47B7E" w:rsidRDefault="00012AA1" w:rsidP="008B7D4E">
            <w:pPr>
              <w:pStyle w:val="TableHeader"/>
            </w:pPr>
            <w:r w:rsidRPr="00A47B7E">
              <w:t>Cycling Option</w:t>
            </w:r>
          </w:p>
        </w:tc>
        <w:tc>
          <w:tcPr>
            <w:tcW w:w="1261" w:type="dxa"/>
            <w:tcBorders>
              <w:left w:val="single" w:sz="4" w:space="0" w:color="FFFFFF" w:themeColor="background1"/>
              <w:right w:val="single" w:sz="4" w:space="0" w:color="FFFFFF" w:themeColor="background1"/>
            </w:tcBorders>
            <w:shd w:val="clear" w:color="000000" w:fill="1F497D" w:themeFill="text2"/>
            <w:vAlign w:val="center"/>
            <w:hideMark/>
          </w:tcPr>
          <w:p w:rsidR="00012AA1" w:rsidRPr="00A47B7E" w:rsidRDefault="00012AA1" w:rsidP="008B7D4E">
            <w:pPr>
              <w:pStyle w:val="TableHeader"/>
            </w:pPr>
            <w:r w:rsidRPr="00A47B7E">
              <w:t>Enrolled Customers</w:t>
            </w:r>
          </w:p>
        </w:tc>
        <w:tc>
          <w:tcPr>
            <w:tcW w:w="1080" w:type="dxa"/>
            <w:tcBorders>
              <w:left w:val="single" w:sz="4" w:space="0" w:color="FFFFFF" w:themeColor="background1"/>
              <w:right w:val="single" w:sz="4" w:space="0" w:color="FFFFFF" w:themeColor="background1"/>
            </w:tcBorders>
            <w:shd w:val="clear" w:color="000000" w:fill="1F497D" w:themeFill="text2"/>
            <w:vAlign w:val="center"/>
          </w:tcPr>
          <w:p w:rsidR="00012AA1" w:rsidRPr="00A47B7E" w:rsidRDefault="00012AA1" w:rsidP="008B7D4E">
            <w:pPr>
              <w:pStyle w:val="TableHeader"/>
            </w:pPr>
            <w:r>
              <w:t>Enrolled Control Devices</w:t>
            </w:r>
          </w:p>
        </w:tc>
        <w:tc>
          <w:tcPr>
            <w:tcW w:w="1080" w:type="dxa"/>
            <w:tcBorders>
              <w:left w:val="single" w:sz="4" w:space="0" w:color="FFFFFF" w:themeColor="background1"/>
            </w:tcBorders>
            <w:shd w:val="clear" w:color="000000" w:fill="1F497D" w:themeFill="text2"/>
            <w:vAlign w:val="center"/>
            <w:hideMark/>
          </w:tcPr>
          <w:p w:rsidR="00012AA1" w:rsidRPr="00A47B7E" w:rsidRDefault="00012AA1" w:rsidP="008B7D4E">
            <w:pPr>
              <w:pStyle w:val="TableHeader"/>
            </w:pPr>
            <w:r w:rsidRPr="00A47B7E">
              <w:t>Enrolled Tons</w:t>
            </w:r>
          </w:p>
        </w:tc>
      </w:tr>
      <w:tr w:rsidR="00B103D0" w:rsidRPr="00A47B7E" w:rsidTr="00B103D0">
        <w:trPr>
          <w:trHeight w:val="300"/>
          <w:jc w:val="center"/>
        </w:trPr>
        <w:tc>
          <w:tcPr>
            <w:tcW w:w="1177" w:type="dxa"/>
            <w:vMerge w:val="restart"/>
            <w:shd w:val="clear" w:color="auto" w:fill="auto"/>
            <w:noWrap/>
            <w:vAlign w:val="center"/>
            <w:hideMark/>
          </w:tcPr>
          <w:p w:rsidR="00B103D0" w:rsidRPr="00A47B7E" w:rsidRDefault="00B103D0" w:rsidP="0059288A">
            <w:pPr>
              <w:pStyle w:val="TableText"/>
              <w:jc w:val="center"/>
            </w:pPr>
            <w:r w:rsidRPr="00A47B7E">
              <w:t>Commercial</w:t>
            </w:r>
          </w:p>
        </w:tc>
        <w:tc>
          <w:tcPr>
            <w:tcW w:w="1080" w:type="dxa"/>
            <w:shd w:val="clear" w:color="auto" w:fill="auto"/>
            <w:noWrap/>
            <w:vAlign w:val="bottom"/>
            <w:hideMark/>
          </w:tcPr>
          <w:p w:rsidR="00B103D0" w:rsidRPr="00A47B7E" w:rsidRDefault="00B103D0" w:rsidP="0059288A">
            <w:pPr>
              <w:pStyle w:val="TableText"/>
              <w:jc w:val="center"/>
            </w:pPr>
            <w:r w:rsidRPr="00A47B7E">
              <w:t>30%</w:t>
            </w:r>
          </w:p>
        </w:tc>
        <w:tc>
          <w:tcPr>
            <w:tcW w:w="1261" w:type="dxa"/>
            <w:shd w:val="clear" w:color="auto" w:fill="auto"/>
            <w:noWrap/>
            <w:vAlign w:val="bottom"/>
            <w:hideMark/>
          </w:tcPr>
          <w:p w:rsidR="00B103D0" w:rsidRPr="00A47B7E" w:rsidRDefault="00B103D0" w:rsidP="0059288A">
            <w:pPr>
              <w:pStyle w:val="TableText"/>
              <w:jc w:val="center"/>
            </w:pPr>
            <w:r w:rsidRPr="00A47B7E">
              <w:t>1,882</w:t>
            </w:r>
          </w:p>
        </w:tc>
        <w:tc>
          <w:tcPr>
            <w:tcW w:w="1080" w:type="dxa"/>
            <w:vAlign w:val="bottom"/>
          </w:tcPr>
          <w:p w:rsidR="00B103D0" w:rsidRPr="00B103D0" w:rsidRDefault="00B103D0" w:rsidP="00B103D0">
            <w:pPr>
              <w:pStyle w:val="TableText"/>
              <w:jc w:val="center"/>
            </w:pPr>
            <w:r w:rsidRPr="00B103D0">
              <w:t>4,627</w:t>
            </w:r>
          </w:p>
        </w:tc>
        <w:tc>
          <w:tcPr>
            <w:tcW w:w="1080" w:type="dxa"/>
            <w:shd w:val="clear" w:color="auto" w:fill="auto"/>
            <w:noWrap/>
            <w:vAlign w:val="bottom"/>
            <w:hideMark/>
          </w:tcPr>
          <w:p w:rsidR="00B103D0" w:rsidRPr="00A47B7E" w:rsidRDefault="00B103D0" w:rsidP="0059288A">
            <w:pPr>
              <w:pStyle w:val="TableText"/>
              <w:jc w:val="center"/>
            </w:pPr>
            <w:r w:rsidRPr="00A47B7E">
              <w:t>17,447</w:t>
            </w:r>
          </w:p>
        </w:tc>
      </w:tr>
      <w:tr w:rsidR="00B103D0" w:rsidRPr="00A47B7E" w:rsidTr="00B103D0">
        <w:trPr>
          <w:trHeight w:val="300"/>
          <w:jc w:val="center"/>
        </w:trPr>
        <w:tc>
          <w:tcPr>
            <w:tcW w:w="1177" w:type="dxa"/>
            <w:vMerge/>
            <w:vAlign w:val="center"/>
            <w:hideMark/>
          </w:tcPr>
          <w:p w:rsidR="00B103D0" w:rsidRPr="00A47B7E" w:rsidRDefault="00B103D0" w:rsidP="0059288A">
            <w:pPr>
              <w:pStyle w:val="TableText"/>
              <w:jc w:val="center"/>
            </w:pPr>
          </w:p>
        </w:tc>
        <w:tc>
          <w:tcPr>
            <w:tcW w:w="1080" w:type="dxa"/>
            <w:shd w:val="clear" w:color="auto" w:fill="auto"/>
            <w:noWrap/>
            <w:vAlign w:val="bottom"/>
            <w:hideMark/>
          </w:tcPr>
          <w:p w:rsidR="00B103D0" w:rsidRPr="00A47B7E" w:rsidRDefault="00B103D0" w:rsidP="0059288A">
            <w:pPr>
              <w:pStyle w:val="TableText"/>
              <w:jc w:val="center"/>
            </w:pPr>
            <w:r w:rsidRPr="00A47B7E">
              <w:t>50%</w:t>
            </w:r>
          </w:p>
        </w:tc>
        <w:tc>
          <w:tcPr>
            <w:tcW w:w="1261" w:type="dxa"/>
            <w:shd w:val="clear" w:color="auto" w:fill="auto"/>
            <w:noWrap/>
            <w:vAlign w:val="bottom"/>
            <w:hideMark/>
          </w:tcPr>
          <w:p w:rsidR="00B103D0" w:rsidRPr="00A47B7E" w:rsidRDefault="00B103D0" w:rsidP="0059288A">
            <w:pPr>
              <w:pStyle w:val="TableText"/>
              <w:jc w:val="center"/>
            </w:pPr>
            <w:r w:rsidRPr="00A47B7E">
              <w:t>3,262</w:t>
            </w:r>
          </w:p>
        </w:tc>
        <w:tc>
          <w:tcPr>
            <w:tcW w:w="1080" w:type="dxa"/>
            <w:vAlign w:val="bottom"/>
          </w:tcPr>
          <w:p w:rsidR="00B103D0" w:rsidRPr="00B103D0" w:rsidRDefault="00B103D0" w:rsidP="00B103D0">
            <w:pPr>
              <w:pStyle w:val="TableText"/>
              <w:jc w:val="center"/>
            </w:pPr>
            <w:r w:rsidRPr="00B103D0">
              <w:t>8,134</w:t>
            </w:r>
          </w:p>
        </w:tc>
        <w:tc>
          <w:tcPr>
            <w:tcW w:w="1080" w:type="dxa"/>
            <w:shd w:val="clear" w:color="auto" w:fill="auto"/>
            <w:noWrap/>
            <w:vAlign w:val="bottom"/>
            <w:hideMark/>
          </w:tcPr>
          <w:p w:rsidR="00B103D0" w:rsidRPr="00A47B7E" w:rsidRDefault="00B103D0" w:rsidP="0059288A">
            <w:pPr>
              <w:pStyle w:val="TableText"/>
              <w:jc w:val="center"/>
            </w:pPr>
            <w:r w:rsidRPr="00A47B7E">
              <w:t>31,069</w:t>
            </w:r>
          </w:p>
        </w:tc>
      </w:tr>
      <w:tr w:rsidR="00B103D0" w:rsidRPr="00A47B7E" w:rsidTr="00B103D0">
        <w:trPr>
          <w:trHeight w:val="300"/>
          <w:jc w:val="center"/>
        </w:trPr>
        <w:tc>
          <w:tcPr>
            <w:tcW w:w="1177" w:type="dxa"/>
            <w:vMerge/>
            <w:vAlign w:val="center"/>
            <w:hideMark/>
          </w:tcPr>
          <w:p w:rsidR="00B103D0" w:rsidRPr="00A47B7E" w:rsidRDefault="00B103D0" w:rsidP="0059288A">
            <w:pPr>
              <w:pStyle w:val="TableText"/>
              <w:jc w:val="center"/>
            </w:pPr>
          </w:p>
        </w:tc>
        <w:tc>
          <w:tcPr>
            <w:tcW w:w="1080" w:type="dxa"/>
            <w:shd w:val="clear" w:color="auto" w:fill="auto"/>
            <w:noWrap/>
            <w:vAlign w:val="bottom"/>
            <w:hideMark/>
          </w:tcPr>
          <w:p w:rsidR="00B103D0" w:rsidRPr="00A47B7E" w:rsidRDefault="00B103D0" w:rsidP="0059288A">
            <w:pPr>
              <w:pStyle w:val="TableText"/>
              <w:jc w:val="center"/>
            </w:pPr>
            <w:r w:rsidRPr="00A47B7E">
              <w:t>Total</w:t>
            </w:r>
          </w:p>
        </w:tc>
        <w:tc>
          <w:tcPr>
            <w:tcW w:w="1261" w:type="dxa"/>
            <w:shd w:val="clear" w:color="auto" w:fill="auto"/>
            <w:noWrap/>
            <w:vAlign w:val="bottom"/>
            <w:hideMark/>
          </w:tcPr>
          <w:p w:rsidR="00B103D0" w:rsidRPr="00A47B7E" w:rsidRDefault="00B103D0" w:rsidP="0059288A">
            <w:pPr>
              <w:pStyle w:val="TableText"/>
              <w:jc w:val="center"/>
            </w:pPr>
            <w:r w:rsidRPr="00A47B7E">
              <w:t>5,144</w:t>
            </w:r>
          </w:p>
        </w:tc>
        <w:tc>
          <w:tcPr>
            <w:tcW w:w="1080" w:type="dxa"/>
            <w:vAlign w:val="bottom"/>
          </w:tcPr>
          <w:p w:rsidR="00B103D0" w:rsidRPr="00B103D0" w:rsidRDefault="00B103D0" w:rsidP="00B103D0">
            <w:pPr>
              <w:pStyle w:val="TableText"/>
              <w:jc w:val="center"/>
            </w:pPr>
            <w:r w:rsidRPr="00B103D0">
              <w:t>12,761</w:t>
            </w:r>
          </w:p>
        </w:tc>
        <w:tc>
          <w:tcPr>
            <w:tcW w:w="1080" w:type="dxa"/>
            <w:shd w:val="clear" w:color="auto" w:fill="auto"/>
            <w:noWrap/>
            <w:vAlign w:val="bottom"/>
            <w:hideMark/>
          </w:tcPr>
          <w:p w:rsidR="00B103D0" w:rsidRPr="00A47B7E" w:rsidRDefault="00B103D0" w:rsidP="0059288A">
            <w:pPr>
              <w:pStyle w:val="TableText"/>
              <w:jc w:val="center"/>
            </w:pPr>
            <w:r w:rsidRPr="00A47B7E">
              <w:t>48,516</w:t>
            </w:r>
          </w:p>
        </w:tc>
      </w:tr>
      <w:tr w:rsidR="00B103D0" w:rsidRPr="00A47B7E" w:rsidTr="00B103D0">
        <w:trPr>
          <w:trHeight w:val="300"/>
          <w:jc w:val="center"/>
        </w:trPr>
        <w:tc>
          <w:tcPr>
            <w:tcW w:w="1177" w:type="dxa"/>
            <w:vMerge w:val="restart"/>
            <w:shd w:val="clear" w:color="auto" w:fill="auto"/>
            <w:noWrap/>
            <w:vAlign w:val="center"/>
            <w:hideMark/>
          </w:tcPr>
          <w:p w:rsidR="00B103D0" w:rsidRPr="00A47B7E" w:rsidRDefault="00B103D0" w:rsidP="0059288A">
            <w:pPr>
              <w:pStyle w:val="TableText"/>
              <w:jc w:val="center"/>
            </w:pPr>
            <w:r w:rsidRPr="00A47B7E">
              <w:t>Residential</w:t>
            </w:r>
          </w:p>
        </w:tc>
        <w:tc>
          <w:tcPr>
            <w:tcW w:w="1080" w:type="dxa"/>
            <w:shd w:val="clear" w:color="auto" w:fill="auto"/>
            <w:noWrap/>
            <w:vAlign w:val="bottom"/>
            <w:hideMark/>
          </w:tcPr>
          <w:p w:rsidR="00B103D0" w:rsidRPr="00A47B7E" w:rsidRDefault="00B103D0" w:rsidP="0059288A">
            <w:pPr>
              <w:pStyle w:val="TableText"/>
              <w:jc w:val="center"/>
            </w:pPr>
            <w:r w:rsidRPr="00A47B7E">
              <w:t>50%</w:t>
            </w:r>
          </w:p>
        </w:tc>
        <w:tc>
          <w:tcPr>
            <w:tcW w:w="1261" w:type="dxa"/>
            <w:shd w:val="clear" w:color="auto" w:fill="auto"/>
            <w:noWrap/>
            <w:vAlign w:val="bottom"/>
            <w:hideMark/>
          </w:tcPr>
          <w:p w:rsidR="00B103D0" w:rsidRPr="00A47B7E" w:rsidRDefault="00B103D0" w:rsidP="0059288A">
            <w:pPr>
              <w:pStyle w:val="TableText"/>
              <w:jc w:val="center"/>
            </w:pPr>
            <w:r w:rsidRPr="00A47B7E">
              <w:t>11,375</w:t>
            </w:r>
          </w:p>
        </w:tc>
        <w:tc>
          <w:tcPr>
            <w:tcW w:w="1080" w:type="dxa"/>
            <w:vAlign w:val="bottom"/>
          </w:tcPr>
          <w:p w:rsidR="00B103D0" w:rsidRPr="00B103D0" w:rsidRDefault="00B103D0" w:rsidP="00B103D0">
            <w:pPr>
              <w:pStyle w:val="TableText"/>
              <w:jc w:val="center"/>
            </w:pPr>
            <w:r w:rsidRPr="00B103D0">
              <w:t>13,360</w:t>
            </w:r>
          </w:p>
        </w:tc>
        <w:tc>
          <w:tcPr>
            <w:tcW w:w="1080" w:type="dxa"/>
            <w:shd w:val="clear" w:color="auto" w:fill="auto"/>
            <w:noWrap/>
            <w:vAlign w:val="bottom"/>
            <w:hideMark/>
          </w:tcPr>
          <w:p w:rsidR="00B103D0" w:rsidRPr="00A47B7E" w:rsidRDefault="00B103D0" w:rsidP="0059288A">
            <w:pPr>
              <w:pStyle w:val="TableText"/>
              <w:jc w:val="center"/>
            </w:pPr>
            <w:r w:rsidRPr="00A47B7E">
              <w:t>46,456</w:t>
            </w:r>
          </w:p>
        </w:tc>
      </w:tr>
      <w:tr w:rsidR="00B103D0" w:rsidRPr="00A47B7E" w:rsidTr="00B103D0">
        <w:trPr>
          <w:trHeight w:val="300"/>
          <w:jc w:val="center"/>
        </w:trPr>
        <w:tc>
          <w:tcPr>
            <w:tcW w:w="1177" w:type="dxa"/>
            <w:vMerge/>
            <w:vAlign w:val="center"/>
            <w:hideMark/>
          </w:tcPr>
          <w:p w:rsidR="00B103D0" w:rsidRPr="00A47B7E" w:rsidRDefault="00B103D0" w:rsidP="0059288A">
            <w:pPr>
              <w:pStyle w:val="TableText"/>
              <w:jc w:val="center"/>
            </w:pPr>
          </w:p>
        </w:tc>
        <w:tc>
          <w:tcPr>
            <w:tcW w:w="1080" w:type="dxa"/>
            <w:shd w:val="clear" w:color="auto" w:fill="auto"/>
            <w:noWrap/>
            <w:vAlign w:val="bottom"/>
            <w:hideMark/>
          </w:tcPr>
          <w:p w:rsidR="00B103D0" w:rsidRPr="00A47B7E" w:rsidRDefault="00B103D0" w:rsidP="0059288A">
            <w:pPr>
              <w:pStyle w:val="TableText"/>
              <w:jc w:val="center"/>
            </w:pPr>
            <w:r w:rsidRPr="00A47B7E">
              <w:t>100%</w:t>
            </w:r>
          </w:p>
        </w:tc>
        <w:tc>
          <w:tcPr>
            <w:tcW w:w="1261" w:type="dxa"/>
            <w:shd w:val="clear" w:color="auto" w:fill="auto"/>
            <w:noWrap/>
            <w:vAlign w:val="bottom"/>
            <w:hideMark/>
          </w:tcPr>
          <w:p w:rsidR="00B103D0" w:rsidRPr="00A47B7E" w:rsidRDefault="00B103D0" w:rsidP="0059288A">
            <w:pPr>
              <w:pStyle w:val="TableText"/>
              <w:jc w:val="center"/>
            </w:pPr>
            <w:r w:rsidRPr="00A47B7E">
              <w:t>13,072</w:t>
            </w:r>
          </w:p>
        </w:tc>
        <w:tc>
          <w:tcPr>
            <w:tcW w:w="1080" w:type="dxa"/>
            <w:vAlign w:val="bottom"/>
          </w:tcPr>
          <w:p w:rsidR="00B103D0" w:rsidRPr="00B103D0" w:rsidRDefault="00B103D0" w:rsidP="00B103D0">
            <w:pPr>
              <w:pStyle w:val="TableText"/>
              <w:jc w:val="center"/>
            </w:pPr>
            <w:r w:rsidRPr="00B103D0">
              <w:t>15,961</w:t>
            </w:r>
          </w:p>
        </w:tc>
        <w:tc>
          <w:tcPr>
            <w:tcW w:w="1080" w:type="dxa"/>
            <w:shd w:val="clear" w:color="auto" w:fill="auto"/>
            <w:noWrap/>
            <w:vAlign w:val="bottom"/>
            <w:hideMark/>
          </w:tcPr>
          <w:p w:rsidR="00B103D0" w:rsidRPr="00A47B7E" w:rsidRDefault="00B103D0" w:rsidP="0059288A">
            <w:pPr>
              <w:pStyle w:val="TableText"/>
              <w:jc w:val="center"/>
            </w:pPr>
            <w:r w:rsidRPr="00A47B7E">
              <w:t>57,165</w:t>
            </w:r>
          </w:p>
        </w:tc>
      </w:tr>
      <w:tr w:rsidR="00B103D0" w:rsidRPr="00A47B7E" w:rsidTr="00B103D0">
        <w:trPr>
          <w:trHeight w:val="300"/>
          <w:jc w:val="center"/>
        </w:trPr>
        <w:tc>
          <w:tcPr>
            <w:tcW w:w="1177" w:type="dxa"/>
            <w:vMerge/>
            <w:vAlign w:val="center"/>
            <w:hideMark/>
          </w:tcPr>
          <w:p w:rsidR="00B103D0" w:rsidRPr="00A47B7E" w:rsidRDefault="00B103D0" w:rsidP="0059288A">
            <w:pPr>
              <w:pStyle w:val="TableText"/>
              <w:jc w:val="center"/>
            </w:pPr>
          </w:p>
        </w:tc>
        <w:tc>
          <w:tcPr>
            <w:tcW w:w="1080" w:type="dxa"/>
            <w:shd w:val="clear" w:color="auto" w:fill="auto"/>
            <w:noWrap/>
            <w:vAlign w:val="bottom"/>
            <w:hideMark/>
          </w:tcPr>
          <w:p w:rsidR="00B103D0" w:rsidRPr="00A47B7E" w:rsidRDefault="00B103D0" w:rsidP="0059288A">
            <w:pPr>
              <w:pStyle w:val="TableText"/>
              <w:jc w:val="center"/>
            </w:pPr>
            <w:r w:rsidRPr="00A47B7E">
              <w:t>Total</w:t>
            </w:r>
          </w:p>
        </w:tc>
        <w:tc>
          <w:tcPr>
            <w:tcW w:w="1261" w:type="dxa"/>
            <w:shd w:val="clear" w:color="auto" w:fill="auto"/>
            <w:noWrap/>
            <w:vAlign w:val="bottom"/>
            <w:hideMark/>
          </w:tcPr>
          <w:p w:rsidR="00B103D0" w:rsidRPr="00A47B7E" w:rsidRDefault="00B103D0" w:rsidP="0059288A">
            <w:pPr>
              <w:pStyle w:val="TableText"/>
              <w:jc w:val="center"/>
            </w:pPr>
            <w:r w:rsidRPr="00A47B7E">
              <w:t>24,447</w:t>
            </w:r>
          </w:p>
        </w:tc>
        <w:tc>
          <w:tcPr>
            <w:tcW w:w="1080" w:type="dxa"/>
            <w:vAlign w:val="bottom"/>
          </w:tcPr>
          <w:p w:rsidR="00B103D0" w:rsidRPr="00B103D0" w:rsidRDefault="00B103D0" w:rsidP="00B103D0">
            <w:pPr>
              <w:pStyle w:val="TableText"/>
              <w:jc w:val="center"/>
            </w:pPr>
            <w:r w:rsidRPr="00B103D0">
              <w:t>29,321</w:t>
            </w:r>
          </w:p>
        </w:tc>
        <w:tc>
          <w:tcPr>
            <w:tcW w:w="1080" w:type="dxa"/>
            <w:shd w:val="clear" w:color="auto" w:fill="auto"/>
            <w:noWrap/>
            <w:vAlign w:val="bottom"/>
            <w:hideMark/>
          </w:tcPr>
          <w:p w:rsidR="00B103D0" w:rsidRPr="00A47B7E" w:rsidRDefault="00B103D0" w:rsidP="0059288A">
            <w:pPr>
              <w:pStyle w:val="TableText"/>
              <w:jc w:val="center"/>
            </w:pPr>
            <w:r w:rsidRPr="00A47B7E">
              <w:t>103,621</w:t>
            </w:r>
          </w:p>
        </w:tc>
      </w:tr>
      <w:tr w:rsidR="00B103D0" w:rsidRPr="00A47B7E" w:rsidTr="00012AA1">
        <w:trPr>
          <w:trHeight w:val="300"/>
          <w:jc w:val="center"/>
        </w:trPr>
        <w:tc>
          <w:tcPr>
            <w:tcW w:w="2257" w:type="dxa"/>
            <w:gridSpan w:val="2"/>
            <w:shd w:val="clear" w:color="auto" w:fill="auto"/>
            <w:noWrap/>
            <w:vAlign w:val="bottom"/>
            <w:hideMark/>
          </w:tcPr>
          <w:p w:rsidR="00B103D0" w:rsidRPr="00A47B7E" w:rsidRDefault="00B103D0" w:rsidP="0059288A">
            <w:pPr>
              <w:pStyle w:val="TableText"/>
              <w:jc w:val="center"/>
              <w:rPr>
                <w:b/>
                <w:bCs/>
              </w:rPr>
            </w:pPr>
            <w:r w:rsidRPr="00A47B7E">
              <w:rPr>
                <w:b/>
                <w:bCs/>
              </w:rPr>
              <w:t>Grand Total</w:t>
            </w:r>
          </w:p>
        </w:tc>
        <w:tc>
          <w:tcPr>
            <w:tcW w:w="1261" w:type="dxa"/>
            <w:shd w:val="clear" w:color="auto" w:fill="auto"/>
            <w:noWrap/>
            <w:vAlign w:val="bottom"/>
            <w:hideMark/>
          </w:tcPr>
          <w:p w:rsidR="00B103D0" w:rsidRPr="00A47B7E" w:rsidRDefault="00B103D0" w:rsidP="0059288A">
            <w:pPr>
              <w:pStyle w:val="TableText"/>
              <w:jc w:val="center"/>
            </w:pPr>
            <w:r w:rsidRPr="00A47B7E">
              <w:t>29,591</w:t>
            </w:r>
          </w:p>
        </w:tc>
        <w:tc>
          <w:tcPr>
            <w:tcW w:w="1080" w:type="dxa"/>
          </w:tcPr>
          <w:p w:rsidR="00B103D0" w:rsidRPr="00A47B7E" w:rsidRDefault="00B103D0" w:rsidP="0059288A">
            <w:pPr>
              <w:pStyle w:val="TableText"/>
              <w:jc w:val="center"/>
            </w:pPr>
            <w:r>
              <w:t>42,082</w:t>
            </w:r>
          </w:p>
        </w:tc>
        <w:tc>
          <w:tcPr>
            <w:tcW w:w="1080" w:type="dxa"/>
            <w:shd w:val="clear" w:color="auto" w:fill="auto"/>
            <w:noWrap/>
            <w:vAlign w:val="bottom"/>
            <w:hideMark/>
          </w:tcPr>
          <w:p w:rsidR="00B103D0" w:rsidRPr="006D1E31" w:rsidRDefault="00B103D0" w:rsidP="00B103D0">
            <w:pPr>
              <w:pStyle w:val="TableText"/>
              <w:jc w:val="center"/>
              <w:rPr>
                <w:rFonts w:eastAsia="Times New Roman" w:cs="Arial"/>
                <w:color w:val="000000"/>
                <w:szCs w:val="18"/>
              </w:rPr>
            </w:pPr>
            <w:r w:rsidRPr="00B103D0">
              <w:t>152,137</w:t>
            </w:r>
          </w:p>
        </w:tc>
      </w:tr>
    </w:tbl>
    <w:p w:rsidR="00153EA1" w:rsidRPr="00D34C82" w:rsidRDefault="00153EA1" w:rsidP="0059288A">
      <w:pPr>
        <w:pStyle w:val="Heading2"/>
        <w:spacing w:before="360"/>
        <w:ind w:left="547" w:hanging="547"/>
      </w:pPr>
      <w:bookmarkStart w:id="3" w:name="_Toc325370136"/>
      <w:r>
        <w:t>Ex Post Load Impact Estimates</w:t>
      </w:r>
      <w:bookmarkEnd w:id="3"/>
    </w:p>
    <w:p w:rsidR="0059288A" w:rsidRDefault="00153EA1" w:rsidP="00153EA1">
      <w:pPr>
        <w:pStyle w:val="BodyParagraph"/>
      </w:pPr>
      <w:r>
        <w:t xml:space="preserve">Six Summer Saver events were called in 2011.  </w:t>
      </w:r>
      <w:r w:rsidR="00F95E0D">
        <w:t>The</w:t>
      </w:r>
      <w:r>
        <w:t xml:space="preserve"> events were </w:t>
      </w:r>
      <w:r w:rsidR="00F95E0D">
        <w:t xml:space="preserve">each </w:t>
      </w:r>
      <w:r>
        <w:t xml:space="preserve">four hours long and began at either 1 PM or 2 PM.  Table </w:t>
      </w:r>
      <w:r w:rsidR="0059288A">
        <w:t>2</w:t>
      </w:r>
      <w:r>
        <w:t>-</w:t>
      </w:r>
      <w:r w:rsidR="0059288A">
        <w:t>2</w:t>
      </w:r>
      <w:r>
        <w:t xml:space="preserve"> shows the load impacts </w:t>
      </w:r>
      <w:r w:rsidR="00881CE6">
        <w:t xml:space="preserve">(averaged across each event hour) </w:t>
      </w:r>
      <w:r>
        <w:t xml:space="preserve">for each </w:t>
      </w:r>
      <w:r w:rsidR="00F95E0D">
        <w:t xml:space="preserve">2011 </w:t>
      </w:r>
      <w:r>
        <w:t xml:space="preserve">event day for </w:t>
      </w:r>
      <w:r w:rsidR="0059288A">
        <w:t>residential customers</w:t>
      </w:r>
      <w:r w:rsidR="00F95E0D">
        <w:t xml:space="preserve"> and </w:t>
      </w:r>
      <w:r>
        <w:t>the ex post impact estimates f</w:t>
      </w:r>
      <w:r w:rsidR="00F95E0D">
        <w:t>rom</w:t>
      </w:r>
      <w:r>
        <w:t xml:space="preserve"> 2010 for comparison.  In 2011, Summer Saver residential customers delivered an average aggregate load reducti</w:t>
      </w:r>
      <w:r w:rsidR="0058700B">
        <w:t>on over the six events of 1</w:t>
      </w:r>
      <w:r w:rsidR="001B44C8">
        <w:t>4</w:t>
      </w:r>
      <w:r w:rsidR="0058700B">
        <w:t xml:space="preserve"> MW</w:t>
      </w:r>
      <w:r>
        <w:t xml:space="preserve">.  Residential impacts ranged from a low of 6 MW on September 9, to a high of </w:t>
      </w:r>
      <w:r w:rsidR="00500ACE">
        <w:t xml:space="preserve">19 </w:t>
      </w:r>
      <w:r>
        <w:t xml:space="preserve">MW on </w:t>
      </w:r>
      <w:r w:rsidRPr="00FA655B">
        <w:t xml:space="preserve">September </w:t>
      </w:r>
      <w:r w:rsidR="0036608B">
        <w:t>7 and September 8</w:t>
      </w:r>
      <w:r w:rsidR="00F95E0D">
        <w:t>.  A blackout began between 3 and 4 PM on September 8, limiting all load impact estimation for that day to the period 1-3 PM</w:t>
      </w:r>
      <w:r>
        <w:t xml:space="preserve">.  </w:t>
      </w:r>
    </w:p>
    <w:p w:rsidR="0059288A" w:rsidRDefault="0059288A" w:rsidP="00633DD2">
      <w:pPr>
        <w:pStyle w:val="BodyParagraph"/>
      </w:pPr>
    </w:p>
    <w:p w:rsidR="00633DD2" w:rsidRDefault="00633DD2" w:rsidP="00D27E7F">
      <w:pPr>
        <w:pStyle w:val="TableFigureCaption"/>
      </w:pPr>
      <w:r>
        <w:lastRenderedPageBreak/>
        <w:t>Table 2-2:</w:t>
      </w:r>
      <w:r w:rsidR="008B7D4E">
        <w:t xml:space="preserve"> </w:t>
      </w:r>
      <w:r w:rsidRPr="00174B6C">
        <w:t>Summer Saver Residential Ex Post Impact Estimates</w:t>
      </w:r>
      <w:r>
        <w:rPr>
          <w:rStyle w:val="FootnoteReference"/>
        </w:rPr>
        <w:footnoteReference w:id="2"/>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300"/>
        <w:gridCol w:w="1264"/>
        <w:gridCol w:w="1378"/>
        <w:gridCol w:w="1232"/>
        <w:gridCol w:w="1256"/>
        <w:gridCol w:w="1170"/>
      </w:tblGrid>
      <w:tr w:rsidR="00633DD2" w:rsidRPr="00D27623" w:rsidTr="00633DD2">
        <w:trPr>
          <w:trHeight w:val="315"/>
          <w:jc w:val="center"/>
        </w:trPr>
        <w:tc>
          <w:tcPr>
            <w:tcW w:w="960" w:type="dxa"/>
            <w:vMerge w:val="restart"/>
            <w:tcBorders>
              <w:right w:val="single" w:sz="4" w:space="0" w:color="FFFFFF" w:themeColor="background1"/>
            </w:tcBorders>
            <w:shd w:val="clear" w:color="000000" w:fill="1F497D"/>
            <w:noWrap/>
            <w:vAlign w:val="center"/>
            <w:hideMark/>
          </w:tcPr>
          <w:p w:rsidR="00633DD2" w:rsidRDefault="00633DD2" w:rsidP="00D27E7F">
            <w:pPr>
              <w:pStyle w:val="TableHeader"/>
              <w:keepNext/>
            </w:pPr>
            <w:r w:rsidRPr="00D27623">
              <w:t>Year</w:t>
            </w:r>
          </w:p>
        </w:tc>
        <w:tc>
          <w:tcPr>
            <w:tcW w:w="1300" w:type="dxa"/>
            <w:vMerge w:val="restart"/>
            <w:tcBorders>
              <w:left w:val="single" w:sz="4" w:space="0" w:color="FFFFFF" w:themeColor="background1"/>
              <w:right w:val="single" w:sz="4" w:space="0" w:color="FFFFFF" w:themeColor="background1"/>
            </w:tcBorders>
            <w:shd w:val="clear" w:color="000000" w:fill="1F497D"/>
            <w:noWrap/>
            <w:vAlign w:val="center"/>
            <w:hideMark/>
          </w:tcPr>
          <w:p w:rsidR="00633DD2" w:rsidRDefault="00633DD2" w:rsidP="00D27E7F">
            <w:pPr>
              <w:pStyle w:val="TableHeader"/>
              <w:keepNext/>
            </w:pPr>
            <w:r w:rsidRPr="00D27623">
              <w:t>Date</w:t>
            </w:r>
          </w:p>
        </w:tc>
        <w:tc>
          <w:tcPr>
            <w:tcW w:w="3874" w:type="dxa"/>
            <w:gridSpan w:val="3"/>
            <w:tcBorders>
              <w:left w:val="single" w:sz="4" w:space="0" w:color="FFFFFF" w:themeColor="background1"/>
              <w:bottom w:val="single" w:sz="4" w:space="0" w:color="FFFFFF" w:themeColor="background1"/>
              <w:right w:val="single" w:sz="4" w:space="0" w:color="FFFFFF" w:themeColor="background1"/>
            </w:tcBorders>
            <w:shd w:val="clear" w:color="000000" w:fill="1F497D"/>
            <w:noWrap/>
            <w:vAlign w:val="center"/>
            <w:hideMark/>
          </w:tcPr>
          <w:p w:rsidR="00633DD2" w:rsidRDefault="00633DD2" w:rsidP="00D27E7F">
            <w:pPr>
              <w:pStyle w:val="TableHeader"/>
              <w:keepNext/>
            </w:pPr>
            <w:r w:rsidRPr="00D27623">
              <w:t>Impact</w:t>
            </w:r>
          </w:p>
        </w:tc>
        <w:tc>
          <w:tcPr>
            <w:tcW w:w="2426" w:type="dxa"/>
            <w:gridSpan w:val="2"/>
            <w:tcBorders>
              <w:left w:val="single" w:sz="4" w:space="0" w:color="FFFFFF" w:themeColor="background1"/>
              <w:bottom w:val="single" w:sz="4" w:space="0" w:color="FFFFFF" w:themeColor="background1"/>
            </w:tcBorders>
            <w:shd w:val="clear" w:color="000000" w:fill="1F497D"/>
            <w:noWrap/>
            <w:vAlign w:val="center"/>
            <w:hideMark/>
          </w:tcPr>
          <w:p w:rsidR="00633DD2" w:rsidRDefault="00633DD2" w:rsidP="00D27E7F">
            <w:pPr>
              <w:pStyle w:val="TableHeader"/>
              <w:keepNext/>
            </w:pPr>
            <w:r>
              <w:t xml:space="preserve">Average </w:t>
            </w:r>
            <w:r w:rsidRPr="00D27623">
              <w:t>Temperature</w:t>
            </w:r>
            <w:r>
              <w:rPr>
                <w:rStyle w:val="FootnoteReference"/>
              </w:rPr>
              <w:footnoteReference w:id="3"/>
            </w:r>
          </w:p>
        </w:tc>
      </w:tr>
      <w:tr w:rsidR="00633DD2" w:rsidRPr="00D27623" w:rsidTr="00633DD2">
        <w:trPr>
          <w:trHeight w:val="585"/>
          <w:jc w:val="center"/>
        </w:trPr>
        <w:tc>
          <w:tcPr>
            <w:tcW w:w="960" w:type="dxa"/>
            <w:vMerge/>
            <w:tcBorders>
              <w:right w:val="single" w:sz="4" w:space="0" w:color="FFFFFF" w:themeColor="background1"/>
            </w:tcBorders>
            <w:vAlign w:val="center"/>
            <w:hideMark/>
          </w:tcPr>
          <w:p w:rsidR="002A4511" w:rsidRDefault="002A4511">
            <w:pPr>
              <w:pStyle w:val="TableHeader"/>
              <w:keepNext/>
              <w:rPr>
                <w:rFonts w:eastAsia="Calibri" w:cs="Times New Roman"/>
              </w:rPr>
            </w:pPr>
          </w:p>
        </w:tc>
        <w:tc>
          <w:tcPr>
            <w:tcW w:w="1300" w:type="dxa"/>
            <w:vMerge/>
            <w:tcBorders>
              <w:left w:val="single" w:sz="4" w:space="0" w:color="FFFFFF" w:themeColor="background1"/>
              <w:right w:val="single" w:sz="4" w:space="0" w:color="FFFFFF" w:themeColor="background1"/>
            </w:tcBorders>
            <w:vAlign w:val="center"/>
            <w:hideMark/>
          </w:tcPr>
          <w:p w:rsidR="002A4511" w:rsidRDefault="002A4511">
            <w:pPr>
              <w:pStyle w:val="TableHeader"/>
              <w:keepNext/>
              <w:rPr>
                <w:rFonts w:eastAsia="Calibri" w:cs="Times New Roman"/>
              </w:rPr>
            </w:pPr>
          </w:p>
        </w:tc>
        <w:tc>
          <w:tcPr>
            <w:tcW w:w="1264" w:type="dxa"/>
            <w:tcBorders>
              <w:top w:val="single" w:sz="4" w:space="0" w:color="FFFFFF" w:themeColor="background1"/>
              <w:left w:val="single" w:sz="4" w:space="0" w:color="FFFFFF" w:themeColor="background1"/>
              <w:right w:val="single" w:sz="4" w:space="0" w:color="FFFFFF" w:themeColor="background1"/>
            </w:tcBorders>
            <w:shd w:val="clear" w:color="000000" w:fill="1F497D"/>
            <w:noWrap/>
            <w:vAlign w:val="center"/>
            <w:hideMark/>
          </w:tcPr>
          <w:p w:rsidR="002A4511" w:rsidRDefault="00633DD2">
            <w:pPr>
              <w:pStyle w:val="TableHeader"/>
              <w:keepNext/>
              <w:rPr>
                <w:rFonts w:eastAsia="Calibri" w:cs="Times New Roman"/>
              </w:rPr>
            </w:pPr>
            <w:r w:rsidRPr="00642CC1">
              <w:t xml:space="preserve">Per </w:t>
            </w:r>
            <w:r>
              <w:t>CAC Unit</w:t>
            </w:r>
            <w:r w:rsidRPr="00642CC1">
              <w:t xml:space="preserve"> (kW)</w:t>
            </w:r>
          </w:p>
        </w:tc>
        <w:tc>
          <w:tcPr>
            <w:tcW w:w="1378" w:type="dxa"/>
            <w:tcBorders>
              <w:top w:val="single" w:sz="4" w:space="0" w:color="FFFFFF" w:themeColor="background1"/>
              <w:left w:val="single" w:sz="4" w:space="0" w:color="FFFFFF" w:themeColor="background1"/>
              <w:right w:val="single" w:sz="4" w:space="0" w:color="FFFFFF" w:themeColor="background1"/>
            </w:tcBorders>
            <w:shd w:val="clear" w:color="000000" w:fill="1F497D"/>
            <w:noWrap/>
            <w:vAlign w:val="center"/>
            <w:hideMark/>
          </w:tcPr>
          <w:p w:rsidR="002A4511" w:rsidRDefault="00633DD2">
            <w:pPr>
              <w:pStyle w:val="TableHeader"/>
              <w:keepNext/>
              <w:rPr>
                <w:rFonts w:eastAsia="Calibri" w:cs="Times New Roman"/>
                <w:szCs w:val="28"/>
              </w:rPr>
            </w:pPr>
            <w:r w:rsidRPr="00642CC1">
              <w:t>Per Premise (kW)</w:t>
            </w:r>
          </w:p>
        </w:tc>
        <w:tc>
          <w:tcPr>
            <w:tcW w:w="1232" w:type="dxa"/>
            <w:tcBorders>
              <w:top w:val="single" w:sz="4" w:space="0" w:color="FFFFFF" w:themeColor="background1"/>
              <w:left w:val="single" w:sz="4" w:space="0" w:color="FFFFFF" w:themeColor="background1"/>
              <w:right w:val="single" w:sz="4" w:space="0" w:color="FFFFFF" w:themeColor="background1"/>
            </w:tcBorders>
            <w:shd w:val="clear" w:color="000000" w:fill="1F497D"/>
            <w:noWrap/>
            <w:vAlign w:val="center"/>
            <w:hideMark/>
          </w:tcPr>
          <w:p w:rsidR="002A4511" w:rsidRDefault="00633DD2">
            <w:pPr>
              <w:pStyle w:val="TableHeader"/>
              <w:keepNext/>
              <w:rPr>
                <w:rFonts w:eastAsia="Calibri" w:cs="Times New Roman"/>
                <w:szCs w:val="28"/>
              </w:rPr>
            </w:pPr>
            <w:r w:rsidRPr="00D27623">
              <w:t>Aggregate (MW)</w:t>
            </w:r>
          </w:p>
        </w:tc>
        <w:tc>
          <w:tcPr>
            <w:tcW w:w="1256" w:type="dxa"/>
            <w:tcBorders>
              <w:top w:val="single" w:sz="4" w:space="0" w:color="FFFFFF" w:themeColor="background1"/>
              <w:left w:val="single" w:sz="4" w:space="0" w:color="FFFFFF" w:themeColor="background1"/>
              <w:right w:val="single" w:sz="4" w:space="0" w:color="FFFFFF" w:themeColor="background1"/>
            </w:tcBorders>
            <w:shd w:val="clear" w:color="000000" w:fill="1F497D"/>
            <w:vAlign w:val="center"/>
            <w:hideMark/>
          </w:tcPr>
          <w:p w:rsidR="002A4511" w:rsidRDefault="00633DD2">
            <w:pPr>
              <w:pStyle w:val="TableHeader"/>
              <w:keepNext/>
              <w:rPr>
                <w:rFonts w:eastAsia="Calibri" w:cs="Times New Roman"/>
                <w:szCs w:val="28"/>
              </w:rPr>
            </w:pPr>
            <w:r w:rsidRPr="00D27623">
              <w:t>Midnight-5 PM</w:t>
            </w:r>
          </w:p>
        </w:tc>
        <w:tc>
          <w:tcPr>
            <w:tcW w:w="1170" w:type="dxa"/>
            <w:tcBorders>
              <w:top w:val="single" w:sz="4" w:space="0" w:color="FFFFFF" w:themeColor="background1"/>
              <w:left w:val="single" w:sz="4" w:space="0" w:color="FFFFFF" w:themeColor="background1"/>
            </w:tcBorders>
            <w:shd w:val="clear" w:color="000000" w:fill="1F497D"/>
            <w:vAlign w:val="center"/>
            <w:hideMark/>
          </w:tcPr>
          <w:p w:rsidR="002A4511" w:rsidRDefault="00633DD2">
            <w:pPr>
              <w:pStyle w:val="TableHeader"/>
              <w:keepNext/>
              <w:rPr>
                <w:rFonts w:eastAsia="Calibri" w:cs="Times New Roman"/>
                <w:szCs w:val="28"/>
              </w:rPr>
            </w:pPr>
            <w:r w:rsidRPr="00D27623">
              <w:t>During Event</w:t>
            </w:r>
          </w:p>
        </w:tc>
      </w:tr>
      <w:tr w:rsidR="00633DD2" w:rsidRPr="00D27623" w:rsidTr="00633DD2">
        <w:trPr>
          <w:trHeight w:val="315"/>
          <w:jc w:val="center"/>
        </w:trPr>
        <w:tc>
          <w:tcPr>
            <w:tcW w:w="960" w:type="dxa"/>
            <w:vMerge w:val="restart"/>
            <w:shd w:val="clear" w:color="auto" w:fill="auto"/>
            <w:noWrap/>
            <w:vAlign w:val="center"/>
            <w:hideMark/>
          </w:tcPr>
          <w:p w:rsidR="00633DD2" w:rsidRDefault="00633DD2" w:rsidP="00D27E7F">
            <w:pPr>
              <w:pStyle w:val="TableText"/>
              <w:keepNext/>
              <w:jc w:val="center"/>
            </w:pPr>
            <w:r w:rsidRPr="00D27623">
              <w:t>2010</w:t>
            </w:r>
          </w:p>
        </w:tc>
        <w:tc>
          <w:tcPr>
            <w:tcW w:w="1300" w:type="dxa"/>
            <w:shd w:val="clear" w:color="auto" w:fill="auto"/>
            <w:noWrap/>
            <w:vAlign w:val="bottom"/>
            <w:hideMark/>
          </w:tcPr>
          <w:p w:rsidR="00633DD2" w:rsidRDefault="00633DD2" w:rsidP="00D27E7F">
            <w:pPr>
              <w:pStyle w:val="TableText"/>
              <w:keepNext/>
              <w:jc w:val="center"/>
            </w:pPr>
            <w:r w:rsidRPr="00D27623">
              <w:t>15-Jul-10</w:t>
            </w:r>
          </w:p>
        </w:tc>
        <w:tc>
          <w:tcPr>
            <w:tcW w:w="1264" w:type="dxa"/>
            <w:shd w:val="clear" w:color="auto" w:fill="auto"/>
            <w:noWrap/>
            <w:vAlign w:val="bottom"/>
            <w:hideMark/>
          </w:tcPr>
          <w:p w:rsidR="00633DD2" w:rsidRDefault="00633DD2" w:rsidP="00D27E7F">
            <w:pPr>
              <w:pStyle w:val="TableText"/>
              <w:keepNext/>
              <w:jc w:val="center"/>
            </w:pPr>
            <w:r w:rsidRPr="00D27623">
              <w:t>0.43</w:t>
            </w:r>
          </w:p>
        </w:tc>
        <w:tc>
          <w:tcPr>
            <w:tcW w:w="1378" w:type="dxa"/>
            <w:shd w:val="clear" w:color="auto" w:fill="auto"/>
            <w:noWrap/>
            <w:vAlign w:val="bottom"/>
            <w:hideMark/>
          </w:tcPr>
          <w:p w:rsidR="00633DD2" w:rsidRDefault="00633DD2" w:rsidP="00D27E7F">
            <w:pPr>
              <w:pStyle w:val="TableText"/>
              <w:keepNext/>
              <w:jc w:val="center"/>
            </w:pPr>
            <w:r w:rsidRPr="00D27623">
              <w:t>0.50</w:t>
            </w:r>
          </w:p>
        </w:tc>
        <w:tc>
          <w:tcPr>
            <w:tcW w:w="1232" w:type="dxa"/>
            <w:shd w:val="clear" w:color="auto" w:fill="auto"/>
            <w:noWrap/>
            <w:vAlign w:val="bottom"/>
            <w:hideMark/>
          </w:tcPr>
          <w:p w:rsidR="00633DD2" w:rsidRDefault="00633DD2" w:rsidP="00D27E7F">
            <w:pPr>
              <w:pStyle w:val="TableText"/>
              <w:keepNext/>
              <w:jc w:val="center"/>
            </w:pPr>
            <w:r w:rsidRPr="00D27623">
              <w:t>12</w:t>
            </w:r>
          </w:p>
        </w:tc>
        <w:tc>
          <w:tcPr>
            <w:tcW w:w="1256" w:type="dxa"/>
            <w:shd w:val="clear" w:color="auto" w:fill="auto"/>
            <w:noWrap/>
            <w:vAlign w:val="bottom"/>
            <w:hideMark/>
          </w:tcPr>
          <w:p w:rsidR="00633DD2" w:rsidRDefault="00633DD2" w:rsidP="00D27E7F">
            <w:pPr>
              <w:pStyle w:val="TableText"/>
              <w:keepNext/>
              <w:jc w:val="center"/>
            </w:pPr>
            <w:r w:rsidRPr="00D27623">
              <w:t>77</w:t>
            </w:r>
          </w:p>
        </w:tc>
        <w:tc>
          <w:tcPr>
            <w:tcW w:w="1170" w:type="dxa"/>
            <w:shd w:val="clear" w:color="auto" w:fill="auto"/>
            <w:noWrap/>
            <w:vAlign w:val="bottom"/>
            <w:hideMark/>
          </w:tcPr>
          <w:p w:rsidR="00633DD2" w:rsidRPr="006D410B" w:rsidRDefault="00633DD2" w:rsidP="00D27E7F">
            <w:pPr>
              <w:pStyle w:val="TableText"/>
              <w:keepNext/>
              <w:jc w:val="center"/>
            </w:pPr>
            <w:r w:rsidRPr="006D410B">
              <w:t>85</w:t>
            </w:r>
          </w:p>
        </w:tc>
      </w:tr>
      <w:tr w:rsidR="00633DD2" w:rsidRPr="00D27623"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300" w:type="dxa"/>
            <w:shd w:val="clear" w:color="auto" w:fill="auto"/>
            <w:noWrap/>
            <w:vAlign w:val="bottom"/>
            <w:hideMark/>
          </w:tcPr>
          <w:p w:rsidR="002A4511" w:rsidRDefault="00633DD2">
            <w:pPr>
              <w:pStyle w:val="TableText"/>
              <w:keepNext/>
              <w:jc w:val="center"/>
              <w:rPr>
                <w:rFonts w:eastAsia="Calibri" w:cs="Times New Roman"/>
              </w:rPr>
            </w:pPr>
            <w:r w:rsidRPr="00D27623">
              <w:t>16-Jul-10</w:t>
            </w:r>
          </w:p>
        </w:tc>
        <w:tc>
          <w:tcPr>
            <w:tcW w:w="1264" w:type="dxa"/>
            <w:shd w:val="clear" w:color="auto" w:fill="auto"/>
            <w:noWrap/>
            <w:vAlign w:val="bottom"/>
            <w:hideMark/>
          </w:tcPr>
          <w:p w:rsidR="002A4511" w:rsidRDefault="00633DD2">
            <w:pPr>
              <w:pStyle w:val="TableText"/>
              <w:keepNext/>
              <w:jc w:val="center"/>
              <w:rPr>
                <w:rFonts w:eastAsia="Calibri" w:cs="Times New Roman"/>
              </w:rPr>
            </w:pPr>
            <w:r w:rsidRPr="00D27623">
              <w:t>0.58</w:t>
            </w:r>
          </w:p>
        </w:tc>
        <w:tc>
          <w:tcPr>
            <w:tcW w:w="1378" w:type="dxa"/>
            <w:shd w:val="clear" w:color="auto" w:fill="auto"/>
            <w:noWrap/>
            <w:vAlign w:val="bottom"/>
            <w:hideMark/>
          </w:tcPr>
          <w:p w:rsidR="002A4511" w:rsidRDefault="00633DD2">
            <w:pPr>
              <w:pStyle w:val="TableText"/>
              <w:keepNext/>
              <w:jc w:val="center"/>
              <w:rPr>
                <w:rFonts w:eastAsia="Calibri" w:cs="Times New Roman"/>
              </w:rPr>
            </w:pPr>
            <w:r w:rsidRPr="00D27623">
              <w:t>0.67</w:t>
            </w:r>
          </w:p>
        </w:tc>
        <w:tc>
          <w:tcPr>
            <w:tcW w:w="1232" w:type="dxa"/>
            <w:shd w:val="clear" w:color="auto" w:fill="auto"/>
            <w:noWrap/>
            <w:vAlign w:val="bottom"/>
            <w:hideMark/>
          </w:tcPr>
          <w:p w:rsidR="002A4511" w:rsidRDefault="00633DD2">
            <w:pPr>
              <w:pStyle w:val="TableText"/>
              <w:keepNext/>
              <w:jc w:val="center"/>
              <w:rPr>
                <w:rFonts w:eastAsia="Calibri" w:cs="Times New Roman"/>
              </w:rPr>
            </w:pPr>
            <w:r w:rsidRPr="00D27623">
              <w:t>16</w:t>
            </w:r>
          </w:p>
        </w:tc>
        <w:tc>
          <w:tcPr>
            <w:tcW w:w="1256" w:type="dxa"/>
            <w:shd w:val="clear" w:color="auto" w:fill="auto"/>
            <w:noWrap/>
            <w:vAlign w:val="bottom"/>
            <w:hideMark/>
          </w:tcPr>
          <w:p w:rsidR="002A4511" w:rsidRDefault="00633DD2">
            <w:pPr>
              <w:pStyle w:val="TableText"/>
              <w:keepNext/>
              <w:jc w:val="center"/>
              <w:rPr>
                <w:rFonts w:eastAsia="Calibri" w:cs="Times New Roman"/>
              </w:rPr>
            </w:pPr>
            <w:r w:rsidRPr="00D27623">
              <w:t>80</w:t>
            </w:r>
          </w:p>
        </w:tc>
        <w:tc>
          <w:tcPr>
            <w:tcW w:w="1170" w:type="dxa"/>
            <w:shd w:val="clear" w:color="auto" w:fill="auto"/>
            <w:noWrap/>
            <w:vAlign w:val="bottom"/>
            <w:hideMark/>
          </w:tcPr>
          <w:p w:rsidR="002A4511" w:rsidRDefault="00633DD2">
            <w:pPr>
              <w:pStyle w:val="TableText"/>
              <w:keepNext/>
              <w:jc w:val="center"/>
              <w:rPr>
                <w:rFonts w:eastAsia="Calibri" w:cs="Times New Roman"/>
              </w:rPr>
            </w:pPr>
            <w:r w:rsidRPr="006D410B">
              <w:t>88</w:t>
            </w:r>
          </w:p>
        </w:tc>
      </w:tr>
      <w:tr w:rsidR="00633DD2" w:rsidRPr="00D27623"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300" w:type="dxa"/>
            <w:shd w:val="clear" w:color="auto" w:fill="auto"/>
            <w:noWrap/>
            <w:vAlign w:val="bottom"/>
            <w:hideMark/>
          </w:tcPr>
          <w:p w:rsidR="002A4511" w:rsidRDefault="00633DD2">
            <w:pPr>
              <w:pStyle w:val="TableText"/>
              <w:keepNext/>
              <w:jc w:val="center"/>
              <w:rPr>
                <w:rFonts w:eastAsia="Calibri" w:cs="Times New Roman"/>
              </w:rPr>
            </w:pPr>
            <w:r w:rsidRPr="00D27623">
              <w:t>17-Aug-10</w:t>
            </w:r>
          </w:p>
        </w:tc>
        <w:tc>
          <w:tcPr>
            <w:tcW w:w="1264" w:type="dxa"/>
            <w:shd w:val="clear" w:color="auto" w:fill="auto"/>
            <w:noWrap/>
            <w:vAlign w:val="bottom"/>
            <w:hideMark/>
          </w:tcPr>
          <w:p w:rsidR="002A4511" w:rsidRDefault="00633DD2">
            <w:pPr>
              <w:pStyle w:val="TableText"/>
              <w:keepNext/>
              <w:jc w:val="center"/>
              <w:rPr>
                <w:rFonts w:eastAsia="Calibri" w:cs="Times New Roman"/>
              </w:rPr>
            </w:pPr>
            <w:r w:rsidRPr="00D27623">
              <w:t>0.46</w:t>
            </w:r>
          </w:p>
        </w:tc>
        <w:tc>
          <w:tcPr>
            <w:tcW w:w="1378" w:type="dxa"/>
            <w:shd w:val="clear" w:color="auto" w:fill="auto"/>
            <w:noWrap/>
            <w:vAlign w:val="bottom"/>
            <w:hideMark/>
          </w:tcPr>
          <w:p w:rsidR="002A4511" w:rsidRDefault="00633DD2">
            <w:pPr>
              <w:pStyle w:val="TableText"/>
              <w:keepNext/>
              <w:jc w:val="center"/>
              <w:rPr>
                <w:rFonts w:eastAsia="Calibri" w:cs="Times New Roman"/>
                <w:b/>
              </w:rPr>
            </w:pPr>
            <w:r w:rsidRPr="00D27623">
              <w:t>0.54</w:t>
            </w:r>
          </w:p>
        </w:tc>
        <w:tc>
          <w:tcPr>
            <w:tcW w:w="1232" w:type="dxa"/>
            <w:shd w:val="clear" w:color="auto" w:fill="auto"/>
            <w:noWrap/>
            <w:vAlign w:val="bottom"/>
            <w:hideMark/>
          </w:tcPr>
          <w:p w:rsidR="002A4511" w:rsidRDefault="00633DD2">
            <w:pPr>
              <w:pStyle w:val="TableText"/>
              <w:keepNext/>
              <w:jc w:val="center"/>
              <w:rPr>
                <w:rFonts w:eastAsia="Calibri" w:cs="Times New Roman"/>
                <w:b/>
              </w:rPr>
            </w:pPr>
            <w:r w:rsidRPr="00D27623">
              <w:t>13</w:t>
            </w:r>
          </w:p>
        </w:tc>
        <w:tc>
          <w:tcPr>
            <w:tcW w:w="1256" w:type="dxa"/>
            <w:shd w:val="clear" w:color="auto" w:fill="auto"/>
            <w:noWrap/>
            <w:vAlign w:val="bottom"/>
            <w:hideMark/>
          </w:tcPr>
          <w:p w:rsidR="002A4511" w:rsidRDefault="00633DD2">
            <w:pPr>
              <w:pStyle w:val="TableText"/>
              <w:keepNext/>
              <w:jc w:val="center"/>
              <w:rPr>
                <w:rFonts w:eastAsia="Calibri" w:cs="Times New Roman"/>
                <w:b/>
              </w:rPr>
            </w:pPr>
            <w:r w:rsidRPr="00D27623">
              <w:t>77</w:t>
            </w:r>
          </w:p>
        </w:tc>
        <w:tc>
          <w:tcPr>
            <w:tcW w:w="1170" w:type="dxa"/>
            <w:shd w:val="clear" w:color="auto" w:fill="auto"/>
            <w:noWrap/>
            <w:vAlign w:val="bottom"/>
            <w:hideMark/>
          </w:tcPr>
          <w:p w:rsidR="002A4511" w:rsidRDefault="00633DD2">
            <w:pPr>
              <w:pStyle w:val="TableText"/>
              <w:keepNext/>
              <w:jc w:val="center"/>
              <w:rPr>
                <w:rFonts w:eastAsia="Calibri" w:cs="Times New Roman"/>
              </w:rPr>
            </w:pPr>
            <w:r w:rsidRPr="006D410B">
              <w:t>85</w:t>
            </w:r>
          </w:p>
        </w:tc>
      </w:tr>
      <w:tr w:rsidR="00633DD2" w:rsidRPr="00D27623"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300" w:type="dxa"/>
            <w:shd w:val="clear" w:color="auto" w:fill="auto"/>
            <w:noWrap/>
            <w:vAlign w:val="bottom"/>
            <w:hideMark/>
          </w:tcPr>
          <w:p w:rsidR="002A4511" w:rsidRDefault="00633DD2">
            <w:pPr>
              <w:pStyle w:val="TableText"/>
              <w:keepNext/>
              <w:jc w:val="center"/>
              <w:rPr>
                <w:rFonts w:eastAsia="Calibri" w:cs="Times New Roman"/>
              </w:rPr>
            </w:pPr>
            <w:r w:rsidRPr="00D27623">
              <w:t>18-Aug-10</w:t>
            </w:r>
          </w:p>
        </w:tc>
        <w:tc>
          <w:tcPr>
            <w:tcW w:w="1264" w:type="dxa"/>
            <w:shd w:val="clear" w:color="auto" w:fill="auto"/>
            <w:noWrap/>
            <w:vAlign w:val="bottom"/>
            <w:hideMark/>
          </w:tcPr>
          <w:p w:rsidR="002A4511" w:rsidRDefault="00633DD2">
            <w:pPr>
              <w:pStyle w:val="TableText"/>
              <w:keepNext/>
              <w:jc w:val="center"/>
              <w:rPr>
                <w:rFonts w:eastAsia="Calibri" w:cs="Times New Roman"/>
              </w:rPr>
            </w:pPr>
            <w:r w:rsidRPr="00D27623">
              <w:t>0.58</w:t>
            </w:r>
          </w:p>
        </w:tc>
        <w:tc>
          <w:tcPr>
            <w:tcW w:w="1378" w:type="dxa"/>
            <w:shd w:val="clear" w:color="auto" w:fill="auto"/>
            <w:noWrap/>
            <w:vAlign w:val="bottom"/>
            <w:hideMark/>
          </w:tcPr>
          <w:p w:rsidR="002A4511" w:rsidRDefault="00633DD2">
            <w:pPr>
              <w:pStyle w:val="TableText"/>
              <w:keepNext/>
              <w:jc w:val="center"/>
              <w:rPr>
                <w:rFonts w:eastAsia="Calibri" w:cs="Times New Roman"/>
              </w:rPr>
            </w:pPr>
            <w:r w:rsidRPr="00D27623">
              <w:t>0.68</w:t>
            </w:r>
          </w:p>
        </w:tc>
        <w:tc>
          <w:tcPr>
            <w:tcW w:w="1232" w:type="dxa"/>
            <w:shd w:val="clear" w:color="auto" w:fill="auto"/>
            <w:noWrap/>
            <w:vAlign w:val="bottom"/>
            <w:hideMark/>
          </w:tcPr>
          <w:p w:rsidR="002A4511" w:rsidRDefault="00633DD2">
            <w:pPr>
              <w:pStyle w:val="TableText"/>
              <w:keepNext/>
              <w:jc w:val="center"/>
              <w:rPr>
                <w:rFonts w:eastAsia="Calibri" w:cs="Times New Roman"/>
              </w:rPr>
            </w:pPr>
            <w:r w:rsidRPr="00D27623">
              <w:t>17</w:t>
            </w:r>
          </w:p>
        </w:tc>
        <w:tc>
          <w:tcPr>
            <w:tcW w:w="1256" w:type="dxa"/>
            <w:shd w:val="clear" w:color="auto" w:fill="auto"/>
            <w:noWrap/>
            <w:vAlign w:val="bottom"/>
            <w:hideMark/>
          </w:tcPr>
          <w:p w:rsidR="002A4511" w:rsidRDefault="00633DD2">
            <w:pPr>
              <w:pStyle w:val="TableText"/>
              <w:keepNext/>
              <w:jc w:val="center"/>
              <w:rPr>
                <w:rFonts w:eastAsia="Calibri" w:cs="Times New Roman"/>
              </w:rPr>
            </w:pPr>
            <w:r w:rsidRPr="00D27623">
              <w:t>80</w:t>
            </w:r>
          </w:p>
        </w:tc>
        <w:tc>
          <w:tcPr>
            <w:tcW w:w="1170" w:type="dxa"/>
            <w:shd w:val="clear" w:color="auto" w:fill="auto"/>
            <w:noWrap/>
            <w:vAlign w:val="bottom"/>
            <w:hideMark/>
          </w:tcPr>
          <w:p w:rsidR="002A4511" w:rsidRDefault="00633DD2">
            <w:pPr>
              <w:pStyle w:val="TableText"/>
              <w:keepNext/>
              <w:jc w:val="center"/>
              <w:rPr>
                <w:rFonts w:eastAsia="Calibri" w:cs="Times New Roman"/>
              </w:rPr>
            </w:pPr>
            <w:r w:rsidRPr="006D410B">
              <w:t>87</w:t>
            </w:r>
          </w:p>
        </w:tc>
      </w:tr>
      <w:tr w:rsidR="00633DD2" w:rsidRPr="00D27623"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300" w:type="dxa"/>
            <w:shd w:val="clear" w:color="auto" w:fill="auto"/>
            <w:noWrap/>
            <w:vAlign w:val="bottom"/>
            <w:hideMark/>
          </w:tcPr>
          <w:p w:rsidR="002A4511" w:rsidRDefault="00633DD2">
            <w:pPr>
              <w:pStyle w:val="TableText"/>
              <w:keepNext/>
              <w:jc w:val="center"/>
              <w:rPr>
                <w:rFonts w:eastAsia="Calibri" w:cs="Times New Roman"/>
              </w:rPr>
            </w:pPr>
            <w:r w:rsidRPr="00D27623">
              <w:t>19-Aug-10</w:t>
            </w:r>
          </w:p>
        </w:tc>
        <w:tc>
          <w:tcPr>
            <w:tcW w:w="1264" w:type="dxa"/>
            <w:shd w:val="clear" w:color="auto" w:fill="auto"/>
            <w:noWrap/>
            <w:vAlign w:val="bottom"/>
            <w:hideMark/>
          </w:tcPr>
          <w:p w:rsidR="002A4511" w:rsidRDefault="00633DD2">
            <w:pPr>
              <w:pStyle w:val="TableText"/>
              <w:keepNext/>
              <w:jc w:val="center"/>
              <w:rPr>
                <w:rFonts w:eastAsia="Calibri" w:cs="Times New Roman"/>
              </w:rPr>
            </w:pPr>
            <w:r w:rsidRPr="00D27623">
              <w:t>0.50</w:t>
            </w:r>
          </w:p>
        </w:tc>
        <w:tc>
          <w:tcPr>
            <w:tcW w:w="1378" w:type="dxa"/>
            <w:shd w:val="clear" w:color="auto" w:fill="auto"/>
            <w:noWrap/>
            <w:vAlign w:val="bottom"/>
            <w:hideMark/>
          </w:tcPr>
          <w:p w:rsidR="002A4511" w:rsidRDefault="00633DD2">
            <w:pPr>
              <w:pStyle w:val="TableText"/>
              <w:keepNext/>
              <w:jc w:val="center"/>
              <w:rPr>
                <w:rFonts w:eastAsia="Calibri" w:cs="Times New Roman"/>
              </w:rPr>
            </w:pPr>
            <w:r w:rsidRPr="00D27623">
              <w:t>0.58</w:t>
            </w:r>
          </w:p>
        </w:tc>
        <w:tc>
          <w:tcPr>
            <w:tcW w:w="1232" w:type="dxa"/>
            <w:shd w:val="clear" w:color="auto" w:fill="auto"/>
            <w:noWrap/>
            <w:vAlign w:val="bottom"/>
            <w:hideMark/>
          </w:tcPr>
          <w:p w:rsidR="002A4511" w:rsidRDefault="00633DD2">
            <w:pPr>
              <w:pStyle w:val="TableText"/>
              <w:keepNext/>
              <w:jc w:val="center"/>
              <w:rPr>
                <w:rFonts w:eastAsia="Calibri" w:cs="Times New Roman"/>
              </w:rPr>
            </w:pPr>
            <w:r w:rsidRPr="00D27623">
              <w:t>14</w:t>
            </w:r>
          </w:p>
        </w:tc>
        <w:tc>
          <w:tcPr>
            <w:tcW w:w="1256" w:type="dxa"/>
            <w:shd w:val="clear" w:color="auto" w:fill="auto"/>
            <w:noWrap/>
            <w:vAlign w:val="bottom"/>
            <w:hideMark/>
          </w:tcPr>
          <w:p w:rsidR="002A4511" w:rsidRDefault="00633DD2">
            <w:pPr>
              <w:pStyle w:val="TableText"/>
              <w:keepNext/>
              <w:jc w:val="center"/>
              <w:rPr>
                <w:rFonts w:eastAsia="Calibri" w:cs="Times New Roman"/>
              </w:rPr>
            </w:pPr>
            <w:r w:rsidRPr="00D27623">
              <w:t>78</w:t>
            </w:r>
          </w:p>
        </w:tc>
        <w:tc>
          <w:tcPr>
            <w:tcW w:w="1170" w:type="dxa"/>
            <w:shd w:val="clear" w:color="auto" w:fill="auto"/>
            <w:noWrap/>
            <w:vAlign w:val="bottom"/>
            <w:hideMark/>
          </w:tcPr>
          <w:p w:rsidR="002A4511" w:rsidRDefault="00633DD2">
            <w:pPr>
              <w:pStyle w:val="TableText"/>
              <w:keepNext/>
              <w:jc w:val="center"/>
              <w:rPr>
                <w:rFonts w:eastAsia="Calibri" w:cs="Times New Roman"/>
              </w:rPr>
            </w:pPr>
            <w:r w:rsidRPr="006D410B">
              <w:t>85</w:t>
            </w:r>
          </w:p>
        </w:tc>
      </w:tr>
      <w:tr w:rsidR="00633DD2" w:rsidRPr="00D27623"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300" w:type="dxa"/>
            <w:shd w:val="clear" w:color="auto" w:fill="auto"/>
            <w:noWrap/>
            <w:vAlign w:val="bottom"/>
            <w:hideMark/>
          </w:tcPr>
          <w:p w:rsidR="002A4511" w:rsidRDefault="00633DD2">
            <w:pPr>
              <w:pStyle w:val="TableText"/>
              <w:keepNext/>
              <w:jc w:val="center"/>
              <w:rPr>
                <w:rFonts w:eastAsia="Calibri" w:cs="Times New Roman"/>
              </w:rPr>
            </w:pPr>
            <w:r w:rsidRPr="00D27623">
              <w:t>23-Aug-10</w:t>
            </w:r>
          </w:p>
        </w:tc>
        <w:tc>
          <w:tcPr>
            <w:tcW w:w="1264" w:type="dxa"/>
            <w:shd w:val="clear" w:color="auto" w:fill="auto"/>
            <w:noWrap/>
            <w:vAlign w:val="bottom"/>
            <w:hideMark/>
          </w:tcPr>
          <w:p w:rsidR="002A4511" w:rsidRDefault="00633DD2">
            <w:pPr>
              <w:pStyle w:val="TableText"/>
              <w:keepNext/>
              <w:jc w:val="center"/>
              <w:rPr>
                <w:rFonts w:eastAsia="Calibri" w:cs="Times New Roman"/>
              </w:rPr>
            </w:pPr>
            <w:r w:rsidRPr="00D27623">
              <w:t>0.52</w:t>
            </w:r>
          </w:p>
        </w:tc>
        <w:tc>
          <w:tcPr>
            <w:tcW w:w="1378" w:type="dxa"/>
            <w:shd w:val="clear" w:color="auto" w:fill="auto"/>
            <w:noWrap/>
            <w:vAlign w:val="bottom"/>
            <w:hideMark/>
          </w:tcPr>
          <w:p w:rsidR="002A4511" w:rsidRDefault="00633DD2">
            <w:pPr>
              <w:pStyle w:val="TableText"/>
              <w:keepNext/>
              <w:jc w:val="center"/>
              <w:rPr>
                <w:rFonts w:eastAsia="Calibri" w:cs="Times New Roman"/>
              </w:rPr>
            </w:pPr>
            <w:r w:rsidRPr="00D27623">
              <w:t>0.61</w:t>
            </w:r>
          </w:p>
        </w:tc>
        <w:tc>
          <w:tcPr>
            <w:tcW w:w="1232" w:type="dxa"/>
            <w:shd w:val="clear" w:color="auto" w:fill="auto"/>
            <w:noWrap/>
            <w:vAlign w:val="bottom"/>
            <w:hideMark/>
          </w:tcPr>
          <w:p w:rsidR="002A4511" w:rsidRDefault="00633DD2">
            <w:pPr>
              <w:pStyle w:val="TableText"/>
              <w:keepNext/>
              <w:jc w:val="center"/>
              <w:rPr>
                <w:rFonts w:eastAsia="Calibri" w:cs="Times New Roman"/>
              </w:rPr>
            </w:pPr>
            <w:r w:rsidRPr="00D27623">
              <w:t>15</w:t>
            </w:r>
          </w:p>
        </w:tc>
        <w:tc>
          <w:tcPr>
            <w:tcW w:w="1256" w:type="dxa"/>
            <w:shd w:val="clear" w:color="auto" w:fill="auto"/>
            <w:noWrap/>
            <w:vAlign w:val="bottom"/>
            <w:hideMark/>
          </w:tcPr>
          <w:p w:rsidR="002A4511" w:rsidRDefault="00633DD2">
            <w:pPr>
              <w:pStyle w:val="TableText"/>
              <w:keepNext/>
              <w:jc w:val="center"/>
              <w:rPr>
                <w:rFonts w:eastAsia="Calibri" w:cs="Times New Roman"/>
              </w:rPr>
            </w:pPr>
            <w:r w:rsidRPr="00D27623">
              <w:t>77</w:t>
            </w:r>
          </w:p>
        </w:tc>
        <w:tc>
          <w:tcPr>
            <w:tcW w:w="1170" w:type="dxa"/>
            <w:shd w:val="clear" w:color="auto" w:fill="auto"/>
            <w:noWrap/>
            <w:vAlign w:val="bottom"/>
            <w:hideMark/>
          </w:tcPr>
          <w:p w:rsidR="002A4511" w:rsidRDefault="00633DD2">
            <w:pPr>
              <w:pStyle w:val="TableText"/>
              <w:keepNext/>
              <w:jc w:val="center"/>
              <w:rPr>
                <w:rFonts w:eastAsia="Calibri" w:cs="Times New Roman"/>
              </w:rPr>
            </w:pPr>
            <w:r w:rsidRPr="006D410B">
              <w:t>87</w:t>
            </w:r>
          </w:p>
        </w:tc>
      </w:tr>
      <w:tr w:rsidR="00633DD2" w:rsidRPr="00D27623"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300" w:type="dxa"/>
            <w:shd w:val="clear" w:color="auto" w:fill="auto"/>
            <w:noWrap/>
            <w:vAlign w:val="bottom"/>
            <w:hideMark/>
          </w:tcPr>
          <w:p w:rsidR="002A4511" w:rsidRDefault="00633DD2">
            <w:pPr>
              <w:pStyle w:val="TableText"/>
              <w:keepNext/>
              <w:jc w:val="center"/>
              <w:rPr>
                <w:rFonts w:eastAsia="Calibri" w:cs="Times New Roman"/>
              </w:rPr>
            </w:pPr>
            <w:r w:rsidRPr="00D27623">
              <w:t>24-Aug-10</w:t>
            </w:r>
          </w:p>
        </w:tc>
        <w:tc>
          <w:tcPr>
            <w:tcW w:w="1264" w:type="dxa"/>
            <w:shd w:val="clear" w:color="auto" w:fill="auto"/>
            <w:noWrap/>
            <w:vAlign w:val="bottom"/>
            <w:hideMark/>
          </w:tcPr>
          <w:p w:rsidR="002A4511" w:rsidRDefault="00633DD2">
            <w:pPr>
              <w:pStyle w:val="TableText"/>
              <w:keepNext/>
              <w:jc w:val="center"/>
              <w:rPr>
                <w:rFonts w:eastAsia="Calibri" w:cs="Times New Roman"/>
              </w:rPr>
            </w:pPr>
            <w:r w:rsidRPr="00D27623">
              <w:t>0.53</w:t>
            </w:r>
          </w:p>
        </w:tc>
        <w:tc>
          <w:tcPr>
            <w:tcW w:w="1378" w:type="dxa"/>
            <w:shd w:val="clear" w:color="auto" w:fill="auto"/>
            <w:noWrap/>
            <w:vAlign w:val="bottom"/>
            <w:hideMark/>
          </w:tcPr>
          <w:p w:rsidR="002A4511" w:rsidRDefault="00633DD2">
            <w:pPr>
              <w:pStyle w:val="TableText"/>
              <w:keepNext/>
              <w:jc w:val="center"/>
              <w:rPr>
                <w:rFonts w:eastAsia="Calibri" w:cs="Times New Roman"/>
              </w:rPr>
            </w:pPr>
            <w:r w:rsidRPr="00D27623">
              <w:t>0.62</w:t>
            </w:r>
          </w:p>
        </w:tc>
        <w:tc>
          <w:tcPr>
            <w:tcW w:w="1232" w:type="dxa"/>
            <w:shd w:val="clear" w:color="auto" w:fill="auto"/>
            <w:noWrap/>
            <w:vAlign w:val="bottom"/>
            <w:hideMark/>
          </w:tcPr>
          <w:p w:rsidR="002A4511" w:rsidRDefault="00633DD2">
            <w:pPr>
              <w:pStyle w:val="TableText"/>
              <w:keepNext/>
              <w:jc w:val="center"/>
              <w:rPr>
                <w:rFonts w:eastAsia="Calibri" w:cs="Times New Roman"/>
              </w:rPr>
            </w:pPr>
            <w:r w:rsidRPr="00D27623">
              <w:t>15</w:t>
            </w:r>
          </w:p>
        </w:tc>
        <w:tc>
          <w:tcPr>
            <w:tcW w:w="1256" w:type="dxa"/>
            <w:shd w:val="clear" w:color="auto" w:fill="auto"/>
            <w:noWrap/>
            <w:vAlign w:val="bottom"/>
            <w:hideMark/>
          </w:tcPr>
          <w:p w:rsidR="002A4511" w:rsidRDefault="00633DD2">
            <w:pPr>
              <w:pStyle w:val="TableText"/>
              <w:keepNext/>
              <w:jc w:val="center"/>
              <w:rPr>
                <w:rFonts w:eastAsia="Calibri" w:cs="Times New Roman"/>
              </w:rPr>
            </w:pPr>
            <w:r w:rsidRPr="00D27623">
              <w:t>78</w:t>
            </w:r>
          </w:p>
        </w:tc>
        <w:tc>
          <w:tcPr>
            <w:tcW w:w="1170" w:type="dxa"/>
            <w:shd w:val="clear" w:color="auto" w:fill="auto"/>
            <w:noWrap/>
            <w:vAlign w:val="bottom"/>
            <w:hideMark/>
          </w:tcPr>
          <w:p w:rsidR="002A4511" w:rsidRDefault="00633DD2">
            <w:pPr>
              <w:pStyle w:val="TableText"/>
              <w:keepNext/>
              <w:jc w:val="center"/>
              <w:rPr>
                <w:rFonts w:eastAsia="Calibri" w:cs="Times New Roman"/>
              </w:rPr>
            </w:pPr>
            <w:r w:rsidRPr="006D410B">
              <w:t>88</w:t>
            </w:r>
          </w:p>
        </w:tc>
      </w:tr>
      <w:tr w:rsidR="00633DD2" w:rsidRPr="00D27623"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300" w:type="dxa"/>
            <w:shd w:val="clear" w:color="auto" w:fill="auto"/>
            <w:noWrap/>
            <w:vAlign w:val="bottom"/>
            <w:hideMark/>
          </w:tcPr>
          <w:p w:rsidR="002A4511" w:rsidRDefault="00633DD2">
            <w:pPr>
              <w:pStyle w:val="TableText"/>
              <w:keepNext/>
              <w:jc w:val="center"/>
              <w:rPr>
                <w:rFonts w:eastAsia="Calibri" w:cs="Times New Roman"/>
              </w:rPr>
            </w:pPr>
            <w:r w:rsidRPr="00D27623">
              <w:t>25-Aug-10</w:t>
            </w:r>
          </w:p>
        </w:tc>
        <w:tc>
          <w:tcPr>
            <w:tcW w:w="1264" w:type="dxa"/>
            <w:shd w:val="clear" w:color="auto" w:fill="auto"/>
            <w:noWrap/>
            <w:vAlign w:val="bottom"/>
            <w:hideMark/>
          </w:tcPr>
          <w:p w:rsidR="002A4511" w:rsidRDefault="00633DD2">
            <w:pPr>
              <w:pStyle w:val="TableText"/>
              <w:keepNext/>
              <w:jc w:val="center"/>
              <w:rPr>
                <w:rFonts w:eastAsia="Calibri" w:cs="Times New Roman"/>
              </w:rPr>
            </w:pPr>
            <w:r w:rsidRPr="00D27623">
              <w:t>0.46</w:t>
            </w:r>
          </w:p>
        </w:tc>
        <w:tc>
          <w:tcPr>
            <w:tcW w:w="1378" w:type="dxa"/>
            <w:shd w:val="clear" w:color="auto" w:fill="auto"/>
            <w:noWrap/>
            <w:vAlign w:val="bottom"/>
            <w:hideMark/>
          </w:tcPr>
          <w:p w:rsidR="002A4511" w:rsidRDefault="00633DD2">
            <w:pPr>
              <w:pStyle w:val="TableText"/>
              <w:keepNext/>
              <w:jc w:val="center"/>
              <w:rPr>
                <w:rFonts w:eastAsia="Calibri" w:cs="Times New Roman"/>
              </w:rPr>
            </w:pPr>
            <w:r w:rsidRPr="00D27623">
              <w:t>0.54</w:t>
            </w:r>
          </w:p>
        </w:tc>
        <w:tc>
          <w:tcPr>
            <w:tcW w:w="1232" w:type="dxa"/>
            <w:shd w:val="clear" w:color="auto" w:fill="auto"/>
            <w:noWrap/>
            <w:vAlign w:val="bottom"/>
            <w:hideMark/>
          </w:tcPr>
          <w:p w:rsidR="002A4511" w:rsidRDefault="00633DD2">
            <w:pPr>
              <w:pStyle w:val="TableText"/>
              <w:keepNext/>
              <w:jc w:val="center"/>
              <w:rPr>
                <w:rFonts w:eastAsia="Calibri" w:cs="Times New Roman"/>
              </w:rPr>
            </w:pPr>
            <w:r w:rsidRPr="00D27623">
              <w:t>13</w:t>
            </w:r>
          </w:p>
        </w:tc>
        <w:tc>
          <w:tcPr>
            <w:tcW w:w="1256" w:type="dxa"/>
            <w:shd w:val="clear" w:color="auto" w:fill="auto"/>
            <w:noWrap/>
            <w:vAlign w:val="bottom"/>
            <w:hideMark/>
          </w:tcPr>
          <w:p w:rsidR="002A4511" w:rsidRDefault="00633DD2">
            <w:pPr>
              <w:pStyle w:val="TableText"/>
              <w:keepNext/>
              <w:jc w:val="center"/>
              <w:rPr>
                <w:rFonts w:eastAsia="Calibri" w:cs="Times New Roman"/>
              </w:rPr>
            </w:pPr>
            <w:r w:rsidRPr="00D27623">
              <w:t>78</w:t>
            </w:r>
          </w:p>
        </w:tc>
        <w:tc>
          <w:tcPr>
            <w:tcW w:w="1170" w:type="dxa"/>
            <w:shd w:val="clear" w:color="auto" w:fill="auto"/>
            <w:noWrap/>
            <w:vAlign w:val="bottom"/>
            <w:hideMark/>
          </w:tcPr>
          <w:p w:rsidR="002A4511" w:rsidRDefault="00633DD2">
            <w:pPr>
              <w:pStyle w:val="TableText"/>
              <w:keepNext/>
              <w:jc w:val="center"/>
              <w:rPr>
                <w:rFonts w:eastAsia="Calibri" w:cs="Times New Roman"/>
              </w:rPr>
            </w:pPr>
            <w:r w:rsidRPr="006D410B">
              <w:t>85</w:t>
            </w:r>
          </w:p>
        </w:tc>
      </w:tr>
      <w:tr w:rsidR="00633DD2" w:rsidRPr="00D27623"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300" w:type="dxa"/>
            <w:shd w:val="clear" w:color="auto" w:fill="auto"/>
            <w:noWrap/>
            <w:vAlign w:val="bottom"/>
            <w:hideMark/>
          </w:tcPr>
          <w:p w:rsidR="002A4511" w:rsidRDefault="00633DD2">
            <w:pPr>
              <w:pStyle w:val="TableText"/>
              <w:keepNext/>
              <w:jc w:val="center"/>
              <w:rPr>
                <w:rFonts w:eastAsia="Calibri" w:cs="Times New Roman"/>
              </w:rPr>
            </w:pPr>
            <w:r w:rsidRPr="00D27623">
              <w:t>27-Sep-10</w:t>
            </w:r>
          </w:p>
        </w:tc>
        <w:tc>
          <w:tcPr>
            <w:tcW w:w="1264" w:type="dxa"/>
            <w:shd w:val="clear" w:color="auto" w:fill="auto"/>
            <w:noWrap/>
            <w:vAlign w:val="bottom"/>
            <w:hideMark/>
          </w:tcPr>
          <w:p w:rsidR="002A4511" w:rsidRDefault="00633DD2">
            <w:pPr>
              <w:pStyle w:val="TableText"/>
              <w:keepNext/>
              <w:jc w:val="center"/>
              <w:rPr>
                <w:rFonts w:eastAsia="Calibri" w:cs="Times New Roman"/>
              </w:rPr>
            </w:pPr>
            <w:r w:rsidRPr="00D27623">
              <w:t>1.02</w:t>
            </w:r>
          </w:p>
        </w:tc>
        <w:tc>
          <w:tcPr>
            <w:tcW w:w="1378" w:type="dxa"/>
            <w:shd w:val="clear" w:color="auto" w:fill="auto"/>
            <w:noWrap/>
            <w:vAlign w:val="bottom"/>
            <w:hideMark/>
          </w:tcPr>
          <w:p w:rsidR="002A4511" w:rsidRDefault="00633DD2">
            <w:pPr>
              <w:pStyle w:val="TableText"/>
              <w:keepNext/>
              <w:jc w:val="center"/>
              <w:rPr>
                <w:rFonts w:eastAsia="Calibri" w:cs="Times New Roman"/>
              </w:rPr>
            </w:pPr>
            <w:r w:rsidRPr="00D27623">
              <w:t>1.19</w:t>
            </w:r>
          </w:p>
        </w:tc>
        <w:tc>
          <w:tcPr>
            <w:tcW w:w="1232" w:type="dxa"/>
            <w:shd w:val="clear" w:color="auto" w:fill="auto"/>
            <w:noWrap/>
            <w:vAlign w:val="bottom"/>
            <w:hideMark/>
          </w:tcPr>
          <w:p w:rsidR="002A4511" w:rsidRDefault="00633DD2">
            <w:pPr>
              <w:pStyle w:val="TableText"/>
              <w:keepNext/>
              <w:jc w:val="center"/>
              <w:rPr>
                <w:rFonts w:eastAsia="Calibri" w:cs="Times New Roman"/>
              </w:rPr>
            </w:pPr>
            <w:r w:rsidRPr="00D27623">
              <w:t>29</w:t>
            </w:r>
          </w:p>
        </w:tc>
        <w:tc>
          <w:tcPr>
            <w:tcW w:w="1256" w:type="dxa"/>
            <w:shd w:val="clear" w:color="auto" w:fill="auto"/>
            <w:noWrap/>
            <w:vAlign w:val="bottom"/>
            <w:hideMark/>
          </w:tcPr>
          <w:p w:rsidR="002A4511" w:rsidRDefault="00633DD2">
            <w:pPr>
              <w:pStyle w:val="TableText"/>
              <w:keepNext/>
              <w:jc w:val="center"/>
              <w:rPr>
                <w:rFonts w:eastAsia="Calibri" w:cs="Times New Roman"/>
              </w:rPr>
            </w:pPr>
            <w:r w:rsidRPr="00D27623">
              <w:t>87</w:t>
            </w:r>
          </w:p>
        </w:tc>
        <w:tc>
          <w:tcPr>
            <w:tcW w:w="1170" w:type="dxa"/>
            <w:shd w:val="clear" w:color="auto" w:fill="auto"/>
            <w:noWrap/>
            <w:vAlign w:val="bottom"/>
            <w:hideMark/>
          </w:tcPr>
          <w:p w:rsidR="002A4511" w:rsidRDefault="00633DD2">
            <w:pPr>
              <w:pStyle w:val="TableText"/>
              <w:keepNext/>
              <w:jc w:val="center"/>
              <w:rPr>
                <w:rFonts w:eastAsia="Calibri" w:cs="Times New Roman"/>
              </w:rPr>
            </w:pPr>
            <w:r w:rsidRPr="006D410B">
              <w:t>95</w:t>
            </w:r>
          </w:p>
        </w:tc>
      </w:tr>
      <w:tr w:rsidR="00633DD2" w:rsidRPr="00D27623"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300" w:type="dxa"/>
            <w:shd w:val="clear" w:color="auto" w:fill="auto"/>
            <w:noWrap/>
            <w:vAlign w:val="bottom"/>
            <w:hideMark/>
          </w:tcPr>
          <w:p w:rsidR="002A4511" w:rsidRDefault="00633DD2">
            <w:pPr>
              <w:pStyle w:val="TableText"/>
              <w:keepNext/>
              <w:jc w:val="center"/>
              <w:rPr>
                <w:rFonts w:eastAsia="Calibri" w:cs="Times New Roman"/>
              </w:rPr>
            </w:pPr>
            <w:r w:rsidRPr="00D27623">
              <w:t>28-Sep-10</w:t>
            </w:r>
          </w:p>
        </w:tc>
        <w:tc>
          <w:tcPr>
            <w:tcW w:w="1264" w:type="dxa"/>
            <w:shd w:val="clear" w:color="auto" w:fill="auto"/>
            <w:noWrap/>
            <w:vAlign w:val="bottom"/>
            <w:hideMark/>
          </w:tcPr>
          <w:p w:rsidR="002A4511" w:rsidRDefault="00633DD2">
            <w:pPr>
              <w:pStyle w:val="TableText"/>
              <w:keepNext/>
              <w:jc w:val="center"/>
              <w:rPr>
                <w:rFonts w:eastAsia="Calibri" w:cs="Times New Roman"/>
              </w:rPr>
            </w:pPr>
            <w:r w:rsidRPr="00D27623">
              <w:t>0.52</w:t>
            </w:r>
          </w:p>
        </w:tc>
        <w:tc>
          <w:tcPr>
            <w:tcW w:w="1378" w:type="dxa"/>
            <w:shd w:val="clear" w:color="auto" w:fill="auto"/>
            <w:noWrap/>
            <w:vAlign w:val="bottom"/>
            <w:hideMark/>
          </w:tcPr>
          <w:p w:rsidR="002A4511" w:rsidRDefault="00633DD2">
            <w:pPr>
              <w:pStyle w:val="TableText"/>
              <w:keepNext/>
              <w:jc w:val="center"/>
              <w:rPr>
                <w:rFonts w:eastAsia="Calibri" w:cs="Times New Roman"/>
              </w:rPr>
            </w:pPr>
            <w:r w:rsidRPr="00D27623">
              <w:t>0.61</w:t>
            </w:r>
          </w:p>
        </w:tc>
        <w:tc>
          <w:tcPr>
            <w:tcW w:w="1232" w:type="dxa"/>
            <w:shd w:val="clear" w:color="auto" w:fill="auto"/>
            <w:noWrap/>
            <w:vAlign w:val="bottom"/>
            <w:hideMark/>
          </w:tcPr>
          <w:p w:rsidR="002A4511" w:rsidRDefault="00633DD2">
            <w:pPr>
              <w:pStyle w:val="TableText"/>
              <w:keepNext/>
              <w:jc w:val="center"/>
              <w:rPr>
                <w:rFonts w:eastAsia="Calibri" w:cs="Times New Roman"/>
              </w:rPr>
            </w:pPr>
            <w:r w:rsidRPr="00D27623">
              <w:t>15</w:t>
            </w:r>
          </w:p>
        </w:tc>
        <w:tc>
          <w:tcPr>
            <w:tcW w:w="1256" w:type="dxa"/>
            <w:shd w:val="clear" w:color="auto" w:fill="auto"/>
            <w:noWrap/>
            <w:vAlign w:val="bottom"/>
            <w:hideMark/>
          </w:tcPr>
          <w:p w:rsidR="002A4511" w:rsidRDefault="00633DD2">
            <w:pPr>
              <w:pStyle w:val="TableText"/>
              <w:keepNext/>
              <w:jc w:val="center"/>
              <w:rPr>
                <w:rFonts w:eastAsia="Calibri" w:cs="Times New Roman"/>
              </w:rPr>
            </w:pPr>
            <w:r w:rsidRPr="00D27623">
              <w:t>80</w:t>
            </w:r>
          </w:p>
        </w:tc>
        <w:tc>
          <w:tcPr>
            <w:tcW w:w="1170" w:type="dxa"/>
            <w:shd w:val="clear" w:color="auto" w:fill="auto"/>
            <w:noWrap/>
            <w:vAlign w:val="bottom"/>
            <w:hideMark/>
          </w:tcPr>
          <w:p w:rsidR="002A4511" w:rsidRDefault="00633DD2">
            <w:pPr>
              <w:pStyle w:val="TableText"/>
              <w:keepNext/>
              <w:jc w:val="center"/>
              <w:rPr>
                <w:rFonts w:eastAsia="Calibri" w:cs="Times New Roman"/>
              </w:rPr>
            </w:pPr>
            <w:r w:rsidRPr="006D410B">
              <w:t>84</w:t>
            </w:r>
          </w:p>
        </w:tc>
      </w:tr>
      <w:tr w:rsidR="00633DD2" w:rsidRPr="00D27623"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300" w:type="dxa"/>
            <w:shd w:val="clear" w:color="auto" w:fill="auto"/>
            <w:noWrap/>
            <w:vAlign w:val="bottom"/>
            <w:hideMark/>
          </w:tcPr>
          <w:p w:rsidR="002A4511" w:rsidRDefault="00633DD2">
            <w:pPr>
              <w:pStyle w:val="TableText"/>
              <w:keepNext/>
              <w:jc w:val="center"/>
              <w:rPr>
                <w:rFonts w:eastAsia="Calibri" w:cs="Times New Roman"/>
              </w:rPr>
            </w:pPr>
            <w:r w:rsidRPr="00D27623">
              <w:t>29-Sep-10</w:t>
            </w:r>
          </w:p>
        </w:tc>
        <w:tc>
          <w:tcPr>
            <w:tcW w:w="1264" w:type="dxa"/>
            <w:shd w:val="clear" w:color="auto" w:fill="auto"/>
            <w:noWrap/>
            <w:vAlign w:val="bottom"/>
            <w:hideMark/>
          </w:tcPr>
          <w:p w:rsidR="002A4511" w:rsidRDefault="00633DD2">
            <w:pPr>
              <w:pStyle w:val="TableText"/>
              <w:keepNext/>
              <w:jc w:val="center"/>
              <w:rPr>
                <w:rFonts w:eastAsia="Calibri" w:cs="Times New Roman"/>
              </w:rPr>
            </w:pPr>
            <w:r w:rsidRPr="00D27623">
              <w:t>0.42</w:t>
            </w:r>
          </w:p>
        </w:tc>
        <w:tc>
          <w:tcPr>
            <w:tcW w:w="1378" w:type="dxa"/>
            <w:shd w:val="clear" w:color="auto" w:fill="auto"/>
            <w:noWrap/>
            <w:vAlign w:val="bottom"/>
            <w:hideMark/>
          </w:tcPr>
          <w:p w:rsidR="002A4511" w:rsidRDefault="00633DD2">
            <w:pPr>
              <w:pStyle w:val="TableText"/>
              <w:keepNext/>
              <w:jc w:val="center"/>
              <w:rPr>
                <w:rFonts w:eastAsia="Calibri" w:cs="Times New Roman"/>
              </w:rPr>
            </w:pPr>
            <w:r w:rsidRPr="00D27623">
              <w:t>0.49</w:t>
            </w:r>
          </w:p>
        </w:tc>
        <w:tc>
          <w:tcPr>
            <w:tcW w:w="1232" w:type="dxa"/>
            <w:shd w:val="clear" w:color="auto" w:fill="auto"/>
            <w:noWrap/>
            <w:vAlign w:val="bottom"/>
            <w:hideMark/>
          </w:tcPr>
          <w:p w:rsidR="002A4511" w:rsidRDefault="00633DD2">
            <w:pPr>
              <w:pStyle w:val="TableText"/>
              <w:keepNext/>
              <w:jc w:val="center"/>
              <w:rPr>
                <w:rFonts w:eastAsia="Calibri" w:cs="Times New Roman"/>
              </w:rPr>
            </w:pPr>
            <w:r w:rsidRPr="00D27623">
              <w:t>12</w:t>
            </w:r>
          </w:p>
        </w:tc>
        <w:tc>
          <w:tcPr>
            <w:tcW w:w="1256" w:type="dxa"/>
            <w:shd w:val="clear" w:color="auto" w:fill="auto"/>
            <w:noWrap/>
            <w:vAlign w:val="bottom"/>
            <w:hideMark/>
          </w:tcPr>
          <w:p w:rsidR="002A4511" w:rsidRDefault="00633DD2">
            <w:pPr>
              <w:pStyle w:val="TableText"/>
              <w:keepNext/>
              <w:jc w:val="center"/>
              <w:rPr>
                <w:rFonts w:eastAsia="Calibri" w:cs="Times New Roman"/>
              </w:rPr>
            </w:pPr>
            <w:r w:rsidRPr="00D27623">
              <w:t>76</w:t>
            </w:r>
          </w:p>
        </w:tc>
        <w:tc>
          <w:tcPr>
            <w:tcW w:w="1170" w:type="dxa"/>
            <w:shd w:val="clear" w:color="auto" w:fill="auto"/>
            <w:noWrap/>
            <w:vAlign w:val="bottom"/>
            <w:hideMark/>
          </w:tcPr>
          <w:p w:rsidR="002A4511" w:rsidRDefault="00633DD2">
            <w:pPr>
              <w:pStyle w:val="TableText"/>
              <w:keepNext/>
              <w:jc w:val="center"/>
              <w:rPr>
                <w:rFonts w:eastAsia="Calibri" w:cs="Times New Roman"/>
              </w:rPr>
            </w:pPr>
            <w:r w:rsidRPr="006D410B">
              <w:t>82</w:t>
            </w:r>
          </w:p>
        </w:tc>
      </w:tr>
      <w:tr w:rsidR="00633DD2" w:rsidRPr="00D27623"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300" w:type="dxa"/>
            <w:shd w:val="clear" w:color="auto" w:fill="auto"/>
            <w:noWrap/>
            <w:vAlign w:val="bottom"/>
            <w:hideMark/>
          </w:tcPr>
          <w:p w:rsidR="002A4511" w:rsidRDefault="00633DD2">
            <w:pPr>
              <w:pStyle w:val="TableText"/>
              <w:keepNext/>
              <w:jc w:val="center"/>
              <w:rPr>
                <w:rFonts w:eastAsia="Calibri" w:cs="Times New Roman"/>
                <w:b/>
              </w:rPr>
            </w:pPr>
            <w:r w:rsidRPr="00D27623">
              <w:t>Average</w:t>
            </w:r>
          </w:p>
        </w:tc>
        <w:tc>
          <w:tcPr>
            <w:tcW w:w="1264" w:type="dxa"/>
            <w:shd w:val="clear" w:color="auto" w:fill="auto"/>
            <w:noWrap/>
            <w:vAlign w:val="bottom"/>
            <w:hideMark/>
          </w:tcPr>
          <w:p w:rsidR="002A4511" w:rsidRDefault="00633DD2">
            <w:pPr>
              <w:pStyle w:val="TableText"/>
              <w:keepNext/>
              <w:jc w:val="center"/>
              <w:rPr>
                <w:rFonts w:eastAsia="Calibri" w:cs="Times New Roman"/>
                <w:b/>
              </w:rPr>
            </w:pPr>
            <w:r w:rsidRPr="00D27623">
              <w:t>0.55</w:t>
            </w:r>
          </w:p>
        </w:tc>
        <w:tc>
          <w:tcPr>
            <w:tcW w:w="1378" w:type="dxa"/>
            <w:shd w:val="clear" w:color="auto" w:fill="auto"/>
            <w:noWrap/>
            <w:vAlign w:val="bottom"/>
            <w:hideMark/>
          </w:tcPr>
          <w:p w:rsidR="002A4511" w:rsidRDefault="00633DD2">
            <w:pPr>
              <w:pStyle w:val="TableText"/>
              <w:keepNext/>
              <w:jc w:val="center"/>
              <w:rPr>
                <w:rFonts w:eastAsia="Calibri" w:cs="Times New Roman"/>
                <w:b/>
              </w:rPr>
            </w:pPr>
            <w:r w:rsidRPr="00D27623">
              <w:t>0.64</w:t>
            </w:r>
          </w:p>
        </w:tc>
        <w:tc>
          <w:tcPr>
            <w:tcW w:w="1232" w:type="dxa"/>
            <w:shd w:val="clear" w:color="auto" w:fill="auto"/>
            <w:noWrap/>
            <w:vAlign w:val="bottom"/>
            <w:hideMark/>
          </w:tcPr>
          <w:p w:rsidR="002A4511" w:rsidRDefault="00633DD2">
            <w:pPr>
              <w:pStyle w:val="TableText"/>
              <w:keepNext/>
              <w:jc w:val="center"/>
              <w:rPr>
                <w:rFonts w:eastAsia="Calibri" w:cs="Times New Roman"/>
                <w:b/>
              </w:rPr>
            </w:pPr>
            <w:r w:rsidRPr="00D27623">
              <w:t>16</w:t>
            </w:r>
          </w:p>
        </w:tc>
        <w:tc>
          <w:tcPr>
            <w:tcW w:w="1256" w:type="dxa"/>
            <w:shd w:val="clear" w:color="auto" w:fill="auto"/>
            <w:noWrap/>
            <w:vAlign w:val="bottom"/>
            <w:hideMark/>
          </w:tcPr>
          <w:p w:rsidR="002A4511" w:rsidRDefault="00633DD2">
            <w:pPr>
              <w:pStyle w:val="TableText"/>
              <w:keepNext/>
              <w:jc w:val="center"/>
              <w:rPr>
                <w:rFonts w:eastAsia="Calibri" w:cs="Times New Roman"/>
                <w:b/>
                <w:color w:val="FFFFFF"/>
                <w:szCs w:val="28"/>
              </w:rPr>
            </w:pPr>
            <w:r w:rsidRPr="00D27623">
              <w:t>79</w:t>
            </w:r>
          </w:p>
        </w:tc>
        <w:tc>
          <w:tcPr>
            <w:tcW w:w="1170" w:type="dxa"/>
            <w:shd w:val="clear" w:color="auto" w:fill="auto"/>
            <w:noWrap/>
            <w:vAlign w:val="bottom"/>
            <w:hideMark/>
          </w:tcPr>
          <w:p w:rsidR="002A4511" w:rsidRDefault="00633DD2">
            <w:pPr>
              <w:pStyle w:val="TableText"/>
              <w:keepNext/>
              <w:jc w:val="center"/>
              <w:rPr>
                <w:rFonts w:eastAsia="Calibri" w:cs="Times New Roman"/>
                <w:b/>
                <w:color w:val="FFFFFF"/>
                <w:szCs w:val="28"/>
              </w:rPr>
            </w:pPr>
            <w:r w:rsidRPr="006D410B">
              <w:t>86</w:t>
            </w:r>
          </w:p>
        </w:tc>
      </w:tr>
      <w:tr w:rsidR="00D27E7F" w:rsidRPr="00D27623" w:rsidTr="00633DD2">
        <w:trPr>
          <w:trHeight w:val="315"/>
          <w:jc w:val="center"/>
        </w:trPr>
        <w:tc>
          <w:tcPr>
            <w:tcW w:w="960" w:type="dxa"/>
            <w:vMerge w:val="restart"/>
            <w:shd w:val="clear" w:color="auto" w:fill="auto"/>
            <w:noWrap/>
            <w:vAlign w:val="center"/>
            <w:hideMark/>
          </w:tcPr>
          <w:p w:rsidR="00D27E7F" w:rsidRDefault="00D27E7F" w:rsidP="00D27E7F">
            <w:pPr>
              <w:pStyle w:val="TableText"/>
              <w:keepNext/>
              <w:jc w:val="center"/>
              <w:rPr>
                <w:b/>
              </w:rPr>
            </w:pPr>
            <w:r w:rsidRPr="00D27623">
              <w:t>2011</w:t>
            </w:r>
          </w:p>
        </w:tc>
        <w:tc>
          <w:tcPr>
            <w:tcW w:w="1300" w:type="dxa"/>
            <w:shd w:val="clear" w:color="auto" w:fill="auto"/>
            <w:noWrap/>
            <w:vAlign w:val="bottom"/>
            <w:hideMark/>
          </w:tcPr>
          <w:p w:rsidR="00D27E7F" w:rsidRDefault="00D27E7F" w:rsidP="00D27E7F">
            <w:pPr>
              <w:pStyle w:val="TableText"/>
              <w:keepNext/>
              <w:jc w:val="center"/>
              <w:rPr>
                <w:b/>
              </w:rPr>
            </w:pPr>
            <w:r w:rsidRPr="00D27623">
              <w:t>26-Aug-11</w:t>
            </w:r>
          </w:p>
        </w:tc>
        <w:tc>
          <w:tcPr>
            <w:tcW w:w="1264" w:type="dxa"/>
            <w:shd w:val="clear" w:color="auto" w:fill="auto"/>
            <w:noWrap/>
            <w:vAlign w:val="bottom"/>
            <w:hideMark/>
          </w:tcPr>
          <w:p w:rsidR="00D27E7F" w:rsidRDefault="00D27E7F" w:rsidP="00D27E7F">
            <w:pPr>
              <w:pStyle w:val="TableText"/>
              <w:keepNext/>
              <w:jc w:val="center"/>
              <w:rPr>
                <w:b/>
              </w:rPr>
            </w:pPr>
            <w:r w:rsidRPr="00BB2CE2">
              <w:t>0.34</w:t>
            </w:r>
          </w:p>
        </w:tc>
        <w:tc>
          <w:tcPr>
            <w:tcW w:w="1378" w:type="dxa"/>
            <w:shd w:val="clear" w:color="auto" w:fill="auto"/>
            <w:noWrap/>
            <w:vAlign w:val="bottom"/>
            <w:hideMark/>
          </w:tcPr>
          <w:p w:rsidR="00D27E7F" w:rsidRDefault="00D27E7F" w:rsidP="00D27E7F">
            <w:pPr>
              <w:pStyle w:val="TableText"/>
              <w:keepNext/>
              <w:jc w:val="center"/>
              <w:rPr>
                <w:b/>
              </w:rPr>
            </w:pPr>
            <w:r w:rsidRPr="00BB2CE2">
              <w:t>0.41</w:t>
            </w:r>
          </w:p>
        </w:tc>
        <w:tc>
          <w:tcPr>
            <w:tcW w:w="1232" w:type="dxa"/>
            <w:shd w:val="clear" w:color="auto" w:fill="auto"/>
            <w:noWrap/>
            <w:vAlign w:val="bottom"/>
            <w:hideMark/>
          </w:tcPr>
          <w:p w:rsidR="00D27E7F" w:rsidRDefault="00D27E7F" w:rsidP="00D27E7F">
            <w:pPr>
              <w:pStyle w:val="TableText"/>
              <w:keepNext/>
              <w:jc w:val="center"/>
              <w:rPr>
                <w:b/>
              </w:rPr>
            </w:pPr>
            <w:r w:rsidRPr="00D27623">
              <w:t>10</w:t>
            </w:r>
          </w:p>
        </w:tc>
        <w:tc>
          <w:tcPr>
            <w:tcW w:w="1256" w:type="dxa"/>
            <w:shd w:val="clear" w:color="auto" w:fill="auto"/>
            <w:noWrap/>
            <w:vAlign w:val="bottom"/>
            <w:hideMark/>
          </w:tcPr>
          <w:p w:rsidR="00D27E7F" w:rsidRDefault="00D27E7F" w:rsidP="00D27E7F">
            <w:pPr>
              <w:pStyle w:val="TableText"/>
              <w:keepNext/>
              <w:jc w:val="center"/>
              <w:rPr>
                <w:b/>
              </w:rPr>
            </w:pPr>
            <w:r w:rsidRPr="00FF0364">
              <w:rPr>
                <w:rFonts w:eastAsia="Times New Roman" w:cs="Arial"/>
                <w:color w:val="000000"/>
                <w:szCs w:val="18"/>
              </w:rPr>
              <w:t>77</w:t>
            </w:r>
          </w:p>
        </w:tc>
        <w:tc>
          <w:tcPr>
            <w:tcW w:w="1170" w:type="dxa"/>
            <w:shd w:val="clear" w:color="auto" w:fill="auto"/>
            <w:noWrap/>
            <w:vAlign w:val="bottom"/>
            <w:hideMark/>
          </w:tcPr>
          <w:p w:rsidR="00D27E7F" w:rsidRDefault="00D27E7F" w:rsidP="00D27E7F">
            <w:pPr>
              <w:pStyle w:val="TableText"/>
              <w:keepNext/>
              <w:jc w:val="center"/>
              <w:rPr>
                <w:b/>
              </w:rPr>
            </w:pPr>
            <w:r w:rsidRPr="00FF0364">
              <w:rPr>
                <w:rFonts w:eastAsia="Times New Roman" w:cs="Arial"/>
                <w:color w:val="000000"/>
                <w:szCs w:val="18"/>
              </w:rPr>
              <w:t>85</w:t>
            </w:r>
          </w:p>
        </w:tc>
      </w:tr>
      <w:tr w:rsidR="00D27E7F" w:rsidRPr="00D27623"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300" w:type="dxa"/>
            <w:shd w:val="clear" w:color="auto" w:fill="auto"/>
            <w:noWrap/>
            <w:vAlign w:val="bottom"/>
            <w:hideMark/>
          </w:tcPr>
          <w:p w:rsidR="002A4511" w:rsidRDefault="00D27E7F">
            <w:pPr>
              <w:pStyle w:val="TableText"/>
              <w:keepNext/>
              <w:jc w:val="center"/>
              <w:rPr>
                <w:rFonts w:eastAsia="Calibri" w:cs="Times New Roman"/>
              </w:rPr>
            </w:pPr>
            <w:r w:rsidRPr="00D27623">
              <w:t>7-Sep-11</w:t>
            </w:r>
          </w:p>
        </w:tc>
        <w:tc>
          <w:tcPr>
            <w:tcW w:w="1264" w:type="dxa"/>
            <w:shd w:val="clear" w:color="auto" w:fill="auto"/>
            <w:noWrap/>
            <w:vAlign w:val="bottom"/>
            <w:hideMark/>
          </w:tcPr>
          <w:p w:rsidR="002A4511" w:rsidRDefault="00D27E7F">
            <w:pPr>
              <w:pStyle w:val="TableText"/>
              <w:keepNext/>
              <w:jc w:val="center"/>
              <w:rPr>
                <w:rFonts w:eastAsia="Calibri" w:cs="Times New Roman"/>
              </w:rPr>
            </w:pPr>
            <w:r w:rsidRPr="00BB2CE2">
              <w:t>0.64</w:t>
            </w:r>
          </w:p>
        </w:tc>
        <w:tc>
          <w:tcPr>
            <w:tcW w:w="1378" w:type="dxa"/>
            <w:shd w:val="clear" w:color="auto" w:fill="auto"/>
            <w:noWrap/>
            <w:vAlign w:val="bottom"/>
            <w:hideMark/>
          </w:tcPr>
          <w:p w:rsidR="002A4511" w:rsidRDefault="00D27E7F">
            <w:pPr>
              <w:pStyle w:val="TableText"/>
              <w:keepNext/>
              <w:jc w:val="center"/>
              <w:rPr>
                <w:rFonts w:eastAsia="Calibri" w:cs="Times New Roman"/>
              </w:rPr>
            </w:pPr>
            <w:r w:rsidRPr="00BB2CE2">
              <w:t>0.77</w:t>
            </w:r>
          </w:p>
        </w:tc>
        <w:tc>
          <w:tcPr>
            <w:tcW w:w="1232" w:type="dxa"/>
            <w:shd w:val="clear" w:color="auto" w:fill="auto"/>
            <w:noWrap/>
            <w:vAlign w:val="bottom"/>
            <w:hideMark/>
          </w:tcPr>
          <w:p w:rsidR="002A4511" w:rsidRDefault="00D27E7F">
            <w:pPr>
              <w:pStyle w:val="TableText"/>
              <w:keepNext/>
              <w:jc w:val="center"/>
              <w:rPr>
                <w:rFonts w:eastAsia="Calibri" w:cs="Times New Roman"/>
              </w:rPr>
            </w:pPr>
            <w:r w:rsidRPr="00D27623">
              <w:t>19</w:t>
            </w:r>
          </w:p>
        </w:tc>
        <w:tc>
          <w:tcPr>
            <w:tcW w:w="1256" w:type="dxa"/>
            <w:shd w:val="clear" w:color="auto" w:fill="auto"/>
            <w:noWrap/>
            <w:vAlign w:val="bottom"/>
            <w:hideMark/>
          </w:tcPr>
          <w:p w:rsidR="002A4511" w:rsidRDefault="00D27E7F">
            <w:pPr>
              <w:pStyle w:val="TableText"/>
              <w:keepNext/>
              <w:jc w:val="center"/>
              <w:rPr>
                <w:rFonts w:eastAsia="Calibri" w:cs="Times New Roman"/>
              </w:rPr>
            </w:pPr>
            <w:r w:rsidRPr="00FF0364">
              <w:rPr>
                <w:rFonts w:eastAsia="Times New Roman" w:cs="Arial"/>
                <w:color w:val="000000"/>
                <w:szCs w:val="18"/>
              </w:rPr>
              <w:t>82</w:t>
            </w:r>
          </w:p>
        </w:tc>
        <w:tc>
          <w:tcPr>
            <w:tcW w:w="1170" w:type="dxa"/>
            <w:shd w:val="clear" w:color="auto" w:fill="auto"/>
            <w:noWrap/>
            <w:vAlign w:val="bottom"/>
            <w:hideMark/>
          </w:tcPr>
          <w:p w:rsidR="002A4511" w:rsidRDefault="00D27E7F">
            <w:pPr>
              <w:pStyle w:val="TableText"/>
              <w:keepNext/>
              <w:jc w:val="center"/>
              <w:rPr>
                <w:rFonts w:eastAsia="Calibri" w:cs="Times New Roman"/>
              </w:rPr>
            </w:pPr>
            <w:r w:rsidRPr="00FF0364">
              <w:rPr>
                <w:rFonts w:eastAsia="Times New Roman" w:cs="Arial"/>
                <w:color w:val="000000"/>
                <w:szCs w:val="18"/>
              </w:rPr>
              <w:t>90</w:t>
            </w:r>
          </w:p>
        </w:tc>
      </w:tr>
      <w:tr w:rsidR="00D27E7F" w:rsidRPr="00D27623"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300" w:type="dxa"/>
            <w:shd w:val="clear" w:color="auto" w:fill="auto"/>
            <w:noWrap/>
            <w:vAlign w:val="bottom"/>
            <w:hideMark/>
          </w:tcPr>
          <w:p w:rsidR="002A4511" w:rsidRDefault="00D27E7F">
            <w:pPr>
              <w:pStyle w:val="TableText"/>
              <w:keepNext/>
              <w:jc w:val="center"/>
              <w:rPr>
                <w:rFonts w:eastAsia="Calibri" w:cs="Times New Roman"/>
              </w:rPr>
            </w:pPr>
            <w:r w:rsidRPr="00D27623">
              <w:t>8-Sep-11</w:t>
            </w:r>
            <w:r>
              <w:rPr>
                <w:rStyle w:val="FootnoteReference"/>
                <w:rFonts w:eastAsia="Times New Roman" w:cs="Arial"/>
                <w:color w:val="000000"/>
                <w:sz w:val="20"/>
                <w:szCs w:val="20"/>
              </w:rPr>
              <w:footnoteReference w:id="4"/>
            </w:r>
          </w:p>
        </w:tc>
        <w:tc>
          <w:tcPr>
            <w:tcW w:w="1264" w:type="dxa"/>
            <w:shd w:val="clear" w:color="auto" w:fill="auto"/>
            <w:noWrap/>
            <w:vAlign w:val="bottom"/>
            <w:hideMark/>
          </w:tcPr>
          <w:p w:rsidR="002A4511" w:rsidRDefault="00D27E7F">
            <w:pPr>
              <w:pStyle w:val="TableText"/>
              <w:keepNext/>
              <w:jc w:val="center"/>
              <w:rPr>
                <w:rFonts w:eastAsia="Calibri" w:cs="Times New Roman"/>
              </w:rPr>
            </w:pPr>
            <w:r w:rsidRPr="00BB2CE2">
              <w:t>0.</w:t>
            </w:r>
            <w:r>
              <w:t>66</w:t>
            </w:r>
          </w:p>
        </w:tc>
        <w:tc>
          <w:tcPr>
            <w:tcW w:w="1378" w:type="dxa"/>
            <w:shd w:val="clear" w:color="auto" w:fill="auto"/>
            <w:noWrap/>
            <w:vAlign w:val="bottom"/>
            <w:hideMark/>
          </w:tcPr>
          <w:p w:rsidR="002A4511" w:rsidRDefault="00D27E7F">
            <w:pPr>
              <w:pStyle w:val="TableText"/>
              <w:keepNext/>
              <w:jc w:val="center"/>
              <w:rPr>
                <w:rFonts w:eastAsia="Calibri" w:cs="Times New Roman"/>
              </w:rPr>
            </w:pPr>
            <w:r w:rsidRPr="00BB2CE2">
              <w:t>0.</w:t>
            </w:r>
            <w:r>
              <w:t>79</w:t>
            </w:r>
          </w:p>
        </w:tc>
        <w:tc>
          <w:tcPr>
            <w:tcW w:w="1232" w:type="dxa"/>
            <w:shd w:val="clear" w:color="auto" w:fill="auto"/>
            <w:noWrap/>
            <w:vAlign w:val="bottom"/>
            <w:hideMark/>
          </w:tcPr>
          <w:p w:rsidR="002A4511" w:rsidRDefault="00D27E7F">
            <w:pPr>
              <w:pStyle w:val="TableText"/>
              <w:keepNext/>
              <w:jc w:val="center"/>
              <w:rPr>
                <w:rFonts w:eastAsia="Calibri" w:cs="Times New Roman"/>
              </w:rPr>
            </w:pPr>
            <w:r>
              <w:t>19</w:t>
            </w:r>
          </w:p>
        </w:tc>
        <w:tc>
          <w:tcPr>
            <w:tcW w:w="1256" w:type="dxa"/>
            <w:shd w:val="clear" w:color="auto" w:fill="auto"/>
            <w:noWrap/>
            <w:vAlign w:val="bottom"/>
            <w:hideMark/>
          </w:tcPr>
          <w:p w:rsidR="002A4511" w:rsidRDefault="00D27E7F">
            <w:pPr>
              <w:pStyle w:val="TableText"/>
              <w:keepNext/>
              <w:jc w:val="center"/>
              <w:rPr>
                <w:rFonts w:eastAsia="Calibri" w:cs="Times New Roman"/>
              </w:rPr>
            </w:pPr>
            <w:r w:rsidRPr="00FF0364">
              <w:rPr>
                <w:rFonts w:eastAsia="Times New Roman" w:cs="Arial"/>
                <w:color w:val="000000"/>
                <w:szCs w:val="18"/>
              </w:rPr>
              <w:t>81</w:t>
            </w:r>
          </w:p>
        </w:tc>
        <w:tc>
          <w:tcPr>
            <w:tcW w:w="1170" w:type="dxa"/>
            <w:shd w:val="clear" w:color="auto" w:fill="auto"/>
            <w:noWrap/>
            <w:vAlign w:val="bottom"/>
            <w:hideMark/>
          </w:tcPr>
          <w:p w:rsidR="002A4511" w:rsidRDefault="00D27E7F">
            <w:pPr>
              <w:pStyle w:val="TableText"/>
              <w:keepNext/>
              <w:jc w:val="center"/>
              <w:rPr>
                <w:rFonts w:eastAsia="Calibri" w:cs="Times New Roman"/>
              </w:rPr>
            </w:pPr>
            <w:r w:rsidRPr="00FF0364">
              <w:rPr>
                <w:rFonts w:eastAsia="Times New Roman" w:cs="Arial"/>
                <w:color w:val="000000"/>
                <w:szCs w:val="18"/>
              </w:rPr>
              <w:t>93</w:t>
            </w:r>
          </w:p>
        </w:tc>
      </w:tr>
      <w:tr w:rsidR="00D27E7F" w:rsidRPr="00D27623"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300" w:type="dxa"/>
            <w:shd w:val="clear" w:color="auto" w:fill="auto"/>
            <w:noWrap/>
            <w:vAlign w:val="bottom"/>
            <w:hideMark/>
          </w:tcPr>
          <w:p w:rsidR="002A4511" w:rsidRDefault="00D27E7F">
            <w:pPr>
              <w:pStyle w:val="TableText"/>
              <w:keepNext/>
              <w:jc w:val="center"/>
              <w:rPr>
                <w:rFonts w:eastAsia="Calibri" w:cs="Times New Roman"/>
              </w:rPr>
            </w:pPr>
            <w:r w:rsidRPr="00D27623">
              <w:t>9-Sep-11</w:t>
            </w:r>
          </w:p>
        </w:tc>
        <w:tc>
          <w:tcPr>
            <w:tcW w:w="1264" w:type="dxa"/>
            <w:shd w:val="clear" w:color="auto" w:fill="auto"/>
            <w:noWrap/>
            <w:vAlign w:val="bottom"/>
            <w:hideMark/>
          </w:tcPr>
          <w:p w:rsidR="002A4511" w:rsidRDefault="00D27E7F">
            <w:pPr>
              <w:pStyle w:val="TableText"/>
              <w:keepNext/>
              <w:jc w:val="center"/>
              <w:rPr>
                <w:rFonts w:eastAsia="Calibri" w:cs="Times New Roman"/>
              </w:rPr>
            </w:pPr>
            <w:r w:rsidRPr="00BB2CE2">
              <w:t>0.20</w:t>
            </w:r>
          </w:p>
        </w:tc>
        <w:tc>
          <w:tcPr>
            <w:tcW w:w="1378" w:type="dxa"/>
            <w:shd w:val="clear" w:color="auto" w:fill="auto"/>
            <w:noWrap/>
            <w:vAlign w:val="bottom"/>
            <w:hideMark/>
          </w:tcPr>
          <w:p w:rsidR="002A4511" w:rsidRDefault="00D27E7F">
            <w:pPr>
              <w:pStyle w:val="TableText"/>
              <w:keepNext/>
              <w:jc w:val="center"/>
              <w:rPr>
                <w:rFonts w:eastAsia="Calibri" w:cs="Times New Roman"/>
              </w:rPr>
            </w:pPr>
            <w:r w:rsidRPr="00BB2CE2">
              <w:t>0.24</w:t>
            </w:r>
          </w:p>
        </w:tc>
        <w:tc>
          <w:tcPr>
            <w:tcW w:w="1232" w:type="dxa"/>
            <w:shd w:val="clear" w:color="auto" w:fill="auto"/>
            <w:noWrap/>
            <w:vAlign w:val="bottom"/>
            <w:hideMark/>
          </w:tcPr>
          <w:p w:rsidR="002A4511" w:rsidRDefault="00D27E7F">
            <w:pPr>
              <w:pStyle w:val="TableText"/>
              <w:keepNext/>
              <w:jc w:val="center"/>
              <w:rPr>
                <w:rFonts w:eastAsia="Calibri" w:cs="Times New Roman"/>
              </w:rPr>
            </w:pPr>
            <w:r w:rsidRPr="00D27623">
              <w:t>6</w:t>
            </w:r>
          </w:p>
        </w:tc>
        <w:tc>
          <w:tcPr>
            <w:tcW w:w="1256" w:type="dxa"/>
            <w:shd w:val="clear" w:color="auto" w:fill="auto"/>
            <w:noWrap/>
            <w:vAlign w:val="bottom"/>
            <w:hideMark/>
          </w:tcPr>
          <w:p w:rsidR="002A4511" w:rsidRDefault="00D27E7F">
            <w:pPr>
              <w:pStyle w:val="TableText"/>
              <w:keepNext/>
              <w:jc w:val="center"/>
              <w:rPr>
                <w:rFonts w:eastAsia="Calibri" w:cs="Times New Roman"/>
              </w:rPr>
            </w:pPr>
            <w:r w:rsidRPr="00FF0364">
              <w:rPr>
                <w:rFonts w:eastAsia="Times New Roman" w:cs="Arial"/>
                <w:color w:val="000000"/>
                <w:szCs w:val="18"/>
              </w:rPr>
              <w:t>69</w:t>
            </w:r>
          </w:p>
        </w:tc>
        <w:tc>
          <w:tcPr>
            <w:tcW w:w="1170" w:type="dxa"/>
            <w:shd w:val="clear" w:color="auto" w:fill="auto"/>
            <w:noWrap/>
            <w:vAlign w:val="bottom"/>
            <w:hideMark/>
          </w:tcPr>
          <w:p w:rsidR="002A4511" w:rsidRDefault="00D27E7F">
            <w:pPr>
              <w:pStyle w:val="TableText"/>
              <w:keepNext/>
              <w:jc w:val="center"/>
              <w:rPr>
                <w:rFonts w:eastAsia="Calibri" w:cs="Times New Roman"/>
              </w:rPr>
            </w:pPr>
            <w:r w:rsidRPr="00FF0364">
              <w:rPr>
                <w:rFonts w:eastAsia="Times New Roman" w:cs="Arial"/>
                <w:color w:val="000000"/>
                <w:szCs w:val="18"/>
              </w:rPr>
              <w:t>73</w:t>
            </w:r>
          </w:p>
        </w:tc>
      </w:tr>
      <w:tr w:rsidR="00D27E7F" w:rsidRPr="00D27623"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300" w:type="dxa"/>
            <w:shd w:val="clear" w:color="auto" w:fill="auto"/>
            <w:noWrap/>
            <w:vAlign w:val="bottom"/>
            <w:hideMark/>
          </w:tcPr>
          <w:p w:rsidR="002A4511" w:rsidRDefault="00D27E7F">
            <w:pPr>
              <w:pStyle w:val="TableText"/>
              <w:keepNext/>
              <w:jc w:val="center"/>
              <w:rPr>
                <w:rFonts w:eastAsia="Calibri" w:cs="Times New Roman"/>
              </w:rPr>
            </w:pPr>
            <w:r w:rsidRPr="00D27623">
              <w:t>12-Oct-11</w:t>
            </w:r>
          </w:p>
        </w:tc>
        <w:tc>
          <w:tcPr>
            <w:tcW w:w="1264" w:type="dxa"/>
            <w:shd w:val="clear" w:color="auto" w:fill="auto"/>
            <w:noWrap/>
            <w:vAlign w:val="bottom"/>
            <w:hideMark/>
          </w:tcPr>
          <w:p w:rsidR="002A4511" w:rsidRDefault="00D27E7F">
            <w:pPr>
              <w:pStyle w:val="TableText"/>
              <w:keepNext/>
              <w:jc w:val="center"/>
              <w:rPr>
                <w:rFonts w:eastAsia="Calibri" w:cs="Times New Roman"/>
              </w:rPr>
            </w:pPr>
            <w:r w:rsidRPr="00BB2CE2">
              <w:t>0.40</w:t>
            </w:r>
          </w:p>
        </w:tc>
        <w:tc>
          <w:tcPr>
            <w:tcW w:w="1378" w:type="dxa"/>
            <w:shd w:val="clear" w:color="auto" w:fill="auto"/>
            <w:noWrap/>
            <w:vAlign w:val="bottom"/>
            <w:hideMark/>
          </w:tcPr>
          <w:p w:rsidR="002A4511" w:rsidRDefault="00D27E7F">
            <w:pPr>
              <w:pStyle w:val="TableText"/>
              <w:keepNext/>
              <w:jc w:val="center"/>
              <w:rPr>
                <w:rFonts w:eastAsia="Calibri" w:cs="Times New Roman"/>
              </w:rPr>
            </w:pPr>
            <w:r w:rsidRPr="00BB2CE2">
              <w:t>0.49</w:t>
            </w:r>
          </w:p>
        </w:tc>
        <w:tc>
          <w:tcPr>
            <w:tcW w:w="1232" w:type="dxa"/>
            <w:shd w:val="clear" w:color="auto" w:fill="auto"/>
            <w:noWrap/>
            <w:vAlign w:val="bottom"/>
            <w:hideMark/>
          </w:tcPr>
          <w:p w:rsidR="002A4511" w:rsidRDefault="00D27E7F">
            <w:pPr>
              <w:pStyle w:val="TableText"/>
              <w:keepNext/>
              <w:jc w:val="center"/>
              <w:rPr>
                <w:rFonts w:eastAsia="Calibri" w:cs="Times New Roman"/>
              </w:rPr>
            </w:pPr>
            <w:r w:rsidRPr="00D27623">
              <w:t>12</w:t>
            </w:r>
          </w:p>
        </w:tc>
        <w:tc>
          <w:tcPr>
            <w:tcW w:w="1256" w:type="dxa"/>
            <w:shd w:val="clear" w:color="auto" w:fill="auto"/>
            <w:noWrap/>
            <w:vAlign w:val="bottom"/>
            <w:hideMark/>
          </w:tcPr>
          <w:p w:rsidR="002A4511" w:rsidRDefault="00D27E7F">
            <w:pPr>
              <w:pStyle w:val="TableText"/>
              <w:keepNext/>
              <w:jc w:val="center"/>
              <w:rPr>
                <w:rFonts w:eastAsia="Calibri" w:cs="Times New Roman"/>
              </w:rPr>
            </w:pPr>
            <w:r w:rsidRPr="00FF0364">
              <w:rPr>
                <w:rFonts w:eastAsia="Times New Roman" w:cs="Arial"/>
                <w:color w:val="000000"/>
                <w:szCs w:val="18"/>
              </w:rPr>
              <w:t>76</w:t>
            </w:r>
          </w:p>
        </w:tc>
        <w:tc>
          <w:tcPr>
            <w:tcW w:w="1170" w:type="dxa"/>
            <w:shd w:val="clear" w:color="auto" w:fill="auto"/>
            <w:noWrap/>
            <w:vAlign w:val="bottom"/>
            <w:hideMark/>
          </w:tcPr>
          <w:p w:rsidR="002A4511" w:rsidRDefault="00D27E7F">
            <w:pPr>
              <w:pStyle w:val="TableText"/>
              <w:keepNext/>
              <w:jc w:val="center"/>
              <w:rPr>
                <w:rFonts w:eastAsia="Calibri" w:cs="Times New Roman"/>
              </w:rPr>
            </w:pPr>
            <w:r w:rsidRPr="00FF0364">
              <w:rPr>
                <w:rFonts w:eastAsia="Times New Roman" w:cs="Arial"/>
                <w:color w:val="000000"/>
                <w:szCs w:val="18"/>
              </w:rPr>
              <w:t>93</w:t>
            </w:r>
          </w:p>
        </w:tc>
      </w:tr>
      <w:tr w:rsidR="00D27E7F" w:rsidRPr="00D27623"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300" w:type="dxa"/>
            <w:shd w:val="clear" w:color="auto" w:fill="auto"/>
            <w:noWrap/>
            <w:vAlign w:val="bottom"/>
            <w:hideMark/>
          </w:tcPr>
          <w:p w:rsidR="002A4511" w:rsidRDefault="00D27E7F">
            <w:pPr>
              <w:pStyle w:val="TableText"/>
              <w:keepNext/>
              <w:jc w:val="center"/>
              <w:rPr>
                <w:rFonts w:eastAsia="Calibri" w:cs="Times New Roman"/>
              </w:rPr>
            </w:pPr>
            <w:r w:rsidRPr="00D27623">
              <w:t>13-Oct-11</w:t>
            </w:r>
          </w:p>
        </w:tc>
        <w:tc>
          <w:tcPr>
            <w:tcW w:w="1264" w:type="dxa"/>
            <w:shd w:val="clear" w:color="auto" w:fill="auto"/>
            <w:noWrap/>
            <w:vAlign w:val="bottom"/>
            <w:hideMark/>
          </w:tcPr>
          <w:p w:rsidR="002A4511" w:rsidRDefault="00D27E7F">
            <w:pPr>
              <w:pStyle w:val="TableText"/>
              <w:keepNext/>
              <w:jc w:val="center"/>
              <w:rPr>
                <w:rFonts w:eastAsia="Calibri" w:cs="Times New Roman"/>
              </w:rPr>
            </w:pPr>
            <w:r w:rsidRPr="00BB2CE2">
              <w:t>0.62</w:t>
            </w:r>
          </w:p>
        </w:tc>
        <w:tc>
          <w:tcPr>
            <w:tcW w:w="1378" w:type="dxa"/>
            <w:shd w:val="clear" w:color="auto" w:fill="auto"/>
            <w:noWrap/>
            <w:vAlign w:val="bottom"/>
            <w:hideMark/>
          </w:tcPr>
          <w:p w:rsidR="002A4511" w:rsidRDefault="00D27E7F">
            <w:pPr>
              <w:pStyle w:val="TableText"/>
              <w:keepNext/>
              <w:jc w:val="center"/>
              <w:rPr>
                <w:rFonts w:eastAsia="Calibri" w:cs="Times New Roman"/>
              </w:rPr>
            </w:pPr>
            <w:r w:rsidRPr="00BB2CE2">
              <w:t>0.74</w:t>
            </w:r>
          </w:p>
        </w:tc>
        <w:tc>
          <w:tcPr>
            <w:tcW w:w="1232" w:type="dxa"/>
            <w:shd w:val="clear" w:color="auto" w:fill="auto"/>
            <w:noWrap/>
            <w:vAlign w:val="bottom"/>
            <w:hideMark/>
          </w:tcPr>
          <w:p w:rsidR="002A4511" w:rsidRDefault="00D27E7F">
            <w:pPr>
              <w:pStyle w:val="TableText"/>
              <w:keepNext/>
              <w:jc w:val="center"/>
              <w:rPr>
                <w:rFonts w:eastAsia="Calibri" w:cs="Times New Roman"/>
              </w:rPr>
            </w:pPr>
            <w:r w:rsidRPr="00D27623">
              <w:t>18</w:t>
            </w:r>
          </w:p>
        </w:tc>
        <w:tc>
          <w:tcPr>
            <w:tcW w:w="1256" w:type="dxa"/>
            <w:shd w:val="clear" w:color="auto" w:fill="auto"/>
            <w:noWrap/>
            <w:vAlign w:val="bottom"/>
            <w:hideMark/>
          </w:tcPr>
          <w:p w:rsidR="002A4511" w:rsidRDefault="00D27E7F">
            <w:pPr>
              <w:pStyle w:val="TableText"/>
              <w:keepNext/>
              <w:jc w:val="center"/>
              <w:rPr>
                <w:rFonts w:eastAsia="Calibri" w:cs="Times New Roman"/>
              </w:rPr>
            </w:pPr>
            <w:r w:rsidRPr="00FF0364">
              <w:rPr>
                <w:rFonts w:eastAsia="Times New Roman" w:cs="Arial"/>
                <w:color w:val="000000"/>
                <w:szCs w:val="18"/>
              </w:rPr>
              <w:t>78</w:t>
            </w:r>
          </w:p>
        </w:tc>
        <w:tc>
          <w:tcPr>
            <w:tcW w:w="1170" w:type="dxa"/>
            <w:shd w:val="clear" w:color="auto" w:fill="auto"/>
            <w:noWrap/>
            <w:vAlign w:val="bottom"/>
            <w:hideMark/>
          </w:tcPr>
          <w:p w:rsidR="002A4511" w:rsidRDefault="00D27E7F">
            <w:pPr>
              <w:pStyle w:val="TableText"/>
              <w:keepNext/>
              <w:jc w:val="center"/>
              <w:rPr>
                <w:rFonts w:eastAsia="Calibri" w:cs="Times New Roman"/>
              </w:rPr>
            </w:pPr>
            <w:r w:rsidRPr="00FF0364">
              <w:rPr>
                <w:rFonts w:eastAsia="Times New Roman" w:cs="Arial"/>
                <w:color w:val="000000"/>
                <w:szCs w:val="18"/>
              </w:rPr>
              <w:t>89</w:t>
            </w:r>
          </w:p>
        </w:tc>
      </w:tr>
      <w:tr w:rsidR="00D27E7F" w:rsidRPr="00D27623" w:rsidTr="00633DD2">
        <w:trPr>
          <w:trHeight w:val="315"/>
          <w:jc w:val="center"/>
        </w:trPr>
        <w:tc>
          <w:tcPr>
            <w:tcW w:w="960" w:type="dxa"/>
            <w:vMerge/>
            <w:vAlign w:val="center"/>
            <w:hideMark/>
          </w:tcPr>
          <w:p w:rsidR="00D27E7F" w:rsidRPr="00D27623" w:rsidRDefault="00D27E7F" w:rsidP="00633DD2">
            <w:pPr>
              <w:pStyle w:val="TableText"/>
              <w:jc w:val="center"/>
            </w:pPr>
          </w:p>
        </w:tc>
        <w:tc>
          <w:tcPr>
            <w:tcW w:w="1300" w:type="dxa"/>
            <w:shd w:val="clear" w:color="auto" w:fill="auto"/>
            <w:noWrap/>
            <w:vAlign w:val="bottom"/>
            <w:hideMark/>
          </w:tcPr>
          <w:p w:rsidR="00D27E7F" w:rsidRPr="00D27623" w:rsidRDefault="00D27E7F" w:rsidP="00633DD2">
            <w:pPr>
              <w:pStyle w:val="TableText"/>
              <w:jc w:val="center"/>
            </w:pPr>
            <w:r w:rsidRPr="00D27623">
              <w:t>Average</w:t>
            </w:r>
          </w:p>
        </w:tc>
        <w:tc>
          <w:tcPr>
            <w:tcW w:w="1264" w:type="dxa"/>
            <w:shd w:val="clear" w:color="auto" w:fill="auto"/>
            <w:noWrap/>
            <w:vAlign w:val="bottom"/>
            <w:hideMark/>
          </w:tcPr>
          <w:p w:rsidR="00D27E7F" w:rsidRPr="00D27623" w:rsidRDefault="00D27E7F" w:rsidP="00633DD2">
            <w:pPr>
              <w:pStyle w:val="TableText"/>
              <w:jc w:val="center"/>
            </w:pPr>
            <w:r w:rsidRPr="00BB2CE2">
              <w:t>0.4</w:t>
            </w:r>
            <w:r>
              <w:t>8</w:t>
            </w:r>
          </w:p>
        </w:tc>
        <w:tc>
          <w:tcPr>
            <w:tcW w:w="1378" w:type="dxa"/>
            <w:shd w:val="clear" w:color="auto" w:fill="auto"/>
            <w:noWrap/>
            <w:vAlign w:val="bottom"/>
            <w:hideMark/>
          </w:tcPr>
          <w:p w:rsidR="00D27E7F" w:rsidRPr="00D27623" w:rsidRDefault="00D27E7F" w:rsidP="00633DD2">
            <w:pPr>
              <w:pStyle w:val="TableText"/>
              <w:jc w:val="center"/>
            </w:pPr>
            <w:r w:rsidRPr="00BB2CE2">
              <w:t>0.5</w:t>
            </w:r>
            <w:r>
              <w:t>7</w:t>
            </w:r>
          </w:p>
        </w:tc>
        <w:tc>
          <w:tcPr>
            <w:tcW w:w="1232" w:type="dxa"/>
            <w:shd w:val="clear" w:color="auto" w:fill="auto"/>
            <w:noWrap/>
            <w:vAlign w:val="bottom"/>
            <w:hideMark/>
          </w:tcPr>
          <w:p w:rsidR="00D27E7F" w:rsidRPr="00D27623" w:rsidRDefault="00D27E7F" w:rsidP="00633DD2">
            <w:pPr>
              <w:pStyle w:val="TableText"/>
              <w:jc w:val="center"/>
            </w:pPr>
            <w:r w:rsidRPr="00D27623">
              <w:t>1</w:t>
            </w:r>
            <w:r>
              <w:t>4</w:t>
            </w:r>
          </w:p>
        </w:tc>
        <w:tc>
          <w:tcPr>
            <w:tcW w:w="1256" w:type="dxa"/>
            <w:shd w:val="clear" w:color="auto" w:fill="auto"/>
            <w:noWrap/>
            <w:vAlign w:val="bottom"/>
            <w:hideMark/>
          </w:tcPr>
          <w:p w:rsidR="00D27E7F" w:rsidRPr="00D27623" w:rsidRDefault="00D27E7F" w:rsidP="00633DD2">
            <w:pPr>
              <w:pStyle w:val="TableText"/>
              <w:jc w:val="center"/>
            </w:pPr>
            <w:r w:rsidRPr="00FF0364">
              <w:rPr>
                <w:rFonts w:eastAsia="Times New Roman" w:cs="Arial"/>
                <w:color w:val="000000"/>
                <w:szCs w:val="18"/>
              </w:rPr>
              <w:t>78</w:t>
            </w:r>
          </w:p>
        </w:tc>
        <w:tc>
          <w:tcPr>
            <w:tcW w:w="1170" w:type="dxa"/>
            <w:shd w:val="clear" w:color="auto" w:fill="auto"/>
            <w:noWrap/>
            <w:vAlign w:val="bottom"/>
            <w:hideMark/>
          </w:tcPr>
          <w:p w:rsidR="00D27E7F" w:rsidRPr="00D27623" w:rsidRDefault="00D27E7F" w:rsidP="00633DD2">
            <w:pPr>
              <w:pStyle w:val="TableText"/>
              <w:jc w:val="center"/>
            </w:pPr>
            <w:r w:rsidRPr="00FF0364">
              <w:rPr>
                <w:rFonts w:eastAsia="Times New Roman" w:cs="Arial"/>
                <w:color w:val="000000"/>
                <w:szCs w:val="18"/>
              </w:rPr>
              <w:t>87</w:t>
            </w:r>
          </w:p>
        </w:tc>
      </w:tr>
    </w:tbl>
    <w:p w:rsidR="005F7DA6" w:rsidRDefault="00153EA1" w:rsidP="0059288A">
      <w:pPr>
        <w:pStyle w:val="BodyParaAfterTableFigure"/>
      </w:pPr>
      <w:r>
        <w:t>T</w:t>
      </w:r>
      <w:r w:rsidR="0059288A">
        <w:t>able 2</w:t>
      </w:r>
      <w:r>
        <w:t>-</w:t>
      </w:r>
      <w:r w:rsidR="009957A1">
        <w:t>3</w:t>
      </w:r>
      <w:r>
        <w:t xml:space="preserve"> shows ex post load impact estimates </w:t>
      </w:r>
      <w:r w:rsidR="00F95E0D">
        <w:t xml:space="preserve">for commercial customers </w:t>
      </w:r>
      <w:r>
        <w:t xml:space="preserve">for </w:t>
      </w:r>
      <w:r w:rsidR="00F95E0D">
        <w:t xml:space="preserve">each 2011 event day and ex post estimates </w:t>
      </w:r>
      <w:r>
        <w:t>for 2010 events for comparison.  Aggregate load impacts varied from a low of 2.</w:t>
      </w:r>
      <w:r w:rsidR="005D1E05">
        <w:t>1</w:t>
      </w:r>
      <w:r w:rsidR="009957A1">
        <w:t> </w:t>
      </w:r>
      <w:r>
        <w:t>MW on September 9 to a high of 4.</w:t>
      </w:r>
      <w:r w:rsidR="005D1E05">
        <w:t>9</w:t>
      </w:r>
      <w:r>
        <w:t xml:space="preserve"> MW on September 8. </w:t>
      </w:r>
      <w:r w:rsidR="009957A1">
        <w:t xml:space="preserve"> </w:t>
      </w:r>
      <w:r>
        <w:t>The highest impact for a full event, not interrupted by the blackout, was 4.</w:t>
      </w:r>
      <w:r w:rsidR="005D1E05">
        <w:t>4</w:t>
      </w:r>
      <w:r>
        <w:t xml:space="preserve"> MW on August 26.</w:t>
      </w:r>
    </w:p>
    <w:p w:rsidR="005F7DA6" w:rsidRDefault="005F7DA6" w:rsidP="005F7DA6">
      <w:pPr>
        <w:pStyle w:val="BodyParagraph"/>
      </w:pPr>
      <w:r>
        <w:br w:type="page"/>
      </w:r>
    </w:p>
    <w:p w:rsidR="00633DD2" w:rsidRPr="00642CC1" w:rsidRDefault="00633DD2" w:rsidP="00D27E7F">
      <w:pPr>
        <w:pStyle w:val="TableFigureCaption"/>
      </w:pPr>
      <w:r>
        <w:lastRenderedPageBreak/>
        <w:t>Table 2-3</w:t>
      </w:r>
      <w:r w:rsidRPr="00174B6C">
        <w:t>:</w:t>
      </w:r>
      <w:r w:rsidR="00FA1E2A">
        <w:t xml:space="preserve"> </w:t>
      </w:r>
      <w:r w:rsidRPr="00174B6C">
        <w:t xml:space="preserve">Summer Saver </w:t>
      </w:r>
      <w:r>
        <w:t>Commercial</w:t>
      </w:r>
      <w:r w:rsidRPr="00174B6C">
        <w:t xml:space="preserve"> Ex Post Impact Estimates</w:t>
      </w:r>
      <w:r>
        <w:rPr>
          <w:rStyle w:val="FootnoteReference"/>
        </w:rPr>
        <w:footnoteReference w:id="5"/>
      </w:r>
    </w:p>
    <w:tbl>
      <w:tblPr>
        <w:tblW w:w="7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280"/>
        <w:gridCol w:w="1140"/>
        <w:gridCol w:w="1360"/>
        <w:gridCol w:w="1206"/>
        <w:gridCol w:w="1116"/>
        <w:gridCol w:w="900"/>
      </w:tblGrid>
      <w:tr w:rsidR="00633DD2" w:rsidRPr="00642CC1" w:rsidTr="00633DD2">
        <w:trPr>
          <w:trHeight w:val="600"/>
          <w:jc w:val="center"/>
        </w:trPr>
        <w:tc>
          <w:tcPr>
            <w:tcW w:w="960" w:type="dxa"/>
            <w:vMerge w:val="restart"/>
            <w:tcBorders>
              <w:right w:val="single" w:sz="4" w:space="0" w:color="FFFFFF" w:themeColor="background1"/>
            </w:tcBorders>
            <w:shd w:val="clear" w:color="000000" w:fill="1F497D"/>
            <w:noWrap/>
            <w:vAlign w:val="center"/>
            <w:hideMark/>
          </w:tcPr>
          <w:p w:rsidR="00633DD2" w:rsidRPr="00642CC1" w:rsidRDefault="00633DD2" w:rsidP="00D27E7F">
            <w:pPr>
              <w:pStyle w:val="TableHeader"/>
              <w:keepNext/>
            </w:pPr>
            <w:r w:rsidRPr="00642CC1">
              <w:t>Year</w:t>
            </w:r>
          </w:p>
        </w:tc>
        <w:tc>
          <w:tcPr>
            <w:tcW w:w="1280" w:type="dxa"/>
            <w:vMerge w:val="restart"/>
            <w:tcBorders>
              <w:left w:val="single" w:sz="4" w:space="0" w:color="FFFFFF" w:themeColor="background1"/>
              <w:right w:val="single" w:sz="4" w:space="0" w:color="FFFFFF" w:themeColor="background1"/>
            </w:tcBorders>
            <w:shd w:val="clear" w:color="000000" w:fill="1F497D"/>
            <w:vAlign w:val="center"/>
            <w:hideMark/>
          </w:tcPr>
          <w:p w:rsidR="00633DD2" w:rsidRPr="00642CC1" w:rsidRDefault="00633DD2" w:rsidP="00D27E7F">
            <w:pPr>
              <w:pStyle w:val="TableHeader"/>
              <w:keepNext/>
            </w:pPr>
            <w:r w:rsidRPr="00642CC1">
              <w:t>Date</w:t>
            </w:r>
          </w:p>
        </w:tc>
        <w:tc>
          <w:tcPr>
            <w:tcW w:w="3706" w:type="dxa"/>
            <w:gridSpan w:val="3"/>
            <w:tcBorders>
              <w:left w:val="single" w:sz="4" w:space="0" w:color="FFFFFF" w:themeColor="background1"/>
              <w:bottom w:val="single" w:sz="4" w:space="0" w:color="FFFFFF" w:themeColor="background1"/>
              <w:right w:val="single" w:sz="4" w:space="0" w:color="FFFFFF" w:themeColor="background1"/>
            </w:tcBorders>
            <w:shd w:val="clear" w:color="000000" w:fill="1F497D"/>
            <w:vAlign w:val="center"/>
            <w:hideMark/>
          </w:tcPr>
          <w:p w:rsidR="00633DD2" w:rsidRPr="00642CC1" w:rsidRDefault="00633DD2" w:rsidP="00D27E7F">
            <w:pPr>
              <w:pStyle w:val="TableHeader"/>
              <w:keepNext/>
            </w:pPr>
            <w:r w:rsidRPr="00642CC1">
              <w:t>Impact</w:t>
            </w:r>
          </w:p>
        </w:tc>
        <w:tc>
          <w:tcPr>
            <w:tcW w:w="2016" w:type="dxa"/>
            <w:gridSpan w:val="2"/>
            <w:tcBorders>
              <w:left w:val="single" w:sz="4" w:space="0" w:color="FFFFFF" w:themeColor="background1"/>
              <w:bottom w:val="single" w:sz="4" w:space="0" w:color="FFFFFF" w:themeColor="background1"/>
            </w:tcBorders>
            <w:shd w:val="clear" w:color="000000" w:fill="1F497D"/>
            <w:vAlign w:val="center"/>
            <w:hideMark/>
          </w:tcPr>
          <w:p w:rsidR="00633DD2" w:rsidRPr="00642CC1" w:rsidRDefault="00633DD2" w:rsidP="00D27E7F">
            <w:pPr>
              <w:pStyle w:val="TableHeader"/>
              <w:keepNext/>
            </w:pPr>
            <w:r w:rsidRPr="00642CC1">
              <w:t>Average Temperature</w:t>
            </w:r>
            <w:r>
              <w:rPr>
                <w:rStyle w:val="FootnoteReference"/>
              </w:rPr>
              <w:footnoteReference w:id="6"/>
            </w:r>
          </w:p>
        </w:tc>
      </w:tr>
      <w:tr w:rsidR="00633DD2" w:rsidRPr="00642CC1" w:rsidTr="00633DD2">
        <w:trPr>
          <w:trHeight w:val="615"/>
          <w:jc w:val="center"/>
        </w:trPr>
        <w:tc>
          <w:tcPr>
            <w:tcW w:w="960" w:type="dxa"/>
            <w:vMerge/>
            <w:tcBorders>
              <w:right w:val="single" w:sz="4" w:space="0" w:color="FFFFFF" w:themeColor="background1"/>
            </w:tcBorders>
            <w:vAlign w:val="center"/>
            <w:hideMark/>
          </w:tcPr>
          <w:p w:rsidR="002A4511" w:rsidRDefault="002A4511">
            <w:pPr>
              <w:pStyle w:val="TableHeader"/>
              <w:keepNext/>
              <w:rPr>
                <w:rFonts w:eastAsia="Calibri" w:cs="Times New Roman"/>
              </w:rPr>
            </w:pPr>
          </w:p>
        </w:tc>
        <w:tc>
          <w:tcPr>
            <w:tcW w:w="1280" w:type="dxa"/>
            <w:vMerge/>
            <w:tcBorders>
              <w:left w:val="single" w:sz="4" w:space="0" w:color="FFFFFF" w:themeColor="background1"/>
              <w:right w:val="single" w:sz="4" w:space="0" w:color="FFFFFF" w:themeColor="background1"/>
            </w:tcBorders>
            <w:vAlign w:val="center"/>
            <w:hideMark/>
          </w:tcPr>
          <w:p w:rsidR="002A4511" w:rsidRDefault="002A4511">
            <w:pPr>
              <w:pStyle w:val="TableHeader"/>
              <w:keepNext/>
              <w:rPr>
                <w:rFonts w:eastAsia="Calibri" w:cs="Times New Roman"/>
              </w:rPr>
            </w:pPr>
          </w:p>
        </w:tc>
        <w:tc>
          <w:tcPr>
            <w:tcW w:w="1140" w:type="dxa"/>
            <w:tcBorders>
              <w:top w:val="single" w:sz="4" w:space="0" w:color="FFFFFF" w:themeColor="background1"/>
              <w:left w:val="single" w:sz="4" w:space="0" w:color="FFFFFF" w:themeColor="background1"/>
              <w:right w:val="single" w:sz="4" w:space="0" w:color="FFFFFF" w:themeColor="background1"/>
            </w:tcBorders>
            <w:shd w:val="clear" w:color="000000" w:fill="1F497D"/>
            <w:vAlign w:val="center"/>
            <w:hideMark/>
          </w:tcPr>
          <w:p w:rsidR="002A4511" w:rsidRDefault="00633DD2">
            <w:pPr>
              <w:pStyle w:val="TableHeader"/>
              <w:keepNext/>
              <w:rPr>
                <w:rFonts w:eastAsia="Calibri" w:cs="Times New Roman"/>
              </w:rPr>
            </w:pPr>
            <w:r w:rsidRPr="00642CC1">
              <w:t xml:space="preserve">Per </w:t>
            </w:r>
            <w:r>
              <w:t>CAC Unit</w:t>
            </w:r>
            <w:r w:rsidRPr="00642CC1">
              <w:t xml:space="preserve"> (kW)</w:t>
            </w:r>
          </w:p>
        </w:tc>
        <w:tc>
          <w:tcPr>
            <w:tcW w:w="1360" w:type="dxa"/>
            <w:tcBorders>
              <w:top w:val="single" w:sz="4" w:space="0" w:color="FFFFFF" w:themeColor="background1"/>
              <w:left w:val="single" w:sz="4" w:space="0" w:color="FFFFFF" w:themeColor="background1"/>
              <w:right w:val="single" w:sz="4" w:space="0" w:color="FFFFFF" w:themeColor="background1"/>
            </w:tcBorders>
            <w:shd w:val="clear" w:color="000000" w:fill="1F497D"/>
            <w:vAlign w:val="center"/>
            <w:hideMark/>
          </w:tcPr>
          <w:p w:rsidR="002A4511" w:rsidRDefault="00633DD2">
            <w:pPr>
              <w:pStyle w:val="TableHeader"/>
              <w:keepNext/>
              <w:rPr>
                <w:rFonts w:eastAsia="Calibri" w:cs="Times New Roman"/>
              </w:rPr>
            </w:pPr>
            <w:r w:rsidRPr="00642CC1">
              <w:t>Per Premise (kW)</w:t>
            </w:r>
          </w:p>
        </w:tc>
        <w:tc>
          <w:tcPr>
            <w:tcW w:w="1206" w:type="dxa"/>
            <w:tcBorders>
              <w:top w:val="single" w:sz="4" w:space="0" w:color="FFFFFF" w:themeColor="background1"/>
              <w:left w:val="single" w:sz="4" w:space="0" w:color="FFFFFF" w:themeColor="background1"/>
              <w:right w:val="single" w:sz="4" w:space="0" w:color="FFFFFF" w:themeColor="background1"/>
            </w:tcBorders>
            <w:shd w:val="clear" w:color="000000" w:fill="1F497D"/>
            <w:vAlign w:val="center"/>
            <w:hideMark/>
          </w:tcPr>
          <w:p w:rsidR="002A4511" w:rsidRDefault="00633DD2">
            <w:pPr>
              <w:pStyle w:val="TableHeader"/>
              <w:keepNext/>
              <w:rPr>
                <w:rFonts w:eastAsia="Calibri" w:cs="Times New Roman"/>
              </w:rPr>
            </w:pPr>
            <w:r w:rsidRPr="00642CC1">
              <w:t>Aggregate (MW)</w:t>
            </w:r>
          </w:p>
        </w:tc>
        <w:tc>
          <w:tcPr>
            <w:tcW w:w="1116" w:type="dxa"/>
            <w:tcBorders>
              <w:top w:val="single" w:sz="4" w:space="0" w:color="FFFFFF" w:themeColor="background1"/>
              <w:left w:val="single" w:sz="4" w:space="0" w:color="FFFFFF" w:themeColor="background1"/>
              <w:right w:val="single" w:sz="4" w:space="0" w:color="FFFFFF" w:themeColor="background1"/>
            </w:tcBorders>
            <w:shd w:val="clear" w:color="000000" w:fill="1F497D"/>
            <w:vAlign w:val="center"/>
            <w:hideMark/>
          </w:tcPr>
          <w:p w:rsidR="002A4511" w:rsidRDefault="00633DD2">
            <w:pPr>
              <w:pStyle w:val="TableHeader"/>
              <w:keepNext/>
              <w:rPr>
                <w:rFonts w:eastAsia="Calibri" w:cs="Times New Roman"/>
              </w:rPr>
            </w:pPr>
            <w:r w:rsidRPr="00642CC1">
              <w:t>Midnight-5 PM</w:t>
            </w:r>
          </w:p>
        </w:tc>
        <w:tc>
          <w:tcPr>
            <w:tcW w:w="900" w:type="dxa"/>
            <w:tcBorders>
              <w:top w:val="single" w:sz="4" w:space="0" w:color="FFFFFF" w:themeColor="background1"/>
              <w:left w:val="single" w:sz="4" w:space="0" w:color="FFFFFF" w:themeColor="background1"/>
            </w:tcBorders>
            <w:shd w:val="clear" w:color="000000" w:fill="1F497D"/>
            <w:vAlign w:val="center"/>
            <w:hideMark/>
          </w:tcPr>
          <w:p w:rsidR="002A4511" w:rsidRDefault="00633DD2">
            <w:pPr>
              <w:pStyle w:val="TableHeader"/>
              <w:keepNext/>
              <w:rPr>
                <w:rFonts w:eastAsia="Calibri" w:cs="Times New Roman"/>
              </w:rPr>
            </w:pPr>
            <w:r w:rsidRPr="00642CC1">
              <w:t>Event</w:t>
            </w:r>
          </w:p>
        </w:tc>
      </w:tr>
      <w:tr w:rsidR="00633DD2" w:rsidRPr="00642CC1" w:rsidTr="00633DD2">
        <w:trPr>
          <w:trHeight w:val="315"/>
          <w:jc w:val="center"/>
        </w:trPr>
        <w:tc>
          <w:tcPr>
            <w:tcW w:w="960" w:type="dxa"/>
            <w:vMerge w:val="restart"/>
            <w:shd w:val="clear" w:color="auto" w:fill="auto"/>
            <w:noWrap/>
            <w:vAlign w:val="center"/>
            <w:hideMark/>
          </w:tcPr>
          <w:p w:rsidR="00633DD2" w:rsidRPr="00642CC1" w:rsidRDefault="00633DD2" w:rsidP="00D27E7F">
            <w:pPr>
              <w:pStyle w:val="TableText"/>
              <w:keepNext/>
              <w:jc w:val="center"/>
            </w:pPr>
            <w:r w:rsidRPr="00642CC1">
              <w:t>2010</w:t>
            </w:r>
          </w:p>
        </w:tc>
        <w:tc>
          <w:tcPr>
            <w:tcW w:w="1280" w:type="dxa"/>
            <w:shd w:val="clear" w:color="auto" w:fill="auto"/>
            <w:noWrap/>
            <w:vAlign w:val="bottom"/>
            <w:hideMark/>
          </w:tcPr>
          <w:p w:rsidR="00633DD2" w:rsidRPr="00642CC1" w:rsidRDefault="00633DD2" w:rsidP="00D27E7F">
            <w:pPr>
              <w:pStyle w:val="TableText"/>
              <w:keepNext/>
              <w:jc w:val="center"/>
            </w:pPr>
            <w:r w:rsidRPr="00642CC1">
              <w:t>15-Jul-10</w:t>
            </w:r>
          </w:p>
        </w:tc>
        <w:tc>
          <w:tcPr>
            <w:tcW w:w="1140" w:type="dxa"/>
            <w:shd w:val="clear" w:color="auto" w:fill="auto"/>
            <w:noWrap/>
            <w:vAlign w:val="bottom"/>
            <w:hideMark/>
          </w:tcPr>
          <w:p w:rsidR="00633DD2" w:rsidRPr="00642CC1" w:rsidRDefault="00633DD2" w:rsidP="00D27E7F">
            <w:pPr>
              <w:pStyle w:val="TableText"/>
              <w:keepNext/>
              <w:jc w:val="center"/>
            </w:pPr>
            <w:r w:rsidRPr="00642CC1">
              <w:t>0.33</w:t>
            </w:r>
          </w:p>
        </w:tc>
        <w:tc>
          <w:tcPr>
            <w:tcW w:w="1360" w:type="dxa"/>
            <w:shd w:val="clear" w:color="auto" w:fill="auto"/>
            <w:noWrap/>
            <w:vAlign w:val="bottom"/>
            <w:hideMark/>
          </w:tcPr>
          <w:p w:rsidR="00633DD2" w:rsidRPr="00642CC1" w:rsidRDefault="00633DD2" w:rsidP="00D27E7F">
            <w:pPr>
              <w:pStyle w:val="TableText"/>
              <w:keepNext/>
              <w:jc w:val="center"/>
            </w:pPr>
            <w:r w:rsidRPr="00642CC1">
              <w:t>0.84</w:t>
            </w:r>
          </w:p>
        </w:tc>
        <w:tc>
          <w:tcPr>
            <w:tcW w:w="1206" w:type="dxa"/>
            <w:shd w:val="clear" w:color="auto" w:fill="auto"/>
            <w:noWrap/>
            <w:vAlign w:val="bottom"/>
            <w:hideMark/>
          </w:tcPr>
          <w:p w:rsidR="00633DD2" w:rsidRPr="006065FF" w:rsidRDefault="00633DD2" w:rsidP="00D27E7F">
            <w:pPr>
              <w:pStyle w:val="TableText"/>
              <w:keepNext/>
              <w:jc w:val="center"/>
            </w:pPr>
            <w:r w:rsidRPr="006065FF">
              <w:t>4.4</w:t>
            </w:r>
          </w:p>
        </w:tc>
        <w:tc>
          <w:tcPr>
            <w:tcW w:w="1116" w:type="dxa"/>
            <w:shd w:val="clear" w:color="auto" w:fill="auto"/>
            <w:noWrap/>
            <w:vAlign w:val="bottom"/>
            <w:hideMark/>
          </w:tcPr>
          <w:p w:rsidR="00633DD2" w:rsidRPr="005D1E05" w:rsidRDefault="00633DD2" w:rsidP="00D27E7F">
            <w:pPr>
              <w:pStyle w:val="TableText"/>
              <w:keepNext/>
              <w:jc w:val="center"/>
            </w:pPr>
            <w:r w:rsidRPr="005D1E05">
              <w:t>75</w:t>
            </w:r>
          </w:p>
        </w:tc>
        <w:tc>
          <w:tcPr>
            <w:tcW w:w="900" w:type="dxa"/>
            <w:shd w:val="clear" w:color="auto" w:fill="auto"/>
            <w:noWrap/>
            <w:vAlign w:val="bottom"/>
            <w:hideMark/>
          </w:tcPr>
          <w:p w:rsidR="00633DD2" w:rsidRPr="00642CC1" w:rsidRDefault="00633DD2" w:rsidP="00D27E7F">
            <w:pPr>
              <w:pStyle w:val="TableText"/>
              <w:keepNext/>
              <w:jc w:val="center"/>
            </w:pPr>
            <w:r w:rsidRPr="00642CC1">
              <w:t>8</w:t>
            </w:r>
            <w:r w:rsidR="00D27E7F">
              <w:t>3</w:t>
            </w:r>
          </w:p>
        </w:tc>
      </w:tr>
      <w:tr w:rsidR="00633DD2" w:rsidRPr="00642CC1"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280" w:type="dxa"/>
            <w:shd w:val="clear" w:color="auto" w:fill="auto"/>
            <w:noWrap/>
            <w:vAlign w:val="bottom"/>
            <w:hideMark/>
          </w:tcPr>
          <w:p w:rsidR="002A4511" w:rsidRDefault="00633DD2">
            <w:pPr>
              <w:pStyle w:val="TableText"/>
              <w:keepNext/>
              <w:jc w:val="center"/>
              <w:rPr>
                <w:rFonts w:eastAsia="Calibri" w:cs="Times New Roman"/>
              </w:rPr>
            </w:pPr>
            <w:r w:rsidRPr="00642CC1">
              <w:t>16-Jul-10</w:t>
            </w:r>
          </w:p>
        </w:tc>
        <w:tc>
          <w:tcPr>
            <w:tcW w:w="1140" w:type="dxa"/>
            <w:shd w:val="clear" w:color="auto" w:fill="auto"/>
            <w:noWrap/>
            <w:vAlign w:val="bottom"/>
            <w:hideMark/>
          </w:tcPr>
          <w:p w:rsidR="002A4511" w:rsidRDefault="00633DD2">
            <w:pPr>
              <w:pStyle w:val="TableText"/>
              <w:keepNext/>
              <w:jc w:val="center"/>
              <w:rPr>
                <w:rFonts w:eastAsia="Calibri" w:cs="Times New Roman"/>
              </w:rPr>
            </w:pPr>
            <w:r w:rsidRPr="00642CC1">
              <w:t>0.36</w:t>
            </w:r>
          </w:p>
        </w:tc>
        <w:tc>
          <w:tcPr>
            <w:tcW w:w="1360" w:type="dxa"/>
            <w:shd w:val="clear" w:color="auto" w:fill="auto"/>
            <w:noWrap/>
            <w:vAlign w:val="bottom"/>
            <w:hideMark/>
          </w:tcPr>
          <w:p w:rsidR="002A4511" w:rsidRDefault="00633DD2">
            <w:pPr>
              <w:pStyle w:val="TableText"/>
              <w:keepNext/>
              <w:jc w:val="center"/>
              <w:rPr>
                <w:rFonts w:eastAsia="Calibri" w:cs="Times New Roman"/>
              </w:rPr>
            </w:pPr>
            <w:r w:rsidRPr="00642CC1">
              <w:t>0.93</w:t>
            </w:r>
          </w:p>
        </w:tc>
        <w:tc>
          <w:tcPr>
            <w:tcW w:w="1206" w:type="dxa"/>
            <w:shd w:val="clear" w:color="auto" w:fill="auto"/>
            <w:noWrap/>
            <w:vAlign w:val="bottom"/>
            <w:hideMark/>
          </w:tcPr>
          <w:p w:rsidR="002A4511" w:rsidRDefault="00633DD2">
            <w:pPr>
              <w:pStyle w:val="TableText"/>
              <w:keepNext/>
              <w:jc w:val="center"/>
              <w:rPr>
                <w:rFonts w:eastAsia="Calibri" w:cs="Times New Roman"/>
              </w:rPr>
            </w:pPr>
            <w:r w:rsidRPr="006065FF">
              <w:t>4.9</w:t>
            </w:r>
          </w:p>
        </w:tc>
        <w:tc>
          <w:tcPr>
            <w:tcW w:w="1116" w:type="dxa"/>
            <w:shd w:val="clear" w:color="auto" w:fill="auto"/>
            <w:noWrap/>
            <w:vAlign w:val="bottom"/>
            <w:hideMark/>
          </w:tcPr>
          <w:p w:rsidR="002A4511" w:rsidRDefault="00633DD2">
            <w:pPr>
              <w:pStyle w:val="TableText"/>
              <w:keepNext/>
              <w:jc w:val="center"/>
              <w:rPr>
                <w:rFonts w:eastAsia="Calibri" w:cs="Times New Roman"/>
              </w:rPr>
            </w:pPr>
            <w:r w:rsidRPr="005D1E05">
              <w:t>77</w:t>
            </w:r>
          </w:p>
        </w:tc>
        <w:tc>
          <w:tcPr>
            <w:tcW w:w="900" w:type="dxa"/>
            <w:shd w:val="clear" w:color="auto" w:fill="auto"/>
            <w:noWrap/>
            <w:vAlign w:val="bottom"/>
            <w:hideMark/>
          </w:tcPr>
          <w:p w:rsidR="002A4511" w:rsidRDefault="00633DD2">
            <w:pPr>
              <w:pStyle w:val="TableText"/>
              <w:keepNext/>
              <w:jc w:val="center"/>
              <w:rPr>
                <w:rFonts w:eastAsia="Calibri" w:cs="Times New Roman"/>
              </w:rPr>
            </w:pPr>
            <w:r w:rsidRPr="00642CC1">
              <w:t>85</w:t>
            </w:r>
          </w:p>
        </w:tc>
      </w:tr>
      <w:tr w:rsidR="00633DD2" w:rsidRPr="00642CC1"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280" w:type="dxa"/>
            <w:shd w:val="clear" w:color="auto" w:fill="auto"/>
            <w:noWrap/>
            <w:vAlign w:val="bottom"/>
            <w:hideMark/>
          </w:tcPr>
          <w:p w:rsidR="002A4511" w:rsidRDefault="00633DD2">
            <w:pPr>
              <w:pStyle w:val="TableText"/>
              <w:keepNext/>
              <w:jc w:val="center"/>
              <w:rPr>
                <w:rFonts w:eastAsia="Calibri" w:cs="Times New Roman"/>
              </w:rPr>
            </w:pPr>
            <w:r w:rsidRPr="00642CC1">
              <w:t>17-Aug-10</w:t>
            </w:r>
          </w:p>
        </w:tc>
        <w:tc>
          <w:tcPr>
            <w:tcW w:w="1140" w:type="dxa"/>
            <w:shd w:val="clear" w:color="auto" w:fill="auto"/>
            <w:noWrap/>
            <w:vAlign w:val="bottom"/>
            <w:hideMark/>
          </w:tcPr>
          <w:p w:rsidR="002A4511" w:rsidRDefault="00633DD2">
            <w:pPr>
              <w:pStyle w:val="TableText"/>
              <w:keepNext/>
              <w:jc w:val="center"/>
              <w:rPr>
                <w:rFonts w:eastAsia="Calibri" w:cs="Times New Roman"/>
              </w:rPr>
            </w:pPr>
            <w:r w:rsidRPr="00642CC1">
              <w:t>0.32</w:t>
            </w:r>
          </w:p>
        </w:tc>
        <w:tc>
          <w:tcPr>
            <w:tcW w:w="1360" w:type="dxa"/>
            <w:shd w:val="clear" w:color="auto" w:fill="auto"/>
            <w:noWrap/>
            <w:vAlign w:val="bottom"/>
            <w:hideMark/>
          </w:tcPr>
          <w:p w:rsidR="002A4511" w:rsidRDefault="00633DD2">
            <w:pPr>
              <w:pStyle w:val="TableText"/>
              <w:keepNext/>
              <w:jc w:val="center"/>
              <w:rPr>
                <w:rFonts w:eastAsia="Calibri" w:cs="Times New Roman"/>
              </w:rPr>
            </w:pPr>
            <w:r w:rsidRPr="00642CC1">
              <w:t>0.83</w:t>
            </w:r>
          </w:p>
        </w:tc>
        <w:tc>
          <w:tcPr>
            <w:tcW w:w="1206" w:type="dxa"/>
            <w:shd w:val="clear" w:color="auto" w:fill="auto"/>
            <w:noWrap/>
            <w:vAlign w:val="bottom"/>
            <w:hideMark/>
          </w:tcPr>
          <w:p w:rsidR="002A4511" w:rsidRDefault="00633DD2">
            <w:pPr>
              <w:pStyle w:val="TableText"/>
              <w:keepNext/>
              <w:jc w:val="center"/>
              <w:rPr>
                <w:rFonts w:eastAsia="Calibri" w:cs="Times New Roman"/>
              </w:rPr>
            </w:pPr>
            <w:r w:rsidRPr="006065FF">
              <w:t>4.4</w:t>
            </w:r>
          </w:p>
        </w:tc>
        <w:tc>
          <w:tcPr>
            <w:tcW w:w="1116" w:type="dxa"/>
            <w:shd w:val="clear" w:color="auto" w:fill="auto"/>
            <w:noWrap/>
            <w:vAlign w:val="bottom"/>
            <w:hideMark/>
          </w:tcPr>
          <w:p w:rsidR="002A4511" w:rsidRDefault="00633DD2">
            <w:pPr>
              <w:pStyle w:val="TableText"/>
              <w:keepNext/>
              <w:jc w:val="center"/>
              <w:rPr>
                <w:rFonts w:eastAsia="Calibri" w:cs="Times New Roman"/>
              </w:rPr>
            </w:pPr>
            <w:r w:rsidRPr="005D1E05">
              <w:t>74</w:t>
            </w:r>
          </w:p>
        </w:tc>
        <w:tc>
          <w:tcPr>
            <w:tcW w:w="900" w:type="dxa"/>
            <w:shd w:val="clear" w:color="auto" w:fill="auto"/>
            <w:noWrap/>
            <w:vAlign w:val="bottom"/>
            <w:hideMark/>
          </w:tcPr>
          <w:p w:rsidR="002A4511" w:rsidRDefault="00633DD2">
            <w:pPr>
              <w:pStyle w:val="TableText"/>
              <w:keepNext/>
              <w:jc w:val="center"/>
              <w:rPr>
                <w:rFonts w:eastAsia="Calibri" w:cs="Times New Roman"/>
              </w:rPr>
            </w:pPr>
            <w:r w:rsidRPr="00642CC1">
              <w:t>82</w:t>
            </w:r>
          </w:p>
        </w:tc>
      </w:tr>
      <w:tr w:rsidR="00633DD2" w:rsidRPr="00642CC1"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280" w:type="dxa"/>
            <w:shd w:val="clear" w:color="auto" w:fill="auto"/>
            <w:noWrap/>
            <w:vAlign w:val="bottom"/>
            <w:hideMark/>
          </w:tcPr>
          <w:p w:rsidR="002A4511" w:rsidRDefault="00633DD2">
            <w:pPr>
              <w:pStyle w:val="TableText"/>
              <w:keepNext/>
              <w:jc w:val="center"/>
              <w:rPr>
                <w:rFonts w:eastAsia="Calibri" w:cs="Times New Roman"/>
              </w:rPr>
            </w:pPr>
            <w:r w:rsidRPr="00642CC1">
              <w:t>18-Aug-10</w:t>
            </w:r>
          </w:p>
        </w:tc>
        <w:tc>
          <w:tcPr>
            <w:tcW w:w="1140" w:type="dxa"/>
            <w:shd w:val="clear" w:color="auto" w:fill="auto"/>
            <w:noWrap/>
            <w:vAlign w:val="bottom"/>
            <w:hideMark/>
          </w:tcPr>
          <w:p w:rsidR="002A4511" w:rsidRDefault="00633DD2">
            <w:pPr>
              <w:pStyle w:val="TableText"/>
              <w:keepNext/>
              <w:jc w:val="center"/>
              <w:rPr>
                <w:rFonts w:eastAsia="Calibri" w:cs="Times New Roman"/>
              </w:rPr>
            </w:pPr>
            <w:r w:rsidRPr="00642CC1">
              <w:t>0.36</w:t>
            </w:r>
          </w:p>
        </w:tc>
        <w:tc>
          <w:tcPr>
            <w:tcW w:w="1360" w:type="dxa"/>
            <w:shd w:val="clear" w:color="auto" w:fill="auto"/>
            <w:noWrap/>
            <w:vAlign w:val="bottom"/>
            <w:hideMark/>
          </w:tcPr>
          <w:p w:rsidR="002A4511" w:rsidRDefault="00633DD2">
            <w:pPr>
              <w:pStyle w:val="TableText"/>
              <w:keepNext/>
              <w:jc w:val="center"/>
              <w:rPr>
                <w:rFonts w:eastAsia="Calibri" w:cs="Times New Roman"/>
              </w:rPr>
            </w:pPr>
            <w:r w:rsidRPr="00642CC1">
              <w:t>0.92</w:t>
            </w:r>
          </w:p>
        </w:tc>
        <w:tc>
          <w:tcPr>
            <w:tcW w:w="1206" w:type="dxa"/>
            <w:shd w:val="clear" w:color="auto" w:fill="auto"/>
            <w:noWrap/>
            <w:vAlign w:val="bottom"/>
            <w:hideMark/>
          </w:tcPr>
          <w:p w:rsidR="002A4511" w:rsidRDefault="00633DD2">
            <w:pPr>
              <w:pStyle w:val="TableText"/>
              <w:keepNext/>
              <w:jc w:val="center"/>
              <w:rPr>
                <w:rFonts w:eastAsia="Calibri" w:cs="Times New Roman"/>
              </w:rPr>
            </w:pPr>
            <w:r w:rsidRPr="006065FF">
              <w:t>4.9</w:t>
            </w:r>
          </w:p>
        </w:tc>
        <w:tc>
          <w:tcPr>
            <w:tcW w:w="1116" w:type="dxa"/>
            <w:shd w:val="clear" w:color="auto" w:fill="auto"/>
            <w:noWrap/>
            <w:vAlign w:val="bottom"/>
            <w:hideMark/>
          </w:tcPr>
          <w:p w:rsidR="002A4511" w:rsidRDefault="00633DD2">
            <w:pPr>
              <w:pStyle w:val="TableText"/>
              <w:keepNext/>
              <w:jc w:val="center"/>
              <w:rPr>
                <w:rFonts w:eastAsia="Calibri" w:cs="Times New Roman"/>
              </w:rPr>
            </w:pPr>
            <w:r w:rsidRPr="005D1E05">
              <w:t>77</w:t>
            </w:r>
          </w:p>
        </w:tc>
        <w:tc>
          <w:tcPr>
            <w:tcW w:w="900" w:type="dxa"/>
            <w:shd w:val="clear" w:color="auto" w:fill="auto"/>
            <w:noWrap/>
            <w:vAlign w:val="bottom"/>
            <w:hideMark/>
          </w:tcPr>
          <w:p w:rsidR="002A4511" w:rsidRDefault="00633DD2">
            <w:pPr>
              <w:pStyle w:val="TableText"/>
              <w:keepNext/>
              <w:jc w:val="center"/>
              <w:rPr>
                <w:rFonts w:eastAsia="Calibri" w:cs="Times New Roman"/>
              </w:rPr>
            </w:pPr>
            <w:r w:rsidRPr="00642CC1">
              <w:t>84</w:t>
            </w:r>
          </w:p>
        </w:tc>
      </w:tr>
      <w:tr w:rsidR="00633DD2" w:rsidRPr="00642CC1"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280" w:type="dxa"/>
            <w:shd w:val="clear" w:color="auto" w:fill="auto"/>
            <w:noWrap/>
            <w:vAlign w:val="bottom"/>
            <w:hideMark/>
          </w:tcPr>
          <w:p w:rsidR="002A4511" w:rsidRDefault="00633DD2">
            <w:pPr>
              <w:pStyle w:val="TableText"/>
              <w:keepNext/>
              <w:jc w:val="center"/>
              <w:rPr>
                <w:rFonts w:eastAsia="Calibri" w:cs="Times New Roman"/>
              </w:rPr>
            </w:pPr>
            <w:r w:rsidRPr="00642CC1">
              <w:t>19-Aug-10</w:t>
            </w:r>
          </w:p>
        </w:tc>
        <w:tc>
          <w:tcPr>
            <w:tcW w:w="1140" w:type="dxa"/>
            <w:shd w:val="clear" w:color="auto" w:fill="auto"/>
            <w:noWrap/>
            <w:vAlign w:val="bottom"/>
            <w:hideMark/>
          </w:tcPr>
          <w:p w:rsidR="002A4511" w:rsidRDefault="00633DD2">
            <w:pPr>
              <w:pStyle w:val="TableText"/>
              <w:keepNext/>
              <w:jc w:val="center"/>
              <w:rPr>
                <w:rFonts w:eastAsia="Calibri" w:cs="Times New Roman"/>
              </w:rPr>
            </w:pPr>
            <w:r w:rsidRPr="00642CC1">
              <w:t>0.34</w:t>
            </w:r>
          </w:p>
        </w:tc>
        <w:tc>
          <w:tcPr>
            <w:tcW w:w="1360" w:type="dxa"/>
            <w:shd w:val="clear" w:color="auto" w:fill="auto"/>
            <w:noWrap/>
            <w:vAlign w:val="bottom"/>
            <w:hideMark/>
          </w:tcPr>
          <w:p w:rsidR="002A4511" w:rsidRDefault="00633DD2">
            <w:pPr>
              <w:pStyle w:val="TableText"/>
              <w:keepNext/>
              <w:jc w:val="center"/>
              <w:rPr>
                <w:rFonts w:eastAsia="Calibri" w:cs="Times New Roman"/>
              </w:rPr>
            </w:pPr>
            <w:r w:rsidRPr="00642CC1">
              <w:t>0.87</w:t>
            </w:r>
          </w:p>
        </w:tc>
        <w:tc>
          <w:tcPr>
            <w:tcW w:w="1206" w:type="dxa"/>
            <w:shd w:val="clear" w:color="auto" w:fill="auto"/>
            <w:noWrap/>
            <w:vAlign w:val="bottom"/>
            <w:hideMark/>
          </w:tcPr>
          <w:p w:rsidR="002A4511" w:rsidRDefault="00633DD2">
            <w:pPr>
              <w:pStyle w:val="TableText"/>
              <w:keepNext/>
              <w:jc w:val="center"/>
              <w:rPr>
                <w:rFonts w:eastAsia="Calibri" w:cs="Times New Roman"/>
              </w:rPr>
            </w:pPr>
            <w:r w:rsidRPr="006065FF">
              <w:t>4.6</w:t>
            </w:r>
          </w:p>
        </w:tc>
        <w:tc>
          <w:tcPr>
            <w:tcW w:w="1116" w:type="dxa"/>
            <w:shd w:val="clear" w:color="auto" w:fill="auto"/>
            <w:noWrap/>
            <w:vAlign w:val="bottom"/>
            <w:hideMark/>
          </w:tcPr>
          <w:p w:rsidR="002A4511" w:rsidRDefault="00633DD2">
            <w:pPr>
              <w:pStyle w:val="TableText"/>
              <w:keepNext/>
              <w:jc w:val="center"/>
              <w:rPr>
                <w:rFonts w:eastAsia="Calibri" w:cs="Times New Roman"/>
              </w:rPr>
            </w:pPr>
            <w:r w:rsidRPr="005D1E05">
              <w:t>76</w:t>
            </w:r>
          </w:p>
        </w:tc>
        <w:tc>
          <w:tcPr>
            <w:tcW w:w="900" w:type="dxa"/>
            <w:shd w:val="clear" w:color="auto" w:fill="auto"/>
            <w:noWrap/>
            <w:vAlign w:val="bottom"/>
            <w:hideMark/>
          </w:tcPr>
          <w:p w:rsidR="002A4511" w:rsidRDefault="00633DD2">
            <w:pPr>
              <w:pStyle w:val="TableText"/>
              <w:keepNext/>
              <w:jc w:val="center"/>
              <w:rPr>
                <w:rFonts w:eastAsia="Calibri" w:cs="Times New Roman"/>
              </w:rPr>
            </w:pPr>
            <w:r w:rsidRPr="00642CC1">
              <w:t>82</w:t>
            </w:r>
          </w:p>
        </w:tc>
      </w:tr>
      <w:tr w:rsidR="00633DD2" w:rsidRPr="00642CC1"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280" w:type="dxa"/>
            <w:shd w:val="clear" w:color="auto" w:fill="auto"/>
            <w:noWrap/>
            <w:vAlign w:val="bottom"/>
            <w:hideMark/>
          </w:tcPr>
          <w:p w:rsidR="002A4511" w:rsidRDefault="00633DD2">
            <w:pPr>
              <w:pStyle w:val="TableText"/>
              <w:keepNext/>
              <w:jc w:val="center"/>
              <w:rPr>
                <w:rFonts w:eastAsia="Calibri" w:cs="Times New Roman"/>
              </w:rPr>
            </w:pPr>
            <w:r w:rsidRPr="00642CC1">
              <w:t>23-Aug-10</w:t>
            </w:r>
          </w:p>
        </w:tc>
        <w:tc>
          <w:tcPr>
            <w:tcW w:w="1140" w:type="dxa"/>
            <w:shd w:val="clear" w:color="auto" w:fill="auto"/>
            <w:noWrap/>
            <w:vAlign w:val="bottom"/>
            <w:hideMark/>
          </w:tcPr>
          <w:p w:rsidR="002A4511" w:rsidRDefault="00633DD2">
            <w:pPr>
              <w:pStyle w:val="TableText"/>
              <w:keepNext/>
              <w:jc w:val="center"/>
              <w:rPr>
                <w:rFonts w:eastAsia="Calibri" w:cs="Times New Roman"/>
              </w:rPr>
            </w:pPr>
            <w:r w:rsidRPr="00642CC1">
              <w:t>0.32</w:t>
            </w:r>
          </w:p>
        </w:tc>
        <w:tc>
          <w:tcPr>
            <w:tcW w:w="1360" w:type="dxa"/>
            <w:shd w:val="clear" w:color="auto" w:fill="auto"/>
            <w:noWrap/>
            <w:vAlign w:val="bottom"/>
            <w:hideMark/>
          </w:tcPr>
          <w:p w:rsidR="002A4511" w:rsidRDefault="00633DD2">
            <w:pPr>
              <w:pStyle w:val="TableText"/>
              <w:keepNext/>
              <w:jc w:val="center"/>
              <w:rPr>
                <w:rFonts w:eastAsia="Calibri" w:cs="Times New Roman"/>
              </w:rPr>
            </w:pPr>
            <w:r w:rsidRPr="00642CC1">
              <w:t>0.84</w:t>
            </w:r>
          </w:p>
        </w:tc>
        <w:tc>
          <w:tcPr>
            <w:tcW w:w="1206" w:type="dxa"/>
            <w:shd w:val="clear" w:color="auto" w:fill="auto"/>
            <w:noWrap/>
            <w:vAlign w:val="bottom"/>
            <w:hideMark/>
          </w:tcPr>
          <w:p w:rsidR="002A4511" w:rsidRDefault="00633DD2">
            <w:pPr>
              <w:pStyle w:val="TableText"/>
              <w:keepNext/>
              <w:jc w:val="center"/>
              <w:rPr>
                <w:rFonts w:eastAsia="Calibri" w:cs="Times New Roman"/>
              </w:rPr>
            </w:pPr>
            <w:r w:rsidRPr="006065FF">
              <w:t>4.4</w:t>
            </w:r>
          </w:p>
        </w:tc>
        <w:tc>
          <w:tcPr>
            <w:tcW w:w="1116" w:type="dxa"/>
            <w:shd w:val="clear" w:color="auto" w:fill="auto"/>
            <w:noWrap/>
            <w:vAlign w:val="bottom"/>
            <w:hideMark/>
          </w:tcPr>
          <w:p w:rsidR="002A4511" w:rsidRDefault="00633DD2">
            <w:pPr>
              <w:pStyle w:val="TableText"/>
              <w:keepNext/>
              <w:jc w:val="center"/>
              <w:rPr>
                <w:rFonts w:eastAsia="Calibri" w:cs="Times New Roman"/>
              </w:rPr>
            </w:pPr>
            <w:r w:rsidRPr="005D1E05">
              <w:t>74</w:t>
            </w:r>
          </w:p>
        </w:tc>
        <w:tc>
          <w:tcPr>
            <w:tcW w:w="900" w:type="dxa"/>
            <w:shd w:val="clear" w:color="auto" w:fill="auto"/>
            <w:noWrap/>
            <w:vAlign w:val="bottom"/>
            <w:hideMark/>
          </w:tcPr>
          <w:p w:rsidR="002A4511" w:rsidRDefault="00633DD2">
            <w:pPr>
              <w:pStyle w:val="TableText"/>
              <w:keepNext/>
              <w:jc w:val="center"/>
              <w:rPr>
                <w:rFonts w:eastAsia="Calibri" w:cs="Times New Roman"/>
              </w:rPr>
            </w:pPr>
            <w:r w:rsidRPr="00642CC1">
              <w:t>84</w:t>
            </w:r>
          </w:p>
        </w:tc>
      </w:tr>
      <w:tr w:rsidR="00633DD2" w:rsidRPr="00642CC1"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280" w:type="dxa"/>
            <w:shd w:val="clear" w:color="auto" w:fill="auto"/>
            <w:noWrap/>
            <w:vAlign w:val="bottom"/>
            <w:hideMark/>
          </w:tcPr>
          <w:p w:rsidR="002A4511" w:rsidRDefault="00633DD2">
            <w:pPr>
              <w:pStyle w:val="TableText"/>
              <w:keepNext/>
              <w:jc w:val="center"/>
              <w:rPr>
                <w:rFonts w:eastAsia="Calibri" w:cs="Times New Roman"/>
              </w:rPr>
            </w:pPr>
            <w:r w:rsidRPr="00642CC1">
              <w:t>24-Aug-10</w:t>
            </w:r>
          </w:p>
        </w:tc>
        <w:tc>
          <w:tcPr>
            <w:tcW w:w="1140" w:type="dxa"/>
            <w:shd w:val="clear" w:color="auto" w:fill="auto"/>
            <w:noWrap/>
            <w:vAlign w:val="bottom"/>
            <w:hideMark/>
          </w:tcPr>
          <w:p w:rsidR="002A4511" w:rsidRDefault="00633DD2">
            <w:pPr>
              <w:pStyle w:val="TableText"/>
              <w:keepNext/>
              <w:jc w:val="center"/>
              <w:rPr>
                <w:rFonts w:eastAsia="Calibri" w:cs="Times New Roman"/>
              </w:rPr>
            </w:pPr>
            <w:r w:rsidRPr="00642CC1">
              <w:t>0.34</w:t>
            </w:r>
          </w:p>
        </w:tc>
        <w:tc>
          <w:tcPr>
            <w:tcW w:w="1360" w:type="dxa"/>
            <w:shd w:val="clear" w:color="auto" w:fill="auto"/>
            <w:noWrap/>
            <w:vAlign w:val="bottom"/>
            <w:hideMark/>
          </w:tcPr>
          <w:p w:rsidR="002A4511" w:rsidRDefault="00633DD2">
            <w:pPr>
              <w:pStyle w:val="TableText"/>
              <w:keepNext/>
              <w:jc w:val="center"/>
              <w:rPr>
                <w:rFonts w:eastAsia="Calibri" w:cs="Times New Roman"/>
              </w:rPr>
            </w:pPr>
            <w:r w:rsidRPr="00642CC1">
              <w:t>0.88</w:t>
            </w:r>
          </w:p>
        </w:tc>
        <w:tc>
          <w:tcPr>
            <w:tcW w:w="1206" w:type="dxa"/>
            <w:shd w:val="clear" w:color="auto" w:fill="auto"/>
            <w:noWrap/>
            <w:vAlign w:val="bottom"/>
            <w:hideMark/>
          </w:tcPr>
          <w:p w:rsidR="002A4511" w:rsidRDefault="00633DD2">
            <w:pPr>
              <w:pStyle w:val="TableText"/>
              <w:keepNext/>
              <w:jc w:val="center"/>
              <w:rPr>
                <w:rFonts w:eastAsia="Calibri" w:cs="Times New Roman"/>
              </w:rPr>
            </w:pPr>
            <w:r w:rsidRPr="006065FF">
              <w:t>4.7</w:t>
            </w:r>
          </w:p>
        </w:tc>
        <w:tc>
          <w:tcPr>
            <w:tcW w:w="1116" w:type="dxa"/>
            <w:shd w:val="clear" w:color="auto" w:fill="auto"/>
            <w:noWrap/>
            <w:vAlign w:val="bottom"/>
            <w:hideMark/>
          </w:tcPr>
          <w:p w:rsidR="002A4511" w:rsidRDefault="00633DD2">
            <w:pPr>
              <w:pStyle w:val="TableText"/>
              <w:keepNext/>
              <w:jc w:val="center"/>
              <w:rPr>
                <w:rFonts w:eastAsia="Calibri" w:cs="Times New Roman"/>
              </w:rPr>
            </w:pPr>
            <w:r w:rsidRPr="005D1E05">
              <w:t>76</w:t>
            </w:r>
          </w:p>
        </w:tc>
        <w:tc>
          <w:tcPr>
            <w:tcW w:w="900" w:type="dxa"/>
            <w:shd w:val="clear" w:color="auto" w:fill="auto"/>
            <w:noWrap/>
            <w:vAlign w:val="bottom"/>
            <w:hideMark/>
          </w:tcPr>
          <w:p w:rsidR="002A4511" w:rsidRDefault="00633DD2">
            <w:pPr>
              <w:pStyle w:val="TableText"/>
              <w:keepNext/>
              <w:jc w:val="center"/>
              <w:rPr>
                <w:rFonts w:eastAsia="Calibri" w:cs="Times New Roman"/>
              </w:rPr>
            </w:pPr>
            <w:r w:rsidRPr="00642CC1">
              <w:t>85</w:t>
            </w:r>
          </w:p>
        </w:tc>
      </w:tr>
      <w:tr w:rsidR="00633DD2" w:rsidRPr="00642CC1"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280" w:type="dxa"/>
            <w:shd w:val="clear" w:color="auto" w:fill="auto"/>
            <w:noWrap/>
            <w:vAlign w:val="bottom"/>
            <w:hideMark/>
          </w:tcPr>
          <w:p w:rsidR="002A4511" w:rsidRDefault="00633DD2">
            <w:pPr>
              <w:pStyle w:val="TableText"/>
              <w:keepNext/>
              <w:jc w:val="center"/>
              <w:rPr>
                <w:rFonts w:eastAsia="Calibri" w:cs="Times New Roman"/>
              </w:rPr>
            </w:pPr>
            <w:r w:rsidRPr="00642CC1">
              <w:t>25-Aug-10</w:t>
            </w:r>
          </w:p>
        </w:tc>
        <w:tc>
          <w:tcPr>
            <w:tcW w:w="1140" w:type="dxa"/>
            <w:shd w:val="clear" w:color="auto" w:fill="auto"/>
            <w:noWrap/>
            <w:vAlign w:val="bottom"/>
            <w:hideMark/>
          </w:tcPr>
          <w:p w:rsidR="002A4511" w:rsidRDefault="00633DD2">
            <w:pPr>
              <w:pStyle w:val="TableText"/>
              <w:keepNext/>
              <w:jc w:val="center"/>
              <w:rPr>
                <w:rFonts w:eastAsia="Calibri" w:cs="Times New Roman"/>
              </w:rPr>
            </w:pPr>
            <w:r w:rsidRPr="00642CC1">
              <w:t>0.33</w:t>
            </w:r>
          </w:p>
        </w:tc>
        <w:tc>
          <w:tcPr>
            <w:tcW w:w="1360" w:type="dxa"/>
            <w:shd w:val="clear" w:color="auto" w:fill="auto"/>
            <w:noWrap/>
            <w:vAlign w:val="bottom"/>
            <w:hideMark/>
          </w:tcPr>
          <w:p w:rsidR="002A4511" w:rsidRDefault="00633DD2">
            <w:pPr>
              <w:pStyle w:val="TableText"/>
              <w:keepNext/>
              <w:jc w:val="center"/>
              <w:rPr>
                <w:rFonts w:eastAsia="Calibri" w:cs="Times New Roman"/>
              </w:rPr>
            </w:pPr>
            <w:r w:rsidRPr="00642CC1">
              <w:t>0.85</w:t>
            </w:r>
          </w:p>
        </w:tc>
        <w:tc>
          <w:tcPr>
            <w:tcW w:w="1206" w:type="dxa"/>
            <w:shd w:val="clear" w:color="auto" w:fill="auto"/>
            <w:noWrap/>
            <w:vAlign w:val="bottom"/>
            <w:hideMark/>
          </w:tcPr>
          <w:p w:rsidR="002A4511" w:rsidRDefault="00633DD2">
            <w:pPr>
              <w:pStyle w:val="TableText"/>
              <w:keepNext/>
              <w:jc w:val="center"/>
              <w:rPr>
                <w:rFonts w:eastAsia="Calibri" w:cs="Times New Roman"/>
              </w:rPr>
            </w:pPr>
            <w:r w:rsidRPr="006065FF">
              <w:t>4.5</w:t>
            </w:r>
          </w:p>
        </w:tc>
        <w:tc>
          <w:tcPr>
            <w:tcW w:w="1116" w:type="dxa"/>
            <w:shd w:val="clear" w:color="auto" w:fill="auto"/>
            <w:noWrap/>
            <w:vAlign w:val="bottom"/>
            <w:hideMark/>
          </w:tcPr>
          <w:p w:rsidR="002A4511" w:rsidRDefault="00633DD2">
            <w:pPr>
              <w:pStyle w:val="TableText"/>
              <w:keepNext/>
              <w:jc w:val="center"/>
              <w:rPr>
                <w:rFonts w:eastAsia="Calibri" w:cs="Times New Roman"/>
              </w:rPr>
            </w:pPr>
            <w:r w:rsidRPr="005D1E05">
              <w:t>75</w:t>
            </w:r>
          </w:p>
        </w:tc>
        <w:tc>
          <w:tcPr>
            <w:tcW w:w="900" w:type="dxa"/>
            <w:shd w:val="clear" w:color="auto" w:fill="auto"/>
            <w:noWrap/>
            <w:vAlign w:val="bottom"/>
            <w:hideMark/>
          </w:tcPr>
          <w:p w:rsidR="002A4511" w:rsidRDefault="00633DD2">
            <w:pPr>
              <w:pStyle w:val="TableText"/>
              <w:keepNext/>
              <w:jc w:val="center"/>
              <w:rPr>
                <w:rFonts w:eastAsia="Calibri" w:cs="Times New Roman"/>
              </w:rPr>
            </w:pPr>
            <w:r w:rsidRPr="00642CC1">
              <w:t>82</w:t>
            </w:r>
          </w:p>
        </w:tc>
      </w:tr>
      <w:tr w:rsidR="00633DD2" w:rsidRPr="00642CC1"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280" w:type="dxa"/>
            <w:shd w:val="clear" w:color="auto" w:fill="auto"/>
            <w:noWrap/>
            <w:vAlign w:val="bottom"/>
            <w:hideMark/>
          </w:tcPr>
          <w:p w:rsidR="002A4511" w:rsidRDefault="00633DD2">
            <w:pPr>
              <w:pStyle w:val="TableText"/>
              <w:keepNext/>
              <w:jc w:val="center"/>
              <w:rPr>
                <w:rFonts w:eastAsia="Calibri" w:cs="Times New Roman"/>
              </w:rPr>
            </w:pPr>
            <w:r w:rsidRPr="00642CC1">
              <w:t>27-Sep-10</w:t>
            </w:r>
          </w:p>
        </w:tc>
        <w:tc>
          <w:tcPr>
            <w:tcW w:w="1140" w:type="dxa"/>
            <w:shd w:val="clear" w:color="auto" w:fill="auto"/>
            <w:noWrap/>
            <w:vAlign w:val="bottom"/>
            <w:hideMark/>
          </w:tcPr>
          <w:p w:rsidR="002A4511" w:rsidRDefault="00633DD2">
            <w:pPr>
              <w:pStyle w:val="TableText"/>
              <w:keepNext/>
              <w:jc w:val="center"/>
              <w:rPr>
                <w:rFonts w:eastAsia="Calibri" w:cs="Times New Roman"/>
              </w:rPr>
            </w:pPr>
            <w:r w:rsidRPr="00642CC1">
              <w:t>0.47</w:t>
            </w:r>
          </w:p>
        </w:tc>
        <w:tc>
          <w:tcPr>
            <w:tcW w:w="1360" w:type="dxa"/>
            <w:shd w:val="clear" w:color="auto" w:fill="auto"/>
            <w:noWrap/>
            <w:vAlign w:val="bottom"/>
            <w:hideMark/>
          </w:tcPr>
          <w:p w:rsidR="002A4511" w:rsidRDefault="00633DD2">
            <w:pPr>
              <w:pStyle w:val="TableText"/>
              <w:keepNext/>
              <w:jc w:val="center"/>
              <w:rPr>
                <w:rFonts w:eastAsia="Calibri" w:cs="Times New Roman"/>
              </w:rPr>
            </w:pPr>
            <w:r w:rsidRPr="00642CC1">
              <w:t>1.22</w:t>
            </w:r>
          </w:p>
        </w:tc>
        <w:tc>
          <w:tcPr>
            <w:tcW w:w="1206" w:type="dxa"/>
            <w:shd w:val="clear" w:color="auto" w:fill="auto"/>
            <w:noWrap/>
            <w:vAlign w:val="bottom"/>
            <w:hideMark/>
          </w:tcPr>
          <w:p w:rsidR="002A4511" w:rsidRDefault="00633DD2">
            <w:pPr>
              <w:pStyle w:val="TableText"/>
              <w:keepNext/>
              <w:jc w:val="center"/>
              <w:rPr>
                <w:rFonts w:eastAsia="Calibri" w:cs="Times New Roman"/>
              </w:rPr>
            </w:pPr>
            <w:r w:rsidRPr="006065FF">
              <w:t>6.5</w:t>
            </w:r>
          </w:p>
        </w:tc>
        <w:tc>
          <w:tcPr>
            <w:tcW w:w="1116" w:type="dxa"/>
            <w:shd w:val="clear" w:color="auto" w:fill="auto"/>
            <w:noWrap/>
            <w:vAlign w:val="bottom"/>
            <w:hideMark/>
          </w:tcPr>
          <w:p w:rsidR="002A4511" w:rsidRDefault="00633DD2">
            <w:pPr>
              <w:pStyle w:val="TableText"/>
              <w:keepNext/>
              <w:jc w:val="center"/>
              <w:rPr>
                <w:rFonts w:eastAsia="Calibri" w:cs="Times New Roman"/>
              </w:rPr>
            </w:pPr>
            <w:r w:rsidRPr="005D1E05">
              <w:t>84</w:t>
            </w:r>
          </w:p>
        </w:tc>
        <w:tc>
          <w:tcPr>
            <w:tcW w:w="900" w:type="dxa"/>
            <w:shd w:val="clear" w:color="auto" w:fill="auto"/>
            <w:noWrap/>
            <w:vAlign w:val="bottom"/>
            <w:hideMark/>
          </w:tcPr>
          <w:p w:rsidR="002A4511" w:rsidRDefault="00633DD2">
            <w:pPr>
              <w:pStyle w:val="TableText"/>
              <w:keepNext/>
              <w:jc w:val="center"/>
              <w:rPr>
                <w:rFonts w:eastAsia="Calibri" w:cs="Times New Roman"/>
              </w:rPr>
            </w:pPr>
            <w:r w:rsidRPr="00642CC1">
              <w:t>92</w:t>
            </w:r>
          </w:p>
        </w:tc>
      </w:tr>
      <w:tr w:rsidR="00633DD2" w:rsidRPr="00642CC1"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280" w:type="dxa"/>
            <w:shd w:val="clear" w:color="auto" w:fill="auto"/>
            <w:noWrap/>
            <w:vAlign w:val="bottom"/>
            <w:hideMark/>
          </w:tcPr>
          <w:p w:rsidR="002A4511" w:rsidRDefault="00633DD2">
            <w:pPr>
              <w:pStyle w:val="TableText"/>
              <w:keepNext/>
              <w:jc w:val="center"/>
              <w:rPr>
                <w:rFonts w:eastAsia="Calibri" w:cs="Times New Roman"/>
              </w:rPr>
            </w:pPr>
            <w:r w:rsidRPr="00642CC1">
              <w:t>28-Sep-10</w:t>
            </w:r>
          </w:p>
        </w:tc>
        <w:tc>
          <w:tcPr>
            <w:tcW w:w="1140" w:type="dxa"/>
            <w:shd w:val="clear" w:color="auto" w:fill="auto"/>
            <w:noWrap/>
            <w:vAlign w:val="bottom"/>
            <w:hideMark/>
          </w:tcPr>
          <w:p w:rsidR="002A4511" w:rsidRDefault="00633DD2">
            <w:pPr>
              <w:pStyle w:val="TableText"/>
              <w:keepNext/>
              <w:jc w:val="center"/>
              <w:rPr>
                <w:rFonts w:eastAsia="Calibri" w:cs="Times New Roman"/>
              </w:rPr>
            </w:pPr>
            <w:r w:rsidRPr="00642CC1">
              <w:t>0.36</w:t>
            </w:r>
          </w:p>
        </w:tc>
        <w:tc>
          <w:tcPr>
            <w:tcW w:w="1360" w:type="dxa"/>
            <w:shd w:val="clear" w:color="auto" w:fill="auto"/>
            <w:noWrap/>
            <w:vAlign w:val="bottom"/>
            <w:hideMark/>
          </w:tcPr>
          <w:p w:rsidR="002A4511" w:rsidRDefault="00633DD2">
            <w:pPr>
              <w:pStyle w:val="TableText"/>
              <w:keepNext/>
              <w:jc w:val="center"/>
              <w:rPr>
                <w:rFonts w:eastAsia="Calibri" w:cs="Times New Roman"/>
              </w:rPr>
            </w:pPr>
            <w:r w:rsidRPr="00642CC1">
              <w:t>0.94</w:t>
            </w:r>
          </w:p>
        </w:tc>
        <w:tc>
          <w:tcPr>
            <w:tcW w:w="1206" w:type="dxa"/>
            <w:shd w:val="clear" w:color="auto" w:fill="auto"/>
            <w:noWrap/>
            <w:vAlign w:val="bottom"/>
            <w:hideMark/>
          </w:tcPr>
          <w:p w:rsidR="002A4511" w:rsidRDefault="00633DD2">
            <w:pPr>
              <w:pStyle w:val="TableText"/>
              <w:keepNext/>
              <w:jc w:val="center"/>
              <w:rPr>
                <w:rFonts w:eastAsia="Calibri" w:cs="Times New Roman"/>
              </w:rPr>
            </w:pPr>
            <w:r w:rsidRPr="006065FF">
              <w:t>5.0</w:t>
            </w:r>
          </w:p>
        </w:tc>
        <w:tc>
          <w:tcPr>
            <w:tcW w:w="1116" w:type="dxa"/>
            <w:shd w:val="clear" w:color="auto" w:fill="auto"/>
            <w:noWrap/>
            <w:vAlign w:val="bottom"/>
            <w:hideMark/>
          </w:tcPr>
          <w:p w:rsidR="002A4511" w:rsidRDefault="00633DD2">
            <w:pPr>
              <w:pStyle w:val="TableText"/>
              <w:keepNext/>
              <w:jc w:val="center"/>
              <w:rPr>
                <w:rFonts w:eastAsia="Calibri" w:cs="Times New Roman"/>
                <w:b/>
                <w:color w:val="FFFFFF"/>
                <w:szCs w:val="28"/>
              </w:rPr>
            </w:pPr>
            <w:r w:rsidRPr="005D1E05">
              <w:t>79</w:t>
            </w:r>
          </w:p>
        </w:tc>
        <w:tc>
          <w:tcPr>
            <w:tcW w:w="900" w:type="dxa"/>
            <w:shd w:val="clear" w:color="auto" w:fill="auto"/>
            <w:noWrap/>
            <w:vAlign w:val="bottom"/>
            <w:hideMark/>
          </w:tcPr>
          <w:p w:rsidR="002A4511" w:rsidRDefault="00633DD2">
            <w:pPr>
              <w:pStyle w:val="TableText"/>
              <w:keepNext/>
              <w:jc w:val="center"/>
              <w:rPr>
                <w:rFonts w:eastAsia="Calibri" w:cs="Times New Roman"/>
                <w:b/>
                <w:color w:val="FFFFFF"/>
                <w:szCs w:val="28"/>
              </w:rPr>
            </w:pPr>
            <w:r w:rsidRPr="00642CC1">
              <w:t>83</w:t>
            </w:r>
          </w:p>
        </w:tc>
      </w:tr>
      <w:tr w:rsidR="00633DD2" w:rsidRPr="00642CC1"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280" w:type="dxa"/>
            <w:shd w:val="clear" w:color="auto" w:fill="auto"/>
            <w:noWrap/>
            <w:vAlign w:val="bottom"/>
            <w:hideMark/>
          </w:tcPr>
          <w:p w:rsidR="002A4511" w:rsidRDefault="00633DD2">
            <w:pPr>
              <w:pStyle w:val="TableText"/>
              <w:keepNext/>
              <w:jc w:val="center"/>
              <w:rPr>
                <w:rFonts w:eastAsia="Calibri" w:cs="Times New Roman"/>
              </w:rPr>
            </w:pPr>
            <w:r w:rsidRPr="00642CC1">
              <w:t>29-Sep-10</w:t>
            </w:r>
          </w:p>
        </w:tc>
        <w:tc>
          <w:tcPr>
            <w:tcW w:w="1140" w:type="dxa"/>
            <w:shd w:val="clear" w:color="auto" w:fill="auto"/>
            <w:noWrap/>
            <w:vAlign w:val="bottom"/>
            <w:hideMark/>
          </w:tcPr>
          <w:p w:rsidR="002A4511" w:rsidRDefault="00633DD2">
            <w:pPr>
              <w:pStyle w:val="TableText"/>
              <w:keepNext/>
              <w:jc w:val="center"/>
              <w:rPr>
                <w:rFonts w:eastAsia="Calibri" w:cs="Times New Roman"/>
              </w:rPr>
            </w:pPr>
            <w:r w:rsidRPr="00642CC1">
              <w:t>0.34</w:t>
            </w:r>
          </w:p>
        </w:tc>
        <w:tc>
          <w:tcPr>
            <w:tcW w:w="1360" w:type="dxa"/>
            <w:shd w:val="clear" w:color="auto" w:fill="auto"/>
            <w:noWrap/>
            <w:vAlign w:val="bottom"/>
            <w:hideMark/>
          </w:tcPr>
          <w:p w:rsidR="002A4511" w:rsidRDefault="00633DD2">
            <w:pPr>
              <w:pStyle w:val="TableText"/>
              <w:keepNext/>
              <w:jc w:val="center"/>
              <w:rPr>
                <w:rFonts w:eastAsia="Calibri" w:cs="Times New Roman"/>
              </w:rPr>
            </w:pPr>
            <w:r w:rsidRPr="00642CC1">
              <w:t>0.88</w:t>
            </w:r>
          </w:p>
        </w:tc>
        <w:tc>
          <w:tcPr>
            <w:tcW w:w="1206" w:type="dxa"/>
            <w:shd w:val="clear" w:color="auto" w:fill="auto"/>
            <w:noWrap/>
            <w:vAlign w:val="bottom"/>
            <w:hideMark/>
          </w:tcPr>
          <w:p w:rsidR="002A4511" w:rsidRDefault="00633DD2">
            <w:pPr>
              <w:pStyle w:val="TableText"/>
              <w:keepNext/>
              <w:jc w:val="center"/>
              <w:rPr>
                <w:rFonts w:eastAsia="Calibri" w:cs="Times New Roman"/>
              </w:rPr>
            </w:pPr>
            <w:r w:rsidRPr="006065FF">
              <w:t>4.7</w:t>
            </w:r>
          </w:p>
        </w:tc>
        <w:tc>
          <w:tcPr>
            <w:tcW w:w="1116" w:type="dxa"/>
            <w:shd w:val="clear" w:color="auto" w:fill="auto"/>
            <w:noWrap/>
            <w:vAlign w:val="bottom"/>
            <w:hideMark/>
          </w:tcPr>
          <w:p w:rsidR="002A4511" w:rsidRDefault="00633DD2">
            <w:pPr>
              <w:pStyle w:val="TableText"/>
              <w:keepNext/>
              <w:jc w:val="center"/>
              <w:rPr>
                <w:rFonts w:eastAsia="Calibri" w:cs="Times New Roman"/>
              </w:rPr>
            </w:pPr>
            <w:r w:rsidRPr="005D1E05">
              <w:t>76</w:t>
            </w:r>
          </w:p>
        </w:tc>
        <w:tc>
          <w:tcPr>
            <w:tcW w:w="900" w:type="dxa"/>
            <w:shd w:val="clear" w:color="auto" w:fill="auto"/>
            <w:noWrap/>
            <w:vAlign w:val="bottom"/>
            <w:hideMark/>
          </w:tcPr>
          <w:p w:rsidR="002A4511" w:rsidRDefault="00633DD2">
            <w:pPr>
              <w:pStyle w:val="TableText"/>
              <w:keepNext/>
              <w:jc w:val="center"/>
              <w:rPr>
                <w:rFonts w:eastAsia="Calibri" w:cs="Times New Roman"/>
              </w:rPr>
            </w:pPr>
            <w:r w:rsidRPr="00642CC1">
              <w:t>81</w:t>
            </w:r>
          </w:p>
        </w:tc>
      </w:tr>
      <w:tr w:rsidR="00633DD2" w:rsidRPr="00642CC1" w:rsidTr="00633DD2">
        <w:trPr>
          <w:trHeight w:val="315"/>
          <w:jc w:val="center"/>
        </w:trPr>
        <w:tc>
          <w:tcPr>
            <w:tcW w:w="960" w:type="dxa"/>
            <w:vMerge/>
            <w:vAlign w:val="center"/>
            <w:hideMark/>
          </w:tcPr>
          <w:p w:rsidR="002A4511" w:rsidRDefault="002A4511">
            <w:pPr>
              <w:pStyle w:val="TableText"/>
              <w:keepNext/>
              <w:jc w:val="center"/>
              <w:rPr>
                <w:rFonts w:eastAsia="Calibri" w:cs="Times New Roman"/>
              </w:rPr>
            </w:pPr>
          </w:p>
        </w:tc>
        <w:tc>
          <w:tcPr>
            <w:tcW w:w="1280" w:type="dxa"/>
            <w:shd w:val="clear" w:color="auto" w:fill="auto"/>
            <w:noWrap/>
            <w:vAlign w:val="bottom"/>
            <w:hideMark/>
          </w:tcPr>
          <w:p w:rsidR="002A4511" w:rsidRDefault="00633DD2">
            <w:pPr>
              <w:pStyle w:val="TableText"/>
              <w:keepNext/>
              <w:jc w:val="center"/>
              <w:rPr>
                <w:rFonts w:eastAsia="Calibri" w:cs="Times New Roman"/>
              </w:rPr>
            </w:pPr>
            <w:r w:rsidRPr="00642CC1">
              <w:t>Average</w:t>
            </w:r>
          </w:p>
        </w:tc>
        <w:tc>
          <w:tcPr>
            <w:tcW w:w="1140" w:type="dxa"/>
            <w:shd w:val="clear" w:color="auto" w:fill="auto"/>
            <w:noWrap/>
            <w:vAlign w:val="bottom"/>
            <w:hideMark/>
          </w:tcPr>
          <w:p w:rsidR="002A4511" w:rsidRDefault="00633DD2">
            <w:pPr>
              <w:pStyle w:val="TableText"/>
              <w:keepNext/>
              <w:jc w:val="center"/>
              <w:rPr>
                <w:rFonts w:eastAsia="Calibri" w:cs="Times New Roman"/>
              </w:rPr>
            </w:pPr>
            <w:r w:rsidRPr="00642CC1">
              <w:t>0.35</w:t>
            </w:r>
          </w:p>
        </w:tc>
        <w:tc>
          <w:tcPr>
            <w:tcW w:w="1360" w:type="dxa"/>
            <w:shd w:val="clear" w:color="auto" w:fill="auto"/>
            <w:noWrap/>
            <w:vAlign w:val="bottom"/>
            <w:hideMark/>
          </w:tcPr>
          <w:p w:rsidR="002A4511" w:rsidRDefault="00633DD2">
            <w:pPr>
              <w:pStyle w:val="TableText"/>
              <w:keepNext/>
              <w:jc w:val="center"/>
              <w:rPr>
                <w:rFonts w:eastAsia="Calibri" w:cs="Times New Roman"/>
              </w:rPr>
            </w:pPr>
            <w:r w:rsidRPr="00642CC1">
              <w:t>0.91</w:t>
            </w:r>
          </w:p>
        </w:tc>
        <w:tc>
          <w:tcPr>
            <w:tcW w:w="1206" w:type="dxa"/>
            <w:shd w:val="clear" w:color="auto" w:fill="auto"/>
            <w:noWrap/>
            <w:vAlign w:val="bottom"/>
            <w:hideMark/>
          </w:tcPr>
          <w:p w:rsidR="002A4511" w:rsidRDefault="00633DD2">
            <w:pPr>
              <w:pStyle w:val="TableText"/>
              <w:keepNext/>
              <w:jc w:val="center"/>
              <w:rPr>
                <w:rFonts w:eastAsia="Calibri" w:cs="Times New Roman"/>
              </w:rPr>
            </w:pPr>
            <w:r>
              <w:t>4.8</w:t>
            </w:r>
          </w:p>
        </w:tc>
        <w:tc>
          <w:tcPr>
            <w:tcW w:w="1116" w:type="dxa"/>
            <w:shd w:val="clear" w:color="auto" w:fill="auto"/>
            <w:noWrap/>
            <w:vAlign w:val="bottom"/>
            <w:hideMark/>
          </w:tcPr>
          <w:p w:rsidR="002A4511" w:rsidRDefault="00633DD2">
            <w:pPr>
              <w:pStyle w:val="TableText"/>
              <w:keepNext/>
              <w:jc w:val="center"/>
              <w:rPr>
                <w:rFonts w:eastAsia="Calibri" w:cs="Times New Roman"/>
              </w:rPr>
            </w:pPr>
            <w:r w:rsidRPr="00642CC1">
              <w:t>77</w:t>
            </w:r>
          </w:p>
        </w:tc>
        <w:tc>
          <w:tcPr>
            <w:tcW w:w="900" w:type="dxa"/>
            <w:shd w:val="clear" w:color="auto" w:fill="auto"/>
            <w:noWrap/>
            <w:vAlign w:val="bottom"/>
            <w:hideMark/>
          </w:tcPr>
          <w:p w:rsidR="002A4511" w:rsidRDefault="00633DD2">
            <w:pPr>
              <w:pStyle w:val="TableText"/>
              <w:keepNext/>
              <w:jc w:val="center"/>
              <w:rPr>
                <w:rFonts w:eastAsia="Calibri" w:cs="Times New Roman"/>
              </w:rPr>
            </w:pPr>
            <w:r w:rsidRPr="00642CC1">
              <w:t>84</w:t>
            </w:r>
          </w:p>
        </w:tc>
      </w:tr>
      <w:tr w:rsidR="00633DD2" w:rsidRPr="00642CC1" w:rsidTr="00633DD2">
        <w:trPr>
          <w:trHeight w:val="300"/>
          <w:jc w:val="center"/>
        </w:trPr>
        <w:tc>
          <w:tcPr>
            <w:tcW w:w="960" w:type="dxa"/>
            <w:vMerge w:val="restart"/>
            <w:shd w:val="clear" w:color="auto" w:fill="auto"/>
            <w:noWrap/>
            <w:vAlign w:val="center"/>
            <w:hideMark/>
          </w:tcPr>
          <w:p w:rsidR="00633DD2" w:rsidRPr="00642CC1" w:rsidRDefault="00633DD2" w:rsidP="00D27E7F">
            <w:pPr>
              <w:pStyle w:val="TableText"/>
              <w:keepNext/>
              <w:jc w:val="center"/>
            </w:pPr>
            <w:r w:rsidRPr="00642CC1">
              <w:t>2011</w:t>
            </w:r>
          </w:p>
        </w:tc>
        <w:tc>
          <w:tcPr>
            <w:tcW w:w="1280" w:type="dxa"/>
            <w:shd w:val="clear" w:color="auto" w:fill="auto"/>
            <w:noWrap/>
            <w:vAlign w:val="bottom"/>
            <w:hideMark/>
          </w:tcPr>
          <w:p w:rsidR="00633DD2" w:rsidRPr="00642CC1" w:rsidRDefault="00633DD2" w:rsidP="00D27E7F">
            <w:pPr>
              <w:pStyle w:val="TableText"/>
              <w:keepNext/>
              <w:jc w:val="center"/>
            </w:pPr>
            <w:r w:rsidRPr="00642CC1">
              <w:t>26-Aug-11</w:t>
            </w:r>
          </w:p>
        </w:tc>
        <w:tc>
          <w:tcPr>
            <w:tcW w:w="1140" w:type="dxa"/>
            <w:shd w:val="clear" w:color="auto" w:fill="auto"/>
            <w:noWrap/>
            <w:vAlign w:val="bottom"/>
            <w:hideMark/>
          </w:tcPr>
          <w:p w:rsidR="00633DD2" w:rsidRPr="005D1E05" w:rsidRDefault="00633DD2" w:rsidP="00D27E7F">
            <w:pPr>
              <w:pStyle w:val="TableText"/>
              <w:keepNext/>
              <w:jc w:val="center"/>
            </w:pPr>
            <w:r w:rsidRPr="005D1E05">
              <w:t>0.34</w:t>
            </w:r>
          </w:p>
        </w:tc>
        <w:tc>
          <w:tcPr>
            <w:tcW w:w="1360" w:type="dxa"/>
            <w:shd w:val="clear" w:color="auto" w:fill="auto"/>
            <w:noWrap/>
            <w:vAlign w:val="bottom"/>
            <w:hideMark/>
          </w:tcPr>
          <w:p w:rsidR="00633DD2" w:rsidRPr="005D1E05" w:rsidRDefault="00633DD2" w:rsidP="00D27E7F">
            <w:pPr>
              <w:pStyle w:val="TableText"/>
              <w:keepNext/>
              <w:jc w:val="center"/>
            </w:pPr>
            <w:r w:rsidRPr="005D1E05">
              <w:t>0.89</w:t>
            </w:r>
          </w:p>
        </w:tc>
        <w:tc>
          <w:tcPr>
            <w:tcW w:w="1206" w:type="dxa"/>
            <w:shd w:val="clear" w:color="auto" w:fill="auto"/>
            <w:noWrap/>
            <w:vAlign w:val="bottom"/>
            <w:hideMark/>
          </w:tcPr>
          <w:p w:rsidR="00633DD2" w:rsidRPr="005D1E05" w:rsidRDefault="00633DD2" w:rsidP="00D27E7F">
            <w:pPr>
              <w:pStyle w:val="TableText"/>
              <w:keepNext/>
              <w:jc w:val="center"/>
            </w:pPr>
            <w:r w:rsidRPr="005D1E05">
              <w:t>4.4</w:t>
            </w:r>
          </w:p>
        </w:tc>
        <w:tc>
          <w:tcPr>
            <w:tcW w:w="1116" w:type="dxa"/>
            <w:shd w:val="clear" w:color="auto" w:fill="auto"/>
            <w:noWrap/>
            <w:vAlign w:val="bottom"/>
            <w:hideMark/>
          </w:tcPr>
          <w:p w:rsidR="00633DD2" w:rsidRPr="00642CC1" w:rsidRDefault="00633DD2" w:rsidP="00D27E7F">
            <w:pPr>
              <w:pStyle w:val="TableText"/>
              <w:keepNext/>
              <w:jc w:val="center"/>
            </w:pPr>
            <w:r w:rsidRPr="00642CC1">
              <w:t>76</w:t>
            </w:r>
          </w:p>
        </w:tc>
        <w:tc>
          <w:tcPr>
            <w:tcW w:w="900" w:type="dxa"/>
            <w:shd w:val="clear" w:color="auto" w:fill="auto"/>
            <w:noWrap/>
            <w:vAlign w:val="bottom"/>
            <w:hideMark/>
          </w:tcPr>
          <w:p w:rsidR="00633DD2" w:rsidRPr="00642CC1" w:rsidRDefault="00633DD2" w:rsidP="00D27E7F">
            <w:pPr>
              <w:pStyle w:val="TableText"/>
              <w:keepNext/>
              <w:jc w:val="center"/>
            </w:pPr>
            <w:r w:rsidRPr="00642CC1">
              <w:t>8</w:t>
            </w:r>
            <w:r w:rsidR="00D27E7F">
              <w:t>2</w:t>
            </w:r>
          </w:p>
        </w:tc>
      </w:tr>
      <w:tr w:rsidR="00633DD2" w:rsidRPr="00642CC1" w:rsidTr="00633DD2">
        <w:trPr>
          <w:trHeight w:val="300"/>
          <w:jc w:val="center"/>
        </w:trPr>
        <w:tc>
          <w:tcPr>
            <w:tcW w:w="960" w:type="dxa"/>
            <w:vMerge/>
            <w:vAlign w:val="center"/>
            <w:hideMark/>
          </w:tcPr>
          <w:p w:rsidR="002A4511" w:rsidRDefault="002A4511">
            <w:pPr>
              <w:pStyle w:val="TableText"/>
              <w:keepNext/>
              <w:jc w:val="center"/>
              <w:rPr>
                <w:rFonts w:eastAsia="Calibri" w:cs="Times New Roman"/>
              </w:rPr>
            </w:pPr>
          </w:p>
        </w:tc>
        <w:tc>
          <w:tcPr>
            <w:tcW w:w="1280" w:type="dxa"/>
            <w:shd w:val="clear" w:color="auto" w:fill="auto"/>
            <w:noWrap/>
            <w:vAlign w:val="bottom"/>
            <w:hideMark/>
          </w:tcPr>
          <w:p w:rsidR="002A4511" w:rsidRDefault="00633DD2">
            <w:pPr>
              <w:pStyle w:val="TableText"/>
              <w:keepNext/>
              <w:jc w:val="center"/>
              <w:rPr>
                <w:rFonts w:eastAsia="Calibri" w:cs="Times New Roman"/>
              </w:rPr>
            </w:pPr>
            <w:r w:rsidRPr="00642CC1">
              <w:t>7-Sep-11</w:t>
            </w:r>
          </w:p>
        </w:tc>
        <w:tc>
          <w:tcPr>
            <w:tcW w:w="1140" w:type="dxa"/>
            <w:shd w:val="clear" w:color="auto" w:fill="auto"/>
            <w:noWrap/>
            <w:vAlign w:val="bottom"/>
            <w:hideMark/>
          </w:tcPr>
          <w:p w:rsidR="002A4511" w:rsidRDefault="00633DD2">
            <w:pPr>
              <w:pStyle w:val="TableText"/>
              <w:keepNext/>
              <w:jc w:val="center"/>
              <w:rPr>
                <w:rFonts w:eastAsia="Calibri" w:cs="Times New Roman"/>
              </w:rPr>
            </w:pPr>
            <w:r w:rsidRPr="005D1E05">
              <w:t>0.31</w:t>
            </w:r>
          </w:p>
        </w:tc>
        <w:tc>
          <w:tcPr>
            <w:tcW w:w="1360" w:type="dxa"/>
            <w:shd w:val="clear" w:color="auto" w:fill="auto"/>
            <w:noWrap/>
            <w:vAlign w:val="bottom"/>
            <w:hideMark/>
          </w:tcPr>
          <w:p w:rsidR="002A4511" w:rsidRDefault="00633DD2">
            <w:pPr>
              <w:pStyle w:val="TableText"/>
              <w:keepNext/>
              <w:jc w:val="center"/>
              <w:rPr>
                <w:rFonts w:eastAsia="Calibri" w:cs="Times New Roman"/>
              </w:rPr>
            </w:pPr>
            <w:r w:rsidRPr="005D1E05">
              <w:t>0.79</w:t>
            </w:r>
          </w:p>
        </w:tc>
        <w:tc>
          <w:tcPr>
            <w:tcW w:w="1206" w:type="dxa"/>
            <w:shd w:val="clear" w:color="auto" w:fill="auto"/>
            <w:noWrap/>
            <w:vAlign w:val="bottom"/>
            <w:hideMark/>
          </w:tcPr>
          <w:p w:rsidR="002A4511" w:rsidRDefault="00633DD2">
            <w:pPr>
              <w:pStyle w:val="TableText"/>
              <w:keepNext/>
              <w:jc w:val="center"/>
              <w:rPr>
                <w:rFonts w:eastAsia="Calibri" w:cs="Times New Roman"/>
              </w:rPr>
            </w:pPr>
            <w:r w:rsidRPr="005D1E05">
              <w:t>3.9</w:t>
            </w:r>
          </w:p>
        </w:tc>
        <w:tc>
          <w:tcPr>
            <w:tcW w:w="1116" w:type="dxa"/>
            <w:shd w:val="clear" w:color="auto" w:fill="auto"/>
            <w:noWrap/>
            <w:vAlign w:val="bottom"/>
            <w:hideMark/>
          </w:tcPr>
          <w:p w:rsidR="002A4511" w:rsidRDefault="00633DD2">
            <w:pPr>
              <w:pStyle w:val="TableText"/>
              <w:keepNext/>
              <w:jc w:val="center"/>
              <w:rPr>
                <w:rFonts w:eastAsia="Calibri" w:cs="Times New Roman"/>
              </w:rPr>
            </w:pPr>
            <w:r w:rsidRPr="00642CC1">
              <w:t>81</w:t>
            </w:r>
          </w:p>
        </w:tc>
        <w:tc>
          <w:tcPr>
            <w:tcW w:w="900" w:type="dxa"/>
            <w:shd w:val="clear" w:color="auto" w:fill="auto"/>
            <w:noWrap/>
            <w:vAlign w:val="bottom"/>
            <w:hideMark/>
          </w:tcPr>
          <w:p w:rsidR="002A4511" w:rsidRDefault="00633DD2">
            <w:pPr>
              <w:pStyle w:val="TableText"/>
              <w:keepNext/>
              <w:jc w:val="center"/>
              <w:rPr>
                <w:rFonts w:eastAsia="Calibri" w:cs="Times New Roman"/>
              </w:rPr>
            </w:pPr>
            <w:r w:rsidRPr="00642CC1">
              <w:t>89</w:t>
            </w:r>
          </w:p>
        </w:tc>
      </w:tr>
      <w:tr w:rsidR="00633DD2" w:rsidRPr="00642CC1" w:rsidTr="00633DD2">
        <w:trPr>
          <w:trHeight w:val="300"/>
          <w:jc w:val="center"/>
        </w:trPr>
        <w:tc>
          <w:tcPr>
            <w:tcW w:w="960" w:type="dxa"/>
            <w:vMerge/>
            <w:vAlign w:val="center"/>
            <w:hideMark/>
          </w:tcPr>
          <w:p w:rsidR="002A4511" w:rsidRDefault="002A4511">
            <w:pPr>
              <w:pStyle w:val="TableText"/>
              <w:keepNext/>
              <w:jc w:val="center"/>
              <w:rPr>
                <w:rFonts w:eastAsia="Calibri" w:cs="Times New Roman"/>
              </w:rPr>
            </w:pPr>
          </w:p>
        </w:tc>
        <w:tc>
          <w:tcPr>
            <w:tcW w:w="1280" w:type="dxa"/>
            <w:shd w:val="clear" w:color="auto" w:fill="auto"/>
            <w:noWrap/>
            <w:vAlign w:val="bottom"/>
            <w:hideMark/>
          </w:tcPr>
          <w:p w:rsidR="002A4511" w:rsidRDefault="00633DD2">
            <w:pPr>
              <w:pStyle w:val="TableText"/>
              <w:keepNext/>
              <w:jc w:val="center"/>
              <w:rPr>
                <w:rFonts w:eastAsia="Calibri" w:cs="Times New Roman"/>
              </w:rPr>
            </w:pPr>
            <w:r w:rsidRPr="00642CC1">
              <w:t>8-Sep-11</w:t>
            </w:r>
            <w:r>
              <w:rPr>
                <w:rStyle w:val="FootnoteReference"/>
                <w:rFonts w:eastAsia="Times New Roman" w:cs="Arial"/>
                <w:color w:val="000000"/>
                <w:sz w:val="20"/>
                <w:szCs w:val="20"/>
              </w:rPr>
              <w:footnoteReference w:id="7"/>
            </w:r>
          </w:p>
        </w:tc>
        <w:tc>
          <w:tcPr>
            <w:tcW w:w="1140" w:type="dxa"/>
            <w:shd w:val="clear" w:color="auto" w:fill="auto"/>
            <w:noWrap/>
            <w:vAlign w:val="bottom"/>
            <w:hideMark/>
          </w:tcPr>
          <w:p w:rsidR="002A4511" w:rsidRDefault="00633DD2">
            <w:pPr>
              <w:pStyle w:val="TableText"/>
              <w:keepNext/>
              <w:jc w:val="center"/>
              <w:rPr>
                <w:rFonts w:eastAsia="Calibri" w:cs="Times New Roman"/>
              </w:rPr>
            </w:pPr>
            <w:r w:rsidRPr="005D1E05">
              <w:t>0.38</w:t>
            </w:r>
          </w:p>
        </w:tc>
        <w:tc>
          <w:tcPr>
            <w:tcW w:w="1360" w:type="dxa"/>
            <w:shd w:val="clear" w:color="auto" w:fill="auto"/>
            <w:noWrap/>
            <w:vAlign w:val="bottom"/>
            <w:hideMark/>
          </w:tcPr>
          <w:p w:rsidR="002A4511" w:rsidRDefault="00633DD2">
            <w:pPr>
              <w:pStyle w:val="TableText"/>
              <w:keepNext/>
              <w:jc w:val="center"/>
              <w:rPr>
                <w:rFonts w:eastAsia="Calibri" w:cs="Times New Roman"/>
              </w:rPr>
            </w:pPr>
            <w:r w:rsidRPr="005D1E05">
              <w:t>0.98</w:t>
            </w:r>
          </w:p>
        </w:tc>
        <w:tc>
          <w:tcPr>
            <w:tcW w:w="1206" w:type="dxa"/>
            <w:shd w:val="clear" w:color="auto" w:fill="auto"/>
            <w:noWrap/>
            <w:vAlign w:val="bottom"/>
            <w:hideMark/>
          </w:tcPr>
          <w:p w:rsidR="002A4511" w:rsidRDefault="00633DD2" w:rsidP="001E2037">
            <w:pPr>
              <w:pStyle w:val="TableText"/>
              <w:keepNext/>
              <w:jc w:val="center"/>
              <w:rPr>
                <w:rFonts w:eastAsia="Calibri" w:cs="Times New Roman"/>
              </w:rPr>
            </w:pPr>
            <w:r w:rsidRPr="005D1E05">
              <w:t>4.</w:t>
            </w:r>
            <w:r w:rsidR="001E2037">
              <w:t>8</w:t>
            </w:r>
          </w:p>
        </w:tc>
        <w:tc>
          <w:tcPr>
            <w:tcW w:w="1116" w:type="dxa"/>
            <w:shd w:val="clear" w:color="auto" w:fill="auto"/>
            <w:noWrap/>
            <w:vAlign w:val="bottom"/>
            <w:hideMark/>
          </w:tcPr>
          <w:p w:rsidR="002A4511" w:rsidRDefault="00633DD2">
            <w:pPr>
              <w:pStyle w:val="TableText"/>
              <w:keepNext/>
              <w:jc w:val="center"/>
              <w:rPr>
                <w:rFonts w:eastAsia="Calibri" w:cs="Times New Roman"/>
              </w:rPr>
            </w:pPr>
            <w:r w:rsidRPr="00642CC1">
              <w:t>80</w:t>
            </w:r>
          </w:p>
        </w:tc>
        <w:tc>
          <w:tcPr>
            <w:tcW w:w="900" w:type="dxa"/>
            <w:shd w:val="clear" w:color="auto" w:fill="auto"/>
            <w:noWrap/>
            <w:vAlign w:val="bottom"/>
            <w:hideMark/>
          </w:tcPr>
          <w:p w:rsidR="002A4511" w:rsidRDefault="00633DD2">
            <w:pPr>
              <w:pStyle w:val="TableText"/>
              <w:keepNext/>
              <w:jc w:val="center"/>
              <w:rPr>
                <w:rFonts w:eastAsia="Calibri" w:cs="Times New Roman"/>
              </w:rPr>
            </w:pPr>
            <w:r w:rsidRPr="00642CC1">
              <w:t>91</w:t>
            </w:r>
          </w:p>
        </w:tc>
      </w:tr>
      <w:tr w:rsidR="00633DD2" w:rsidRPr="00642CC1" w:rsidTr="00633DD2">
        <w:trPr>
          <w:trHeight w:val="300"/>
          <w:jc w:val="center"/>
        </w:trPr>
        <w:tc>
          <w:tcPr>
            <w:tcW w:w="960" w:type="dxa"/>
            <w:vMerge/>
            <w:vAlign w:val="center"/>
            <w:hideMark/>
          </w:tcPr>
          <w:p w:rsidR="002A4511" w:rsidRDefault="002A4511">
            <w:pPr>
              <w:pStyle w:val="TableText"/>
              <w:keepNext/>
              <w:jc w:val="center"/>
              <w:rPr>
                <w:rFonts w:eastAsia="Calibri" w:cs="Times New Roman"/>
              </w:rPr>
            </w:pPr>
          </w:p>
        </w:tc>
        <w:tc>
          <w:tcPr>
            <w:tcW w:w="1280" w:type="dxa"/>
            <w:shd w:val="clear" w:color="auto" w:fill="auto"/>
            <w:noWrap/>
            <w:vAlign w:val="bottom"/>
            <w:hideMark/>
          </w:tcPr>
          <w:p w:rsidR="002A4511" w:rsidRDefault="00633DD2">
            <w:pPr>
              <w:pStyle w:val="TableText"/>
              <w:keepNext/>
              <w:jc w:val="center"/>
              <w:rPr>
                <w:rFonts w:eastAsia="Calibri" w:cs="Times New Roman"/>
              </w:rPr>
            </w:pPr>
            <w:r w:rsidRPr="00642CC1">
              <w:t>9-Sep-11</w:t>
            </w:r>
          </w:p>
        </w:tc>
        <w:tc>
          <w:tcPr>
            <w:tcW w:w="1140" w:type="dxa"/>
            <w:shd w:val="clear" w:color="auto" w:fill="auto"/>
            <w:noWrap/>
            <w:vAlign w:val="bottom"/>
            <w:hideMark/>
          </w:tcPr>
          <w:p w:rsidR="002A4511" w:rsidRDefault="00633DD2">
            <w:pPr>
              <w:pStyle w:val="TableText"/>
              <w:keepNext/>
              <w:jc w:val="center"/>
              <w:rPr>
                <w:rFonts w:eastAsia="Calibri" w:cs="Times New Roman"/>
              </w:rPr>
            </w:pPr>
            <w:r w:rsidRPr="005D1E05">
              <w:t>0.16</w:t>
            </w:r>
          </w:p>
        </w:tc>
        <w:tc>
          <w:tcPr>
            <w:tcW w:w="1360" w:type="dxa"/>
            <w:shd w:val="clear" w:color="auto" w:fill="auto"/>
            <w:noWrap/>
            <w:vAlign w:val="bottom"/>
            <w:hideMark/>
          </w:tcPr>
          <w:p w:rsidR="002A4511" w:rsidRDefault="00633DD2">
            <w:pPr>
              <w:pStyle w:val="TableText"/>
              <w:keepNext/>
              <w:jc w:val="center"/>
              <w:rPr>
                <w:rFonts w:eastAsia="Calibri" w:cs="Times New Roman"/>
              </w:rPr>
            </w:pPr>
            <w:r w:rsidRPr="005D1E05">
              <w:t>0.42</w:t>
            </w:r>
          </w:p>
        </w:tc>
        <w:tc>
          <w:tcPr>
            <w:tcW w:w="1206" w:type="dxa"/>
            <w:shd w:val="clear" w:color="auto" w:fill="auto"/>
            <w:noWrap/>
            <w:vAlign w:val="bottom"/>
            <w:hideMark/>
          </w:tcPr>
          <w:p w:rsidR="002A4511" w:rsidRDefault="00633DD2">
            <w:pPr>
              <w:pStyle w:val="TableText"/>
              <w:keepNext/>
              <w:jc w:val="center"/>
              <w:rPr>
                <w:rFonts w:eastAsia="Calibri" w:cs="Times New Roman"/>
              </w:rPr>
            </w:pPr>
            <w:r w:rsidRPr="005D1E05">
              <w:t>2.1</w:t>
            </w:r>
          </w:p>
        </w:tc>
        <w:tc>
          <w:tcPr>
            <w:tcW w:w="1116" w:type="dxa"/>
            <w:shd w:val="clear" w:color="auto" w:fill="auto"/>
            <w:noWrap/>
            <w:vAlign w:val="bottom"/>
            <w:hideMark/>
          </w:tcPr>
          <w:p w:rsidR="002A4511" w:rsidRDefault="00633DD2">
            <w:pPr>
              <w:pStyle w:val="TableText"/>
              <w:keepNext/>
              <w:jc w:val="center"/>
              <w:rPr>
                <w:rFonts w:eastAsia="Calibri" w:cs="Times New Roman"/>
              </w:rPr>
            </w:pPr>
            <w:r w:rsidRPr="00642CC1">
              <w:t>68</w:t>
            </w:r>
          </w:p>
        </w:tc>
        <w:tc>
          <w:tcPr>
            <w:tcW w:w="900" w:type="dxa"/>
            <w:shd w:val="clear" w:color="auto" w:fill="auto"/>
            <w:noWrap/>
            <w:vAlign w:val="bottom"/>
            <w:hideMark/>
          </w:tcPr>
          <w:p w:rsidR="002A4511" w:rsidRDefault="00633DD2">
            <w:pPr>
              <w:pStyle w:val="TableText"/>
              <w:keepNext/>
              <w:jc w:val="center"/>
              <w:rPr>
                <w:rFonts w:eastAsia="Calibri" w:cs="Times New Roman"/>
              </w:rPr>
            </w:pPr>
            <w:r w:rsidRPr="00642CC1">
              <w:t>7</w:t>
            </w:r>
            <w:r w:rsidR="00D27E7F">
              <w:t>1</w:t>
            </w:r>
          </w:p>
        </w:tc>
      </w:tr>
      <w:tr w:rsidR="00633DD2" w:rsidRPr="00642CC1" w:rsidTr="00633DD2">
        <w:trPr>
          <w:trHeight w:val="300"/>
          <w:jc w:val="center"/>
        </w:trPr>
        <w:tc>
          <w:tcPr>
            <w:tcW w:w="960" w:type="dxa"/>
            <w:vMerge/>
            <w:vAlign w:val="center"/>
            <w:hideMark/>
          </w:tcPr>
          <w:p w:rsidR="002A4511" w:rsidRDefault="002A4511">
            <w:pPr>
              <w:pStyle w:val="TableText"/>
              <w:keepNext/>
              <w:jc w:val="center"/>
              <w:rPr>
                <w:rFonts w:eastAsia="Calibri" w:cs="Times New Roman"/>
              </w:rPr>
            </w:pPr>
          </w:p>
        </w:tc>
        <w:tc>
          <w:tcPr>
            <w:tcW w:w="1280" w:type="dxa"/>
            <w:shd w:val="clear" w:color="auto" w:fill="auto"/>
            <w:noWrap/>
            <w:vAlign w:val="bottom"/>
            <w:hideMark/>
          </w:tcPr>
          <w:p w:rsidR="002A4511" w:rsidRDefault="00633DD2">
            <w:pPr>
              <w:pStyle w:val="TableText"/>
              <w:keepNext/>
              <w:jc w:val="center"/>
              <w:rPr>
                <w:rFonts w:eastAsia="Calibri" w:cs="Times New Roman"/>
              </w:rPr>
            </w:pPr>
            <w:r w:rsidRPr="00642CC1">
              <w:t>12-Oct-11</w:t>
            </w:r>
          </w:p>
        </w:tc>
        <w:tc>
          <w:tcPr>
            <w:tcW w:w="1140" w:type="dxa"/>
            <w:shd w:val="clear" w:color="auto" w:fill="auto"/>
            <w:noWrap/>
            <w:vAlign w:val="bottom"/>
            <w:hideMark/>
          </w:tcPr>
          <w:p w:rsidR="002A4511" w:rsidRDefault="00633DD2">
            <w:pPr>
              <w:pStyle w:val="TableText"/>
              <w:keepNext/>
              <w:jc w:val="center"/>
              <w:rPr>
                <w:rFonts w:eastAsia="Calibri" w:cs="Times New Roman"/>
              </w:rPr>
            </w:pPr>
            <w:r w:rsidRPr="005D1E05">
              <w:t>0.29</w:t>
            </w:r>
          </w:p>
        </w:tc>
        <w:tc>
          <w:tcPr>
            <w:tcW w:w="1360" w:type="dxa"/>
            <w:shd w:val="clear" w:color="auto" w:fill="auto"/>
            <w:noWrap/>
            <w:vAlign w:val="bottom"/>
            <w:hideMark/>
          </w:tcPr>
          <w:p w:rsidR="002A4511" w:rsidRDefault="00633DD2">
            <w:pPr>
              <w:pStyle w:val="TableText"/>
              <w:keepNext/>
              <w:jc w:val="center"/>
              <w:rPr>
                <w:rFonts w:eastAsia="Calibri" w:cs="Times New Roman"/>
              </w:rPr>
            </w:pPr>
            <w:r w:rsidRPr="005D1E05">
              <w:t>0.75</w:t>
            </w:r>
          </w:p>
        </w:tc>
        <w:tc>
          <w:tcPr>
            <w:tcW w:w="1206" w:type="dxa"/>
            <w:shd w:val="clear" w:color="auto" w:fill="auto"/>
            <w:noWrap/>
            <w:vAlign w:val="bottom"/>
            <w:hideMark/>
          </w:tcPr>
          <w:p w:rsidR="002A4511" w:rsidRDefault="00633DD2">
            <w:pPr>
              <w:pStyle w:val="TableText"/>
              <w:keepNext/>
              <w:jc w:val="center"/>
              <w:rPr>
                <w:rFonts w:eastAsia="Calibri" w:cs="Times New Roman"/>
              </w:rPr>
            </w:pPr>
            <w:r w:rsidRPr="005D1E05">
              <w:t>3.7</w:t>
            </w:r>
          </w:p>
        </w:tc>
        <w:tc>
          <w:tcPr>
            <w:tcW w:w="1116" w:type="dxa"/>
            <w:shd w:val="clear" w:color="auto" w:fill="auto"/>
            <w:noWrap/>
            <w:vAlign w:val="bottom"/>
            <w:hideMark/>
          </w:tcPr>
          <w:p w:rsidR="002A4511" w:rsidRDefault="00633DD2">
            <w:pPr>
              <w:pStyle w:val="TableText"/>
              <w:keepNext/>
              <w:jc w:val="center"/>
              <w:rPr>
                <w:rFonts w:eastAsia="Calibri" w:cs="Times New Roman"/>
              </w:rPr>
            </w:pPr>
            <w:r w:rsidRPr="00642CC1">
              <w:t>75</w:t>
            </w:r>
          </w:p>
        </w:tc>
        <w:tc>
          <w:tcPr>
            <w:tcW w:w="900" w:type="dxa"/>
            <w:shd w:val="clear" w:color="auto" w:fill="auto"/>
            <w:noWrap/>
            <w:vAlign w:val="bottom"/>
            <w:hideMark/>
          </w:tcPr>
          <w:p w:rsidR="002A4511" w:rsidRDefault="00633DD2">
            <w:pPr>
              <w:pStyle w:val="TableText"/>
              <w:keepNext/>
              <w:jc w:val="center"/>
              <w:rPr>
                <w:rFonts w:eastAsia="Calibri" w:cs="Times New Roman"/>
              </w:rPr>
            </w:pPr>
            <w:r w:rsidRPr="00642CC1">
              <w:t>92</w:t>
            </w:r>
          </w:p>
        </w:tc>
      </w:tr>
      <w:tr w:rsidR="00633DD2" w:rsidRPr="00642CC1" w:rsidTr="00633DD2">
        <w:trPr>
          <w:trHeight w:val="300"/>
          <w:jc w:val="center"/>
        </w:trPr>
        <w:tc>
          <w:tcPr>
            <w:tcW w:w="960" w:type="dxa"/>
            <w:vMerge/>
            <w:vAlign w:val="center"/>
            <w:hideMark/>
          </w:tcPr>
          <w:p w:rsidR="002A4511" w:rsidRDefault="002A4511">
            <w:pPr>
              <w:pStyle w:val="TableText"/>
              <w:keepNext/>
              <w:jc w:val="center"/>
              <w:rPr>
                <w:rFonts w:eastAsia="Calibri" w:cs="Times New Roman"/>
              </w:rPr>
            </w:pPr>
          </w:p>
        </w:tc>
        <w:tc>
          <w:tcPr>
            <w:tcW w:w="1280" w:type="dxa"/>
            <w:shd w:val="clear" w:color="auto" w:fill="auto"/>
            <w:noWrap/>
            <w:vAlign w:val="bottom"/>
            <w:hideMark/>
          </w:tcPr>
          <w:p w:rsidR="002A4511" w:rsidRDefault="00633DD2">
            <w:pPr>
              <w:pStyle w:val="TableText"/>
              <w:keepNext/>
              <w:jc w:val="center"/>
              <w:rPr>
                <w:rFonts w:eastAsia="Calibri" w:cs="Times New Roman"/>
              </w:rPr>
            </w:pPr>
            <w:r w:rsidRPr="00642CC1">
              <w:t>13-Oct-11</w:t>
            </w:r>
          </w:p>
        </w:tc>
        <w:tc>
          <w:tcPr>
            <w:tcW w:w="1140" w:type="dxa"/>
            <w:shd w:val="clear" w:color="auto" w:fill="auto"/>
            <w:noWrap/>
            <w:vAlign w:val="bottom"/>
            <w:hideMark/>
          </w:tcPr>
          <w:p w:rsidR="002A4511" w:rsidRDefault="00633DD2">
            <w:pPr>
              <w:pStyle w:val="TableText"/>
              <w:keepNext/>
              <w:jc w:val="center"/>
              <w:rPr>
                <w:rFonts w:eastAsia="Calibri" w:cs="Times New Roman"/>
              </w:rPr>
            </w:pPr>
            <w:r w:rsidRPr="005D1E05">
              <w:t>0.26</w:t>
            </w:r>
          </w:p>
        </w:tc>
        <w:tc>
          <w:tcPr>
            <w:tcW w:w="1360" w:type="dxa"/>
            <w:shd w:val="clear" w:color="auto" w:fill="auto"/>
            <w:noWrap/>
            <w:vAlign w:val="bottom"/>
            <w:hideMark/>
          </w:tcPr>
          <w:p w:rsidR="002A4511" w:rsidRDefault="00633DD2">
            <w:pPr>
              <w:pStyle w:val="TableText"/>
              <w:keepNext/>
              <w:jc w:val="center"/>
              <w:rPr>
                <w:rFonts w:eastAsia="Calibri" w:cs="Times New Roman"/>
              </w:rPr>
            </w:pPr>
            <w:r w:rsidRPr="005D1E05">
              <w:t>0.67</w:t>
            </w:r>
          </w:p>
        </w:tc>
        <w:tc>
          <w:tcPr>
            <w:tcW w:w="1206" w:type="dxa"/>
            <w:shd w:val="clear" w:color="auto" w:fill="auto"/>
            <w:noWrap/>
            <w:vAlign w:val="bottom"/>
            <w:hideMark/>
          </w:tcPr>
          <w:p w:rsidR="002A4511" w:rsidRDefault="00633DD2">
            <w:pPr>
              <w:pStyle w:val="TableText"/>
              <w:keepNext/>
              <w:jc w:val="center"/>
              <w:rPr>
                <w:rFonts w:eastAsia="Calibri" w:cs="Times New Roman"/>
              </w:rPr>
            </w:pPr>
            <w:r w:rsidRPr="005D1E05">
              <w:t>3.3</w:t>
            </w:r>
          </w:p>
        </w:tc>
        <w:tc>
          <w:tcPr>
            <w:tcW w:w="1116" w:type="dxa"/>
            <w:shd w:val="clear" w:color="auto" w:fill="auto"/>
            <w:noWrap/>
            <w:vAlign w:val="bottom"/>
            <w:hideMark/>
          </w:tcPr>
          <w:p w:rsidR="002A4511" w:rsidRDefault="00633DD2">
            <w:pPr>
              <w:pStyle w:val="TableText"/>
              <w:keepNext/>
              <w:jc w:val="center"/>
              <w:rPr>
                <w:rFonts w:eastAsia="Calibri" w:cs="Times New Roman"/>
              </w:rPr>
            </w:pPr>
            <w:r w:rsidRPr="00642CC1">
              <w:t>77</w:t>
            </w:r>
          </w:p>
        </w:tc>
        <w:tc>
          <w:tcPr>
            <w:tcW w:w="900" w:type="dxa"/>
            <w:shd w:val="clear" w:color="auto" w:fill="auto"/>
            <w:noWrap/>
            <w:vAlign w:val="bottom"/>
            <w:hideMark/>
          </w:tcPr>
          <w:p w:rsidR="002A4511" w:rsidRDefault="00633DD2">
            <w:pPr>
              <w:pStyle w:val="TableText"/>
              <w:keepNext/>
              <w:jc w:val="center"/>
              <w:rPr>
                <w:rFonts w:eastAsia="Calibri" w:cs="Times New Roman"/>
              </w:rPr>
            </w:pPr>
            <w:r w:rsidRPr="00642CC1">
              <w:t>86</w:t>
            </w:r>
          </w:p>
        </w:tc>
      </w:tr>
      <w:tr w:rsidR="00633DD2" w:rsidRPr="00642CC1" w:rsidTr="00633DD2">
        <w:trPr>
          <w:trHeight w:val="300"/>
          <w:jc w:val="center"/>
        </w:trPr>
        <w:tc>
          <w:tcPr>
            <w:tcW w:w="960" w:type="dxa"/>
            <w:vMerge/>
            <w:vAlign w:val="center"/>
            <w:hideMark/>
          </w:tcPr>
          <w:p w:rsidR="00633DD2" w:rsidRPr="00642CC1" w:rsidRDefault="00633DD2" w:rsidP="00633DD2">
            <w:pPr>
              <w:pStyle w:val="TableText"/>
              <w:jc w:val="center"/>
            </w:pPr>
          </w:p>
        </w:tc>
        <w:tc>
          <w:tcPr>
            <w:tcW w:w="1280" w:type="dxa"/>
            <w:shd w:val="clear" w:color="auto" w:fill="auto"/>
            <w:noWrap/>
            <w:vAlign w:val="bottom"/>
            <w:hideMark/>
          </w:tcPr>
          <w:p w:rsidR="00633DD2" w:rsidRPr="00642CC1" w:rsidRDefault="00633DD2" w:rsidP="00633DD2">
            <w:pPr>
              <w:pStyle w:val="TableText"/>
              <w:jc w:val="center"/>
            </w:pPr>
            <w:r w:rsidRPr="00642CC1">
              <w:t>Average</w:t>
            </w:r>
          </w:p>
        </w:tc>
        <w:tc>
          <w:tcPr>
            <w:tcW w:w="1140" w:type="dxa"/>
            <w:shd w:val="clear" w:color="auto" w:fill="auto"/>
            <w:noWrap/>
            <w:vAlign w:val="bottom"/>
            <w:hideMark/>
          </w:tcPr>
          <w:p w:rsidR="00633DD2" w:rsidRPr="005D1E05" w:rsidRDefault="00633DD2" w:rsidP="00633DD2">
            <w:pPr>
              <w:pStyle w:val="TableText"/>
              <w:jc w:val="center"/>
            </w:pPr>
            <w:r w:rsidRPr="005D1E05">
              <w:t>0.29</w:t>
            </w:r>
          </w:p>
        </w:tc>
        <w:tc>
          <w:tcPr>
            <w:tcW w:w="1360" w:type="dxa"/>
            <w:shd w:val="clear" w:color="auto" w:fill="auto"/>
            <w:noWrap/>
            <w:vAlign w:val="bottom"/>
            <w:hideMark/>
          </w:tcPr>
          <w:p w:rsidR="00633DD2" w:rsidRPr="005D1E05" w:rsidRDefault="00633DD2" w:rsidP="00633DD2">
            <w:pPr>
              <w:pStyle w:val="TableText"/>
              <w:jc w:val="center"/>
            </w:pPr>
            <w:r w:rsidRPr="005D1E05">
              <w:t>0.75</w:t>
            </w:r>
          </w:p>
        </w:tc>
        <w:tc>
          <w:tcPr>
            <w:tcW w:w="1206" w:type="dxa"/>
            <w:shd w:val="clear" w:color="auto" w:fill="auto"/>
            <w:noWrap/>
            <w:vAlign w:val="bottom"/>
            <w:hideMark/>
          </w:tcPr>
          <w:p w:rsidR="00633DD2" w:rsidRPr="005D1E05" w:rsidRDefault="00633DD2" w:rsidP="00633DD2">
            <w:pPr>
              <w:pStyle w:val="TableText"/>
              <w:jc w:val="center"/>
            </w:pPr>
            <w:r w:rsidRPr="005D1E05">
              <w:t>3.7</w:t>
            </w:r>
          </w:p>
        </w:tc>
        <w:tc>
          <w:tcPr>
            <w:tcW w:w="1116" w:type="dxa"/>
            <w:shd w:val="clear" w:color="auto" w:fill="auto"/>
            <w:noWrap/>
            <w:vAlign w:val="bottom"/>
            <w:hideMark/>
          </w:tcPr>
          <w:p w:rsidR="00633DD2" w:rsidRPr="00642CC1" w:rsidRDefault="00633DD2" w:rsidP="00633DD2">
            <w:pPr>
              <w:pStyle w:val="TableText"/>
              <w:jc w:val="center"/>
            </w:pPr>
            <w:r w:rsidRPr="00642CC1">
              <w:t>76</w:t>
            </w:r>
          </w:p>
        </w:tc>
        <w:tc>
          <w:tcPr>
            <w:tcW w:w="900" w:type="dxa"/>
            <w:shd w:val="clear" w:color="auto" w:fill="auto"/>
            <w:noWrap/>
            <w:vAlign w:val="bottom"/>
            <w:hideMark/>
          </w:tcPr>
          <w:p w:rsidR="00633DD2" w:rsidRPr="00642CC1" w:rsidRDefault="00633DD2" w:rsidP="00633DD2">
            <w:pPr>
              <w:pStyle w:val="TableText"/>
              <w:jc w:val="center"/>
            </w:pPr>
            <w:r w:rsidRPr="00642CC1">
              <w:t>85</w:t>
            </w:r>
          </w:p>
        </w:tc>
      </w:tr>
    </w:tbl>
    <w:p w:rsidR="00EC3A51" w:rsidRDefault="00EF00D6" w:rsidP="00EF00D6">
      <w:pPr>
        <w:pStyle w:val="BodyParaAfterTableFigure"/>
      </w:pPr>
      <w:r>
        <w:t>Table 2-4 shows ex post load impact estimates for the whole program for 2011.</w:t>
      </w:r>
    </w:p>
    <w:p w:rsidR="00EF00D6" w:rsidRPr="00EF00D6" w:rsidRDefault="00EF00D6" w:rsidP="008B7D4E">
      <w:pPr>
        <w:pStyle w:val="TableFigureCaption"/>
      </w:pPr>
      <w:r w:rsidRPr="00EF00D6">
        <w:lastRenderedPageBreak/>
        <w:t>Table 2-</w:t>
      </w:r>
      <w:r>
        <w:t>4</w:t>
      </w:r>
      <w:r w:rsidRPr="00EF00D6">
        <w:t>:</w:t>
      </w:r>
      <w:r w:rsidR="008B7D4E">
        <w:t xml:space="preserve"> </w:t>
      </w:r>
      <w:r w:rsidRPr="00EF00D6">
        <w:t xml:space="preserve">Summer Saver </w:t>
      </w:r>
      <w:r>
        <w:t xml:space="preserve">Program </w:t>
      </w:r>
      <w:r w:rsidRPr="00EF00D6">
        <w:t>Ex Post Impact Estimates</w:t>
      </w:r>
    </w:p>
    <w:tbl>
      <w:tblPr>
        <w:tblW w:w="6681" w:type="dxa"/>
        <w:jc w:val="center"/>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3"/>
        <w:gridCol w:w="1088"/>
        <w:gridCol w:w="995"/>
        <w:gridCol w:w="1206"/>
        <w:gridCol w:w="1116"/>
        <w:gridCol w:w="943"/>
      </w:tblGrid>
      <w:tr w:rsidR="00EF00D6" w:rsidRPr="00EF00D6" w:rsidTr="002354B7">
        <w:trPr>
          <w:trHeight w:val="556"/>
          <w:jc w:val="center"/>
        </w:trPr>
        <w:tc>
          <w:tcPr>
            <w:tcW w:w="1333" w:type="dxa"/>
            <w:vMerge w:val="restart"/>
            <w:tcBorders>
              <w:right w:val="single" w:sz="4" w:space="0" w:color="FFFFFF" w:themeColor="background1"/>
            </w:tcBorders>
            <w:shd w:val="clear" w:color="000000" w:fill="1F497D"/>
            <w:vAlign w:val="center"/>
            <w:hideMark/>
          </w:tcPr>
          <w:p w:rsidR="00EF00D6" w:rsidRPr="00EF00D6" w:rsidRDefault="00EF00D6" w:rsidP="00EF00D6">
            <w:pPr>
              <w:pStyle w:val="TableHeader"/>
              <w:keepNext/>
            </w:pPr>
            <w:r w:rsidRPr="00EF00D6">
              <w:t>Date</w:t>
            </w:r>
          </w:p>
        </w:tc>
        <w:tc>
          <w:tcPr>
            <w:tcW w:w="3289" w:type="dxa"/>
            <w:gridSpan w:val="3"/>
            <w:tcBorders>
              <w:left w:val="single" w:sz="4" w:space="0" w:color="FFFFFF" w:themeColor="background1"/>
              <w:bottom w:val="single" w:sz="4" w:space="0" w:color="FFFFFF" w:themeColor="background1"/>
              <w:right w:val="single" w:sz="4" w:space="0" w:color="FFFFFF" w:themeColor="background1"/>
            </w:tcBorders>
            <w:shd w:val="clear" w:color="000000" w:fill="1F497D"/>
            <w:vAlign w:val="center"/>
            <w:hideMark/>
          </w:tcPr>
          <w:p w:rsidR="00EF00D6" w:rsidRPr="00EF00D6" w:rsidRDefault="00EF00D6" w:rsidP="00EF00D6">
            <w:pPr>
              <w:pStyle w:val="TableHeader"/>
              <w:keepNext/>
            </w:pPr>
            <w:r w:rsidRPr="00EF00D6">
              <w:t>Impact</w:t>
            </w:r>
          </w:p>
        </w:tc>
        <w:tc>
          <w:tcPr>
            <w:tcW w:w="2059" w:type="dxa"/>
            <w:gridSpan w:val="2"/>
            <w:tcBorders>
              <w:left w:val="single" w:sz="4" w:space="0" w:color="FFFFFF" w:themeColor="background1"/>
              <w:bottom w:val="single" w:sz="4" w:space="0" w:color="FFFFFF" w:themeColor="background1"/>
            </w:tcBorders>
            <w:shd w:val="clear" w:color="000000" w:fill="1F497D"/>
            <w:vAlign w:val="bottom"/>
            <w:hideMark/>
          </w:tcPr>
          <w:p w:rsidR="00EF00D6" w:rsidRPr="00EF00D6" w:rsidRDefault="00EF00D6" w:rsidP="00EF00D6">
            <w:pPr>
              <w:pStyle w:val="TableHeader"/>
              <w:keepNext/>
            </w:pPr>
            <w:r w:rsidRPr="00EF00D6">
              <w:footnoteReference w:customMarkFollows="1" w:id="8"/>
              <w:t>Average Temperature</w:t>
            </w:r>
          </w:p>
        </w:tc>
      </w:tr>
      <w:tr w:rsidR="00EF00D6" w:rsidRPr="00EF00D6" w:rsidTr="002354B7">
        <w:trPr>
          <w:trHeight w:val="795"/>
          <w:jc w:val="center"/>
        </w:trPr>
        <w:tc>
          <w:tcPr>
            <w:tcW w:w="1333" w:type="dxa"/>
            <w:vMerge/>
            <w:tcBorders>
              <w:right w:val="single" w:sz="4" w:space="0" w:color="FFFFFF" w:themeColor="background1"/>
            </w:tcBorders>
            <w:vAlign w:val="center"/>
            <w:hideMark/>
          </w:tcPr>
          <w:p w:rsidR="00EF00D6" w:rsidRPr="00EF00D6" w:rsidRDefault="00EF00D6" w:rsidP="00EF00D6">
            <w:pPr>
              <w:pStyle w:val="TableHeader"/>
              <w:keepNext/>
            </w:pPr>
          </w:p>
        </w:tc>
        <w:tc>
          <w:tcPr>
            <w:tcW w:w="1088" w:type="dxa"/>
            <w:tcBorders>
              <w:top w:val="single" w:sz="4" w:space="0" w:color="FFFFFF" w:themeColor="background1"/>
              <w:left w:val="single" w:sz="4" w:space="0" w:color="FFFFFF" w:themeColor="background1"/>
              <w:right w:val="single" w:sz="4" w:space="0" w:color="FFFFFF" w:themeColor="background1"/>
            </w:tcBorders>
            <w:shd w:val="clear" w:color="000000" w:fill="1F497D"/>
            <w:vAlign w:val="bottom"/>
            <w:hideMark/>
          </w:tcPr>
          <w:p w:rsidR="00EF00D6" w:rsidRPr="00EF00D6" w:rsidRDefault="00EF00D6" w:rsidP="00EF00D6">
            <w:pPr>
              <w:pStyle w:val="TableHeader"/>
              <w:keepNext/>
            </w:pPr>
            <w:r w:rsidRPr="00EF00D6">
              <w:t>Per CAC Unit (kW)</w:t>
            </w:r>
          </w:p>
        </w:tc>
        <w:tc>
          <w:tcPr>
            <w:tcW w:w="995" w:type="dxa"/>
            <w:tcBorders>
              <w:top w:val="single" w:sz="4" w:space="0" w:color="FFFFFF" w:themeColor="background1"/>
              <w:left w:val="single" w:sz="4" w:space="0" w:color="FFFFFF" w:themeColor="background1"/>
              <w:right w:val="single" w:sz="4" w:space="0" w:color="FFFFFF" w:themeColor="background1"/>
            </w:tcBorders>
            <w:shd w:val="clear" w:color="000000" w:fill="1F497D"/>
            <w:vAlign w:val="bottom"/>
            <w:hideMark/>
          </w:tcPr>
          <w:p w:rsidR="00EF00D6" w:rsidRPr="00EF00D6" w:rsidRDefault="00EF00D6" w:rsidP="00EF00D6">
            <w:pPr>
              <w:pStyle w:val="TableHeader"/>
              <w:keepNext/>
            </w:pPr>
            <w:r w:rsidRPr="00EF00D6">
              <w:t>Per Premise (kW)</w:t>
            </w:r>
          </w:p>
        </w:tc>
        <w:tc>
          <w:tcPr>
            <w:tcW w:w="1206" w:type="dxa"/>
            <w:tcBorders>
              <w:top w:val="single" w:sz="4" w:space="0" w:color="FFFFFF" w:themeColor="background1"/>
              <w:left w:val="single" w:sz="4" w:space="0" w:color="FFFFFF" w:themeColor="background1"/>
              <w:right w:val="single" w:sz="4" w:space="0" w:color="FFFFFF" w:themeColor="background1"/>
            </w:tcBorders>
            <w:shd w:val="clear" w:color="000000" w:fill="1F497D"/>
            <w:vAlign w:val="bottom"/>
            <w:hideMark/>
          </w:tcPr>
          <w:p w:rsidR="00EF00D6" w:rsidRPr="00EF00D6" w:rsidRDefault="00EF00D6" w:rsidP="00EF00D6">
            <w:pPr>
              <w:pStyle w:val="TableHeader"/>
              <w:keepNext/>
            </w:pPr>
            <w:r w:rsidRPr="00EF00D6">
              <w:t>Aggregate (MW)</w:t>
            </w:r>
          </w:p>
        </w:tc>
        <w:tc>
          <w:tcPr>
            <w:tcW w:w="1116" w:type="dxa"/>
            <w:tcBorders>
              <w:top w:val="single" w:sz="4" w:space="0" w:color="FFFFFF" w:themeColor="background1"/>
              <w:left w:val="single" w:sz="4" w:space="0" w:color="FFFFFF" w:themeColor="background1"/>
              <w:right w:val="single" w:sz="4" w:space="0" w:color="FFFFFF" w:themeColor="background1"/>
            </w:tcBorders>
            <w:shd w:val="clear" w:color="000000" w:fill="1F497D"/>
            <w:vAlign w:val="bottom"/>
            <w:hideMark/>
          </w:tcPr>
          <w:p w:rsidR="00EF00D6" w:rsidRPr="00EF00D6" w:rsidRDefault="00EF00D6" w:rsidP="00EF00D6">
            <w:pPr>
              <w:pStyle w:val="TableHeader"/>
              <w:keepNext/>
            </w:pPr>
            <w:r w:rsidRPr="00EF00D6">
              <w:t>Midnight-5 PM</w:t>
            </w:r>
          </w:p>
        </w:tc>
        <w:tc>
          <w:tcPr>
            <w:tcW w:w="943" w:type="dxa"/>
            <w:tcBorders>
              <w:top w:val="single" w:sz="4" w:space="0" w:color="FFFFFF" w:themeColor="background1"/>
              <w:left w:val="single" w:sz="4" w:space="0" w:color="FFFFFF" w:themeColor="background1"/>
            </w:tcBorders>
            <w:shd w:val="clear" w:color="000000" w:fill="1F497D"/>
            <w:vAlign w:val="center"/>
            <w:hideMark/>
          </w:tcPr>
          <w:p w:rsidR="00EF00D6" w:rsidRPr="00EF00D6" w:rsidRDefault="00EF00D6" w:rsidP="00EF00D6">
            <w:pPr>
              <w:pStyle w:val="TableHeader"/>
              <w:keepNext/>
            </w:pPr>
            <w:r w:rsidRPr="00EF00D6">
              <w:t>Event</w:t>
            </w:r>
          </w:p>
        </w:tc>
      </w:tr>
      <w:tr w:rsidR="00EF00D6" w:rsidRPr="00EF00D6" w:rsidTr="002354B7">
        <w:trPr>
          <w:trHeight w:val="315"/>
          <w:jc w:val="center"/>
        </w:trPr>
        <w:tc>
          <w:tcPr>
            <w:tcW w:w="1333"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26-Aug-11</w:t>
            </w:r>
          </w:p>
        </w:tc>
        <w:tc>
          <w:tcPr>
            <w:tcW w:w="1088"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0.34</w:t>
            </w:r>
          </w:p>
        </w:tc>
        <w:tc>
          <w:tcPr>
            <w:tcW w:w="995"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0.49</w:t>
            </w:r>
          </w:p>
        </w:tc>
        <w:tc>
          <w:tcPr>
            <w:tcW w:w="1206"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14.4</w:t>
            </w:r>
          </w:p>
        </w:tc>
        <w:tc>
          <w:tcPr>
            <w:tcW w:w="1116"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77</w:t>
            </w:r>
          </w:p>
        </w:tc>
        <w:tc>
          <w:tcPr>
            <w:tcW w:w="943"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84</w:t>
            </w:r>
          </w:p>
        </w:tc>
      </w:tr>
      <w:tr w:rsidR="00EF00D6" w:rsidRPr="00EF00D6" w:rsidTr="002354B7">
        <w:trPr>
          <w:trHeight w:val="315"/>
          <w:jc w:val="center"/>
        </w:trPr>
        <w:tc>
          <w:tcPr>
            <w:tcW w:w="1333"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7-Sep-11</w:t>
            </w:r>
          </w:p>
        </w:tc>
        <w:tc>
          <w:tcPr>
            <w:tcW w:w="1088"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0.54</w:t>
            </w:r>
          </w:p>
        </w:tc>
        <w:tc>
          <w:tcPr>
            <w:tcW w:w="995"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0.77</w:t>
            </w:r>
          </w:p>
        </w:tc>
        <w:tc>
          <w:tcPr>
            <w:tcW w:w="1206"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22.9</w:t>
            </w:r>
          </w:p>
        </w:tc>
        <w:tc>
          <w:tcPr>
            <w:tcW w:w="1116"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82</w:t>
            </w:r>
          </w:p>
        </w:tc>
        <w:tc>
          <w:tcPr>
            <w:tcW w:w="943"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90</w:t>
            </w:r>
          </w:p>
        </w:tc>
      </w:tr>
      <w:tr w:rsidR="00EF00D6" w:rsidRPr="00EF00D6" w:rsidTr="002354B7">
        <w:trPr>
          <w:trHeight w:val="315"/>
          <w:jc w:val="center"/>
        </w:trPr>
        <w:tc>
          <w:tcPr>
            <w:tcW w:w="1333"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8-Sep-11</w:t>
            </w:r>
            <w:r w:rsidR="001E32BB">
              <w:rPr>
                <w:rStyle w:val="FootnoteReference"/>
                <w:rFonts w:ascii="Arial" w:eastAsia="Times New Roman" w:hAnsi="Arial" w:cs="Arial"/>
                <w:color w:val="000000"/>
                <w:sz w:val="18"/>
                <w:szCs w:val="18"/>
              </w:rPr>
              <w:footnoteReference w:id="9"/>
            </w:r>
          </w:p>
        </w:tc>
        <w:tc>
          <w:tcPr>
            <w:tcW w:w="1088"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0.57</w:t>
            </w:r>
          </w:p>
        </w:tc>
        <w:tc>
          <w:tcPr>
            <w:tcW w:w="995"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0.81</w:t>
            </w:r>
          </w:p>
        </w:tc>
        <w:tc>
          <w:tcPr>
            <w:tcW w:w="1206"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23.9</w:t>
            </w:r>
          </w:p>
        </w:tc>
        <w:tc>
          <w:tcPr>
            <w:tcW w:w="1116"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81</w:t>
            </w:r>
          </w:p>
        </w:tc>
        <w:tc>
          <w:tcPr>
            <w:tcW w:w="943"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92</w:t>
            </w:r>
          </w:p>
        </w:tc>
      </w:tr>
      <w:tr w:rsidR="00EF00D6" w:rsidRPr="00EF00D6" w:rsidTr="002354B7">
        <w:trPr>
          <w:trHeight w:val="315"/>
          <w:jc w:val="center"/>
        </w:trPr>
        <w:tc>
          <w:tcPr>
            <w:tcW w:w="1333"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9-Sep-11</w:t>
            </w:r>
          </w:p>
        </w:tc>
        <w:tc>
          <w:tcPr>
            <w:tcW w:w="1088"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0.19</w:t>
            </w:r>
          </w:p>
        </w:tc>
        <w:tc>
          <w:tcPr>
            <w:tcW w:w="995"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0.27</w:t>
            </w:r>
          </w:p>
        </w:tc>
        <w:tc>
          <w:tcPr>
            <w:tcW w:w="1206"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8.1</w:t>
            </w:r>
          </w:p>
        </w:tc>
        <w:tc>
          <w:tcPr>
            <w:tcW w:w="1116"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69</w:t>
            </w:r>
          </w:p>
        </w:tc>
        <w:tc>
          <w:tcPr>
            <w:tcW w:w="943"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72</w:t>
            </w:r>
          </w:p>
        </w:tc>
      </w:tr>
      <w:tr w:rsidR="00EF00D6" w:rsidRPr="00EF00D6" w:rsidTr="002354B7">
        <w:trPr>
          <w:trHeight w:val="315"/>
          <w:jc w:val="center"/>
        </w:trPr>
        <w:tc>
          <w:tcPr>
            <w:tcW w:w="1333"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12-Oct-11</w:t>
            </w:r>
          </w:p>
        </w:tc>
        <w:tc>
          <w:tcPr>
            <w:tcW w:w="1088"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0.37</w:t>
            </w:r>
          </w:p>
        </w:tc>
        <w:tc>
          <w:tcPr>
            <w:tcW w:w="995"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0.53</w:t>
            </w:r>
          </w:p>
        </w:tc>
        <w:tc>
          <w:tcPr>
            <w:tcW w:w="1206"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15.7</w:t>
            </w:r>
          </w:p>
        </w:tc>
        <w:tc>
          <w:tcPr>
            <w:tcW w:w="1116"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76</w:t>
            </w:r>
          </w:p>
        </w:tc>
        <w:tc>
          <w:tcPr>
            <w:tcW w:w="943"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93</w:t>
            </w:r>
          </w:p>
        </w:tc>
      </w:tr>
      <w:tr w:rsidR="00EF00D6" w:rsidRPr="00EF00D6" w:rsidTr="002354B7">
        <w:trPr>
          <w:trHeight w:val="315"/>
          <w:jc w:val="center"/>
        </w:trPr>
        <w:tc>
          <w:tcPr>
            <w:tcW w:w="1333"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13-Oct-11</w:t>
            </w:r>
          </w:p>
        </w:tc>
        <w:tc>
          <w:tcPr>
            <w:tcW w:w="1088"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0.51</w:t>
            </w:r>
          </w:p>
        </w:tc>
        <w:tc>
          <w:tcPr>
            <w:tcW w:w="995"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0.72</w:t>
            </w:r>
          </w:p>
        </w:tc>
        <w:tc>
          <w:tcPr>
            <w:tcW w:w="1206"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21.3</w:t>
            </w:r>
          </w:p>
        </w:tc>
        <w:tc>
          <w:tcPr>
            <w:tcW w:w="1116"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78</w:t>
            </w:r>
          </w:p>
        </w:tc>
        <w:tc>
          <w:tcPr>
            <w:tcW w:w="943" w:type="dxa"/>
            <w:shd w:val="clear" w:color="auto" w:fill="auto"/>
            <w:noWrap/>
            <w:vAlign w:val="bottom"/>
            <w:hideMark/>
          </w:tcPr>
          <w:p w:rsidR="00EF00D6" w:rsidRPr="00EF00D6" w:rsidRDefault="00EF00D6" w:rsidP="00EF00D6">
            <w:pPr>
              <w:keepNext/>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88</w:t>
            </w:r>
          </w:p>
        </w:tc>
      </w:tr>
      <w:tr w:rsidR="00EF00D6" w:rsidRPr="00EF00D6" w:rsidTr="002354B7">
        <w:trPr>
          <w:trHeight w:val="315"/>
          <w:jc w:val="center"/>
        </w:trPr>
        <w:tc>
          <w:tcPr>
            <w:tcW w:w="1333" w:type="dxa"/>
            <w:shd w:val="clear" w:color="auto" w:fill="auto"/>
            <w:noWrap/>
            <w:vAlign w:val="bottom"/>
            <w:hideMark/>
          </w:tcPr>
          <w:p w:rsidR="00EF00D6" w:rsidRPr="00EF00D6" w:rsidRDefault="00EF00D6" w:rsidP="00EF00D6">
            <w:pPr>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Average</w:t>
            </w:r>
          </w:p>
        </w:tc>
        <w:tc>
          <w:tcPr>
            <w:tcW w:w="1088" w:type="dxa"/>
            <w:shd w:val="clear" w:color="auto" w:fill="auto"/>
            <w:noWrap/>
            <w:vAlign w:val="bottom"/>
            <w:hideMark/>
          </w:tcPr>
          <w:p w:rsidR="00EF00D6" w:rsidRPr="00EF00D6" w:rsidRDefault="00EF00D6" w:rsidP="00EF00D6">
            <w:pPr>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0.42</w:t>
            </w:r>
          </w:p>
        </w:tc>
        <w:tc>
          <w:tcPr>
            <w:tcW w:w="995" w:type="dxa"/>
            <w:shd w:val="clear" w:color="auto" w:fill="auto"/>
            <w:noWrap/>
            <w:vAlign w:val="bottom"/>
            <w:hideMark/>
          </w:tcPr>
          <w:p w:rsidR="00EF00D6" w:rsidRPr="00EF00D6" w:rsidRDefault="00EF00D6" w:rsidP="00EF00D6">
            <w:pPr>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0.60</w:t>
            </w:r>
          </w:p>
        </w:tc>
        <w:tc>
          <w:tcPr>
            <w:tcW w:w="1206" w:type="dxa"/>
            <w:shd w:val="clear" w:color="auto" w:fill="auto"/>
            <w:noWrap/>
            <w:vAlign w:val="bottom"/>
            <w:hideMark/>
          </w:tcPr>
          <w:p w:rsidR="00EF00D6" w:rsidRPr="00EF00D6" w:rsidRDefault="00EF00D6" w:rsidP="00EF00D6">
            <w:pPr>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17.7</w:t>
            </w:r>
          </w:p>
        </w:tc>
        <w:tc>
          <w:tcPr>
            <w:tcW w:w="1116" w:type="dxa"/>
            <w:shd w:val="clear" w:color="auto" w:fill="auto"/>
            <w:noWrap/>
            <w:vAlign w:val="bottom"/>
            <w:hideMark/>
          </w:tcPr>
          <w:p w:rsidR="00EF00D6" w:rsidRPr="00EF00D6" w:rsidRDefault="00EF00D6" w:rsidP="00EF00D6">
            <w:pPr>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77</w:t>
            </w:r>
          </w:p>
        </w:tc>
        <w:tc>
          <w:tcPr>
            <w:tcW w:w="943" w:type="dxa"/>
            <w:shd w:val="clear" w:color="auto" w:fill="auto"/>
            <w:noWrap/>
            <w:vAlign w:val="bottom"/>
            <w:hideMark/>
          </w:tcPr>
          <w:p w:rsidR="00EF00D6" w:rsidRPr="00EF00D6" w:rsidRDefault="00EF00D6" w:rsidP="00EF00D6">
            <w:pPr>
              <w:spacing w:after="0" w:line="240" w:lineRule="auto"/>
              <w:jc w:val="center"/>
              <w:rPr>
                <w:rFonts w:ascii="Arial" w:eastAsia="Times New Roman" w:hAnsi="Arial" w:cs="Arial"/>
                <w:color w:val="000000"/>
                <w:sz w:val="18"/>
                <w:szCs w:val="18"/>
              </w:rPr>
            </w:pPr>
            <w:r w:rsidRPr="00EF00D6">
              <w:rPr>
                <w:rFonts w:ascii="Arial" w:eastAsia="Times New Roman" w:hAnsi="Arial" w:cs="Arial"/>
                <w:color w:val="000000"/>
                <w:sz w:val="18"/>
                <w:szCs w:val="18"/>
              </w:rPr>
              <w:t>86</w:t>
            </w:r>
          </w:p>
        </w:tc>
      </w:tr>
    </w:tbl>
    <w:p w:rsidR="002354B7" w:rsidRDefault="002354B7" w:rsidP="002354B7">
      <w:pPr>
        <w:pStyle w:val="Heading2"/>
        <w:spacing w:before="360"/>
        <w:ind w:left="547" w:hanging="547"/>
      </w:pPr>
      <w:bookmarkStart w:id="4" w:name="_Toc318368300"/>
      <w:bookmarkStart w:id="5" w:name="_Toc325370137"/>
      <w:r>
        <w:t>Ex Ante Load Impact Estimates</w:t>
      </w:r>
      <w:bookmarkEnd w:id="4"/>
      <w:bookmarkEnd w:id="5"/>
    </w:p>
    <w:p w:rsidR="002354B7" w:rsidRDefault="002354B7" w:rsidP="002354B7">
      <w:pPr>
        <w:pStyle w:val="BodyParagraph"/>
      </w:pPr>
      <w:r>
        <w:t>Table 2-</w:t>
      </w:r>
      <w:r w:rsidR="00741986">
        <w:t>5</w:t>
      </w:r>
      <w:r>
        <w:t xml:space="preserve"> shows ex ante load impact estimates for residential Summer Saver customers.  The values shown are averages over the CPUC Resource Adequacy window of 1-6 PM.  Program enrollment is expected to remain stable for the future, so this table applies to the years 2012-2022, under the assumption that the program continues to operate under the same set of rules.  The residential Summer Saver program is expected to produce an average of 14 MW of demand response over the course of a 1 PM to 6 PM event on a typical event day in a 1-in-10 weather year.  The residential program is expected to produce considerably higher impacts under the much hotter conditions of a 1-in-10 September peak day.  Under those conditions, the residential program is expected to produce 24 MW.</w:t>
      </w:r>
    </w:p>
    <w:p w:rsidR="002354B7" w:rsidRPr="00073F9F" w:rsidDel="00073F9F" w:rsidRDefault="002354B7" w:rsidP="00F97DD4">
      <w:pPr>
        <w:pStyle w:val="TableFigureCaption"/>
      </w:pPr>
      <w:r>
        <w:lastRenderedPageBreak/>
        <w:t>Table 2-</w:t>
      </w:r>
      <w:r w:rsidR="00741986">
        <w:t>5</w:t>
      </w:r>
      <w:r w:rsidRPr="00174B6C">
        <w:t xml:space="preserve">:  </w:t>
      </w:r>
      <w:r>
        <w:br/>
      </w:r>
      <w:r w:rsidRPr="00174B6C">
        <w:t xml:space="preserve">Summer Saver </w:t>
      </w:r>
      <w:r>
        <w:t>Residential</w:t>
      </w:r>
      <w:r w:rsidRPr="00174B6C">
        <w:t xml:space="preserve"> Ex </w:t>
      </w:r>
      <w:r>
        <w:t>Ante</w:t>
      </w:r>
      <w:r w:rsidRPr="00174B6C">
        <w:t xml:space="preserve"> Impact Estimates</w:t>
      </w:r>
    </w:p>
    <w:tbl>
      <w:tblPr>
        <w:tblW w:w="7460" w:type="dxa"/>
        <w:jc w:val="center"/>
        <w:tblLook w:val="04A0"/>
      </w:tblPr>
      <w:tblGrid>
        <w:gridCol w:w="2500"/>
        <w:gridCol w:w="1355"/>
        <w:gridCol w:w="1225"/>
        <w:gridCol w:w="1255"/>
        <w:gridCol w:w="1125"/>
      </w:tblGrid>
      <w:tr w:rsidR="002354B7" w:rsidRPr="00073F9F" w:rsidTr="008526DC">
        <w:trPr>
          <w:trHeight w:val="315"/>
          <w:jc w:val="center"/>
        </w:trPr>
        <w:tc>
          <w:tcPr>
            <w:tcW w:w="2500" w:type="dxa"/>
            <w:vMerge w:val="restart"/>
            <w:tcBorders>
              <w:top w:val="single" w:sz="4" w:space="0" w:color="auto"/>
              <w:left w:val="single" w:sz="4" w:space="0" w:color="auto"/>
              <w:bottom w:val="single" w:sz="4" w:space="0" w:color="auto"/>
              <w:right w:val="single" w:sz="4" w:space="0" w:color="FFFFFF" w:themeColor="background1"/>
            </w:tcBorders>
            <w:shd w:val="clear" w:color="000000" w:fill="1F497D"/>
            <w:noWrap/>
            <w:vAlign w:val="center"/>
            <w:hideMark/>
          </w:tcPr>
          <w:p w:rsidR="002354B7" w:rsidRPr="00073F9F" w:rsidRDefault="002354B7" w:rsidP="00F97DD4">
            <w:pPr>
              <w:pStyle w:val="TableHeader"/>
              <w:keepNext/>
            </w:pPr>
            <w:r w:rsidRPr="00073F9F">
              <w:t>Day Type</w:t>
            </w:r>
          </w:p>
        </w:tc>
        <w:tc>
          <w:tcPr>
            <w:tcW w:w="258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1F497D"/>
            <w:noWrap/>
            <w:vAlign w:val="center"/>
            <w:hideMark/>
          </w:tcPr>
          <w:p w:rsidR="002354B7" w:rsidRPr="00073F9F" w:rsidRDefault="002354B7" w:rsidP="00F97DD4">
            <w:pPr>
              <w:pStyle w:val="TableHeader"/>
              <w:keepNext/>
            </w:pPr>
            <w:r w:rsidRPr="00073F9F">
              <w:t xml:space="preserve">Per </w:t>
            </w:r>
            <w:r>
              <w:t>CAC Unit</w:t>
            </w:r>
            <w:r w:rsidRPr="00073F9F">
              <w:t xml:space="preserve"> Impact (kW)</w:t>
            </w:r>
          </w:p>
        </w:tc>
        <w:tc>
          <w:tcPr>
            <w:tcW w:w="2380" w:type="dxa"/>
            <w:gridSpan w:val="2"/>
            <w:tcBorders>
              <w:top w:val="single" w:sz="4" w:space="0" w:color="auto"/>
              <w:left w:val="single" w:sz="4" w:space="0" w:color="FFFFFF" w:themeColor="background1"/>
              <w:bottom w:val="single" w:sz="4" w:space="0" w:color="FFFFFF" w:themeColor="background1"/>
              <w:right w:val="single" w:sz="4" w:space="0" w:color="auto"/>
            </w:tcBorders>
            <w:shd w:val="clear" w:color="000000" w:fill="1F497D"/>
            <w:noWrap/>
            <w:vAlign w:val="center"/>
            <w:hideMark/>
          </w:tcPr>
          <w:p w:rsidR="002354B7" w:rsidRPr="00073F9F" w:rsidRDefault="002354B7" w:rsidP="00F97DD4">
            <w:pPr>
              <w:pStyle w:val="TableHeader"/>
              <w:keepNext/>
            </w:pPr>
            <w:r w:rsidRPr="00073F9F">
              <w:t>Aggregate Impact (MW)</w:t>
            </w:r>
          </w:p>
        </w:tc>
      </w:tr>
      <w:tr w:rsidR="002354B7" w:rsidRPr="00073F9F" w:rsidTr="008526DC">
        <w:trPr>
          <w:trHeight w:val="315"/>
          <w:jc w:val="center"/>
        </w:trPr>
        <w:tc>
          <w:tcPr>
            <w:tcW w:w="2500" w:type="dxa"/>
            <w:vMerge/>
            <w:tcBorders>
              <w:top w:val="single" w:sz="4" w:space="0" w:color="auto"/>
              <w:left w:val="single" w:sz="4" w:space="0" w:color="auto"/>
              <w:bottom w:val="single" w:sz="4" w:space="0" w:color="auto"/>
              <w:right w:val="single" w:sz="4" w:space="0" w:color="FFFFFF" w:themeColor="background1"/>
            </w:tcBorders>
            <w:vAlign w:val="center"/>
            <w:hideMark/>
          </w:tcPr>
          <w:p w:rsidR="002354B7" w:rsidRPr="00073F9F" w:rsidRDefault="002354B7" w:rsidP="00F97DD4">
            <w:pPr>
              <w:pStyle w:val="TableHeader"/>
              <w:keepNext/>
            </w:pPr>
          </w:p>
        </w:tc>
        <w:tc>
          <w:tcPr>
            <w:tcW w:w="25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1F497D"/>
            <w:noWrap/>
            <w:vAlign w:val="center"/>
            <w:hideMark/>
          </w:tcPr>
          <w:p w:rsidR="002354B7" w:rsidRPr="00073F9F" w:rsidRDefault="002354B7" w:rsidP="00F97DD4">
            <w:pPr>
              <w:pStyle w:val="TableHeader"/>
              <w:keepNext/>
            </w:pPr>
            <w:r w:rsidRPr="00073F9F">
              <w:t>Weather Year</w:t>
            </w:r>
          </w:p>
        </w:tc>
        <w:tc>
          <w:tcPr>
            <w:tcW w:w="238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1F497D"/>
            <w:noWrap/>
            <w:vAlign w:val="center"/>
            <w:hideMark/>
          </w:tcPr>
          <w:p w:rsidR="002354B7" w:rsidRPr="00073F9F" w:rsidRDefault="002354B7" w:rsidP="00F97DD4">
            <w:pPr>
              <w:pStyle w:val="TableHeader"/>
              <w:keepNext/>
            </w:pPr>
            <w:r w:rsidRPr="00073F9F">
              <w:t>Weather Year</w:t>
            </w:r>
          </w:p>
        </w:tc>
      </w:tr>
      <w:tr w:rsidR="002354B7" w:rsidRPr="00073F9F" w:rsidTr="008526DC">
        <w:trPr>
          <w:trHeight w:val="315"/>
          <w:jc w:val="center"/>
        </w:trPr>
        <w:tc>
          <w:tcPr>
            <w:tcW w:w="2500" w:type="dxa"/>
            <w:vMerge/>
            <w:tcBorders>
              <w:top w:val="single" w:sz="4" w:space="0" w:color="auto"/>
              <w:left w:val="single" w:sz="4" w:space="0" w:color="auto"/>
              <w:bottom w:val="single" w:sz="4" w:space="0" w:color="auto"/>
              <w:right w:val="single" w:sz="4" w:space="0" w:color="FFFFFF" w:themeColor="background1"/>
            </w:tcBorders>
            <w:vAlign w:val="center"/>
            <w:hideMark/>
          </w:tcPr>
          <w:p w:rsidR="002354B7" w:rsidRPr="00073F9F" w:rsidRDefault="002354B7" w:rsidP="00F97DD4">
            <w:pPr>
              <w:pStyle w:val="TableHeader"/>
              <w:keepNext/>
            </w:pPr>
          </w:p>
        </w:tc>
        <w:tc>
          <w:tcPr>
            <w:tcW w:w="135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center"/>
            <w:hideMark/>
          </w:tcPr>
          <w:p w:rsidR="002354B7" w:rsidRPr="00073F9F" w:rsidRDefault="002354B7" w:rsidP="00F97DD4">
            <w:pPr>
              <w:pStyle w:val="TableHeader"/>
              <w:keepNext/>
            </w:pPr>
            <w:r w:rsidRPr="00073F9F">
              <w:t>1-in-10</w:t>
            </w:r>
          </w:p>
        </w:tc>
        <w:tc>
          <w:tcPr>
            <w:tcW w:w="122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center"/>
            <w:hideMark/>
          </w:tcPr>
          <w:p w:rsidR="002354B7" w:rsidRPr="00073F9F" w:rsidRDefault="002354B7" w:rsidP="00F97DD4">
            <w:pPr>
              <w:pStyle w:val="TableHeader"/>
              <w:keepNext/>
            </w:pPr>
            <w:r w:rsidRPr="00073F9F">
              <w:t>1-in-2</w:t>
            </w:r>
          </w:p>
        </w:tc>
        <w:tc>
          <w:tcPr>
            <w:tcW w:w="125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center"/>
            <w:hideMark/>
          </w:tcPr>
          <w:p w:rsidR="002354B7" w:rsidRPr="00073F9F" w:rsidRDefault="002354B7" w:rsidP="00F97DD4">
            <w:pPr>
              <w:pStyle w:val="TableHeader"/>
              <w:keepNext/>
            </w:pPr>
            <w:r w:rsidRPr="00073F9F">
              <w:t>1-in-10</w:t>
            </w:r>
          </w:p>
        </w:tc>
        <w:tc>
          <w:tcPr>
            <w:tcW w:w="1125" w:type="dxa"/>
            <w:tcBorders>
              <w:top w:val="single" w:sz="4" w:space="0" w:color="FFFFFF" w:themeColor="background1"/>
              <w:left w:val="single" w:sz="4" w:space="0" w:color="FFFFFF" w:themeColor="background1"/>
              <w:bottom w:val="single" w:sz="4" w:space="0" w:color="auto"/>
              <w:right w:val="single" w:sz="4" w:space="0" w:color="auto"/>
            </w:tcBorders>
            <w:shd w:val="clear" w:color="000000" w:fill="1F497D"/>
            <w:noWrap/>
            <w:vAlign w:val="center"/>
            <w:hideMark/>
          </w:tcPr>
          <w:p w:rsidR="002354B7" w:rsidRPr="00073F9F" w:rsidRDefault="002354B7" w:rsidP="00F97DD4">
            <w:pPr>
              <w:pStyle w:val="TableHeader"/>
              <w:keepNext/>
            </w:pPr>
            <w:r w:rsidRPr="00073F9F">
              <w:t>1-in-2</w:t>
            </w:r>
          </w:p>
        </w:tc>
      </w:tr>
      <w:tr w:rsidR="002354B7" w:rsidRPr="00073F9F" w:rsidTr="008526DC">
        <w:trPr>
          <w:trHeight w:val="315"/>
          <w:jc w:val="center"/>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rsidR="002354B7" w:rsidRPr="00073F9F" w:rsidRDefault="002354B7" w:rsidP="00F97DD4">
            <w:pPr>
              <w:pStyle w:val="TableText"/>
              <w:keepNext/>
              <w:jc w:val="center"/>
            </w:pPr>
            <w:r w:rsidRPr="00073F9F">
              <w:t>Typical Event Day</w:t>
            </w:r>
          </w:p>
        </w:tc>
        <w:tc>
          <w:tcPr>
            <w:tcW w:w="135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0.48</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0.41</w:t>
            </w:r>
          </w:p>
        </w:tc>
        <w:tc>
          <w:tcPr>
            <w:tcW w:w="125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14</w:t>
            </w:r>
          </w:p>
        </w:tc>
        <w:tc>
          <w:tcPr>
            <w:tcW w:w="112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12</w:t>
            </w:r>
          </w:p>
        </w:tc>
      </w:tr>
      <w:tr w:rsidR="002354B7" w:rsidRPr="00073F9F" w:rsidTr="008526DC">
        <w:trPr>
          <w:trHeight w:val="315"/>
          <w:jc w:val="center"/>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rsidR="002354B7" w:rsidRPr="00073F9F" w:rsidRDefault="002354B7" w:rsidP="00F97DD4">
            <w:pPr>
              <w:pStyle w:val="TableText"/>
              <w:keepNext/>
              <w:jc w:val="center"/>
            </w:pPr>
            <w:r w:rsidRPr="00073F9F">
              <w:t>May Monthly Peak</w:t>
            </w:r>
          </w:p>
        </w:tc>
        <w:tc>
          <w:tcPr>
            <w:tcW w:w="135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0.39</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0.17</w:t>
            </w:r>
          </w:p>
        </w:tc>
        <w:tc>
          <w:tcPr>
            <w:tcW w:w="125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11</w:t>
            </w:r>
          </w:p>
        </w:tc>
        <w:tc>
          <w:tcPr>
            <w:tcW w:w="112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5</w:t>
            </w:r>
          </w:p>
        </w:tc>
      </w:tr>
      <w:tr w:rsidR="002354B7" w:rsidRPr="00073F9F" w:rsidTr="008526DC">
        <w:trPr>
          <w:trHeight w:val="315"/>
          <w:jc w:val="center"/>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rsidR="002354B7" w:rsidRPr="00073F9F" w:rsidRDefault="002354B7" w:rsidP="00F97DD4">
            <w:pPr>
              <w:pStyle w:val="TableText"/>
              <w:keepNext/>
              <w:jc w:val="center"/>
            </w:pPr>
            <w:r w:rsidRPr="00073F9F">
              <w:t>June Monthly Peak</w:t>
            </w:r>
          </w:p>
        </w:tc>
        <w:tc>
          <w:tcPr>
            <w:tcW w:w="135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0.34</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0.09</w:t>
            </w:r>
          </w:p>
        </w:tc>
        <w:tc>
          <w:tcPr>
            <w:tcW w:w="125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10</w:t>
            </w:r>
          </w:p>
        </w:tc>
        <w:tc>
          <w:tcPr>
            <w:tcW w:w="112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3</w:t>
            </w:r>
          </w:p>
        </w:tc>
      </w:tr>
      <w:tr w:rsidR="002354B7" w:rsidRPr="00073F9F" w:rsidTr="008526DC">
        <w:trPr>
          <w:trHeight w:val="315"/>
          <w:jc w:val="center"/>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rsidR="002354B7" w:rsidRPr="00073F9F" w:rsidRDefault="002354B7" w:rsidP="00F97DD4">
            <w:pPr>
              <w:pStyle w:val="TableText"/>
              <w:keepNext/>
              <w:jc w:val="center"/>
            </w:pPr>
            <w:r w:rsidRPr="00073F9F">
              <w:t>July Monthly Peak</w:t>
            </w:r>
          </w:p>
        </w:tc>
        <w:tc>
          <w:tcPr>
            <w:tcW w:w="135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0.52</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0.42</w:t>
            </w:r>
          </w:p>
        </w:tc>
        <w:tc>
          <w:tcPr>
            <w:tcW w:w="125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15</w:t>
            </w:r>
          </w:p>
        </w:tc>
        <w:tc>
          <w:tcPr>
            <w:tcW w:w="112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12</w:t>
            </w:r>
          </w:p>
        </w:tc>
      </w:tr>
      <w:tr w:rsidR="002354B7" w:rsidRPr="00073F9F" w:rsidTr="008526DC">
        <w:trPr>
          <w:trHeight w:val="315"/>
          <w:jc w:val="center"/>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rsidR="002354B7" w:rsidRPr="00073F9F" w:rsidRDefault="002354B7" w:rsidP="00F97DD4">
            <w:pPr>
              <w:pStyle w:val="TableText"/>
              <w:keepNext/>
              <w:jc w:val="center"/>
            </w:pPr>
            <w:r w:rsidRPr="00073F9F">
              <w:t>August Monthly Peak</w:t>
            </w:r>
          </w:p>
        </w:tc>
        <w:tc>
          <w:tcPr>
            <w:tcW w:w="135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0.48</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0.38</w:t>
            </w:r>
          </w:p>
        </w:tc>
        <w:tc>
          <w:tcPr>
            <w:tcW w:w="125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14</w:t>
            </w:r>
          </w:p>
        </w:tc>
        <w:tc>
          <w:tcPr>
            <w:tcW w:w="112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11</w:t>
            </w:r>
          </w:p>
        </w:tc>
      </w:tr>
      <w:tr w:rsidR="002354B7" w:rsidRPr="00073F9F" w:rsidTr="008526DC">
        <w:trPr>
          <w:trHeight w:val="315"/>
          <w:jc w:val="center"/>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rsidR="002354B7" w:rsidRPr="00073F9F" w:rsidRDefault="002354B7" w:rsidP="00F97DD4">
            <w:pPr>
              <w:pStyle w:val="TableText"/>
              <w:keepNext/>
              <w:jc w:val="center"/>
            </w:pPr>
            <w:r w:rsidRPr="00073F9F">
              <w:t>September Monthly Peak</w:t>
            </w:r>
          </w:p>
        </w:tc>
        <w:tc>
          <w:tcPr>
            <w:tcW w:w="135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0.83</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0.64</w:t>
            </w:r>
          </w:p>
        </w:tc>
        <w:tc>
          <w:tcPr>
            <w:tcW w:w="125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24</w:t>
            </w:r>
          </w:p>
        </w:tc>
        <w:tc>
          <w:tcPr>
            <w:tcW w:w="112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F97DD4">
            <w:pPr>
              <w:pStyle w:val="TableText"/>
              <w:keepNext/>
              <w:jc w:val="center"/>
            </w:pPr>
            <w:r w:rsidRPr="007262FF">
              <w:t>19</w:t>
            </w:r>
          </w:p>
        </w:tc>
      </w:tr>
      <w:tr w:rsidR="002354B7" w:rsidRPr="00073F9F" w:rsidTr="008526DC">
        <w:trPr>
          <w:trHeight w:val="315"/>
          <w:jc w:val="center"/>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rsidR="002354B7" w:rsidRPr="00073F9F" w:rsidRDefault="002354B7" w:rsidP="008526DC">
            <w:pPr>
              <w:pStyle w:val="TableText"/>
              <w:jc w:val="center"/>
            </w:pPr>
            <w:r w:rsidRPr="00073F9F">
              <w:t>October Monthly Peak</w:t>
            </w:r>
          </w:p>
        </w:tc>
        <w:tc>
          <w:tcPr>
            <w:tcW w:w="135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8526DC">
            <w:pPr>
              <w:pStyle w:val="TableText"/>
              <w:jc w:val="center"/>
            </w:pPr>
            <w:r w:rsidRPr="007262FF">
              <w:t>0.47</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8526DC">
            <w:pPr>
              <w:pStyle w:val="TableText"/>
              <w:jc w:val="center"/>
            </w:pPr>
            <w:r w:rsidRPr="007262FF">
              <w:t>0.38</w:t>
            </w:r>
          </w:p>
        </w:tc>
        <w:tc>
          <w:tcPr>
            <w:tcW w:w="125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8526DC">
            <w:pPr>
              <w:pStyle w:val="TableText"/>
              <w:jc w:val="center"/>
            </w:pPr>
            <w:r w:rsidRPr="007262FF">
              <w:t>14</w:t>
            </w:r>
          </w:p>
        </w:tc>
        <w:tc>
          <w:tcPr>
            <w:tcW w:w="1125" w:type="dxa"/>
            <w:tcBorders>
              <w:top w:val="nil"/>
              <w:left w:val="nil"/>
              <w:bottom w:val="single" w:sz="4" w:space="0" w:color="auto"/>
              <w:right w:val="single" w:sz="4" w:space="0" w:color="auto"/>
            </w:tcBorders>
            <w:shd w:val="clear" w:color="auto" w:fill="auto"/>
            <w:noWrap/>
            <w:vAlign w:val="center"/>
            <w:hideMark/>
          </w:tcPr>
          <w:p w:rsidR="002354B7" w:rsidRPr="007262FF" w:rsidRDefault="002354B7" w:rsidP="008526DC">
            <w:pPr>
              <w:pStyle w:val="TableText"/>
              <w:jc w:val="center"/>
            </w:pPr>
            <w:r w:rsidRPr="007262FF">
              <w:t>11</w:t>
            </w:r>
          </w:p>
        </w:tc>
      </w:tr>
    </w:tbl>
    <w:p w:rsidR="002354B7" w:rsidRDefault="002354B7" w:rsidP="002354B7">
      <w:pPr>
        <w:pStyle w:val="BodyParaAfterTableFigure"/>
      </w:pPr>
      <w:r>
        <w:t>Table 2-</w:t>
      </w:r>
      <w:r w:rsidR="00741986">
        <w:t>6</w:t>
      </w:r>
      <w:r>
        <w:t xml:space="preserve"> shows ex ante impact estimates for commercial Summer Saver customers. </w:t>
      </w:r>
      <w:r w:rsidRPr="00410177">
        <w:t xml:space="preserve"> </w:t>
      </w:r>
      <w:r>
        <w:t>Again, the values shown are averages over the CPUC Resource Adequacy window of 1-6 PM.  Program enrollment for commercial customers is also expected to remain stable for the future, so this table applies to the years 2012-2022, under the assumption that the program continues to operate under the same set of rules.  On a typical event day in a 1-in-10 year, the commercial Summer Saver program is expected to produce an average of 5.1 MW of demand response over the course of a 1 PM to 6 PM event.  The commercial program is expected to produce considerably higher impacts under the much hotter conditions of a 1-in-10 September peak day.  Under those conditions, the commercial program is expected to produce 6.2 MW.</w:t>
      </w:r>
    </w:p>
    <w:p w:rsidR="002354B7" w:rsidRPr="00A473C9" w:rsidRDefault="002354B7" w:rsidP="00F97DD4">
      <w:pPr>
        <w:pStyle w:val="TableFigureCaption"/>
      </w:pPr>
      <w:r>
        <w:t>Table 2-</w:t>
      </w:r>
      <w:r w:rsidR="00741986">
        <w:t>6</w:t>
      </w:r>
      <w:r w:rsidRPr="00174B6C">
        <w:t xml:space="preserve">:  </w:t>
      </w:r>
      <w:r>
        <w:br/>
      </w:r>
      <w:r w:rsidRPr="00174B6C">
        <w:t xml:space="preserve">Summer Saver </w:t>
      </w:r>
      <w:r>
        <w:t>Commercial</w:t>
      </w:r>
      <w:r w:rsidRPr="00174B6C">
        <w:t xml:space="preserve"> Ex </w:t>
      </w:r>
      <w:r>
        <w:t>Ante</w:t>
      </w:r>
      <w:r w:rsidRPr="00174B6C">
        <w:t xml:space="preserve"> Impact Estimates</w:t>
      </w:r>
    </w:p>
    <w:tbl>
      <w:tblPr>
        <w:tblW w:w="7100" w:type="dxa"/>
        <w:jc w:val="center"/>
        <w:tblLook w:val="04A0"/>
      </w:tblPr>
      <w:tblGrid>
        <w:gridCol w:w="2620"/>
        <w:gridCol w:w="1225"/>
        <w:gridCol w:w="1015"/>
        <w:gridCol w:w="1225"/>
        <w:gridCol w:w="1015"/>
      </w:tblGrid>
      <w:tr w:rsidR="002354B7" w:rsidRPr="00A473C9" w:rsidTr="008526DC">
        <w:trPr>
          <w:trHeight w:val="300"/>
          <w:jc w:val="center"/>
        </w:trPr>
        <w:tc>
          <w:tcPr>
            <w:tcW w:w="2620" w:type="dxa"/>
            <w:vMerge w:val="restart"/>
            <w:tcBorders>
              <w:top w:val="single" w:sz="4" w:space="0" w:color="auto"/>
              <w:left w:val="single" w:sz="4" w:space="0" w:color="auto"/>
              <w:bottom w:val="single" w:sz="4" w:space="0" w:color="auto"/>
              <w:right w:val="single" w:sz="4" w:space="0" w:color="FFFFFF" w:themeColor="background1"/>
            </w:tcBorders>
            <w:shd w:val="clear" w:color="000000" w:fill="1F497D"/>
            <w:noWrap/>
            <w:vAlign w:val="center"/>
            <w:hideMark/>
          </w:tcPr>
          <w:p w:rsidR="002354B7" w:rsidRPr="00A473C9" w:rsidRDefault="002354B7" w:rsidP="00F97DD4">
            <w:pPr>
              <w:pStyle w:val="TableHeader"/>
              <w:keepNext/>
            </w:pPr>
            <w:r w:rsidRPr="00A473C9">
              <w:t>Day Type</w:t>
            </w:r>
          </w:p>
        </w:tc>
        <w:tc>
          <w:tcPr>
            <w:tcW w:w="224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1F497D"/>
            <w:noWrap/>
            <w:vAlign w:val="center"/>
            <w:hideMark/>
          </w:tcPr>
          <w:p w:rsidR="002354B7" w:rsidRPr="00A473C9" w:rsidRDefault="002354B7" w:rsidP="00F97DD4">
            <w:pPr>
              <w:pStyle w:val="TableHeader"/>
              <w:keepNext/>
            </w:pPr>
            <w:r w:rsidRPr="00A473C9">
              <w:t xml:space="preserve">Per </w:t>
            </w:r>
            <w:r>
              <w:t>CAC Unit</w:t>
            </w:r>
            <w:r w:rsidRPr="00A473C9">
              <w:t xml:space="preserve"> Impact (kW)</w:t>
            </w:r>
          </w:p>
        </w:tc>
        <w:tc>
          <w:tcPr>
            <w:tcW w:w="2240" w:type="dxa"/>
            <w:gridSpan w:val="2"/>
            <w:tcBorders>
              <w:top w:val="single" w:sz="4" w:space="0" w:color="auto"/>
              <w:left w:val="single" w:sz="4" w:space="0" w:color="FFFFFF" w:themeColor="background1"/>
              <w:bottom w:val="single" w:sz="4" w:space="0" w:color="FFFFFF" w:themeColor="background1"/>
              <w:right w:val="single" w:sz="4" w:space="0" w:color="auto"/>
            </w:tcBorders>
            <w:shd w:val="clear" w:color="000000" w:fill="1F497D"/>
            <w:noWrap/>
            <w:vAlign w:val="center"/>
            <w:hideMark/>
          </w:tcPr>
          <w:p w:rsidR="002354B7" w:rsidRPr="00A473C9" w:rsidRDefault="002354B7" w:rsidP="00F97DD4">
            <w:pPr>
              <w:pStyle w:val="TableHeader"/>
              <w:keepNext/>
            </w:pPr>
            <w:r w:rsidRPr="00A473C9">
              <w:t>Aggregate Impact (MW)</w:t>
            </w:r>
          </w:p>
        </w:tc>
      </w:tr>
      <w:tr w:rsidR="002354B7" w:rsidRPr="00A473C9" w:rsidTr="008526DC">
        <w:trPr>
          <w:trHeight w:val="300"/>
          <w:jc w:val="center"/>
        </w:trPr>
        <w:tc>
          <w:tcPr>
            <w:tcW w:w="2620" w:type="dxa"/>
            <w:vMerge/>
            <w:tcBorders>
              <w:top w:val="single" w:sz="4" w:space="0" w:color="auto"/>
              <w:left w:val="single" w:sz="4" w:space="0" w:color="auto"/>
              <w:bottom w:val="single" w:sz="4" w:space="0" w:color="auto"/>
              <w:right w:val="single" w:sz="4" w:space="0" w:color="FFFFFF" w:themeColor="background1"/>
            </w:tcBorders>
            <w:vAlign w:val="center"/>
            <w:hideMark/>
          </w:tcPr>
          <w:p w:rsidR="002354B7" w:rsidRPr="00A473C9" w:rsidRDefault="002354B7" w:rsidP="00F97DD4">
            <w:pPr>
              <w:pStyle w:val="TableHeader"/>
              <w:keepNext/>
            </w:pPr>
          </w:p>
        </w:tc>
        <w:tc>
          <w:tcPr>
            <w:tcW w:w="2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1F497D"/>
            <w:noWrap/>
            <w:vAlign w:val="center"/>
            <w:hideMark/>
          </w:tcPr>
          <w:p w:rsidR="002354B7" w:rsidRPr="00A473C9" w:rsidRDefault="002354B7" w:rsidP="00F97DD4">
            <w:pPr>
              <w:pStyle w:val="TableHeader"/>
              <w:keepNext/>
            </w:pPr>
            <w:r w:rsidRPr="00A473C9">
              <w:t>Weather Year</w:t>
            </w:r>
          </w:p>
        </w:tc>
        <w:tc>
          <w:tcPr>
            <w:tcW w:w="224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1F497D"/>
            <w:noWrap/>
            <w:vAlign w:val="center"/>
            <w:hideMark/>
          </w:tcPr>
          <w:p w:rsidR="002354B7" w:rsidRPr="00A473C9" w:rsidRDefault="002354B7" w:rsidP="00F97DD4">
            <w:pPr>
              <w:pStyle w:val="TableHeader"/>
              <w:keepNext/>
            </w:pPr>
            <w:r w:rsidRPr="00A473C9">
              <w:t>Weather Year</w:t>
            </w:r>
          </w:p>
        </w:tc>
      </w:tr>
      <w:tr w:rsidR="002354B7" w:rsidRPr="00A473C9" w:rsidTr="008526DC">
        <w:trPr>
          <w:trHeight w:val="300"/>
          <w:jc w:val="center"/>
        </w:trPr>
        <w:tc>
          <w:tcPr>
            <w:tcW w:w="2620" w:type="dxa"/>
            <w:vMerge/>
            <w:tcBorders>
              <w:top w:val="single" w:sz="4" w:space="0" w:color="auto"/>
              <w:left w:val="single" w:sz="4" w:space="0" w:color="auto"/>
              <w:bottom w:val="single" w:sz="4" w:space="0" w:color="auto"/>
              <w:right w:val="single" w:sz="4" w:space="0" w:color="FFFFFF" w:themeColor="background1"/>
            </w:tcBorders>
            <w:vAlign w:val="center"/>
            <w:hideMark/>
          </w:tcPr>
          <w:p w:rsidR="002354B7" w:rsidRPr="00A473C9" w:rsidRDefault="002354B7" w:rsidP="00F97DD4">
            <w:pPr>
              <w:pStyle w:val="TableHeader"/>
              <w:keepNext/>
            </w:pPr>
          </w:p>
        </w:tc>
        <w:tc>
          <w:tcPr>
            <w:tcW w:w="122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center"/>
            <w:hideMark/>
          </w:tcPr>
          <w:p w:rsidR="002354B7" w:rsidRPr="00A473C9" w:rsidRDefault="002354B7" w:rsidP="00F97DD4">
            <w:pPr>
              <w:pStyle w:val="TableHeader"/>
              <w:keepNext/>
            </w:pPr>
            <w:r w:rsidRPr="00A473C9">
              <w:t>1-in-10</w:t>
            </w:r>
          </w:p>
        </w:tc>
        <w:tc>
          <w:tcPr>
            <w:tcW w:w="101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center"/>
            <w:hideMark/>
          </w:tcPr>
          <w:p w:rsidR="002354B7" w:rsidRPr="00A473C9" w:rsidRDefault="002354B7" w:rsidP="00F97DD4">
            <w:pPr>
              <w:pStyle w:val="TableHeader"/>
              <w:keepNext/>
            </w:pPr>
            <w:r w:rsidRPr="00A473C9">
              <w:t>1-in-2</w:t>
            </w:r>
          </w:p>
        </w:tc>
        <w:tc>
          <w:tcPr>
            <w:tcW w:w="122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center"/>
            <w:hideMark/>
          </w:tcPr>
          <w:p w:rsidR="002354B7" w:rsidRPr="00A473C9" w:rsidRDefault="002354B7" w:rsidP="00F97DD4">
            <w:pPr>
              <w:pStyle w:val="TableHeader"/>
              <w:keepNext/>
            </w:pPr>
            <w:r w:rsidRPr="00A473C9">
              <w:t>1-in-10</w:t>
            </w:r>
          </w:p>
        </w:tc>
        <w:tc>
          <w:tcPr>
            <w:tcW w:w="1015" w:type="dxa"/>
            <w:tcBorders>
              <w:top w:val="single" w:sz="4" w:space="0" w:color="FFFFFF" w:themeColor="background1"/>
              <w:left w:val="single" w:sz="4" w:space="0" w:color="FFFFFF" w:themeColor="background1"/>
              <w:bottom w:val="single" w:sz="4" w:space="0" w:color="auto"/>
              <w:right w:val="single" w:sz="4" w:space="0" w:color="auto"/>
            </w:tcBorders>
            <w:shd w:val="clear" w:color="000000" w:fill="1F497D"/>
            <w:noWrap/>
            <w:vAlign w:val="center"/>
            <w:hideMark/>
          </w:tcPr>
          <w:p w:rsidR="002354B7" w:rsidRPr="00A473C9" w:rsidRDefault="002354B7" w:rsidP="00F97DD4">
            <w:pPr>
              <w:pStyle w:val="TableHeader"/>
              <w:keepNext/>
            </w:pPr>
            <w:r w:rsidRPr="00A473C9">
              <w:t>1-in-2</w:t>
            </w:r>
          </w:p>
        </w:tc>
      </w:tr>
      <w:tr w:rsidR="002354B7" w:rsidRPr="00A473C9" w:rsidTr="008526DC">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2354B7" w:rsidRPr="00A473C9" w:rsidRDefault="002354B7" w:rsidP="00F97DD4">
            <w:pPr>
              <w:pStyle w:val="TableText"/>
              <w:keepNext/>
              <w:jc w:val="center"/>
            </w:pPr>
            <w:r w:rsidRPr="00A473C9">
              <w:t>Typical Event Day</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0.40</w:t>
            </w:r>
          </w:p>
        </w:tc>
        <w:tc>
          <w:tcPr>
            <w:tcW w:w="101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0.36</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5.1</w:t>
            </w:r>
          </w:p>
        </w:tc>
        <w:tc>
          <w:tcPr>
            <w:tcW w:w="101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4.6</w:t>
            </w:r>
          </w:p>
        </w:tc>
      </w:tr>
      <w:tr w:rsidR="002354B7" w:rsidRPr="00A473C9" w:rsidTr="008526DC">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2354B7" w:rsidRPr="00A473C9" w:rsidRDefault="002354B7" w:rsidP="00F97DD4">
            <w:pPr>
              <w:pStyle w:val="TableText"/>
              <w:keepNext/>
              <w:jc w:val="center"/>
            </w:pPr>
            <w:r w:rsidRPr="00A473C9">
              <w:t>May Monthly Peak</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0.33</w:t>
            </w:r>
          </w:p>
        </w:tc>
        <w:tc>
          <w:tcPr>
            <w:tcW w:w="101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0.24</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4.3</w:t>
            </w:r>
          </w:p>
        </w:tc>
        <w:tc>
          <w:tcPr>
            <w:tcW w:w="101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3.1</w:t>
            </w:r>
          </w:p>
        </w:tc>
      </w:tr>
      <w:tr w:rsidR="002354B7" w:rsidRPr="00A473C9" w:rsidTr="008526DC">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2354B7" w:rsidRPr="00A473C9" w:rsidRDefault="002354B7" w:rsidP="00F97DD4">
            <w:pPr>
              <w:pStyle w:val="TableText"/>
              <w:keepNext/>
              <w:jc w:val="center"/>
            </w:pPr>
            <w:r w:rsidRPr="00A473C9">
              <w:t>June Monthly Peak</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0.37</w:t>
            </w:r>
          </w:p>
        </w:tc>
        <w:tc>
          <w:tcPr>
            <w:tcW w:w="101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0.24</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4.8</w:t>
            </w:r>
          </w:p>
        </w:tc>
        <w:tc>
          <w:tcPr>
            <w:tcW w:w="101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3.1</w:t>
            </w:r>
          </w:p>
        </w:tc>
      </w:tr>
      <w:tr w:rsidR="002354B7" w:rsidRPr="00A473C9" w:rsidTr="008526DC">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2354B7" w:rsidRPr="00A473C9" w:rsidRDefault="002354B7" w:rsidP="00F97DD4">
            <w:pPr>
              <w:pStyle w:val="TableText"/>
              <w:keepNext/>
              <w:jc w:val="center"/>
            </w:pPr>
            <w:r w:rsidRPr="00A473C9">
              <w:t>July Monthly Peak</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0.39</w:t>
            </w:r>
          </w:p>
        </w:tc>
        <w:tc>
          <w:tcPr>
            <w:tcW w:w="101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0.36</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5.0</w:t>
            </w:r>
          </w:p>
        </w:tc>
        <w:tc>
          <w:tcPr>
            <w:tcW w:w="101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4.7</w:t>
            </w:r>
          </w:p>
        </w:tc>
      </w:tr>
      <w:tr w:rsidR="002354B7" w:rsidRPr="00A473C9" w:rsidTr="008526DC">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2354B7" w:rsidRPr="00A473C9" w:rsidRDefault="002354B7" w:rsidP="00F97DD4">
            <w:pPr>
              <w:pStyle w:val="TableText"/>
              <w:keepNext/>
              <w:jc w:val="center"/>
            </w:pPr>
            <w:r w:rsidRPr="00A473C9">
              <w:t>August Monthly Peak</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0.40</w:t>
            </w:r>
          </w:p>
        </w:tc>
        <w:tc>
          <w:tcPr>
            <w:tcW w:w="101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0.36</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5.1</w:t>
            </w:r>
          </w:p>
        </w:tc>
        <w:tc>
          <w:tcPr>
            <w:tcW w:w="101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4.6</w:t>
            </w:r>
          </w:p>
        </w:tc>
      </w:tr>
      <w:tr w:rsidR="002354B7" w:rsidRPr="00A473C9" w:rsidTr="008526DC">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2354B7" w:rsidRPr="00A473C9" w:rsidRDefault="002354B7" w:rsidP="00F97DD4">
            <w:pPr>
              <w:pStyle w:val="TableText"/>
              <w:keepNext/>
              <w:jc w:val="center"/>
            </w:pPr>
            <w:r w:rsidRPr="00A473C9">
              <w:t>September Monthly Peak</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0.48</w:t>
            </w:r>
          </w:p>
        </w:tc>
        <w:tc>
          <w:tcPr>
            <w:tcW w:w="101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0.42</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6.2</w:t>
            </w:r>
          </w:p>
        </w:tc>
        <w:tc>
          <w:tcPr>
            <w:tcW w:w="101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F97DD4">
            <w:pPr>
              <w:pStyle w:val="TableText"/>
              <w:keepNext/>
              <w:jc w:val="center"/>
            </w:pPr>
            <w:r w:rsidRPr="00E60377">
              <w:t>5.4</w:t>
            </w:r>
          </w:p>
        </w:tc>
      </w:tr>
      <w:tr w:rsidR="002354B7" w:rsidRPr="00A473C9" w:rsidTr="008526DC">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2354B7" w:rsidRPr="00A473C9" w:rsidRDefault="002354B7" w:rsidP="008526DC">
            <w:pPr>
              <w:pStyle w:val="TableText"/>
              <w:jc w:val="center"/>
            </w:pPr>
            <w:r w:rsidRPr="00A473C9">
              <w:t>October Monthly Peak</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8526DC">
            <w:pPr>
              <w:pStyle w:val="TableText"/>
              <w:jc w:val="center"/>
            </w:pPr>
            <w:r w:rsidRPr="00E60377">
              <w:t>0.34</w:t>
            </w:r>
          </w:p>
        </w:tc>
        <w:tc>
          <w:tcPr>
            <w:tcW w:w="101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8526DC">
            <w:pPr>
              <w:pStyle w:val="TableText"/>
              <w:jc w:val="center"/>
            </w:pPr>
            <w:r w:rsidRPr="00E60377">
              <w:t>0.30</w:t>
            </w:r>
          </w:p>
        </w:tc>
        <w:tc>
          <w:tcPr>
            <w:tcW w:w="122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8526DC">
            <w:pPr>
              <w:pStyle w:val="TableText"/>
              <w:jc w:val="center"/>
            </w:pPr>
            <w:r w:rsidRPr="00E60377">
              <w:t>4.3</w:t>
            </w:r>
          </w:p>
        </w:tc>
        <w:tc>
          <w:tcPr>
            <w:tcW w:w="1015" w:type="dxa"/>
            <w:tcBorders>
              <w:top w:val="nil"/>
              <w:left w:val="nil"/>
              <w:bottom w:val="single" w:sz="4" w:space="0" w:color="auto"/>
              <w:right w:val="single" w:sz="4" w:space="0" w:color="auto"/>
            </w:tcBorders>
            <w:shd w:val="clear" w:color="auto" w:fill="auto"/>
            <w:noWrap/>
            <w:vAlign w:val="center"/>
            <w:hideMark/>
          </w:tcPr>
          <w:p w:rsidR="002354B7" w:rsidRPr="00E60377" w:rsidRDefault="002354B7" w:rsidP="008526DC">
            <w:pPr>
              <w:pStyle w:val="TableText"/>
              <w:jc w:val="center"/>
            </w:pPr>
            <w:r w:rsidRPr="00E60377">
              <w:t>3.9</w:t>
            </w:r>
          </w:p>
        </w:tc>
      </w:tr>
    </w:tbl>
    <w:p w:rsidR="00EF00D6" w:rsidRPr="00EF00D6" w:rsidRDefault="00EF00D6" w:rsidP="00EF00D6">
      <w:pPr>
        <w:pStyle w:val="BodyParagraph"/>
      </w:pPr>
    </w:p>
    <w:p w:rsidR="00A57221" w:rsidRDefault="00A57221" w:rsidP="00A57221">
      <w:pPr>
        <w:pStyle w:val="Heading2"/>
      </w:pPr>
      <w:bookmarkStart w:id="6" w:name="_Toc325370138"/>
      <w:r>
        <w:lastRenderedPageBreak/>
        <w:t>Report Structure</w:t>
      </w:r>
      <w:bookmarkEnd w:id="6"/>
    </w:p>
    <w:p w:rsidR="002354B7" w:rsidRDefault="002354B7" w:rsidP="002354B7">
      <w:pPr>
        <w:pStyle w:val="BodyParagraph"/>
      </w:pPr>
      <w:r>
        <w:t xml:space="preserve">The remainder of this report is organized as follows.  Section 3 summarizes the data and methodologies that were used to develop </w:t>
      </w:r>
      <w:r w:rsidRPr="005817A5">
        <w:t>the</w:t>
      </w:r>
      <w:r>
        <w:t xml:space="preserve"> ex post and ex ante load impact estimates and the validation tests that were applied to assess their accuracy.  Section 4 contains the ex post load impact estimates, an analysis of control device communication success and an analysis of the distribution of load impacts over customers.  Section 5 presents the ex ante estimates.  The Appendix contains figures relating to the day-matching strategy used to estimate load impacts.</w:t>
      </w:r>
    </w:p>
    <w:p w:rsidR="005800E4" w:rsidRDefault="005800E4">
      <w:pPr>
        <w:rPr>
          <w:rFonts w:ascii="Arial Bold" w:eastAsia="Times New Roman" w:hAnsi="Arial Bold"/>
          <w:b/>
          <w:color w:val="433B67"/>
          <w:sz w:val="28"/>
          <w:szCs w:val="28"/>
        </w:rPr>
      </w:pPr>
      <w:r>
        <w:br w:type="page"/>
      </w:r>
    </w:p>
    <w:p w:rsidR="00A57221" w:rsidRDefault="00CC7F69" w:rsidP="00A57221">
      <w:pPr>
        <w:pStyle w:val="Heading1"/>
      </w:pPr>
      <w:bookmarkStart w:id="7" w:name="_Toc325370139"/>
      <w:r>
        <w:lastRenderedPageBreak/>
        <w:t xml:space="preserve">Data and </w:t>
      </w:r>
      <w:r w:rsidR="00A57221">
        <w:t>Methodology</w:t>
      </w:r>
      <w:bookmarkEnd w:id="7"/>
    </w:p>
    <w:p w:rsidR="00DA2E94" w:rsidRDefault="00A57221" w:rsidP="00A57221">
      <w:pPr>
        <w:pStyle w:val="BodyParagraph"/>
      </w:pPr>
      <w:r>
        <w:t xml:space="preserve">This section </w:t>
      </w:r>
      <w:r w:rsidRPr="005817A5">
        <w:t>summarizes</w:t>
      </w:r>
      <w:r>
        <w:t xml:space="preserve"> the</w:t>
      </w:r>
      <w:r w:rsidR="00CC7F69">
        <w:t xml:space="preserve"> datasets and</w:t>
      </w:r>
      <w:r>
        <w:t xml:space="preserve"> analysis methods that were used to estimate load impacts for</w:t>
      </w:r>
      <w:r w:rsidRPr="00263B75">
        <w:t xml:space="preserve"> </w:t>
      </w:r>
      <w:r>
        <w:t>each event</w:t>
      </w:r>
      <w:r w:rsidR="00CC7F69">
        <w:t xml:space="preserve"> in 2011</w:t>
      </w:r>
      <w:r w:rsidR="003F7303">
        <w:t xml:space="preserve"> and for ex ante weather conditions</w:t>
      </w:r>
      <w:r>
        <w:t xml:space="preserve">.  </w:t>
      </w:r>
      <w:r w:rsidR="00093FB5">
        <w:t xml:space="preserve">The choice of ex post model has important implications for ex ante modeling, which means that ex ante modeling is often referred to even though ex ante results are </w:t>
      </w:r>
      <w:r w:rsidR="00D6030A">
        <w:t xml:space="preserve">not </w:t>
      </w:r>
      <w:r w:rsidR="00152962">
        <w:t>include</w:t>
      </w:r>
      <w:r w:rsidR="00D6030A">
        <w:t xml:space="preserve">d in this report.  A separate report including ex ante results will be provided in a report to follow.  </w:t>
      </w:r>
      <w:r>
        <w:t>Results from a variety of validation tests are also</w:t>
      </w:r>
      <w:r w:rsidR="005F7DA6">
        <w:t> </w:t>
      </w:r>
      <w:r>
        <w:t xml:space="preserve">presented.     </w:t>
      </w:r>
    </w:p>
    <w:p w:rsidR="00CC7F69" w:rsidRDefault="00CC7F69" w:rsidP="00CC7F69">
      <w:pPr>
        <w:pStyle w:val="Heading2"/>
      </w:pPr>
      <w:bookmarkStart w:id="8" w:name="_Toc325370140"/>
      <w:r>
        <w:t>Data</w:t>
      </w:r>
      <w:bookmarkEnd w:id="8"/>
    </w:p>
    <w:p w:rsidR="004D0DDB" w:rsidRDefault="00153EA1">
      <w:pPr>
        <w:pStyle w:val="BodyParagraph"/>
      </w:pPr>
      <w:r>
        <w:t xml:space="preserve">In 2011, six Summer Saver events were called.  </w:t>
      </w:r>
      <w:r w:rsidR="00FA1E2A">
        <w:t>Table 3-1 shows the date</w:t>
      </w:r>
      <w:r w:rsidR="00162223">
        <w:t xml:space="preserve"> of each event</w:t>
      </w:r>
      <w:r w:rsidR="00FA1E2A">
        <w:t xml:space="preserve">, and </w:t>
      </w:r>
      <w:r w:rsidR="00162223">
        <w:t xml:space="preserve">the </w:t>
      </w:r>
      <w:r w:rsidR="00FA1E2A">
        <w:t xml:space="preserve">start and stop time of each event.  </w:t>
      </w:r>
      <w:r>
        <w:t xml:space="preserve">All residential and </w:t>
      </w:r>
      <w:r w:rsidRPr="002F02E6">
        <w:t>commercial</w:t>
      </w:r>
      <w:r>
        <w:t xml:space="preserve"> accounts were called for each event</w:t>
      </w:r>
      <w:r w:rsidR="001C0BE2">
        <w:t xml:space="preserve">.  </w:t>
      </w:r>
      <w:r>
        <w:t xml:space="preserve">All events </w:t>
      </w:r>
      <w:r w:rsidR="00E60377">
        <w:t>lasted</w:t>
      </w:r>
      <w:r>
        <w:t xml:space="preserve"> four hours and began at either at 1 PM or 2 PM. </w:t>
      </w:r>
    </w:p>
    <w:p w:rsidR="004D0DDB" w:rsidRPr="005E4F7C" w:rsidRDefault="00153EA1" w:rsidP="005F7DA6">
      <w:pPr>
        <w:pStyle w:val="TableFigureCaption"/>
      </w:pPr>
      <w:r w:rsidRPr="005E4F7C">
        <w:t xml:space="preserve">Table </w:t>
      </w:r>
      <w:r w:rsidR="005F7DA6">
        <w:t>3</w:t>
      </w:r>
      <w:r w:rsidRPr="005E4F7C">
        <w:t>-</w:t>
      </w:r>
      <w:r w:rsidR="005F7DA6">
        <w:t>1</w:t>
      </w:r>
      <w:r w:rsidRPr="005E4F7C">
        <w:t>:</w:t>
      </w:r>
      <w:r w:rsidR="00B304F1">
        <w:t xml:space="preserve"> </w:t>
      </w:r>
      <w:r w:rsidRPr="005E4F7C">
        <w:t>Summer Saver 2011 Event Summary</w:t>
      </w:r>
    </w:p>
    <w:tbl>
      <w:tblPr>
        <w:tblW w:w="5180"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0"/>
        <w:gridCol w:w="1860"/>
        <w:gridCol w:w="1660"/>
      </w:tblGrid>
      <w:tr w:rsidR="003F02C2" w:rsidRPr="005E4F7C" w:rsidTr="005F7DA6">
        <w:trPr>
          <w:trHeight w:val="358"/>
          <w:jc w:val="center"/>
        </w:trPr>
        <w:tc>
          <w:tcPr>
            <w:tcW w:w="1660" w:type="dxa"/>
            <w:tcBorders>
              <w:right w:val="single" w:sz="4" w:space="0" w:color="FFFFFF" w:themeColor="background1"/>
            </w:tcBorders>
            <w:shd w:val="clear" w:color="000000" w:fill="1F497D"/>
            <w:vAlign w:val="center"/>
            <w:hideMark/>
          </w:tcPr>
          <w:p w:rsidR="003F02C2" w:rsidRPr="005E4F7C" w:rsidRDefault="003F02C2" w:rsidP="005F7DA6">
            <w:pPr>
              <w:pStyle w:val="TableHeader"/>
            </w:pPr>
            <w:r w:rsidRPr="005E4F7C">
              <w:t>Date</w:t>
            </w:r>
          </w:p>
        </w:tc>
        <w:tc>
          <w:tcPr>
            <w:tcW w:w="1860" w:type="dxa"/>
            <w:tcBorders>
              <w:left w:val="single" w:sz="4" w:space="0" w:color="FFFFFF" w:themeColor="background1"/>
              <w:right w:val="single" w:sz="4" w:space="0" w:color="FFFFFF" w:themeColor="background1"/>
            </w:tcBorders>
            <w:shd w:val="clear" w:color="000000" w:fill="1F497D"/>
            <w:vAlign w:val="center"/>
            <w:hideMark/>
          </w:tcPr>
          <w:p w:rsidR="003F02C2" w:rsidRPr="005E4F7C" w:rsidRDefault="003F02C2" w:rsidP="005F7DA6">
            <w:pPr>
              <w:pStyle w:val="TableHeader"/>
            </w:pPr>
            <w:r w:rsidRPr="005E4F7C">
              <w:t>Start Time</w:t>
            </w:r>
          </w:p>
        </w:tc>
        <w:tc>
          <w:tcPr>
            <w:tcW w:w="1660" w:type="dxa"/>
            <w:tcBorders>
              <w:left w:val="single" w:sz="4" w:space="0" w:color="FFFFFF" w:themeColor="background1"/>
            </w:tcBorders>
            <w:shd w:val="clear" w:color="000000" w:fill="1F497D"/>
            <w:vAlign w:val="center"/>
            <w:hideMark/>
          </w:tcPr>
          <w:p w:rsidR="003F02C2" w:rsidRPr="005E4F7C" w:rsidRDefault="003F02C2" w:rsidP="005F7DA6">
            <w:pPr>
              <w:pStyle w:val="TableHeader"/>
            </w:pPr>
            <w:r w:rsidRPr="005E4F7C">
              <w:t>End Time</w:t>
            </w:r>
          </w:p>
        </w:tc>
      </w:tr>
      <w:tr w:rsidR="003F02C2" w:rsidRPr="005E4F7C" w:rsidTr="005F7DA6">
        <w:trPr>
          <w:trHeight w:val="300"/>
          <w:jc w:val="center"/>
        </w:trPr>
        <w:tc>
          <w:tcPr>
            <w:tcW w:w="1660" w:type="dxa"/>
            <w:shd w:val="clear" w:color="000000" w:fill="FFFFFF"/>
            <w:vAlign w:val="center"/>
            <w:hideMark/>
          </w:tcPr>
          <w:p w:rsidR="003F02C2" w:rsidRPr="005E4F7C" w:rsidRDefault="003F02C2" w:rsidP="005F7DA6">
            <w:pPr>
              <w:pStyle w:val="TableText"/>
              <w:jc w:val="center"/>
            </w:pPr>
            <w:r w:rsidRPr="005E4F7C">
              <w:t>8/26/2011</w:t>
            </w:r>
          </w:p>
        </w:tc>
        <w:tc>
          <w:tcPr>
            <w:tcW w:w="1860" w:type="dxa"/>
            <w:shd w:val="clear" w:color="000000" w:fill="FFFFFF"/>
            <w:vAlign w:val="center"/>
            <w:hideMark/>
          </w:tcPr>
          <w:p w:rsidR="003F02C2" w:rsidRPr="005E4F7C" w:rsidRDefault="003F02C2" w:rsidP="005F7DA6">
            <w:pPr>
              <w:pStyle w:val="TableText"/>
              <w:jc w:val="center"/>
            </w:pPr>
            <w:r w:rsidRPr="005E4F7C">
              <w:t>2:00 PM</w:t>
            </w:r>
          </w:p>
        </w:tc>
        <w:tc>
          <w:tcPr>
            <w:tcW w:w="1660" w:type="dxa"/>
            <w:shd w:val="clear" w:color="000000" w:fill="FFFFFF"/>
            <w:vAlign w:val="center"/>
            <w:hideMark/>
          </w:tcPr>
          <w:p w:rsidR="003F02C2" w:rsidRPr="005E4F7C" w:rsidRDefault="003F02C2" w:rsidP="005F7DA6">
            <w:pPr>
              <w:pStyle w:val="TableText"/>
              <w:jc w:val="center"/>
            </w:pPr>
            <w:r w:rsidRPr="005E4F7C">
              <w:t>6:00 PM</w:t>
            </w:r>
          </w:p>
        </w:tc>
      </w:tr>
      <w:tr w:rsidR="003F02C2" w:rsidRPr="005E4F7C" w:rsidTr="005F7DA6">
        <w:trPr>
          <w:trHeight w:val="300"/>
          <w:jc w:val="center"/>
        </w:trPr>
        <w:tc>
          <w:tcPr>
            <w:tcW w:w="1660" w:type="dxa"/>
            <w:shd w:val="clear" w:color="000000" w:fill="FFFFFF"/>
            <w:vAlign w:val="center"/>
            <w:hideMark/>
          </w:tcPr>
          <w:p w:rsidR="003F02C2" w:rsidRPr="005E4F7C" w:rsidRDefault="003F02C2" w:rsidP="005F7DA6">
            <w:pPr>
              <w:pStyle w:val="TableText"/>
              <w:jc w:val="center"/>
            </w:pPr>
            <w:r w:rsidRPr="005E4F7C">
              <w:t>9/7/2011</w:t>
            </w:r>
          </w:p>
        </w:tc>
        <w:tc>
          <w:tcPr>
            <w:tcW w:w="1860" w:type="dxa"/>
            <w:shd w:val="clear" w:color="000000" w:fill="FFFFFF"/>
            <w:vAlign w:val="center"/>
            <w:hideMark/>
          </w:tcPr>
          <w:p w:rsidR="003F02C2" w:rsidRPr="005E4F7C" w:rsidRDefault="003F02C2" w:rsidP="005F7DA6">
            <w:pPr>
              <w:pStyle w:val="TableText"/>
              <w:jc w:val="center"/>
            </w:pPr>
            <w:r w:rsidRPr="005E4F7C">
              <w:t>2:00 PM</w:t>
            </w:r>
          </w:p>
        </w:tc>
        <w:tc>
          <w:tcPr>
            <w:tcW w:w="1660" w:type="dxa"/>
            <w:shd w:val="clear" w:color="000000" w:fill="FFFFFF"/>
            <w:vAlign w:val="center"/>
            <w:hideMark/>
          </w:tcPr>
          <w:p w:rsidR="003F02C2" w:rsidRPr="005E4F7C" w:rsidRDefault="003F02C2" w:rsidP="005F7DA6">
            <w:pPr>
              <w:pStyle w:val="TableText"/>
              <w:jc w:val="center"/>
            </w:pPr>
            <w:r w:rsidRPr="005E4F7C">
              <w:t>6:00 PM</w:t>
            </w:r>
          </w:p>
        </w:tc>
      </w:tr>
      <w:tr w:rsidR="003F02C2" w:rsidRPr="005E4F7C" w:rsidTr="005F7DA6">
        <w:trPr>
          <w:trHeight w:val="300"/>
          <w:jc w:val="center"/>
        </w:trPr>
        <w:tc>
          <w:tcPr>
            <w:tcW w:w="1660" w:type="dxa"/>
            <w:shd w:val="clear" w:color="000000" w:fill="FFFFFF"/>
            <w:vAlign w:val="center"/>
            <w:hideMark/>
          </w:tcPr>
          <w:p w:rsidR="003F02C2" w:rsidRPr="005E4F7C" w:rsidRDefault="003F02C2" w:rsidP="005F7DA6">
            <w:pPr>
              <w:pStyle w:val="TableText"/>
              <w:jc w:val="center"/>
            </w:pPr>
            <w:r w:rsidRPr="005E4F7C">
              <w:t>9/8/2011</w:t>
            </w:r>
          </w:p>
        </w:tc>
        <w:tc>
          <w:tcPr>
            <w:tcW w:w="1860" w:type="dxa"/>
            <w:shd w:val="clear" w:color="000000" w:fill="FFFFFF"/>
            <w:vAlign w:val="center"/>
            <w:hideMark/>
          </w:tcPr>
          <w:p w:rsidR="003F02C2" w:rsidRPr="005E4F7C" w:rsidRDefault="003F02C2" w:rsidP="005F7DA6">
            <w:pPr>
              <w:pStyle w:val="TableText"/>
              <w:jc w:val="center"/>
            </w:pPr>
            <w:r w:rsidRPr="005E4F7C">
              <w:t>1:00 PM</w:t>
            </w:r>
          </w:p>
        </w:tc>
        <w:tc>
          <w:tcPr>
            <w:tcW w:w="1660" w:type="dxa"/>
            <w:shd w:val="clear" w:color="000000" w:fill="FFFFFF"/>
            <w:vAlign w:val="center"/>
            <w:hideMark/>
          </w:tcPr>
          <w:p w:rsidR="003F02C2" w:rsidRPr="005E4F7C" w:rsidRDefault="003F02C2" w:rsidP="005F7DA6">
            <w:pPr>
              <w:pStyle w:val="TableText"/>
              <w:jc w:val="center"/>
            </w:pPr>
            <w:r w:rsidRPr="005E4F7C">
              <w:t>5:00 PM</w:t>
            </w:r>
          </w:p>
        </w:tc>
      </w:tr>
      <w:tr w:rsidR="003F02C2" w:rsidRPr="005E4F7C" w:rsidTr="005F7DA6">
        <w:trPr>
          <w:trHeight w:val="300"/>
          <w:jc w:val="center"/>
        </w:trPr>
        <w:tc>
          <w:tcPr>
            <w:tcW w:w="1660" w:type="dxa"/>
            <w:shd w:val="clear" w:color="000000" w:fill="FFFFFF"/>
            <w:vAlign w:val="center"/>
            <w:hideMark/>
          </w:tcPr>
          <w:p w:rsidR="003F02C2" w:rsidRPr="005E4F7C" w:rsidRDefault="003F02C2" w:rsidP="005F7DA6">
            <w:pPr>
              <w:pStyle w:val="TableText"/>
              <w:jc w:val="center"/>
            </w:pPr>
            <w:r w:rsidRPr="005E4F7C">
              <w:t>9/9/2011</w:t>
            </w:r>
          </w:p>
        </w:tc>
        <w:tc>
          <w:tcPr>
            <w:tcW w:w="1860" w:type="dxa"/>
            <w:shd w:val="clear" w:color="000000" w:fill="FFFFFF"/>
            <w:vAlign w:val="center"/>
            <w:hideMark/>
          </w:tcPr>
          <w:p w:rsidR="003F02C2" w:rsidRPr="005E4F7C" w:rsidRDefault="003F02C2" w:rsidP="005F7DA6">
            <w:pPr>
              <w:pStyle w:val="TableText"/>
              <w:jc w:val="center"/>
            </w:pPr>
            <w:r w:rsidRPr="005E4F7C">
              <w:t>2:00 PM</w:t>
            </w:r>
          </w:p>
        </w:tc>
        <w:tc>
          <w:tcPr>
            <w:tcW w:w="1660" w:type="dxa"/>
            <w:shd w:val="clear" w:color="000000" w:fill="FFFFFF"/>
            <w:vAlign w:val="center"/>
            <w:hideMark/>
          </w:tcPr>
          <w:p w:rsidR="003F02C2" w:rsidRPr="005E4F7C" w:rsidRDefault="003F02C2" w:rsidP="005F7DA6">
            <w:pPr>
              <w:pStyle w:val="TableText"/>
              <w:jc w:val="center"/>
            </w:pPr>
            <w:r w:rsidRPr="005E4F7C">
              <w:t>6:00 PM</w:t>
            </w:r>
          </w:p>
        </w:tc>
      </w:tr>
      <w:tr w:rsidR="003F02C2" w:rsidRPr="005E4F7C" w:rsidTr="005F7DA6">
        <w:trPr>
          <w:trHeight w:val="300"/>
          <w:jc w:val="center"/>
        </w:trPr>
        <w:tc>
          <w:tcPr>
            <w:tcW w:w="1660" w:type="dxa"/>
            <w:shd w:val="clear" w:color="000000" w:fill="FFFFFF"/>
            <w:vAlign w:val="center"/>
            <w:hideMark/>
          </w:tcPr>
          <w:p w:rsidR="003F02C2" w:rsidRPr="005E4F7C" w:rsidRDefault="003F02C2" w:rsidP="005F7DA6">
            <w:pPr>
              <w:pStyle w:val="TableText"/>
              <w:jc w:val="center"/>
            </w:pPr>
            <w:r w:rsidRPr="005E4F7C">
              <w:t>10/12/2011</w:t>
            </w:r>
          </w:p>
        </w:tc>
        <w:tc>
          <w:tcPr>
            <w:tcW w:w="1860" w:type="dxa"/>
            <w:shd w:val="clear" w:color="000000" w:fill="FFFFFF"/>
            <w:vAlign w:val="center"/>
            <w:hideMark/>
          </w:tcPr>
          <w:p w:rsidR="003F02C2" w:rsidRPr="005E4F7C" w:rsidRDefault="003F02C2" w:rsidP="005F7DA6">
            <w:pPr>
              <w:pStyle w:val="TableText"/>
              <w:jc w:val="center"/>
            </w:pPr>
            <w:r w:rsidRPr="005E4F7C">
              <w:t>1:00 PM</w:t>
            </w:r>
          </w:p>
        </w:tc>
        <w:tc>
          <w:tcPr>
            <w:tcW w:w="1660" w:type="dxa"/>
            <w:shd w:val="clear" w:color="000000" w:fill="FFFFFF"/>
            <w:vAlign w:val="center"/>
            <w:hideMark/>
          </w:tcPr>
          <w:p w:rsidR="003F02C2" w:rsidRPr="005E4F7C" w:rsidRDefault="003F02C2" w:rsidP="005F7DA6">
            <w:pPr>
              <w:pStyle w:val="TableText"/>
              <w:jc w:val="center"/>
            </w:pPr>
            <w:r w:rsidRPr="005E4F7C">
              <w:t>5:00 PM</w:t>
            </w:r>
          </w:p>
        </w:tc>
      </w:tr>
      <w:tr w:rsidR="003F02C2" w:rsidRPr="005E4F7C" w:rsidTr="005F7DA6">
        <w:trPr>
          <w:trHeight w:val="300"/>
          <w:jc w:val="center"/>
        </w:trPr>
        <w:tc>
          <w:tcPr>
            <w:tcW w:w="1660" w:type="dxa"/>
            <w:shd w:val="clear" w:color="000000" w:fill="FFFFFF"/>
            <w:vAlign w:val="center"/>
            <w:hideMark/>
          </w:tcPr>
          <w:p w:rsidR="003F02C2" w:rsidRPr="005E4F7C" w:rsidRDefault="003F02C2" w:rsidP="005F7DA6">
            <w:pPr>
              <w:pStyle w:val="TableText"/>
              <w:jc w:val="center"/>
            </w:pPr>
            <w:r w:rsidRPr="005E4F7C">
              <w:t>10/13/2011</w:t>
            </w:r>
          </w:p>
        </w:tc>
        <w:tc>
          <w:tcPr>
            <w:tcW w:w="1860" w:type="dxa"/>
            <w:shd w:val="clear" w:color="000000" w:fill="FFFFFF"/>
            <w:vAlign w:val="center"/>
            <w:hideMark/>
          </w:tcPr>
          <w:p w:rsidR="003F02C2" w:rsidRPr="005E4F7C" w:rsidRDefault="003F02C2" w:rsidP="005F7DA6">
            <w:pPr>
              <w:pStyle w:val="TableText"/>
              <w:jc w:val="center"/>
            </w:pPr>
            <w:r w:rsidRPr="005E4F7C">
              <w:t>1:00 PM</w:t>
            </w:r>
          </w:p>
        </w:tc>
        <w:tc>
          <w:tcPr>
            <w:tcW w:w="1660" w:type="dxa"/>
            <w:shd w:val="clear" w:color="000000" w:fill="FFFFFF"/>
            <w:vAlign w:val="center"/>
            <w:hideMark/>
          </w:tcPr>
          <w:p w:rsidR="003F02C2" w:rsidRPr="005E4F7C" w:rsidRDefault="003F02C2" w:rsidP="005F7DA6">
            <w:pPr>
              <w:pStyle w:val="TableText"/>
              <w:jc w:val="center"/>
            </w:pPr>
            <w:r w:rsidRPr="005E4F7C">
              <w:t>5:00 PM</w:t>
            </w:r>
          </w:p>
        </w:tc>
      </w:tr>
    </w:tbl>
    <w:p w:rsidR="001C0BE2" w:rsidRDefault="001C0BE2" w:rsidP="003F02C2">
      <w:pPr>
        <w:pStyle w:val="BodyParaAfterTableFigure"/>
      </w:pPr>
      <w:r>
        <w:t>SDG&amp;E provided FSC with</w:t>
      </w:r>
      <w:r w:rsidR="00153EA1" w:rsidRPr="0054082D">
        <w:t xml:space="preserve"> </w:t>
      </w:r>
      <w:r>
        <w:t>samples of smart meter</w:t>
      </w:r>
      <w:r w:rsidR="00153EA1" w:rsidRPr="0054082D">
        <w:t xml:space="preserve"> </w:t>
      </w:r>
      <w:r>
        <w:t xml:space="preserve">interval data for </w:t>
      </w:r>
      <w:r w:rsidR="00153EA1" w:rsidRPr="0054082D">
        <w:t>both the residential and commercial populations</w:t>
      </w:r>
      <w:r>
        <w:t xml:space="preserve"> for the summer of 2011</w:t>
      </w:r>
      <w:r w:rsidR="00153EA1" w:rsidRPr="0054082D">
        <w:t xml:space="preserve">. The sample included </w:t>
      </w:r>
      <w:r>
        <w:t xml:space="preserve">data for </w:t>
      </w:r>
      <w:r w:rsidR="00153EA1">
        <w:t>762</w:t>
      </w:r>
      <w:r w:rsidR="00153EA1" w:rsidRPr="0054082D">
        <w:t xml:space="preserve"> residential </w:t>
      </w:r>
      <w:r>
        <w:t>premises</w:t>
      </w:r>
      <w:r w:rsidR="00153EA1" w:rsidRPr="0054082D">
        <w:t xml:space="preserve"> and </w:t>
      </w:r>
      <w:r w:rsidR="00E60377">
        <w:t>3,555</w:t>
      </w:r>
      <w:r w:rsidR="00153EA1" w:rsidRPr="0054082D">
        <w:t xml:space="preserve"> commercial </w:t>
      </w:r>
      <w:r>
        <w:t xml:space="preserve">premises.  </w:t>
      </w:r>
      <w:r w:rsidR="00153EA1" w:rsidRPr="0054082D">
        <w:t xml:space="preserve"> </w:t>
      </w:r>
      <w:r>
        <w:t>The commercial sample encompassed</w:t>
      </w:r>
      <w:r w:rsidR="00153EA1" w:rsidRPr="0054082D">
        <w:t xml:space="preserve"> the entire commercial </w:t>
      </w:r>
      <w:r w:rsidR="00153EA1">
        <w:t xml:space="preserve">Summer Saver </w:t>
      </w:r>
      <w:r w:rsidR="00153EA1" w:rsidRPr="0054082D">
        <w:t>population</w:t>
      </w:r>
      <w:r w:rsidR="00153EA1">
        <w:t xml:space="preserve"> for which smart meter interval data is available</w:t>
      </w:r>
      <w:r w:rsidR="00153EA1" w:rsidRPr="0054082D">
        <w:t>.</w:t>
      </w:r>
      <w:r w:rsidR="00153EA1">
        <w:rPr>
          <w:rStyle w:val="FootnoteReference"/>
        </w:rPr>
        <w:footnoteReference w:id="10"/>
      </w:r>
      <w:r w:rsidR="00153EA1" w:rsidRPr="0054082D">
        <w:t xml:space="preserve">   </w:t>
      </w:r>
      <w:r>
        <w:t>This is the first time the Summer Saver evaluation is being performed using only smart meter interval data</w:t>
      </w:r>
      <w:r w:rsidR="00B45EF4">
        <w:t>; p</w:t>
      </w:r>
      <w:r>
        <w:t>revious evaluations have relied on CAC logger data.  However, in evaluations</w:t>
      </w:r>
      <w:r w:rsidR="00152962">
        <w:t xml:space="preserve"> of the 2009 and 2010 program years</w:t>
      </w:r>
      <w:r>
        <w:t xml:space="preserve">, analyses of residential load impacts performed using smart meter interval data produced load impact estimates very close to those estimated using CAC logger data.  While these analyses were not performed for commercial customers, </w:t>
      </w:r>
      <w:r w:rsidR="00152962">
        <w:t xml:space="preserve">FSC does not believe that repeating the same process for the 2011 program year </w:t>
      </w:r>
      <w:r>
        <w:t>would not also produce similar results as those found using CAC logger data.</w:t>
      </w:r>
      <w:r w:rsidR="007C6E7C">
        <w:t xml:space="preserve">  Additionally, FSC has extensive experience using smart meter data to estimate load impacts for CAC load control programs for other utilities</w:t>
      </w:r>
      <w:r w:rsidR="00B45EF4">
        <w:t>; this method has always been found to produce impact estimates as accurate as those estimated based on CAC logger data</w:t>
      </w:r>
      <w:r w:rsidR="007C6E7C">
        <w:t xml:space="preserve">.  </w:t>
      </w:r>
    </w:p>
    <w:p w:rsidR="00153EA1" w:rsidRDefault="00153EA1" w:rsidP="00153EA1">
      <w:pPr>
        <w:pStyle w:val="BodyParagraph"/>
      </w:pPr>
      <w:r w:rsidRPr="0054082D">
        <w:t>Table</w:t>
      </w:r>
      <w:r w:rsidR="00CA6D1C">
        <w:t>s</w:t>
      </w:r>
      <w:r w:rsidRPr="0054082D">
        <w:t xml:space="preserve"> </w:t>
      </w:r>
      <w:r w:rsidR="005F7DA6">
        <w:t>3</w:t>
      </w:r>
      <w:r w:rsidRPr="0054082D">
        <w:t>-</w:t>
      </w:r>
      <w:r w:rsidR="005F7DA6">
        <w:t>2</w:t>
      </w:r>
      <w:r w:rsidRPr="0054082D">
        <w:t xml:space="preserve"> </w:t>
      </w:r>
      <w:r w:rsidR="005F7DA6">
        <w:t>and 3</w:t>
      </w:r>
      <w:r w:rsidR="00CA6D1C">
        <w:t>-</w:t>
      </w:r>
      <w:r w:rsidR="005F7DA6">
        <w:t>3</w:t>
      </w:r>
      <w:r w:rsidR="00CA6D1C">
        <w:t xml:space="preserve"> </w:t>
      </w:r>
      <w:r w:rsidRPr="0054082D">
        <w:t xml:space="preserve">show the distribution of </w:t>
      </w:r>
      <w:r>
        <w:t>C</w:t>
      </w:r>
      <w:r w:rsidR="00CA6D1C">
        <w:t xml:space="preserve">AC tonnage by cycling </w:t>
      </w:r>
      <w:r w:rsidRPr="0054082D">
        <w:t>option</w:t>
      </w:r>
      <w:r w:rsidR="00CA6D1C">
        <w:t xml:space="preserve"> and climate zone</w:t>
      </w:r>
      <w:r w:rsidRPr="0054082D">
        <w:t xml:space="preserve"> for the </w:t>
      </w:r>
      <w:r w:rsidR="00B45EF4" w:rsidRPr="0054082D">
        <w:t>population</w:t>
      </w:r>
      <w:r w:rsidR="00B45EF4">
        <w:t>s</w:t>
      </w:r>
      <w:r w:rsidR="00B45EF4" w:rsidRPr="0054082D">
        <w:t xml:space="preserve"> and sample</w:t>
      </w:r>
      <w:r w:rsidR="00B45EF4">
        <w:t>s</w:t>
      </w:r>
      <w:r w:rsidR="00B45EF4" w:rsidRPr="0054082D">
        <w:t xml:space="preserve"> </w:t>
      </w:r>
      <w:r w:rsidR="00B45EF4">
        <w:t xml:space="preserve">of </w:t>
      </w:r>
      <w:r w:rsidRPr="0054082D">
        <w:t xml:space="preserve">commercial </w:t>
      </w:r>
      <w:r w:rsidR="00CA6D1C">
        <w:t>and residential</w:t>
      </w:r>
      <w:r w:rsidR="00B45EF4">
        <w:t xml:space="preserve"> customers, respectively,</w:t>
      </w:r>
      <w:r w:rsidR="00CA6D1C">
        <w:t xml:space="preserve"> </w:t>
      </w:r>
      <w:r w:rsidRPr="0054082D">
        <w:t>as of June</w:t>
      </w:r>
      <w:r w:rsidR="00B260E3">
        <w:t xml:space="preserve">, 2011.  As the tables show, each sample </w:t>
      </w:r>
      <w:r w:rsidR="00E60377">
        <w:t>is representative of</w:t>
      </w:r>
      <w:r w:rsidR="00B260E3">
        <w:t xml:space="preserve"> the population </w:t>
      </w:r>
      <w:r w:rsidR="00E60377">
        <w:t>of participants</w:t>
      </w:r>
      <w:r w:rsidR="00B260E3">
        <w:t>.</w:t>
      </w:r>
      <w:r w:rsidR="00E60377">
        <w:t xml:space="preserve">  The differences between the fraction of customers in each sample cell and each population cell are small</w:t>
      </w:r>
      <w:r w:rsidR="00B45EF4">
        <w:t>; t</w:t>
      </w:r>
      <w:r w:rsidR="00B103D0">
        <w:t xml:space="preserve">here are effectively no differences across climate zones, </w:t>
      </w:r>
      <w:r w:rsidR="00B45EF4">
        <w:t>while</w:t>
      </w:r>
      <w:r w:rsidR="00B103D0">
        <w:t xml:space="preserve"> small differences exist across cycling options.  </w:t>
      </w:r>
      <w:r w:rsidR="00E60377">
        <w:lastRenderedPageBreak/>
        <w:t xml:space="preserve">Final results are weighted based on cycling option to reflect these </w:t>
      </w:r>
      <w:r w:rsidR="00B45EF4">
        <w:t>slight</w:t>
      </w:r>
      <w:r w:rsidR="00E60377">
        <w:t xml:space="preserve"> differences between the sample and the population.</w:t>
      </w:r>
    </w:p>
    <w:p w:rsidR="00153EA1" w:rsidRPr="00F90902" w:rsidRDefault="00153EA1" w:rsidP="00EF00D6">
      <w:pPr>
        <w:pStyle w:val="TableFigureCaption"/>
      </w:pPr>
      <w:r>
        <w:t xml:space="preserve">Table </w:t>
      </w:r>
      <w:r w:rsidR="005F7DA6">
        <w:t>3</w:t>
      </w:r>
      <w:r>
        <w:t>-</w:t>
      </w:r>
      <w:r w:rsidR="005F7DA6">
        <w:t>2</w:t>
      </w:r>
      <w:r>
        <w:t>:</w:t>
      </w:r>
      <w:r w:rsidR="00B304F1">
        <w:t xml:space="preserve"> </w:t>
      </w:r>
      <w:r>
        <w:t>Distribution of AC Tonnage by Program Option</w:t>
      </w:r>
      <w:r w:rsidR="008426E5">
        <w:t xml:space="preserve"> and Climate Zone</w:t>
      </w:r>
      <w:r>
        <w:br/>
        <w:t>Residential Population</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0"/>
        <w:gridCol w:w="1240"/>
        <w:gridCol w:w="1180"/>
        <w:gridCol w:w="1080"/>
        <w:gridCol w:w="1080"/>
        <w:gridCol w:w="1080"/>
      </w:tblGrid>
      <w:tr w:rsidR="00751BAD" w:rsidRPr="00751BAD" w:rsidTr="005F7DA6">
        <w:trPr>
          <w:trHeight w:val="825"/>
          <w:jc w:val="center"/>
        </w:trPr>
        <w:tc>
          <w:tcPr>
            <w:tcW w:w="2620" w:type="dxa"/>
            <w:tcBorders>
              <w:right w:val="single" w:sz="4" w:space="0" w:color="FFFFFF" w:themeColor="background1"/>
            </w:tcBorders>
            <w:shd w:val="clear" w:color="000000" w:fill="1F497D" w:themeFill="text2"/>
            <w:vAlign w:val="center"/>
            <w:hideMark/>
          </w:tcPr>
          <w:p w:rsidR="00751BAD" w:rsidRPr="00751BAD" w:rsidRDefault="00751BAD" w:rsidP="00EF00D6">
            <w:pPr>
              <w:pStyle w:val="TableHeader"/>
              <w:keepNext/>
            </w:pPr>
            <w:r w:rsidRPr="00751BAD">
              <w:t>Cycling and Weekday Options</w:t>
            </w:r>
          </w:p>
        </w:tc>
        <w:tc>
          <w:tcPr>
            <w:tcW w:w="1240" w:type="dxa"/>
            <w:tcBorders>
              <w:left w:val="single" w:sz="4" w:space="0" w:color="FFFFFF" w:themeColor="background1"/>
              <w:right w:val="single" w:sz="4" w:space="0" w:color="FFFFFF" w:themeColor="background1"/>
            </w:tcBorders>
            <w:shd w:val="clear" w:color="000000" w:fill="1F497D" w:themeFill="text2"/>
            <w:vAlign w:val="center"/>
            <w:hideMark/>
          </w:tcPr>
          <w:p w:rsidR="00751BAD" w:rsidRPr="00751BAD" w:rsidRDefault="00751BAD" w:rsidP="00EF00D6">
            <w:pPr>
              <w:pStyle w:val="TableHeader"/>
              <w:keepNext/>
            </w:pPr>
            <w:r w:rsidRPr="00751BAD">
              <w:t>Group</w:t>
            </w:r>
          </w:p>
        </w:tc>
        <w:tc>
          <w:tcPr>
            <w:tcW w:w="1180" w:type="dxa"/>
            <w:tcBorders>
              <w:left w:val="single" w:sz="4" w:space="0" w:color="FFFFFF" w:themeColor="background1"/>
              <w:right w:val="single" w:sz="4" w:space="0" w:color="FFFFFF" w:themeColor="background1"/>
            </w:tcBorders>
            <w:shd w:val="clear" w:color="000000" w:fill="1F497D" w:themeFill="text2"/>
            <w:vAlign w:val="center"/>
            <w:hideMark/>
          </w:tcPr>
          <w:p w:rsidR="00751BAD" w:rsidRPr="00751BAD" w:rsidRDefault="00751BAD" w:rsidP="00EF00D6">
            <w:pPr>
              <w:pStyle w:val="TableHeader"/>
              <w:keepNext/>
            </w:pPr>
            <w:r w:rsidRPr="00751BAD">
              <w:t>Climate Zone 1</w:t>
            </w:r>
          </w:p>
        </w:tc>
        <w:tc>
          <w:tcPr>
            <w:tcW w:w="1080" w:type="dxa"/>
            <w:tcBorders>
              <w:left w:val="single" w:sz="4" w:space="0" w:color="FFFFFF" w:themeColor="background1"/>
              <w:right w:val="single" w:sz="4" w:space="0" w:color="FFFFFF" w:themeColor="background1"/>
            </w:tcBorders>
            <w:shd w:val="clear" w:color="000000" w:fill="1F497D" w:themeFill="text2"/>
            <w:vAlign w:val="center"/>
            <w:hideMark/>
          </w:tcPr>
          <w:p w:rsidR="00751BAD" w:rsidRPr="00751BAD" w:rsidRDefault="00751BAD" w:rsidP="00EF00D6">
            <w:pPr>
              <w:pStyle w:val="TableHeader"/>
              <w:keepNext/>
            </w:pPr>
            <w:r w:rsidRPr="00751BAD">
              <w:t>Climate Zone 2</w:t>
            </w:r>
          </w:p>
        </w:tc>
        <w:tc>
          <w:tcPr>
            <w:tcW w:w="1080" w:type="dxa"/>
            <w:tcBorders>
              <w:left w:val="single" w:sz="4" w:space="0" w:color="FFFFFF" w:themeColor="background1"/>
              <w:right w:val="single" w:sz="4" w:space="0" w:color="FFFFFF" w:themeColor="background1"/>
            </w:tcBorders>
            <w:shd w:val="clear" w:color="000000" w:fill="1F497D" w:themeFill="text2"/>
            <w:vAlign w:val="center"/>
            <w:hideMark/>
          </w:tcPr>
          <w:p w:rsidR="00751BAD" w:rsidRPr="00751BAD" w:rsidRDefault="00751BAD" w:rsidP="00EF00D6">
            <w:pPr>
              <w:pStyle w:val="TableHeader"/>
              <w:keepNext/>
            </w:pPr>
            <w:r w:rsidRPr="00751BAD">
              <w:t>Climate Zone 4</w:t>
            </w:r>
          </w:p>
        </w:tc>
        <w:tc>
          <w:tcPr>
            <w:tcW w:w="1080" w:type="dxa"/>
            <w:tcBorders>
              <w:left w:val="single" w:sz="4" w:space="0" w:color="FFFFFF" w:themeColor="background1"/>
            </w:tcBorders>
            <w:shd w:val="clear" w:color="000000" w:fill="1F497D" w:themeFill="text2"/>
            <w:noWrap/>
            <w:vAlign w:val="center"/>
            <w:hideMark/>
          </w:tcPr>
          <w:p w:rsidR="00751BAD" w:rsidRPr="00751BAD" w:rsidRDefault="00751BAD" w:rsidP="00EF00D6">
            <w:pPr>
              <w:pStyle w:val="TableHeader"/>
              <w:keepNext/>
            </w:pPr>
            <w:r w:rsidRPr="00751BAD">
              <w:t>Total</w:t>
            </w:r>
          </w:p>
        </w:tc>
      </w:tr>
      <w:tr w:rsidR="00B103D0" w:rsidRPr="00751BAD" w:rsidTr="005F7DA6">
        <w:trPr>
          <w:trHeight w:val="282"/>
          <w:jc w:val="center"/>
        </w:trPr>
        <w:tc>
          <w:tcPr>
            <w:tcW w:w="2620" w:type="dxa"/>
            <w:vMerge w:val="restart"/>
            <w:shd w:val="clear" w:color="auto" w:fill="auto"/>
            <w:noWrap/>
            <w:vAlign w:val="center"/>
            <w:hideMark/>
          </w:tcPr>
          <w:p w:rsidR="00B103D0" w:rsidRPr="00751BAD" w:rsidRDefault="00B103D0" w:rsidP="00EF00D6">
            <w:pPr>
              <w:pStyle w:val="TableText"/>
              <w:keepNext/>
              <w:jc w:val="center"/>
            </w:pPr>
            <w:r w:rsidRPr="00751BAD">
              <w:t>50%</w:t>
            </w:r>
          </w:p>
        </w:tc>
        <w:tc>
          <w:tcPr>
            <w:tcW w:w="1240" w:type="dxa"/>
            <w:shd w:val="clear" w:color="auto" w:fill="auto"/>
            <w:vAlign w:val="bottom"/>
            <w:hideMark/>
          </w:tcPr>
          <w:p w:rsidR="00B103D0" w:rsidRPr="00751BAD" w:rsidRDefault="00B103D0" w:rsidP="00EF00D6">
            <w:pPr>
              <w:pStyle w:val="TableText"/>
              <w:keepNext/>
              <w:jc w:val="center"/>
            </w:pPr>
            <w:r w:rsidRPr="00751BAD">
              <w:t>Population</w:t>
            </w:r>
          </w:p>
        </w:tc>
        <w:tc>
          <w:tcPr>
            <w:tcW w:w="1180" w:type="dxa"/>
            <w:shd w:val="clear" w:color="auto" w:fill="auto"/>
            <w:noWrap/>
            <w:vAlign w:val="bottom"/>
            <w:hideMark/>
          </w:tcPr>
          <w:p w:rsidR="00B103D0" w:rsidRPr="00B103D0" w:rsidRDefault="00B103D0" w:rsidP="00EF00D6">
            <w:pPr>
              <w:pStyle w:val="TableText"/>
              <w:keepNext/>
              <w:jc w:val="center"/>
            </w:pPr>
            <w:r w:rsidRPr="00B103D0">
              <w:t>3%</w:t>
            </w:r>
          </w:p>
        </w:tc>
        <w:tc>
          <w:tcPr>
            <w:tcW w:w="1080" w:type="dxa"/>
            <w:shd w:val="clear" w:color="auto" w:fill="auto"/>
            <w:noWrap/>
            <w:vAlign w:val="bottom"/>
            <w:hideMark/>
          </w:tcPr>
          <w:p w:rsidR="00B103D0" w:rsidRPr="00B103D0" w:rsidRDefault="00B103D0" w:rsidP="00EF00D6">
            <w:pPr>
              <w:pStyle w:val="TableText"/>
              <w:keepNext/>
              <w:jc w:val="center"/>
            </w:pPr>
            <w:r w:rsidRPr="00B103D0">
              <w:t>1%</w:t>
            </w:r>
          </w:p>
        </w:tc>
        <w:tc>
          <w:tcPr>
            <w:tcW w:w="1080" w:type="dxa"/>
            <w:shd w:val="clear" w:color="auto" w:fill="auto"/>
            <w:noWrap/>
            <w:vAlign w:val="bottom"/>
            <w:hideMark/>
          </w:tcPr>
          <w:p w:rsidR="00B103D0" w:rsidRPr="00B103D0" w:rsidRDefault="00B103D0" w:rsidP="00EF00D6">
            <w:pPr>
              <w:pStyle w:val="TableText"/>
              <w:keepNext/>
              <w:jc w:val="center"/>
            </w:pPr>
            <w:r w:rsidRPr="00B103D0">
              <w:t>42%</w:t>
            </w:r>
          </w:p>
        </w:tc>
        <w:tc>
          <w:tcPr>
            <w:tcW w:w="1080" w:type="dxa"/>
            <w:shd w:val="clear" w:color="auto" w:fill="auto"/>
            <w:noWrap/>
            <w:vAlign w:val="bottom"/>
            <w:hideMark/>
          </w:tcPr>
          <w:p w:rsidR="00B103D0" w:rsidRPr="00B103D0" w:rsidRDefault="00B103D0" w:rsidP="00EF00D6">
            <w:pPr>
              <w:pStyle w:val="TableText"/>
              <w:keepNext/>
              <w:jc w:val="center"/>
            </w:pPr>
            <w:r w:rsidRPr="00B103D0">
              <w:t>46%</w:t>
            </w:r>
          </w:p>
        </w:tc>
      </w:tr>
      <w:tr w:rsidR="00B103D0" w:rsidRPr="00751BAD" w:rsidTr="005F7DA6">
        <w:trPr>
          <w:trHeight w:val="282"/>
          <w:jc w:val="center"/>
        </w:trPr>
        <w:tc>
          <w:tcPr>
            <w:tcW w:w="2620" w:type="dxa"/>
            <w:vMerge/>
            <w:vAlign w:val="center"/>
            <w:hideMark/>
          </w:tcPr>
          <w:p w:rsidR="00B103D0" w:rsidRPr="00751BAD" w:rsidRDefault="00B103D0" w:rsidP="00EF00D6">
            <w:pPr>
              <w:pStyle w:val="TableText"/>
              <w:keepNext/>
              <w:jc w:val="center"/>
            </w:pPr>
          </w:p>
        </w:tc>
        <w:tc>
          <w:tcPr>
            <w:tcW w:w="1240" w:type="dxa"/>
            <w:shd w:val="clear" w:color="auto" w:fill="auto"/>
            <w:vAlign w:val="bottom"/>
            <w:hideMark/>
          </w:tcPr>
          <w:p w:rsidR="00B103D0" w:rsidRPr="00751BAD" w:rsidRDefault="00B103D0" w:rsidP="00EF00D6">
            <w:pPr>
              <w:pStyle w:val="TableText"/>
              <w:keepNext/>
              <w:jc w:val="center"/>
            </w:pPr>
            <w:r w:rsidRPr="00751BAD">
              <w:t>Sample</w:t>
            </w:r>
          </w:p>
        </w:tc>
        <w:tc>
          <w:tcPr>
            <w:tcW w:w="1180" w:type="dxa"/>
            <w:shd w:val="clear" w:color="auto" w:fill="auto"/>
            <w:noWrap/>
            <w:vAlign w:val="bottom"/>
            <w:hideMark/>
          </w:tcPr>
          <w:p w:rsidR="00B103D0" w:rsidRPr="00B103D0" w:rsidRDefault="00B103D0" w:rsidP="00EF00D6">
            <w:pPr>
              <w:pStyle w:val="TableText"/>
              <w:keepNext/>
              <w:jc w:val="center"/>
            </w:pPr>
            <w:r w:rsidRPr="00B103D0">
              <w:t>3%</w:t>
            </w:r>
          </w:p>
        </w:tc>
        <w:tc>
          <w:tcPr>
            <w:tcW w:w="1080" w:type="dxa"/>
            <w:shd w:val="clear" w:color="auto" w:fill="auto"/>
            <w:noWrap/>
            <w:vAlign w:val="bottom"/>
            <w:hideMark/>
          </w:tcPr>
          <w:p w:rsidR="00B103D0" w:rsidRPr="00B103D0" w:rsidRDefault="00B103D0" w:rsidP="00EF00D6">
            <w:pPr>
              <w:pStyle w:val="TableText"/>
              <w:keepNext/>
              <w:jc w:val="center"/>
            </w:pPr>
            <w:r w:rsidRPr="00B103D0">
              <w:t>1%</w:t>
            </w:r>
          </w:p>
        </w:tc>
        <w:tc>
          <w:tcPr>
            <w:tcW w:w="1080" w:type="dxa"/>
            <w:shd w:val="clear" w:color="auto" w:fill="auto"/>
            <w:noWrap/>
            <w:vAlign w:val="bottom"/>
            <w:hideMark/>
          </w:tcPr>
          <w:p w:rsidR="00B103D0" w:rsidRPr="00B103D0" w:rsidRDefault="00B103D0" w:rsidP="00EF00D6">
            <w:pPr>
              <w:pStyle w:val="TableText"/>
              <w:keepNext/>
              <w:jc w:val="center"/>
            </w:pPr>
            <w:r w:rsidRPr="00B103D0">
              <w:t>46%</w:t>
            </w:r>
          </w:p>
        </w:tc>
        <w:tc>
          <w:tcPr>
            <w:tcW w:w="1080" w:type="dxa"/>
            <w:shd w:val="clear" w:color="auto" w:fill="auto"/>
            <w:noWrap/>
            <w:vAlign w:val="bottom"/>
            <w:hideMark/>
          </w:tcPr>
          <w:p w:rsidR="00B103D0" w:rsidRPr="00B103D0" w:rsidRDefault="00B103D0" w:rsidP="00EF00D6">
            <w:pPr>
              <w:pStyle w:val="TableText"/>
              <w:keepNext/>
              <w:jc w:val="center"/>
            </w:pPr>
            <w:r w:rsidRPr="00B103D0">
              <w:t>50%</w:t>
            </w:r>
          </w:p>
        </w:tc>
      </w:tr>
      <w:tr w:rsidR="00B103D0" w:rsidRPr="00751BAD" w:rsidTr="005F7DA6">
        <w:trPr>
          <w:trHeight w:val="282"/>
          <w:jc w:val="center"/>
        </w:trPr>
        <w:tc>
          <w:tcPr>
            <w:tcW w:w="2620" w:type="dxa"/>
            <w:vMerge w:val="restart"/>
            <w:shd w:val="clear" w:color="auto" w:fill="auto"/>
            <w:noWrap/>
            <w:vAlign w:val="center"/>
            <w:hideMark/>
          </w:tcPr>
          <w:p w:rsidR="00B103D0" w:rsidRPr="00751BAD" w:rsidRDefault="00B103D0" w:rsidP="00EF00D6">
            <w:pPr>
              <w:pStyle w:val="TableText"/>
              <w:keepNext/>
              <w:jc w:val="center"/>
            </w:pPr>
            <w:r w:rsidRPr="00751BAD">
              <w:t>100%</w:t>
            </w:r>
          </w:p>
        </w:tc>
        <w:tc>
          <w:tcPr>
            <w:tcW w:w="1240" w:type="dxa"/>
            <w:shd w:val="clear" w:color="auto" w:fill="auto"/>
            <w:vAlign w:val="bottom"/>
            <w:hideMark/>
          </w:tcPr>
          <w:p w:rsidR="00B103D0" w:rsidRPr="00751BAD" w:rsidRDefault="00B103D0" w:rsidP="00EF00D6">
            <w:pPr>
              <w:pStyle w:val="TableText"/>
              <w:keepNext/>
              <w:jc w:val="center"/>
            </w:pPr>
            <w:r w:rsidRPr="00751BAD">
              <w:t>Population</w:t>
            </w:r>
          </w:p>
        </w:tc>
        <w:tc>
          <w:tcPr>
            <w:tcW w:w="1180" w:type="dxa"/>
            <w:shd w:val="clear" w:color="auto" w:fill="auto"/>
            <w:noWrap/>
            <w:vAlign w:val="bottom"/>
            <w:hideMark/>
          </w:tcPr>
          <w:p w:rsidR="00B103D0" w:rsidRPr="00B103D0" w:rsidRDefault="00B103D0" w:rsidP="00EF00D6">
            <w:pPr>
              <w:pStyle w:val="TableText"/>
              <w:keepNext/>
              <w:jc w:val="center"/>
            </w:pPr>
            <w:r w:rsidRPr="00B103D0">
              <w:t>11%</w:t>
            </w:r>
          </w:p>
        </w:tc>
        <w:tc>
          <w:tcPr>
            <w:tcW w:w="1080" w:type="dxa"/>
            <w:shd w:val="clear" w:color="auto" w:fill="auto"/>
            <w:noWrap/>
            <w:vAlign w:val="bottom"/>
            <w:hideMark/>
          </w:tcPr>
          <w:p w:rsidR="00B103D0" w:rsidRPr="00B103D0" w:rsidRDefault="00B103D0" w:rsidP="00EF00D6">
            <w:pPr>
              <w:pStyle w:val="TableText"/>
              <w:keepNext/>
              <w:jc w:val="center"/>
            </w:pPr>
            <w:r w:rsidRPr="00B103D0">
              <w:t>1%</w:t>
            </w:r>
          </w:p>
        </w:tc>
        <w:tc>
          <w:tcPr>
            <w:tcW w:w="1080" w:type="dxa"/>
            <w:shd w:val="clear" w:color="auto" w:fill="auto"/>
            <w:noWrap/>
            <w:vAlign w:val="bottom"/>
            <w:hideMark/>
          </w:tcPr>
          <w:p w:rsidR="00B103D0" w:rsidRPr="00B103D0" w:rsidRDefault="00B103D0" w:rsidP="00EF00D6">
            <w:pPr>
              <w:pStyle w:val="TableText"/>
              <w:keepNext/>
              <w:jc w:val="center"/>
            </w:pPr>
            <w:r w:rsidRPr="00B103D0">
              <w:t>43%</w:t>
            </w:r>
          </w:p>
        </w:tc>
        <w:tc>
          <w:tcPr>
            <w:tcW w:w="1080" w:type="dxa"/>
            <w:shd w:val="clear" w:color="auto" w:fill="auto"/>
            <w:noWrap/>
            <w:vAlign w:val="bottom"/>
            <w:hideMark/>
          </w:tcPr>
          <w:p w:rsidR="00B103D0" w:rsidRPr="00B103D0" w:rsidRDefault="00B103D0" w:rsidP="00EF00D6">
            <w:pPr>
              <w:pStyle w:val="TableText"/>
              <w:keepNext/>
              <w:jc w:val="center"/>
            </w:pPr>
            <w:r w:rsidRPr="00B103D0">
              <w:t>54%</w:t>
            </w:r>
          </w:p>
        </w:tc>
      </w:tr>
      <w:tr w:rsidR="00B103D0" w:rsidRPr="00751BAD" w:rsidTr="005F7DA6">
        <w:trPr>
          <w:trHeight w:val="282"/>
          <w:jc w:val="center"/>
        </w:trPr>
        <w:tc>
          <w:tcPr>
            <w:tcW w:w="2620" w:type="dxa"/>
            <w:vMerge/>
            <w:vAlign w:val="center"/>
            <w:hideMark/>
          </w:tcPr>
          <w:p w:rsidR="00B103D0" w:rsidRPr="00751BAD" w:rsidRDefault="00B103D0" w:rsidP="00EF00D6">
            <w:pPr>
              <w:pStyle w:val="TableText"/>
              <w:keepNext/>
              <w:jc w:val="center"/>
            </w:pPr>
          </w:p>
        </w:tc>
        <w:tc>
          <w:tcPr>
            <w:tcW w:w="1240" w:type="dxa"/>
            <w:shd w:val="clear" w:color="auto" w:fill="auto"/>
            <w:vAlign w:val="bottom"/>
            <w:hideMark/>
          </w:tcPr>
          <w:p w:rsidR="00B103D0" w:rsidRPr="00751BAD" w:rsidRDefault="00B103D0" w:rsidP="00EF00D6">
            <w:pPr>
              <w:pStyle w:val="TableText"/>
              <w:keepNext/>
              <w:jc w:val="center"/>
            </w:pPr>
            <w:r w:rsidRPr="00751BAD">
              <w:t>Sample</w:t>
            </w:r>
          </w:p>
        </w:tc>
        <w:tc>
          <w:tcPr>
            <w:tcW w:w="1180" w:type="dxa"/>
            <w:shd w:val="clear" w:color="auto" w:fill="auto"/>
            <w:noWrap/>
            <w:vAlign w:val="bottom"/>
            <w:hideMark/>
          </w:tcPr>
          <w:p w:rsidR="00B103D0" w:rsidRPr="00B103D0" w:rsidRDefault="00B103D0" w:rsidP="00EF00D6">
            <w:pPr>
              <w:pStyle w:val="TableText"/>
              <w:keepNext/>
              <w:jc w:val="center"/>
            </w:pPr>
            <w:r w:rsidRPr="00B103D0">
              <w:t>11%</w:t>
            </w:r>
          </w:p>
        </w:tc>
        <w:tc>
          <w:tcPr>
            <w:tcW w:w="1080" w:type="dxa"/>
            <w:shd w:val="clear" w:color="auto" w:fill="auto"/>
            <w:noWrap/>
            <w:vAlign w:val="bottom"/>
            <w:hideMark/>
          </w:tcPr>
          <w:p w:rsidR="00B103D0" w:rsidRPr="00B103D0" w:rsidRDefault="00B103D0" w:rsidP="00EF00D6">
            <w:pPr>
              <w:pStyle w:val="TableText"/>
              <w:keepNext/>
              <w:jc w:val="center"/>
            </w:pPr>
            <w:r w:rsidRPr="00B103D0">
              <w:t>1%</w:t>
            </w:r>
          </w:p>
        </w:tc>
        <w:tc>
          <w:tcPr>
            <w:tcW w:w="1080" w:type="dxa"/>
            <w:shd w:val="clear" w:color="auto" w:fill="auto"/>
            <w:noWrap/>
            <w:vAlign w:val="bottom"/>
            <w:hideMark/>
          </w:tcPr>
          <w:p w:rsidR="00B103D0" w:rsidRPr="00B103D0" w:rsidRDefault="00B103D0" w:rsidP="00EF00D6">
            <w:pPr>
              <w:pStyle w:val="TableText"/>
              <w:keepNext/>
              <w:jc w:val="center"/>
            </w:pPr>
            <w:r w:rsidRPr="00B103D0">
              <w:t>39%</w:t>
            </w:r>
          </w:p>
        </w:tc>
        <w:tc>
          <w:tcPr>
            <w:tcW w:w="1080" w:type="dxa"/>
            <w:shd w:val="clear" w:color="auto" w:fill="auto"/>
            <w:noWrap/>
            <w:vAlign w:val="bottom"/>
            <w:hideMark/>
          </w:tcPr>
          <w:p w:rsidR="00B103D0" w:rsidRPr="00B103D0" w:rsidRDefault="00B103D0" w:rsidP="00EF00D6">
            <w:pPr>
              <w:pStyle w:val="TableText"/>
              <w:keepNext/>
              <w:jc w:val="center"/>
            </w:pPr>
            <w:r w:rsidRPr="00B103D0">
              <w:t>50%</w:t>
            </w:r>
          </w:p>
        </w:tc>
      </w:tr>
      <w:tr w:rsidR="00B103D0" w:rsidRPr="00751BAD" w:rsidTr="005F7DA6">
        <w:trPr>
          <w:trHeight w:val="300"/>
          <w:jc w:val="center"/>
        </w:trPr>
        <w:tc>
          <w:tcPr>
            <w:tcW w:w="2620" w:type="dxa"/>
            <w:vMerge w:val="restart"/>
            <w:shd w:val="clear" w:color="auto" w:fill="auto"/>
            <w:noWrap/>
            <w:vAlign w:val="center"/>
            <w:hideMark/>
          </w:tcPr>
          <w:p w:rsidR="00B103D0" w:rsidRPr="00751BAD" w:rsidRDefault="00B103D0" w:rsidP="00EF00D6">
            <w:pPr>
              <w:pStyle w:val="TableText"/>
              <w:keepNext/>
              <w:jc w:val="center"/>
              <w:rPr>
                <w:b/>
                <w:bCs/>
              </w:rPr>
            </w:pPr>
            <w:r w:rsidRPr="00751BAD">
              <w:rPr>
                <w:b/>
                <w:bCs/>
              </w:rPr>
              <w:t>Total</w:t>
            </w:r>
          </w:p>
        </w:tc>
        <w:tc>
          <w:tcPr>
            <w:tcW w:w="1240" w:type="dxa"/>
            <w:shd w:val="clear" w:color="auto" w:fill="auto"/>
            <w:vAlign w:val="bottom"/>
            <w:hideMark/>
          </w:tcPr>
          <w:p w:rsidR="00B103D0" w:rsidRPr="00751BAD" w:rsidRDefault="00B103D0" w:rsidP="00EF00D6">
            <w:pPr>
              <w:pStyle w:val="TableText"/>
              <w:keepNext/>
              <w:jc w:val="center"/>
              <w:rPr>
                <w:b/>
                <w:bCs/>
              </w:rPr>
            </w:pPr>
            <w:r w:rsidRPr="00751BAD">
              <w:rPr>
                <w:b/>
                <w:bCs/>
              </w:rPr>
              <w:t>Population</w:t>
            </w:r>
          </w:p>
        </w:tc>
        <w:tc>
          <w:tcPr>
            <w:tcW w:w="1180" w:type="dxa"/>
            <w:shd w:val="clear" w:color="auto" w:fill="auto"/>
            <w:noWrap/>
            <w:vAlign w:val="bottom"/>
            <w:hideMark/>
          </w:tcPr>
          <w:p w:rsidR="00B103D0" w:rsidRPr="00B103D0" w:rsidRDefault="00B103D0" w:rsidP="00EF00D6">
            <w:pPr>
              <w:pStyle w:val="TableText"/>
              <w:keepNext/>
              <w:jc w:val="center"/>
            </w:pPr>
            <w:r w:rsidRPr="00B103D0">
              <w:t>14%</w:t>
            </w:r>
          </w:p>
        </w:tc>
        <w:tc>
          <w:tcPr>
            <w:tcW w:w="1080" w:type="dxa"/>
            <w:shd w:val="clear" w:color="auto" w:fill="auto"/>
            <w:noWrap/>
            <w:vAlign w:val="bottom"/>
            <w:hideMark/>
          </w:tcPr>
          <w:p w:rsidR="00B103D0" w:rsidRPr="00B103D0" w:rsidRDefault="00B103D0" w:rsidP="00EF00D6">
            <w:pPr>
              <w:pStyle w:val="TableText"/>
              <w:keepNext/>
              <w:jc w:val="center"/>
            </w:pPr>
            <w:r w:rsidRPr="00B103D0">
              <w:t>2%</w:t>
            </w:r>
          </w:p>
        </w:tc>
        <w:tc>
          <w:tcPr>
            <w:tcW w:w="1080" w:type="dxa"/>
            <w:shd w:val="clear" w:color="auto" w:fill="auto"/>
            <w:noWrap/>
            <w:vAlign w:val="bottom"/>
            <w:hideMark/>
          </w:tcPr>
          <w:p w:rsidR="00B103D0" w:rsidRPr="00B103D0" w:rsidRDefault="00B103D0" w:rsidP="00EF00D6">
            <w:pPr>
              <w:pStyle w:val="TableText"/>
              <w:keepNext/>
              <w:jc w:val="center"/>
            </w:pPr>
            <w:r w:rsidRPr="00B103D0">
              <w:t>85%</w:t>
            </w:r>
          </w:p>
        </w:tc>
        <w:tc>
          <w:tcPr>
            <w:tcW w:w="1080" w:type="dxa"/>
            <w:shd w:val="clear" w:color="auto" w:fill="auto"/>
            <w:noWrap/>
            <w:vAlign w:val="bottom"/>
            <w:hideMark/>
          </w:tcPr>
          <w:p w:rsidR="00B103D0" w:rsidRPr="00B103D0" w:rsidRDefault="00B103D0" w:rsidP="00EF00D6">
            <w:pPr>
              <w:pStyle w:val="TableText"/>
              <w:keepNext/>
              <w:jc w:val="center"/>
            </w:pPr>
            <w:r w:rsidRPr="00B103D0">
              <w:t>100%</w:t>
            </w:r>
          </w:p>
        </w:tc>
      </w:tr>
      <w:tr w:rsidR="00B103D0" w:rsidRPr="00751BAD" w:rsidTr="005F7DA6">
        <w:trPr>
          <w:trHeight w:val="300"/>
          <w:jc w:val="center"/>
        </w:trPr>
        <w:tc>
          <w:tcPr>
            <w:tcW w:w="2620" w:type="dxa"/>
            <w:vMerge/>
            <w:vAlign w:val="center"/>
            <w:hideMark/>
          </w:tcPr>
          <w:p w:rsidR="00B103D0" w:rsidRPr="00751BAD" w:rsidRDefault="00B103D0" w:rsidP="005F7DA6">
            <w:pPr>
              <w:pStyle w:val="TableText"/>
              <w:jc w:val="center"/>
              <w:rPr>
                <w:b/>
                <w:bCs/>
              </w:rPr>
            </w:pPr>
          </w:p>
        </w:tc>
        <w:tc>
          <w:tcPr>
            <w:tcW w:w="1240" w:type="dxa"/>
            <w:shd w:val="clear" w:color="auto" w:fill="auto"/>
            <w:vAlign w:val="bottom"/>
            <w:hideMark/>
          </w:tcPr>
          <w:p w:rsidR="00B103D0" w:rsidRPr="00751BAD" w:rsidRDefault="00B103D0" w:rsidP="005F7DA6">
            <w:pPr>
              <w:pStyle w:val="TableText"/>
              <w:jc w:val="center"/>
              <w:rPr>
                <w:b/>
                <w:bCs/>
              </w:rPr>
            </w:pPr>
            <w:r w:rsidRPr="00751BAD">
              <w:rPr>
                <w:b/>
                <w:bCs/>
              </w:rPr>
              <w:t>Sample</w:t>
            </w:r>
          </w:p>
        </w:tc>
        <w:tc>
          <w:tcPr>
            <w:tcW w:w="1180" w:type="dxa"/>
            <w:shd w:val="clear" w:color="auto" w:fill="auto"/>
            <w:noWrap/>
            <w:vAlign w:val="bottom"/>
            <w:hideMark/>
          </w:tcPr>
          <w:p w:rsidR="00B103D0" w:rsidRPr="00B103D0" w:rsidRDefault="00B103D0" w:rsidP="00B103D0">
            <w:pPr>
              <w:pStyle w:val="TableText"/>
              <w:jc w:val="center"/>
            </w:pPr>
            <w:r w:rsidRPr="00B103D0">
              <w:t>14%</w:t>
            </w:r>
          </w:p>
        </w:tc>
        <w:tc>
          <w:tcPr>
            <w:tcW w:w="1080" w:type="dxa"/>
            <w:shd w:val="clear" w:color="auto" w:fill="auto"/>
            <w:noWrap/>
            <w:vAlign w:val="bottom"/>
            <w:hideMark/>
          </w:tcPr>
          <w:p w:rsidR="00B103D0" w:rsidRPr="00B103D0" w:rsidRDefault="00B103D0" w:rsidP="00B103D0">
            <w:pPr>
              <w:pStyle w:val="TableText"/>
              <w:jc w:val="center"/>
            </w:pPr>
            <w:r w:rsidRPr="00B103D0">
              <w:t>2%</w:t>
            </w:r>
          </w:p>
        </w:tc>
        <w:tc>
          <w:tcPr>
            <w:tcW w:w="1080" w:type="dxa"/>
            <w:shd w:val="clear" w:color="auto" w:fill="auto"/>
            <w:noWrap/>
            <w:vAlign w:val="bottom"/>
            <w:hideMark/>
          </w:tcPr>
          <w:p w:rsidR="00B103D0" w:rsidRPr="00B103D0" w:rsidRDefault="00B103D0" w:rsidP="00B103D0">
            <w:pPr>
              <w:pStyle w:val="TableText"/>
              <w:jc w:val="center"/>
            </w:pPr>
            <w:r w:rsidRPr="00B103D0">
              <w:t>84%</w:t>
            </w:r>
          </w:p>
        </w:tc>
        <w:tc>
          <w:tcPr>
            <w:tcW w:w="1080" w:type="dxa"/>
            <w:shd w:val="clear" w:color="auto" w:fill="auto"/>
            <w:noWrap/>
            <w:vAlign w:val="bottom"/>
            <w:hideMark/>
          </w:tcPr>
          <w:p w:rsidR="00B103D0" w:rsidRPr="00B103D0" w:rsidRDefault="00B103D0" w:rsidP="00B103D0">
            <w:pPr>
              <w:pStyle w:val="TableText"/>
              <w:jc w:val="center"/>
            </w:pPr>
            <w:r w:rsidRPr="00B103D0">
              <w:t>100%</w:t>
            </w:r>
          </w:p>
        </w:tc>
      </w:tr>
    </w:tbl>
    <w:p w:rsidR="00153EA1" w:rsidRDefault="00153EA1" w:rsidP="00A57221">
      <w:pPr>
        <w:pStyle w:val="BodyParagraph"/>
      </w:pPr>
    </w:p>
    <w:p w:rsidR="00751BAD" w:rsidRDefault="005F7DA6" w:rsidP="00EF00D6">
      <w:pPr>
        <w:pStyle w:val="TableFigureCaption"/>
      </w:pPr>
      <w:r>
        <w:t>Table 3</w:t>
      </w:r>
      <w:r w:rsidR="00751BAD">
        <w:t>-</w:t>
      </w:r>
      <w:r>
        <w:t>3</w:t>
      </w:r>
      <w:r w:rsidR="00751BAD">
        <w:t>:</w:t>
      </w:r>
      <w:r w:rsidR="00B304F1">
        <w:t xml:space="preserve"> </w:t>
      </w:r>
      <w:r w:rsidR="00751BAD">
        <w:t>Distribution of AC Tonnage by Program Option</w:t>
      </w:r>
      <w:r w:rsidR="008426E5">
        <w:t xml:space="preserve"> and Climate Zone</w:t>
      </w:r>
      <w:r w:rsidR="00751BAD">
        <w:br/>
        <w:t>Commercial Population</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0"/>
        <w:gridCol w:w="1240"/>
        <w:gridCol w:w="1180"/>
        <w:gridCol w:w="1080"/>
        <w:gridCol w:w="1080"/>
        <w:gridCol w:w="1080"/>
      </w:tblGrid>
      <w:tr w:rsidR="00CA6D1C" w:rsidRPr="00CA6D1C" w:rsidTr="005F7DA6">
        <w:trPr>
          <w:trHeight w:val="825"/>
          <w:jc w:val="center"/>
        </w:trPr>
        <w:tc>
          <w:tcPr>
            <w:tcW w:w="2620" w:type="dxa"/>
            <w:tcBorders>
              <w:right w:val="single" w:sz="4" w:space="0" w:color="FFFFFF" w:themeColor="background1"/>
            </w:tcBorders>
            <w:shd w:val="clear" w:color="000000" w:fill="1F497D" w:themeFill="text2"/>
            <w:vAlign w:val="center"/>
            <w:hideMark/>
          </w:tcPr>
          <w:p w:rsidR="00CA6D1C" w:rsidRPr="00CA6D1C" w:rsidRDefault="00CA6D1C" w:rsidP="00EF00D6">
            <w:pPr>
              <w:pStyle w:val="TableHeader"/>
              <w:keepNext/>
            </w:pPr>
            <w:r w:rsidRPr="00CA6D1C">
              <w:t>Cycling and Weekday Options</w:t>
            </w:r>
          </w:p>
        </w:tc>
        <w:tc>
          <w:tcPr>
            <w:tcW w:w="1240" w:type="dxa"/>
            <w:tcBorders>
              <w:left w:val="single" w:sz="4" w:space="0" w:color="FFFFFF" w:themeColor="background1"/>
              <w:right w:val="single" w:sz="4" w:space="0" w:color="FFFFFF" w:themeColor="background1"/>
            </w:tcBorders>
            <w:shd w:val="clear" w:color="000000" w:fill="1F497D" w:themeFill="text2"/>
            <w:vAlign w:val="center"/>
            <w:hideMark/>
          </w:tcPr>
          <w:p w:rsidR="00CA6D1C" w:rsidRPr="00CA6D1C" w:rsidRDefault="00CA6D1C" w:rsidP="00EF00D6">
            <w:pPr>
              <w:pStyle w:val="TableHeader"/>
              <w:keepNext/>
            </w:pPr>
            <w:r w:rsidRPr="00CA6D1C">
              <w:t>Group</w:t>
            </w:r>
          </w:p>
        </w:tc>
        <w:tc>
          <w:tcPr>
            <w:tcW w:w="1180" w:type="dxa"/>
            <w:tcBorders>
              <w:left w:val="single" w:sz="4" w:space="0" w:color="FFFFFF" w:themeColor="background1"/>
              <w:right w:val="single" w:sz="4" w:space="0" w:color="FFFFFF" w:themeColor="background1"/>
            </w:tcBorders>
            <w:shd w:val="clear" w:color="000000" w:fill="1F497D" w:themeFill="text2"/>
            <w:vAlign w:val="center"/>
            <w:hideMark/>
          </w:tcPr>
          <w:p w:rsidR="00CA6D1C" w:rsidRPr="00CA6D1C" w:rsidRDefault="00CA6D1C" w:rsidP="00EF00D6">
            <w:pPr>
              <w:pStyle w:val="TableHeader"/>
              <w:keepNext/>
            </w:pPr>
            <w:r w:rsidRPr="00CA6D1C">
              <w:t>Climate Zone 1</w:t>
            </w:r>
          </w:p>
        </w:tc>
        <w:tc>
          <w:tcPr>
            <w:tcW w:w="1080" w:type="dxa"/>
            <w:tcBorders>
              <w:left w:val="single" w:sz="4" w:space="0" w:color="FFFFFF" w:themeColor="background1"/>
              <w:right w:val="single" w:sz="4" w:space="0" w:color="FFFFFF" w:themeColor="background1"/>
            </w:tcBorders>
            <w:shd w:val="clear" w:color="000000" w:fill="1F497D" w:themeFill="text2"/>
            <w:vAlign w:val="center"/>
            <w:hideMark/>
          </w:tcPr>
          <w:p w:rsidR="00CA6D1C" w:rsidRPr="00CA6D1C" w:rsidRDefault="00CA6D1C" w:rsidP="00EF00D6">
            <w:pPr>
              <w:pStyle w:val="TableHeader"/>
              <w:keepNext/>
            </w:pPr>
            <w:r w:rsidRPr="00CA6D1C">
              <w:t>Climate Zone 2</w:t>
            </w:r>
          </w:p>
        </w:tc>
        <w:tc>
          <w:tcPr>
            <w:tcW w:w="1080" w:type="dxa"/>
            <w:tcBorders>
              <w:left w:val="single" w:sz="4" w:space="0" w:color="FFFFFF" w:themeColor="background1"/>
              <w:right w:val="single" w:sz="4" w:space="0" w:color="FFFFFF" w:themeColor="background1"/>
            </w:tcBorders>
            <w:shd w:val="clear" w:color="000000" w:fill="1F497D" w:themeFill="text2"/>
            <w:vAlign w:val="center"/>
            <w:hideMark/>
          </w:tcPr>
          <w:p w:rsidR="00CA6D1C" w:rsidRPr="00CA6D1C" w:rsidRDefault="00CA6D1C" w:rsidP="00EF00D6">
            <w:pPr>
              <w:pStyle w:val="TableHeader"/>
              <w:keepNext/>
            </w:pPr>
            <w:r w:rsidRPr="00CA6D1C">
              <w:t>Climate Zone 4</w:t>
            </w:r>
          </w:p>
        </w:tc>
        <w:tc>
          <w:tcPr>
            <w:tcW w:w="1080" w:type="dxa"/>
            <w:tcBorders>
              <w:left w:val="single" w:sz="4" w:space="0" w:color="FFFFFF" w:themeColor="background1"/>
            </w:tcBorders>
            <w:shd w:val="clear" w:color="000000" w:fill="1F497D" w:themeFill="text2"/>
            <w:noWrap/>
            <w:vAlign w:val="center"/>
            <w:hideMark/>
          </w:tcPr>
          <w:p w:rsidR="00CA6D1C" w:rsidRPr="00CA6D1C" w:rsidRDefault="00CA6D1C" w:rsidP="00EF00D6">
            <w:pPr>
              <w:pStyle w:val="TableHeader"/>
              <w:keepNext/>
            </w:pPr>
            <w:r w:rsidRPr="00CA6D1C">
              <w:t>Total</w:t>
            </w:r>
          </w:p>
        </w:tc>
      </w:tr>
      <w:tr w:rsidR="00B103D0" w:rsidRPr="00CA6D1C" w:rsidTr="00D27E7F">
        <w:trPr>
          <w:trHeight w:val="282"/>
          <w:jc w:val="center"/>
        </w:trPr>
        <w:tc>
          <w:tcPr>
            <w:tcW w:w="2620" w:type="dxa"/>
            <w:vMerge w:val="restart"/>
            <w:shd w:val="clear" w:color="auto" w:fill="auto"/>
            <w:noWrap/>
            <w:vAlign w:val="center"/>
            <w:hideMark/>
          </w:tcPr>
          <w:p w:rsidR="00B103D0" w:rsidRPr="00CA6D1C" w:rsidRDefault="00B103D0" w:rsidP="00EF00D6">
            <w:pPr>
              <w:pStyle w:val="TableText"/>
              <w:keepNext/>
              <w:jc w:val="center"/>
            </w:pPr>
            <w:r w:rsidRPr="00CA6D1C">
              <w:t>30%</w:t>
            </w:r>
          </w:p>
        </w:tc>
        <w:tc>
          <w:tcPr>
            <w:tcW w:w="1240" w:type="dxa"/>
            <w:shd w:val="clear" w:color="auto" w:fill="auto"/>
            <w:vAlign w:val="center"/>
            <w:hideMark/>
          </w:tcPr>
          <w:p w:rsidR="00B103D0" w:rsidRPr="00CA6D1C" w:rsidRDefault="00B103D0" w:rsidP="00EF00D6">
            <w:pPr>
              <w:pStyle w:val="TableText"/>
              <w:keepNext/>
              <w:jc w:val="center"/>
            </w:pPr>
            <w:r w:rsidRPr="00CA6D1C">
              <w:t>Population</w:t>
            </w:r>
          </w:p>
        </w:tc>
        <w:tc>
          <w:tcPr>
            <w:tcW w:w="11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color w:val="000000"/>
                <w:sz w:val="18"/>
                <w:szCs w:val="18"/>
              </w:rPr>
            </w:pPr>
            <w:r w:rsidRPr="00BB4960">
              <w:rPr>
                <w:rFonts w:ascii="Arial" w:eastAsia="Times New Roman" w:hAnsi="Arial" w:cs="Arial"/>
                <w:color w:val="000000"/>
                <w:sz w:val="18"/>
                <w:szCs w:val="18"/>
              </w:rPr>
              <w:t>14%</w:t>
            </w:r>
          </w:p>
        </w:tc>
        <w:tc>
          <w:tcPr>
            <w:tcW w:w="10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color w:val="000000"/>
                <w:sz w:val="18"/>
                <w:szCs w:val="18"/>
              </w:rPr>
            </w:pPr>
            <w:r w:rsidRPr="00BB4960">
              <w:rPr>
                <w:rFonts w:ascii="Arial" w:eastAsia="Times New Roman" w:hAnsi="Arial" w:cs="Arial"/>
                <w:color w:val="000000"/>
                <w:sz w:val="18"/>
                <w:szCs w:val="18"/>
              </w:rPr>
              <w:t>0%</w:t>
            </w:r>
          </w:p>
        </w:tc>
        <w:tc>
          <w:tcPr>
            <w:tcW w:w="10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color w:val="000000"/>
                <w:sz w:val="18"/>
                <w:szCs w:val="18"/>
              </w:rPr>
            </w:pPr>
            <w:r w:rsidRPr="00BB4960">
              <w:rPr>
                <w:rFonts w:ascii="Arial" w:eastAsia="Times New Roman" w:hAnsi="Arial" w:cs="Arial"/>
                <w:color w:val="000000"/>
                <w:sz w:val="18"/>
                <w:szCs w:val="18"/>
              </w:rPr>
              <w:t>23%</w:t>
            </w:r>
          </w:p>
        </w:tc>
        <w:tc>
          <w:tcPr>
            <w:tcW w:w="10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color w:val="000000"/>
                <w:sz w:val="18"/>
                <w:szCs w:val="18"/>
              </w:rPr>
            </w:pPr>
            <w:r w:rsidRPr="00BB4960">
              <w:rPr>
                <w:rFonts w:ascii="Arial" w:eastAsia="Times New Roman" w:hAnsi="Arial" w:cs="Arial"/>
                <w:color w:val="000000"/>
                <w:sz w:val="18"/>
                <w:szCs w:val="18"/>
              </w:rPr>
              <w:t>37%</w:t>
            </w:r>
          </w:p>
        </w:tc>
      </w:tr>
      <w:tr w:rsidR="00B103D0" w:rsidRPr="00CA6D1C" w:rsidTr="00D27E7F">
        <w:trPr>
          <w:trHeight w:val="282"/>
          <w:jc w:val="center"/>
        </w:trPr>
        <w:tc>
          <w:tcPr>
            <w:tcW w:w="2620" w:type="dxa"/>
            <w:vMerge/>
            <w:vAlign w:val="center"/>
            <w:hideMark/>
          </w:tcPr>
          <w:p w:rsidR="00B103D0" w:rsidRPr="00CA6D1C" w:rsidRDefault="00B103D0" w:rsidP="00EF00D6">
            <w:pPr>
              <w:pStyle w:val="TableText"/>
              <w:keepNext/>
              <w:jc w:val="center"/>
            </w:pPr>
          </w:p>
        </w:tc>
        <w:tc>
          <w:tcPr>
            <w:tcW w:w="1240" w:type="dxa"/>
            <w:shd w:val="clear" w:color="auto" w:fill="auto"/>
            <w:vAlign w:val="center"/>
            <w:hideMark/>
          </w:tcPr>
          <w:p w:rsidR="00B103D0" w:rsidRPr="00CA6D1C" w:rsidRDefault="00B103D0" w:rsidP="00EF00D6">
            <w:pPr>
              <w:pStyle w:val="TableText"/>
              <w:keepNext/>
              <w:jc w:val="center"/>
            </w:pPr>
            <w:r w:rsidRPr="00CA6D1C">
              <w:t>Sample</w:t>
            </w:r>
          </w:p>
        </w:tc>
        <w:tc>
          <w:tcPr>
            <w:tcW w:w="11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color w:val="000000"/>
                <w:sz w:val="18"/>
                <w:szCs w:val="18"/>
              </w:rPr>
            </w:pPr>
            <w:r w:rsidRPr="00BB4960">
              <w:rPr>
                <w:rFonts w:ascii="Arial" w:eastAsia="Times New Roman" w:hAnsi="Arial" w:cs="Arial"/>
                <w:color w:val="000000"/>
                <w:sz w:val="18"/>
                <w:szCs w:val="18"/>
              </w:rPr>
              <w:t>14%</w:t>
            </w:r>
          </w:p>
        </w:tc>
        <w:tc>
          <w:tcPr>
            <w:tcW w:w="10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color w:val="000000"/>
                <w:sz w:val="18"/>
                <w:szCs w:val="18"/>
              </w:rPr>
            </w:pPr>
            <w:r w:rsidRPr="00BB4960">
              <w:rPr>
                <w:rFonts w:ascii="Arial" w:eastAsia="Times New Roman" w:hAnsi="Arial" w:cs="Arial"/>
                <w:color w:val="000000"/>
                <w:sz w:val="18"/>
                <w:szCs w:val="18"/>
              </w:rPr>
              <w:t>0%</w:t>
            </w:r>
          </w:p>
        </w:tc>
        <w:tc>
          <w:tcPr>
            <w:tcW w:w="10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color w:val="000000"/>
                <w:sz w:val="18"/>
                <w:szCs w:val="18"/>
              </w:rPr>
            </w:pPr>
            <w:r w:rsidRPr="00BB4960">
              <w:rPr>
                <w:rFonts w:ascii="Arial" w:eastAsia="Times New Roman" w:hAnsi="Arial" w:cs="Arial"/>
                <w:color w:val="000000"/>
                <w:sz w:val="18"/>
                <w:szCs w:val="18"/>
              </w:rPr>
              <w:t>23%</w:t>
            </w:r>
          </w:p>
        </w:tc>
        <w:tc>
          <w:tcPr>
            <w:tcW w:w="10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color w:val="000000"/>
                <w:sz w:val="18"/>
                <w:szCs w:val="18"/>
              </w:rPr>
            </w:pPr>
            <w:r w:rsidRPr="00BB4960">
              <w:rPr>
                <w:rFonts w:ascii="Arial" w:eastAsia="Times New Roman" w:hAnsi="Arial" w:cs="Arial"/>
                <w:color w:val="000000"/>
                <w:sz w:val="18"/>
                <w:szCs w:val="18"/>
              </w:rPr>
              <w:t>38%</w:t>
            </w:r>
          </w:p>
        </w:tc>
      </w:tr>
      <w:tr w:rsidR="00B103D0" w:rsidRPr="00CA6D1C" w:rsidTr="00D27E7F">
        <w:trPr>
          <w:trHeight w:val="282"/>
          <w:jc w:val="center"/>
        </w:trPr>
        <w:tc>
          <w:tcPr>
            <w:tcW w:w="2620" w:type="dxa"/>
            <w:vMerge w:val="restart"/>
            <w:shd w:val="clear" w:color="auto" w:fill="auto"/>
            <w:noWrap/>
            <w:vAlign w:val="center"/>
            <w:hideMark/>
          </w:tcPr>
          <w:p w:rsidR="00B103D0" w:rsidRPr="00CA6D1C" w:rsidRDefault="00B103D0" w:rsidP="00EF00D6">
            <w:pPr>
              <w:pStyle w:val="TableText"/>
              <w:keepNext/>
              <w:jc w:val="center"/>
            </w:pPr>
            <w:r w:rsidRPr="00CA6D1C">
              <w:t>50%</w:t>
            </w:r>
          </w:p>
        </w:tc>
        <w:tc>
          <w:tcPr>
            <w:tcW w:w="1240" w:type="dxa"/>
            <w:shd w:val="clear" w:color="auto" w:fill="auto"/>
            <w:vAlign w:val="center"/>
            <w:hideMark/>
          </w:tcPr>
          <w:p w:rsidR="00B103D0" w:rsidRPr="00CA6D1C" w:rsidRDefault="00B103D0" w:rsidP="00EF00D6">
            <w:pPr>
              <w:pStyle w:val="TableText"/>
              <w:keepNext/>
              <w:jc w:val="center"/>
            </w:pPr>
            <w:r w:rsidRPr="00CA6D1C">
              <w:t>Population</w:t>
            </w:r>
          </w:p>
        </w:tc>
        <w:tc>
          <w:tcPr>
            <w:tcW w:w="11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color w:val="000000"/>
                <w:sz w:val="18"/>
                <w:szCs w:val="18"/>
              </w:rPr>
            </w:pPr>
            <w:r w:rsidRPr="00BB4960">
              <w:rPr>
                <w:rFonts w:ascii="Arial" w:eastAsia="Times New Roman" w:hAnsi="Arial" w:cs="Arial"/>
                <w:color w:val="000000"/>
                <w:sz w:val="18"/>
                <w:szCs w:val="18"/>
              </w:rPr>
              <w:t>32%</w:t>
            </w:r>
          </w:p>
        </w:tc>
        <w:tc>
          <w:tcPr>
            <w:tcW w:w="10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color w:val="000000"/>
                <w:sz w:val="18"/>
                <w:szCs w:val="18"/>
              </w:rPr>
            </w:pPr>
            <w:r w:rsidRPr="00BB4960">
              <w:rPr>
                <w:rFonts w:ascii="Arial" w:eastAsia="Times New Roman" w:hAnsi="Arial" w:cs="Arial"/>
                <w:color w:val="000000"/>
                <w:sz w:val="18"/>
                <w:szCs w:val="18"/>
              </w:rPr>
              <w:t>0%</w:t>
            </w:r>
          </w:p>
        </w:tc>
        <w:tc>
          <w:tcPr>
            <w:tcW w:w="10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color w:val="000000"/>
                <w:sz w:val="18"/>
                <w:szCs w:val="18"/>
              </w:rPr>
            </w:pPr>
            <w:r w:rsidRPr="00BB4960">
              <w:rPr>
                <w:rFonts w:ascii="Arial" w:eastAsia="Times New Roman" w:hAnsi="Arial" w:cs="Arial"/>
                <w:color w:val="000000"/>
                <w:sz w:val="18"/>
                <w:szCs w:val="18"/>
              </w:rPr>
              <w:t>31%</w:t>
            </w:r>
          </w:p>
        </w:tc>
        <w:tc>
          <w:tcPr>
            <w:tcW w:w="10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color w:val="000000"/>
                <w:sz w:val="18"/>
                <w:szCs w:val="18"/>
              </w:rPr>
            </w:pPr>
            <w:r w:rsidRPr="00BB4960">
              <w:rPr>
                <w:rFonts w:ascii="Arial" w:eastAsia="Times New Roman" w:hAnsi="Arial" w:cs="Arial"/>
                <w:color w:val="000000"/>
                <w:sz w:val="18"/>
                <w:szCs w:val="18"/>
              </w:rPr>
              <w:t>63%</w:t>
            </w:r>
          </w:p>
        </w:tc>
      </w:tr>
      <w:tr w:rsidR="00B103D0" w:rsidRPr="00CA6D1C" w:rsidTr="00D27E7F">
        <w:trPr>
          <w:trHeight w:val="282"/>
          <w:jc w:val="center"/>
        </w:trPr>
        <w:tc>
          <w:tcPr>
            <w:tcW w:w="2620" w:type="dxa"/>
            <w:vMerge/>
            <w:vAlign w:val="center"/>
            <w:hideMark/>
          </w:tcPr>
          <w:p w:rsidR="00B103D0" w:rsidRPr="00CA6D1C" w:rsidRDefault="00B103D0" w:rsidP="00EF00D6">
            <w:pPr>
              <w:pStyle w:val="TableText"/>
              <w:keepNext/>
              <w:jc w:val="center"/>
            </w:pPr>
          </w:p>
        </w:tc>
        <w:tc>
          <w:tcPr>
            <w:tcW w:w="1240" w:type="dxa"/>
            <w:shd w:val="clear" w:color="auto" w:fill="auto"/>
            <w:vAlign w:val="center"/>
            <w:hideMark/>
          </w:tcPr>
          <w:p w:rsidR="00B103D0" w:rsidRPr="00CA6D1C" w:rsidRDefault="00B103D0" w:rsidP="00EF00D6">
            <w:pPr>
              <w:pStyle w:val="TableText"/>
              <w:keepNext/>
              <w:jc w:val="center"/>
            </w:pPr>
            <w:r w:rsidRPr="00CA6D1C">
              <w:t>Sample</w:t>
            </w:r>
          </w:p>
        </w:tc>
        <w:tc>
          <w:tcPr>
            <w:tcW w:w="11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color w:val="000000"/>
                <w:sz w:val="18"/>
                <w:szCs w:val="18"/>
              </w:rPr>
            </w:pPr>
            <w:r w:rsidRPr="00BB4960">
              <w:rPr>
                <w:rFonts w:ascii="Arial" w:eastAsia="Times New Roman" w:hAnsi="Arial" w:cs="Arial"/>
                <w:color w:val="000000"/>
                <w:sz w:val="18"/>
                <w:szCs w:val="18"/>
              </w:rPr>
              <w:t>31%</w:t>
            </w:r>
          </w:p>
        </w:tc>
        <w:tc>
          <w:tcPr>
            <w:tcW w:w="10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color w:val="000000"/>
                <w:sz w:val="18"/>
                <w:szCs w:val="18"/>
              </w:rPr>
            </w:pPr>
            <w:r w:rsidRPr="00BB4960">
              <w:rPr>
                <w:rFonts w:ascii="Arial" w:eastAsia="Times New Roman" w:hAnsi="Arial" w:cs="Arial"/>
                <w:color w:val="000000"/>
                <w:sz w:val="18"/>
                <w:szCs w:val="18"/>
              </w:rPr>
              <w:t>0%</w:t>
            </w:r>
          </w:p>
        </w:tc>
        <w:tc>
          <w:tcPr>
            <w:tcW w:w="10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color w:val="000000"/>
                <w:sz w:val="18"/>
                <w:szCs w:val="18"/>
              </w:rPr>
            </w:pPr>
            <w:r w:rsidRPr="00BB4960">
              <w:rPr>
                <w:rFonts w:ascii="Arial" w:eastAsia="Times New Roman" w:hAnsi="Arial" w:cs="Arial"/>
                <w:color w:val="000000"/>
                <w:sz w:val="18"/>
                <w:szCs w:val="18"/>
              </w:rPr>
              <w:t>31%</w:t>
            </w:r>
          </w:p>
        </w:tc>
        <w:tc>
          <w:tcPr>
            <w:tcW w:w="10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color w:val="000000"/>
                <w:sz w:val="18"/>
                <w:szCs w:val="18"/>
              </w:rPr>
            </w:pPr>
            <w:r w:rsidRPr="00BB4960">
              <w:rPr>
                <w:rFonts w:ascii="Arial" w:eastAsia="Times New Roman" w:hAnsi="Arial" w:cs="Arial"/>
                <w:color w:val="000000"/>
                <w:sz w:val="18"/>
                <w:szCs w:val="18"/>
              </w:rPr>
              <w:t>62%</w:t>
            </w:r>
          </w:p>
        </w:tc>
      </w:tr>
      <w:tr w:rsidR="00B103D0" w:rsidRPr="00CA6D1C" w:rsidTr="00D27E7F">
        <w:trPr>
          <w:trHeight w:val="300"/>
          <w:jc w:val="center"/>
        </w:trPr>
        <w:tc>
          <w:tcPr>
            <w:tcW w:w="2620" w:type="dxa"/>
            <w:vMerge w:val="restart"/>
            <w:shd w:val="clear" w:color="auto" w:fill="auto"/>
            <w:noWrap/>
            <w:vAlign w:val="center"/>
            <w:hideMark/>
          </w:tcPr>
          <w:p w:rsidR="00B103D0" w:rsidRPr="00CA6D1C" w:rsidRDefault="00B103D0" w:rsidP="00EF00D6">
            <w:pPr>
              <w:pStyle w:val="TableText"/>
              <w:keepNext/>
              <w:jc w:val="center"/>
              <w:rPr>
                <w:b/>
                <w:bCs/>
              </w:rPr>
            </w:pPr>
            <w:r w:rsidRPr="00CA6D1C">
              <w:rPr>
                <w:b/>
                <w:bCs/>
              </w:rPr>
              <w:t>Total</w:t>
            </w:r>
          </w:p>
        </w:tc>
        <w:tc>
          <w:tcPr>
            <w:tcW w:w="1240" w:type="dxa"/>
            <w:shd w:val="clear" w:color="auto" w:fill="auto"/>
            <w:vAlign w:val="center"/>
            <w:hideMark/>
          </w:tcPr>
          <w:p w:rsidR="00B103D0" w:rsidRPr="00CA6D1C" w:rsidRDefault="00B103D0" w:rsidP="00EF00D6">
            <w:pPr>
              <w:pStyle w:val="TableText"/>
              <w:keepNext/>
              <w:jc w:val="center"/>
              <w:rPr>
                <w:b/>
                <w:bCs/>
              </w:rPr>
            </w:pPr>
            <w:r w:rsidRPr="00CA6D1C">
              <w:rPr>
                <w:b/>
                <w:bCs/>
              </w:rPr>
              <w:t>Population</w:t>
            </w:r>
          </w:p>
        </w:tc>
        <w:tc>
          <w:tcPr>
            <w:tcW w:w="11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b/>
                <w:bCs/>
                <w:color w:val="000000"/>
                <w:sz w:val="18"/>
                <w:szCs w:val="18"/>
              </w:rPr>
            </w:pPr>
            <w:r w:rsidRPr="00BB4960">
              <w:rPr>
                <w:rFonts w:ascii="Arial" w:eastAsia="Times New Roman" w:hAnsi="Arial" w:cs="Arial"/>
                <w:b/>
                <w:bCs/>
                <w:color w:val="000000"/>
                <w:sz w:val="18"/>
                <w:szCs w:val="18"/>
              </w:rPr>
              <w:t>45%</w:t>
            </w:r>
          </w:p>
        </w:tc>
        <w:tc>
          <w:tcPr>
            <w:tcW w:w="10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b/>
                <w:bCs/>
                <w:color w:val="000000"/>
                <w:sz w:val="18"/>
                <w:szCs w:val="18"/>
              </w:rPr>
            </w:pPr>
            <w:r w:rsidRPr="00BB4960">
              <w:rPr>
                <w:rFonts w:ascii="Arial" w:eastAsia="Times New Roman" w:hAnsi="Arial" w:cs="Arial"/>
                <w:b/>
                <w:bCs/>
                <w:color w:val="000000"/>
                <w:sz w:val="18"/>
                <w:szCs w:val="18"/>
              </w:rPr>
              <w:t>1%</w:t>
            </w:r>
          </w:p>
        </w:tc>
        <w:tc>
          <w:tcPr>
            <w:tcW w:w="10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b/>
                <w:bCs/>
                <w:color w:val="000000"/>
                <w:sz w:val="18"/>
                <w:szCs w:val="18"/>
              </w:rPr>
            </w:pPr>
            <w:r w:rsidRPr="00BB4960">
              <w:rPr>
                <w:rFonts w:ascii="Arial" w:eastAsia="Times New Roman" w:hAnsi="Arial" w:cs="Arial"/>
                <w:b/>
                <w:bCs/>
                <w:color w:val="000000"/>
                <w:sz w:val="18"/>
                <w:szCs w:val="18"/>
              </w:rPr>
              <w:t>54%</w:t>
            </w:r>
          </w:p>
        </w:tc>
        <w:tc>
          <w:tcPr>
            <w:tcW w:w="1080" w:type="dxa"/>
            <w:shd w:val="clear" w:color="auto" w:fill="auto"/>
            <w:noWrap/>
            <w:vAlign w:val="center"/>
            <w:hideMark/>
          </w:tcPr>
          <w:p w:rsidR="00B103D0" w:rsidRPr="00BB4960" w:rsidRDefault="00B103D0" w:rsidP="00EF00D6">
            <w:pPr>
              <w:keepNext/>
              <w:spacing w:after="0" w:line="240" w:lineRule="auto"/>
              <w:jc w:val="center"/>
              <w:rPr>
                <w:rFonts w:ascii="Arial" w:eastAsia="Times New Roman" w:hAnsi="Arial" w:cs="Arial"/>
                <w:b/>
                <w:bCs/>
                <w:color w:val="000000"/>
                <w:sz w:val="18"/>
                <w:szCs w:val="18"/>
              </w:rPr>
            </w:pPr>
            <w:r w:rsidRPr="00BB4960">
              <w:rPr>
                <w:rFonts w:ascii="Arial" w:eastAsia="Times New Roman" w:hAnsi="Arial" w:cs="Arial"/>
                <w:b/>
                <w:bCs/>
                <w:color w:val="000000"/>
                <w:sz w:val="18"/>
                <w:szCs w:val="18"/>
              </w:rPr>
              <w:t>100%</w:t>
            </w:r>
          </w:p>
        </w:tc>
      </w:tr>
      <w:tr w:rsidR="00B103D0" w:rsidRPr="00CA6D1C" w:rsidTr="00D27E7F">
        <w:trPr>
          <w:trHeight w:val="300"/>
          <w:jc w:val="center"/>
        </w:trPr>
        <w:tc>
          <w:tcPr>
            <w:tcW w:w="2620" w:type="dxa"/>
            <w:vMerge/>
            <w:vAlign w:val="center"/>
            <w:hideMark/>
          </w:tcPr>
          <w:p w:rsidR="00B103D0" w:rsidRPr="00CA6D1C" w:rsidRDefault="00B103D0" w:rsidP="005F7DA6">
            <w:pPr>
              <w:pStyle w:val="TableText"/>
              <w:jc w:val="center"/>
              <w:rPr>
                <w:b/>
                <w:bCs/>
              </w:rPr>
            </w:pPr>
          </w:p>
        </w:tc>
        <w:tc>
          <w:tcPr>
            <w:tcW w:w="1240" w:type="dxa"/>
            <w:shd w:val="clear" w:color="auto" w:fill="auto"/>
            <w:vAlign w:val="center"/>
            <w:hideMark/>
          </w:tcPr>
          <w:p w:rsidR="00B103D0" w:rsidRPr="00CA6D1C" w:rsidRDefault="00B103D0" w:rsidP="00D27E7F">
            <w:pPr>
              <w:pStyle w:val="TableText"/>
              <w:jc w:val="center"/>
              <w:rPr>
                <w:b/>
                <w:bCs/>
              </w:rPr>
            </w:pPr>
            <w:r w:rsidRPr="00CA6D1C">
              <w:rPr>
                <w:b/>
                <w:bCs/>
              </w:rPr>
              <w:t>Sample</w:t>
            </w:r>
          </w:p>
        </w:tc>
        <w:tc>
          <w:tcPr>
            <w:tcW w:w="1180" w:type="dxa"/>
            <w:shd w:val="clear" w:color="auto" w:fill="auto"/>
            <w:noWrap/>
            <w:vAlign w:val="center"/>
            <w:hideMark/>
          </w:tcPr>
          <w:p w:rsidR="00B103D0" w:rsidRPr="00BB4960" w:rsidRDefault="00B103D0" w:rsidP="00D27E7F">
            <w:pPr>
              <w:spacing w:after="0" w:line="240" w:lineRule="auto"/>
              <w:jc w:val="center"/>
              <w:rPr>
                <w:rFonts w:ascii="Arial" w:eastAsia="Times New Roman" w:hAnsi="Arial" w:cs="Arial"/>
                <w:b/>
                <w:bCs/>
                <w:color w:val="000000"/>
                <w:sz w:val="18"/>
                <w:szCs w:val="18"/>
              </w:rPr>
            </w:pPr>
            <w:r w:rsidRPr="00BB4960">
              <w:rPr>
                <w:rFonts w:ascii="Arial" w:eastAsia="Times New Roman" w:hAnsi="Arial" w:cs="Arial"/>
                <w:b/>
                <w:bCs/>
                <w:color w:val="000000"/>
                <w:sz w:val="18"/>
                <w:szCs w:val="18"/>
              </w:rPr>
              <w:t>45%</w:t>
            </w:r>
          </w:p>
        </w:tc>
        <w:tc>
          <w:tcPr>
            <w:tcW w:w="1080" w:type="dxa"/>
            <w:shd w:val="clear" w:color="auto" w:fill="auto"/>
            <w:noWrap/>
            <w:vAlign w:val="center"/>
            <w:hideMark/>
          </w:tcPr>
          <w:p w:rsidR="00B103D0" w:rsidRPr="00BB4960" w:rsidRDefault="00B103D0" w:rsidP="00D27E7F">
            <w:pPr>
              <w:spacing w:after="0" w:line="240" w:lineRule="auto"/>
              <w:jc w:val="center"/>
              <w:rPr>
                <w:rFonts w:ascii="Arial" w:eastAsia="Times New Roman" w:hAnsi="Arial" w:cs="Arial"/>
                <w:b/>
                <w:bCs/>
                <w:color w:val="000000"/>
                <w:sz w:val="18"/>
                <w:szCs w:val="18"/>
              </w:rPr>
            </w:pPr>
            <w:r w:rsidRPr="00BB4960">
              <w:rPr>
                <w:rFonts w:ascii="Arial" w:eastAsia="Times New Roman" w:hAnsi="Arial" w:cs="Arial"/>
                <w:b/>
                <w:bCs/>
                <w:color w:val="000000"/>
                <w:sz w:val="18"/>
                <w:szCs w:val="18"/>
              </w:rPr>
              <w:t>0%</w:t>
            </w:r>
          </w:p>
        </w:tc>
        <w:tc>
          <w:tcPr>
            <w:tcW w:w="1080" w:type="dxa"/>
            <w:shd w:val="clear" w:color="auto" w:fill="auto"/>
            <w:noWrap/>
            <w:vAlign w:val="center"/>
            <w:hideMark/>
          </w:tcPr>
          <w:p w:rsidR="00B103D0" w:rsidRPr="00BB4960" w:rsidRDefault="00B103D0" w:rsidP="00D27E7F">
            <w:pPr>
              <w:spacing w:after="0" w:line="240" w:lineRule="auto"/>
              <w:jc w:val="center"/>
              <w:rPr>
                <w:rFonts w:ascii="Arial" w:eastAsia="Times New Roman" w:hAnsi="Arial" w:cs="Arial"/>
                <w:b/>
                <w:bCs/>
                <w:color w:val="000000"/>
                <w:sz w:val="18"/>
                <w:szCs w:val="18"/>
              </w:rPr>
            </w:pPr>
            <w:r w:rsidRPr="00BB4960">
              <w:rPr>
                <w:rFonts w:ascii="Arial" w:eastAsia="Times New Roman" w:hAnsi="Arial" w:cs="Arial"/>
                <w:b/>
                <w:bCs/>
                <w:color w:val="000000"/>
                <w:sz w:val="18"/>
                <w:szCs w:val="18"/>
              </w:rPr>
              <w:t>55%</w:t>
            </w:r>
          </w:p>
        </w:tc>
        <w:tc>
          <w:tcPr>
            <w:tcW w:w="1080" w:type="dxa"/>
            <w:shd w:val="clear" w:color="auto" w:fill="auto"/>
            <w:noWrap/>
            <w:vAlign w:val="center"/>
            <w:hideMark/>
          </w:tcPr>
          <w:p w:rsidR="00B103D0" w:rsidRPr="00BB4960" w:rsidRDefault="00B103D0" w:rsidP="00D27E7F">
            <w:pPr>
              <w:spacing w:after="0" w:line="240" w:lineRule="auto"/>
              <w:jc w:val="center"/>
              <w:rPr>
                <w:rFonts w:ascii="Arial" w:eastAsia="Times New Roman" w:hAnsi="Arial" w:cs="Arial"/>
                <w:b/>
                <w:bCs/>
                <w:color w:val="000000"/>
                <w:sz w:val="18"/>
                <w:szCs w:val="18"/>
              </w:rPr>
            </w:pPr>
            <w:r w:rsidRPr="00BB4960">
              <w:rPr>
                <w:rFonts w:ascii="Arial" w:eastAsia="Times New Roman" w:hAnsi="Arial" w:cs="Arial"/>
                <w:b/>
                <w:bCs/>
                <w:color w:val="000000"/>
                <w:sz w:val="18"/>
                <w:szCs w:val="18"/>
              </w:rPr>
              <w:t>100%</w:t>
            </w:r>
          </w:p>
        </w:tc>
      </w:tr>
    </w:tbl>
    <w:p w:rsidR="000E5638" w:rsidRDefault="000E5638" w:rsidP="000E5638">
      <w:pPr>
        <w:pStyle w:val="Heading2"/>
        <w:numPr>
          <w:ilvl w:val="0"/>
          <w:numId w:val="0"/>
        </w:numPr>
        <w:ind w:left="540"/>
      </w:pPr>
    </w:p>
    <w:p w:rsidR="000E5638" w:rsidRDefault="000E5638" w:rsidP="000E5638">
      <w:pPr>
        <w:pStyle w:val="Heading2"/>
      </w:pPr>
      <w:bookmarkStart w:id="9" w:name="_Toc325370141"/>
      <w:r>
        <w:t>Methodology</w:t>
      </w:r>
      <w:bookmarkEnd w:id="9"/>
    </w:p>
    <w:p w:rsidR="007C6E7C" w:rsidRDefault="00B11733" w:rsidP="00B304F1">
      <w:pPr>
        <w:pStyle w:val="BodyParagraph"/>
      </w:pPr>
      <w:r>
        <w:t xml:space="preserve">The primary task in estimating </w:t>
      </w:r>
      <w:r w:rsidR="007C6E7C">
        <w:t xml:space="preserve">ex post </w:t>
      </w:r>
      <w:r>
        <w:t>event impacts is to estimate a reference load</w:t>
      </w:r>
      <w:r w:rsidR="007C6E7C">
        <w:t xml:space="preserve"> for each event</w:t>
      </w:r>
      <w:r w:rsidR="00B45EF4">
        <w:t>.  The reference load</w:t>
      </w:r>
      <w:r>
        <w:t xml:space="preserve"> is a measure of what demand would have been in absence of the demand response event.  </w:t>
      </w:r>
      <w:r w:rsidR="00EC3A51">
        <w:t xml:space="preserve">Although this report focuses on ex post estimation, the ultimate goal of the broader evaluation is to develop both ex post and ex ante load impact estimates.  Therefore, ex ante methods are discussed where relevant.  </w:t>
      </w:r>
      <w:r w:rsidR="007C6E7C">
        <w:t xml:space="preserve">The primary task in estimating ex ante event impacts (which are often of more practical concern) is to make the best use of available data on loads and load impacts to predict future program performance.  The data and models used to estimate ex post impacts are typically major elements of the ex ante </w:t>
      </w:r>
      <w:r w:rsidR="00B45EF4">
        <w:t>analysis</w:t>
      </w:r>
      <w:r w:rsidR="007C6E7C">
        <w:t xml:space="preserve">.  </w:t>
      </w:r>
    </w:p>
    <w:p w:rsidR="00355C54" w:rsidRDefault="00152962" w:rsidP="00B304F1">
      <w:pPr>
        <w:pStyle w:val="BodyParagraph"/>
      </w:pPr>
      <w:r>
        <w:t>T</w:t>
      </w:r>
      <w:r w:rsidR="00B11733">
        <w:t xml:space="preserve">he primary source of information </w:t>
      </w:r>
      <w:r>
        <w:t xml:space="preserve">used in both the 2009 and 2010 evaluations of Summer Saver </w:t>
      </w:r>
      <w:r w:rsidR="00B11733">
        <w:t>for reference load was load observed during non-event times.  This was significantly aided by the experimental design put in place for settling the demand response contract with Comverge</w:t>
      </w:r>
      <w:r w:rsidR="00DD6C96">
        <w:t xml:space="preserve"> Inc</w:t>
      </w:r>
      <w:r w:rsidR="00B11733">
        <w:t xml:space="preserve">.  Under this contract, a stratified, random load research sample of residential and commercial Summer Saver </w:t>
      </w:r>
      <w:r w:rsidR="00B11733">
        <w:lastRenderedPageBreak/>
        <w:t xml:space="preserve">customers was created. </w:t>
      </w:r>
      <w:r w:rsidR="00355C54">
        <w:t xml:space="preserve"> D</w:t>
      </w:r>
      <w:r w:rsidR="00B11733">
        <w:t>uring each event, half of the load research sample</w:t>
      </w:r>
      <w:r w:rsidR="00355C54">
        <w:t xml:space="preserve"> would be held back to provide reference load</w:t>
      </w:r>
      <w:r w:rsidR="00B45EF4">
        <w:t xml:space="preserve"> (</w:t>
      </w:r>
      <w:r w:rsidR="00C510C6" w:rsidRPr="00C510C6">
        <w:rPr>
          <w:i/>
        </w:rPr>
        <w:t>i.e.</w:t>
      </w:r>
      <w:r w:rsidR="00B45EF4">
        <w:t xml:space="preserve"> th</w:t>
      </w:r>
      <w:r w:rsidR="00FE0F48">
        <w:t>ose CAC units</w:t>
      </w:r>
      <w:r w:rsidR="00B45EF4">
        <w:t xml:space="preserve"> would not be </w:t>
      </w:r>
      <w:r w:rsidR="00FE0F48">
        <w:t>controlled</w:t>
      </w:r>
      <w:r w:rsidR="00B45EF4">
        <w:t xml:space="preserve"> during the event)</w:t>
      </w:r>
      <w:r w:rsidR="00355C54">
        <w:t xml:space="preserve">.  </w:t>
      </w:r>
      <w:r w:rsidR="00B103D0">
        <w:t>I</w:t>
      </w:r>
      <w:r w:rsidR="00355C54">
        <w:t xml:space="preserve">ndividual customer regressions performed </w:t>
      </w:r>
      <w:r w:rsidR="00B103D0">
        <w:t>well under these conditions</w:t>
      </w:r>
      <w:r w:rsidR="00355C54">
        <w:t xml:space="preserve"> because any given customer in the sample had several event periods during which their load could act as reference load</w:t>
      </w:r>
      <w:r w:rsidR="002A0D1E">
        <w:t xml:space="preserve"> because it was not curtailed</w:t>
      </w:r>
      <w:r w:rsidR="00355C54">
        <w:t xml:space="preserve">.  Moreover, even if particular events were unique from all other event days (such as September 27, 2010, which was the hottest </w:t>
      </w:r>
      <w:r w:rsidR="00345F51">
        <w:t>day of 2010</w:t>
      </w:r>
      <w:r w:rsidR="00355C54">
        <w:t xml:space="preserve"> and the all-time SDG&amp;E system peak), load from one half of the sample could be used to estimate the reference load for the other half</w:t>
      </w:r>
      <w:r w:rsidR="00345F51">
        <w:t xml:space="preserve"> in a treatment-control analysis rather than individual customer regressions</w:t>
      </w:r>
      <w:r w:rsidR="002A0D1E">
        <w:t xml:space="preserve">.  </w:t>
      </w:r>
    </w:p>
    <w:p w:rsidR="00DA2E94" w:rsidRDefault="00DA2E94" w:rsidP="00DA2E94">
      <w:pPr>
        <w:pStyle w:val="BodyParagraph"/>
      </w:pPr>
      <w:r>
        <w:t xml:space="preserve">As compared to the two previous </w:t>
      </w:r>
      <w:r w:rsidR="00152962">
        <w:t xml:space="preserve">program </w:t>
      </w:r>
      <w:r>
        <w:t xml:space="preserve">years, the events in 2011 </w:t>
      </w:r>
      <w:r w:rsidR="005313ED">
        <w:t>were more complicated to model because several of the event days had unique characteristics</w:t>
      </w:r>
      <w:r w:rsidR="009B1513">
        <w:t xml:space="preserve"> and because the experimental design for settlement with Comverge </w:t>
      </w:r>
      <w:r w:rsidR="00DD6C96">
        <w:t xml:space="preserve">Inc </w:t>
      </w:r>
      <w:r w:rsidR="009B1513">
        <w:t>was corrupted</w:t>
      </w:r>
      <w:r>
        <w:t xml:space="preserve">.   </w:t>
      </w:r>
      <w:r w:rsidR="003449EC">
        <w:t xml:space="preserve">These complications and the modeling decisions that </w:t>
      </w:r>
      <w:r w:rsidR="000B6034">
        <w:t xml:space="preserve">resulted </w:t>
      </w:r>
      <w:r w:rsidR="00011B71">
        <w:t>are</w:t>
      </w:r>
      <w:r w:rsidR="000B6034">
        <w:t xml:space="preserve"> discussed </w:t>
      </w:r>
      <w:r w:rsidR="00011B71">
        <w:t>in Appendix A</w:t>
      </w:r>
      <w:r w:rsidR="000B6034">
        <w:t>.  The result was that residential ex post impact estimates were developed using individual customer regressions, while commercial ex post impact estimates were developed using a day-matching approach.  Each is described below.</w:t>
      </w:r>
      <w:r w:rsidR="00011B71">
        <w:t xml:space="preserve">  </w:t>
      </w:r>
    </w:p>
    <w:p w:rsidR="00A57221" w:rsidRDefault="003210FA" w:rsidP="00BD6DEC">
      <w:pPr>
        <w:pStyle w:val="Heading3"/>
      </w:pPr>
      <w:bookmarkStart w:id="10" w:name="_Toc325370142"/>
      <w:r>
        <w:t xml:space="preserve">Customer </w:t>
      </w:r>
      <w:r w:rsidR="00A57221">
        <w:t>Regression Model</w:t>
      </w:r>
      <w:r>
        <w:t>s</w:t>
      </w:r>
      <w:r w:rsidR="000B6034">
        <w:t xml:space="preserve"> for Residential Customers</w:t>
      </w:r>
      <w:bookmarkEnd w:id="10"/>
    </w:p>
    <w:p w:rsidR="00B2702E" w:rsidRPr="00EB1041" w:rsidRDefault="00B2702E" w:rsidP="00B2702E">
      <w:pPr>
        <w:pStyle w:val="BodyParagraph"/>
      </w:pPr>
      <w:r w:rsidRPr="00EB1041">
        <w:t xml:space="preserve">Each customer has a different usage pattern over time, and each customer’s usage is likely to respond differently to changes in weather.  </w:t>
      </w:r>
      <w:r w:rsidR="00B32D71">
        <w:t xml:space="preserve">For this reason, </w:t>
      </w:r>
      <w:r w:rsidRPr="00EB1041">
        <w:t xml:space="preserve">separate regressions </w:t>
      </w:r>
      <w:r w:rsidR="00B32D71">
        <w:t xml:space="preserve">were estimated </w:t>
      </w:r>
      <w:r w:rsidRPr="00EB1041">
        <w:t xml:space="preserve">for </w:t>
      </w:r>
      <w:r w:rsidR="00B32D71">
        <w:t>each premise</w:t>
      </w:r>
      <w:r w:rsidRPr="00EB1041">
        <w:t xml:space="preserve"> in the </w:t>
      </w:r>
      <w:r>
        <w:t xml:space="preserve">residential </w:t>
      </w:r>
      <w:r w:rsidRPr="00EB1041">
        <w:t>sample,</w:t>
      </w:r>
      <w:r w:rsidR="00011B71">
        <w:rPr>
          <w:rStyle w:val="FootnoteReference"/>
        </w:rPr>
        <w:footnoteReference w:id="11"/>
      </w:r>
      <w:r w:rsidRPr="00EB1041">
        <w:t xml:space="preserve"> but using a common regression </w:t>
      </w:r>
      <w:r w:rsidR="002C5429">
        <w:t xml:space="preserve">specification </w:t>
      </w:r>
      <w:r>
        <w:t>over all cases</w:t>
      </w:r>
      <w:r w:rsidRPr="00EB1041">
        <w:t xml:space="preserve">.  For all </w:t>
      </w:r>
      <w:r w:rsidR="00B32D71">
        <w:t>premises</w:t>
      </w:r>
      <w:r w:rsidRPr="00EB1041">
        <w:t xml:space="preserve">, </w:t>
      </w:r>
      <w:r>
        <w:t xml:space="preserve">the </w:t>
      </w:r>
      <w:r w:rsidRPr="00EB1041">
        <w:t xml:space="preserve">factors used to estimate usage patterns </w:t>
      </w:r>
      <w:r>
        <w:t>were w</w:t>
      </w:r>
      <w:r w:rsidRPr="00EB1041">
        <w:t>eather variables interacted with time indicators.  These allow the model to take into account different reactions to weather conditions at different times of day, times of week and times of year.  For example, a residential customer’s energy usage might respond strongly to high temperatures on a Saturday afternoon when</w:t>
      </w:r>
      <w:r>
        <w:t xml:space="preserve"> they</w:t>
      </w:r>
      <w:r w:rsidRPr="00EB1041">
        <w:t xml:space="preserve"> </w:t>
      </w:r>
      <w:r>
        <w:t>are</w:t>
      </w:r>
      <w:r w:rsidRPr="00EB1041">
        <w:t xml:space="preserve"> at home, </w:t>
      </w:r>
      <w:r w:rsidR="002C5429">
        <w:t>but</w:t>
      </w:r>
      <w:r w:rsidRPr="00EB1041">
        <w:t xml:space="preserve"> it might not respond at all on a Wednesday a</w:t>
      </w:r>
      <w:r>
        <w:t>fternoon when they are at work.</w:t>
      </w:r>
    </w:p>
    <w:p w:rsidR="00A57221" w:rsidRDefault="00B32D71" w:rsidP="00B2702E">
      <w:pPr>
        <w:pStyle w:val="BodyBeforeBullet"/>
      </w:pPr>
      <w:r w:rsidRPr="00EB1041">
        <w:t>Only non-holiday weekdays were modeled</w:t>
      </w:r>
      <w:r>
        <w:t xml:space="preserve"> because no events were called on either weekends or holidays, and weekend usage behavior is quite different from weekday usage</w:t>
      </w:r>
      <w:r w:rsidRPr="00EB1041">
        <w:t>.</w:t>
      </w:r>
      <w:r>
        <w:t xml:space="preserve"> </w:t>
      </w:r>
      <w:r w:rsidR="00B2702E" w:rsidRPr="00EB1041">
        <w:t xml:space="preserve">Table </w:t>
      </w:r>
      <w:r w:rsidR="00B2702E">
        <w:t>3-</w:t>
      </w:r>
      <w:r w:rsidR="002C5429">
        <w:t>4</w:t>
      </w:r>
      <w:r w:rsidR="00B2702E" w:rsidRPr="00EB1041">
        <w:t xml:space="preserve"> defines the variables and describes the effects they seek to identify.</w:t>
      </w:r>
      <w:r w:rsidR="00B2702E">
        <w:t xml:space="preserve">  The regression specification was</w:t>
      </w:r>
      <w:r w:rsidR="00A57221">
        <w:t>:</w:t>
      </w:r>
    </w:p>
    <w:p w:rsidR="00A57221" w:rsidRPr="002C5429" w:rsidRDefault="001E32BB" w:rsidP="00A57221">
      <w:pPr>
        <w:pStyle w:val="BodyParagraph"/>
        <w:rPr>
          <w:rFonts w:eastAsiaTheme="minorEastAsia"/>
        </w:rPr>
      </w:pPr>
      <m:oMathPara>
        <m:oMath>
          <m:r>
            <w:rPr>
              <w:rFonts w:ascii="Cambria Math" w:hAnsi="Cambria Math"/>
            </w:rPr>
            <m:t>kWh=a+</m:t>
          </m:r>
          <m:nary>
            <m:naryPr>
              <m:chr m:val="∑"/>
              <m:limLoc m:val="undOvr"/>
              <m:ctrlPr>
                <w:rPr>
                  <w:rFonts w:ascii="Cambria Math" w:hAnsi="Cambria Math"/>
                  <w:i/>
                </w:rPr>
              </m:ctrlPr>
            </m:naryPr>
            <m:sub>
              <m:r>
                <w:rPr>
                  <w:rFonts w:ascii="Cambria Math" w:hAnsi="Cambria Math"/>
                </w:rPr>
                <m:t>i=1</m:t>
              </m:r>
            </m:sub>
            <m:sup>
              <m:r>
                <w:rPr>
                  <w:rFonts w:ascii="Cambria Math" w:hAnsi="Cambria Math"/>
                </w:rPr>
                <m:t>24</m:t>
              </m:r>
            </m:sup>
            <m:e>
              <m:nary>
                <m:naryPr>
                  <m:chr m:val="∑"/>
                  <m:limLoc m:val="undOvr"/>
                  <m:ctrlPr>
                    <w:rPr>
                      <w:rFonts w:ascii="Cambria Math" w:hAnsi="Cambria Math"/>
                      <w:i/>
                    </w:rPr>
                  </m:ctrlPr>
                </m:naryPr>
                <m:sub>
                  <m:r>
                    <w:rPr>
                      <w:rFonts w:ascii="Cambria Math" w:hAnsi="Cambria Math"/>
                    </w:rPr>
                    <m:t>j=5</m:t>
                  </m:r>
                </m:sub>
                <m:sup>
                  <m:r>
                    <w:rPr>
                      <w:rFonts w:ascii="Cambria Math" w:hAnsi="Cambria Math"/>
                    </w:rPr>
                    <m:t>10</m:t>
                  </m:r>
                </m:sup>
                <m:e>
                  <m:sSub>
                    <m:sSubPr>
                      <m:ctrlPr>
                        <w:rPr>
                          <w:rFonts w:ascii="Cambria Math" w:hAnsi="Cambria Math"/>
                          <w:i/>
                        </w:rPr>
                      </m:ctrlPr>
                    </m:sSubPr>
                    <m:e>
                      <m:r>
                        <w:rPr>
                          <w:rFonts w:ascii="Cambria Math" w:hAnsi="Cambria Math"/>
                        </w:rPr>
                        <m:t>b</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lagcdh</m:t>
                      </m:r>
                    </m:e>
                    <m:sub>
                      <m:r>
                        <w:rPr>
                          <w:rFonts w:ascii="Cambria Math" w:hAnsi="Cambria Math"/>
                        </w:rPr>
                        <m:t>i</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hour</m:t>
                          </m:r>
                        </m:e>
                        <m:sub>
                          <m:r>
                            <w:rPr>
                              <w:rFonts w:ascii="Cambria Math" w:hAnsi="Cambria Math"/>
                            </w:rPr>
                            <m:t>i</m:t>
                          </m:r>
                        </m:sub>
                      </m:sSub>
                      <m:r>
                        <w:rPr>
                          <w:rFonts w:ascii="Cambria Math" w:hAnsi="Cambria Math"/>
                        </w:rPr>
                        <m:t>×month</m:t>
                      </m:r>
                    </m:e>
                    <m:sub>
                      <m:r>
                        <w:rPr>
                          <w:rFonts w:ascii="Cambria Math" w:hAnsi="Cambria Math"/>
                        </w:rPr>
                        <m:t>j</m:t>
                      </m:r>
                    </m:sub>
                  </m:sSub>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24</m:t>
                  </m:r>
                </m:sup>
                <m:e>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hour</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24</m:t>
                      </m:r>
                    </m:sup>
                    <m:e>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wacdh</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hour</m:t>
                          </m:r>
                        </m:e>
                        <m:sub>
                          <m:r>
                            <w:rPr>
                              <w:rFonts w:ascii="Cambria Math" w:hAnsi="Cambria Math"/>
                            </w:rPr>
                            <m:t>i</m:t>
                          </m:r>
                        </m:sub>
                      </m:sSub>
                      <m:r>
                        <w:rPr>
                          <w:rFonts w:ascii="Cambria Math" w:hAnsi="Cambria Math"/>
                        </w:rPr>
                        <m:t xml:space="preserve"> </m:t>
                      </m:r>
                    </m:e>
                  </m:nary>
                </m:e>
              </m:nary>
            </m:e>
          </m:nary>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i=14</m:t>
              </m:r>
            </m:sub>
            <m:sup>
              <m:r>
                <w:rPr>
                  <w:rFonts w:ascii="Cambria Math" w:hAnsi="Cambria Math"/>
                </w:rPr>
                <m:t>20</m:t>
              </m:r>
            </m:sup>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wacdh</m:t>
                      </m:r>
                    </m:e>
                    <m:sub>
                      <m:r>
                        <w:rPr>
                          <w:rFonts w:ascii="Cambria Math" w:hAnsi="Cambria Math"/>
                        </w:rPr>
                        <m:t>i</m:t>
                      </m:r>
                    </m:sub>
                  </m:sSub>
                  <m:r>
                    <w:rPr>
                      <w:rFonts w:ascii="Cambria Math" w:hAnsi="Cambria Math"/>
                    </w:rPr>
                    <m:t>×earlyevent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hour</m:t>
                  </m:r>
                </m:e>
                <m:sub>
                  <m:r>
                    <w:rPr>
                      <w:rFonts w:ascii="Cambria Math" w:hAnsi="Cambria Math"/>
                    </w:rPr>
                    <m:t>i</m:t>
                  </m:r>
                </m:sub>
              </m:sSub>
              <m:r>
                <w:rPr>
                  <w:rFonts w:ascii="Cambria Math" w:hAnsi="Cambria Math"/>
                </w:rPr>
                <m:t xml:space="preserve"> </m:t>
              </m:r>
            </m:e>
          </m:nary>
          <m:r>
            <w:rPr>
              <w:rFonts w:ascii="Cambria Math" w:hAnsi="Cambria Math"/>
            </w:rPr>
            <m:t>+</m:t>
          </m:r>
          <m:nary>
            <m:naryPr>
              <m:chr m:val="∑"/>
              <m:limLoc m:val="undOvr"/>
              <m:ctrlPr>
                <w:rPr>
                  <w:rFonts w:ascii="Cambria Math" w:hAnsi="Cambria Math"/>
                  <w:i/>
                </w:rPr>
              </m:ctrlPr>
            </m:naryPr>
            <m:sub>
              <m:r>
                <w:rPr>
                  <w:rFonts w:ascii="Cambria Math" w:hAnsi="Cambria Math"/>
                </w:rPr>
                <m:t>i=15</m:t>
              </m:r>
            </m:sub>
            <m:sup>
              <m:r>
                <w:rPr>
                  <w:rFonts w:ascii="Cambria Math" w:hAnsi="Cambria Math"/>
                </w:rPr>
                <m:t>21</m:t>
              </m:r>
            </m:sup>
            <m:e>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wacdh</m:t>
                      </m:r>
                    </m:e>
                    <m:sub>
                      <m:r>
                        <w:rPr>
                          <w:rFonts w:ascii="Cambria Math" w:hAnsi="Cambria Math"/>
                        </w:rPr>
                        <m:t>i</m:t>
                      </m:r>
                    </m:sub>
                  </m:sSub>
                  <m:r>
                    <w:rPr>
                      <w:rFonts w:ascii="Cambria Math" w:hAnsi="Cambria Math"/>
                    </w:rPr>
                    <m:t>×lateevent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hour</m:t>
                  </m:r>
                </m:e>
                <m:sub>
                  <m:r>
                    <w:rPr>
                      <w:rFonts w:ascii="Cambria Math" w:hAnsi="Cambria Math"/>
                    </w:rPr>
                    <m:t>i</m:t>
                  </m:r>
                </m:sub>
              </m:sSub>
              <m:r>
                <w:rPr>
                  <w:rFonts w:ascii="Cambria Math" w:hAnsi="Cambria Math"/>
                </w:rPr>
                <m:t xml:space="preserve"> </m:t>
              </m:r>
            </m:e>
          </m:nary>
          <m:r>
            <w:rPr>
              <w:rFonts w:ascii="Cambria Math" w:hAnsi="Cambria Math"/>
            </w:rPr>
            <m:t>+ε</m:t>
          </m:r>
        </m:oMath>
      </m:oMathPara>
    </w:p>
    <w:p w:rsidR="00A57221" w:rsidRPr="00EB39A0" w:rsidRDefault="00A57221" w:rsidP="00EF00D6">
      <w:pPr>
        <w:pStyle w:val="TableFigureCaption"/>
      </w:pPr>
      <w:r w:rsidRPr="00EB39A0">
        <w:lastRenderedPageBreak/>
        <w:t>Table 3-</w:t>
      </w:r>
      <w:r w:rsidR="005F7DA6">
        <w:t>4</w:t>
      </w:r>
      <w:r w:rsidRPr="00EB39A0">
        <w:t>:</w:t>
      </w:r>
      <w:r w:rsidR="00B304F1">
        <w:t xml:space="preserve"> </w:t>
      </w:r>
      <w:r w:rsidRPr="00EB39A0">
        <w:t>Description of AC Load Regression Variables</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9"/>
        <w:gridCol w:w="8398"/>
      </w:tblGrid>
      <w:tr w:rsidR="00A57221" w:rsidRPr="00EB39A0" w:rsidTr="00A57221">
        <w:trPr>
          <w:trHeight w:val="276"/>
          <w:tblHeader/>
          <w:jc w:val="center"/>
        </w:trPr>
        <w:tc>
          <w:tcPr>
            <w:tcW w:w="602" w:type="pct"/>
            <w:tcBorders>
              <w:top w:val="single" w:sz="4" w:space="0" w:color="auto"/>
              <w:left w:val="single" w:sz="4" w:space="0" w:color="auto"/>
              <w:bottom w:val="single" w:sz="4" w:space="0" w:color="auto"/>
              <w:right w:val="single" w:sz="8" w:space="0" w:color="FFFFFF"/>
            </w:tcBorders>
            <w:shd w:val="clear" w:color="auto" w:fill="1F497D"/>
            <w:hideMark/>
          </w:tcPr>
          <w:p w:rsidR="00A57221" w:rsidRPr="00EB39A0" w:rsidRDefault="00A57221" w:rsidP="00EF00D6">
            <w:pPr>
              <w:pStyle w:val="TableHeader"/>
              <w:keepNext/>
            </w:pPr>
            <w:r w:rsidRPr="00EB39A0">
              <w:t>Variable</w:t>
            </w:r>
          </w:p>
        </w:tc>
        <w:tc>
          <w:tcPr>
            <w:tcW w:w="4398" w:type="pct"/>
            <w:tcBorders>
              <w:top w:val="single" w:sz="4" w:space="0" w:color="auto"/>
              <w:left w:val="single" w:sz="8" w:space="0" w:color="FFFFFF"/>
              <w:bottom w:val="single" w:sz="4" w:space="0" w:color="auto"/>
              <w:right w:val="single" w:sz="4" w:space="0" w:color="auto"/>
            </w:tcBorders>
            <w:shd w:val="clear" w:color="auto" w:fill="1F497D"/>
            <w:hideMark/>
          </w:tcPr>
          <w:p w:rsidR="00A57221" w:rsidRPr="00EB39A0" w:rsidRDefault="00A57221" w:rsidP="00EF00D6">
            <w:pPr>
              <w:pStyle w:val="TableHeader"/>
              <w:keepNext/>
            </w:pPr>
            <w:r w:rsidRPr="00EB39A0">
              <w:t>Description</w:t>
            </w:r>
          </w:p>
        </w:tc>
      </w:tr>
      <w:tr w:rsidR="00A57221" w:rsidRPr="00EB39A0" w:rsidTr="00A57221">
        <w:trPr>
          <w:trHeight w:val="276"/>
          <w:jc w:val="center"/>
        </w:trPr>
        <w:tc>
          <w:tcPr>
            <w:tcW w:w="60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57221" w:rsidRPr="00EB39A0" w:rsidRDefault="00A57221" w:rsidP="00EF00D6">
            <w:pPr>
              <w:pStyle w:val="TableText"/>
              <w:keepNext/>
              <w:rPr>
                <w:szCs w:val="18"/>
              </w:rPr>
            </w:pPr>
            <m:oMathPara>
              <m:oMathParaPr>
                <m:jc m:val="left"/>
              </m:oMathParaPr>
              <m:oMath>
                <m:r>
                  <w:rPr>
                    <w:rFonts w:ascii="Cambria Math" w:eastAsia="Calibri" w:hAnsi="Cambria Math" w:cs="Times New Roman"/>
                  </w:rPr>
                  <m:t>a</m:t>
                </m:r>
              </m:oMath>
            </m:oMathPara>
          </w:p>
        </w:tc>
        <w:tc>
          <w:tcPr>
            <w:tcW w:w="4398" w:type="pct"/>
            <w:tcBorders>
              <w:top w:val="single" w:sz="4" w:space="0" w:color="auto"/>
              <w:left w:val="single" w:sz="4" w:space="0" w:color="auto"/>
              <w:bottom w:val="single" w:sz="4" w:space="0" w:color="auto"/>
              <w:right w:val="single" w:sz="4" w:space="0" w:color="auto"/>
            </w:tcBorders>
            <w:shd w:val="clear" w:color="auto" w:fill="FFFFFF"/>
            <w:hideMark/>
          </w:tcPr>
          <w:p w:rsidR="00A57221" w:rsidRPr="00EB39A0" w:rsidRDefault="00A57221" w:rsidP="00EF00D6">
            <w:pPr>
              <w:pStyle w:val="TableText"/>
              <w:keepNext/>
              <w:rPr>
                <w:szCs w:val="18"/>
              </w:rPr>
            </w:pPr>
            <w:r w:rsidRPr="00EB39A0">
              <w:rPr>
                <w:szCs w:val="18"/>
              </w:rPr>
              <w:t>Estimated constant</w:t>
            </w:r>
          </w:p>
        </w:tc>
      </w:tr>
      <w:tr w:rsidR="00A57221" w:rsidRPr="00EB39A0" w:rsidTr="00A57221">
        <w:trPr>
          <w:trHeight w:val="276"/>
          <w:jc w:val="center"/>
        </w:trPr>
        <w:tc>
          <w:tcPr>
            <w:tcW w:w="602" w:type="pct"/>
            <w:tcBorders>
              <w:top w:val="single" w:sz="4" w:space="0" w:color="auto"/>
              <w:left w:val="single" w:sz="4" w:space="0" w:color="auto"/>
              <w:bottom w:val="single" w:sz="4" w:space="0" w:color="auto"/>
              <w:right w:val="single" w:sz="4" w:space="0" w:color="auto"/>
            </w:tcBorders>
            <w:vAlign w:val="center"/>
            <w:hideMark/>
          </w:tcPr>
          <w:p w:rsidR="00A57221" w:rsidRPr="00EB39A0" w:rsidRDefault="00A57221" w:rsidP="00EF00D6">
            <w:pPr>
              <w:pStyle w:val="TableText"/>
              <w:keepNext/>
              <w:rPr>
                <w:szCs w:val="18"/>
              </w:rPr>
            </w:pPr>
            <m:oMathPara>
              <m:oMathParaPr>
                <m:jc m:val="left"/>
              </m:oMathParaPr>
              <m:oMath>
                <m:r>
                  <w:rPr>
                    <w:rFonts w:ascii="Cambria Math" w:eastAsia="Calibri" w:hAnsi="Cambria Math" w:cs="Times New Roman"/>
                    <w:szCs w:val="18"/>
                  </w:rPr>
                  <m:t>b</m:t>
                </m:r>
                <m:r>
                  <m:rPr>
                    <m:sty m:val="p"/>
                  </m:rPr>
                  <w:rPr>
                    <w:rFonts w:ascii="Cambria Math" w:hAnsi="Cambria Math"/>
                    <w:szCs w:val="18"/>
                  </w:rPr>
                  <m:t>-</m:t>
                </m:r>
                <m:r>
                  <w:rPr>
                    <w:rFonts w:ascii="Cambria Math" w:hAnsi="Cambria Math"/>
                    <w:szCs w:val="18"/>
                  </w:rPr>
                  <m:t>f</m:t>
                </m:r>
              </m:oMath>
            </m:oMathPara>
          </w:p>
        </w:tc>
        <w:tc>
          <w:tcPr>
            <w:tcW w:w="4398" w:type="pct"/>
            <w:tcBorders>
              <w:top w:val="single" w:sz="4" w:space="0" w:color="auto"/>
              <w:left w:val="single" w:sz="4" w:space="0" w:color="auto"/>
              <w:bottom w:val="single" w:sz="4" w:space="0" w:color="auto"/>
              <w:right w:val="single" w:sz="4" w:space="0" w:color="auto"/>
            </w:tcBorders>
            <w:hideMark/>
          </w:tcPr>
          <w:p w:rsidR="00A57221" w:rsidRPr="00EB39A0" w:rsidRDefault="00A57221" w:rsidP="00EF00D6">
            <w:pPr>
              <w:pStyle w:val="TableText"/>
              <w:keepNext/>
              <w:rPr>
                <w:szCs w:val="18"/>
              </w:rPr>
            </w:pPr>
            <w:r w:rsidRPr="00EB39A0">
              <w:rPr>
                <w:szCs w:val="18"/>
              </w:rPr>
              <w:t>Estimated parameter coefficients</w:t>
            </w:r>
          </w:p>
        </w:tc>
      </w:tr>
      <w:tr w:rsidR="00A57221" w:rsidRPr="00EB39A0" w:rsidTr="00A57221">
        <w:trPr>
          <w:trHeight w:val="276"/>
          <w:jc w:val="center"/>
        </w:trPr>
        <w:tc>
          <w:tcPr>
            <w:tcW w:w="602" w:type="pct"/>
            <w:tcBorders>
              <w:top w:val="single" w:sz="4" w:space="0" w:color="auto"/>
              <w:left w:val="single" w:sz="4" w:space="0" w:color="auto"/>
              <w:bottom w:val="single" w:sz="4" w:space="0" w:color="auto"/>
              <w:right w:val="single" w:sz="4" w:space="0" w:color="auto"/>
            </w:tcBorders>
            <w:vAlign w:val="center"/>
            <w:hideMark/>
          </w:tcPr>
          <w:p w:rsidR="00A57221" w:rsidRPr="00EB39A0" w:rsidRDefault="00A41743" w:rsidP="00EF00D6">
            <w:pPr>
              <w:pStyle w:val="TableText"/>
              <w:keepNext/>
              <w:rPr>
                <w:szCs w:val="18"/>
              </w:rPr>
            </w:pPr>
            <m:oMathPara>
              <m:oMathParaPr>
                <m:jc m:val="left"/>
              </m:oMathParaPr>
              <m:oMath>
                <m:r>
                  <w:rPr>
                    <w:rFonts w:ascii="Cambria Math" w:hAnsi="Cambria Math"/>
                  </w:rPr>
                  <m:t>hour</m:t>
                </m:r>
              </m:oMath>
            </m:oMathPara>
          </w:p>
        </w:tc>
        <w:tc>
          <w:tcPr>
            <w:tcW w:w="4398" w:type="pct"/>
            <w:tcBorders>
              <w:top w:val="single" w:sz="4" w:space="0" w:color="auto"/>
              <w:left w:val="single" w:sz="4" w:space="0" w:color="auto"/>
              <w:bottom w:val="single" w:sz="4" w:space="0" w:color="auto"/>
              <w:right w:val="single" w:sz="4" w:space="0" w:color="auto"/>
            </w:tcBorders>
            <w:hideMark/>
          </w:tcPr>
          <w:p w:rsidR="00A57221" w:rsidRPr="00EB39A0" w:rsidRDefault="00A57221" w:rsidP="00EF00D6">
            <w:pPr>
              <w:pStyle w:val="TableText"/>
              <w:keepNext/>
              <w:rPr>
                <w:szCs w:val="18"/>
              </w:rPr>
            </w:pPr>
            <w:r w:rsidRPr="00EB39A0">
              <w:rPr>
                <w:szCs w:val="18"/>
              </w:rPr>
              <w:t>Indicator variables representing the hours of the day, designed to estimate the effect of daily schedule on usage behavior and event impacts</w:t>
            </w:r>
          </w:p>
        </w:tc>
      </w:tr>
      <w:tr w:rsidR="00A57221" w:rsidRPr="00EB39A0" w:rsidTr="00A57221">
        <w:trPr>
          <w:trHeight w:val="276"/>
          <w:jc w:val="center"/>
        </w:trPr>
        <w:tc>
          <w:tcPr>
            <w:tcW w:w="602" w:type="pct"/>
            <w:tcBorders>
              <w:top w:val="single" w:sz="4" w:space="0" w:color="auto"/>
              <w:left w:val="single" w:sz="4" w:space="0" w:color="auto"/>
              <w:bottom w:val="single" w:sz="4" w:space="0" w:color="auto"/>
              <w:right w:val="single" w:sz="4" w:space="0" w:color="auto"/>
            </w:tcBorders>
            <w:vAlign w:val="center"/>
            <w:hideMark/>
          </w:tcPr>
          <w:p w:rsidR="00A57221" w:rsidRPr="00EB39A0" w:rsidRDefault="00A41743" w:rsidP="00EF00D6">
            <w:pPr>
              <w:pStyle w:val="TableText"/>
              <w:keepNext/>
              <w:rPr>
                <w:szCs w:val="18"/>
              </w:rPr>
            </w:pPr>
            <m:oMathPara>
              <m:oMathParaPr>
                <m:jc m:val="left"/>
              </m:oMathParaPr>
              <m:oMath>
                <m:r>
                  <w:rPr>
                    <w:rFonts w:ascii="Cambria Math" w:hAnsi="Cambria Math"/>
                  </w:rPr>
                  <m:t>month</m:t>
                </m:r>
              </m:oMath>
            </m:oMathPara>
          </w:p>
        </w:tc>
        <w:tc>
          <w:tcPr>
            <w:tcW w:w="4398" w:type="pct"/>
            <w:tcBorders>
              <w:top w:val="single" w:sz="4" w:space="0" w:color="auto"/>
              <w:left w:val="single" w:sz="4" w:space="0" w:color="auto"/>
              <w:bottom w:val="single" w:sz="4" w:space="0" w:color="auto"/>
              <w:right w:val="single" w:sz="4" w:space="0" w:color="auto"/>
            </w:tcBorders>
            <w:hideMark/>
          </w:tcPr>
          <w:p w:rsidR="00A57221" w:rsidRPr="00EB39A0" w:rsidRDefault="00A57221" w:rsidP="00EF00D6">
            <w:pPr>
              <w:pStyle w:val="TableText"/>
              <w:keepNext/>
              <w:rPr>
                <w:szCs w:val="18"/>
              </w:rPr>
            </w:pPr>
            <w:r w:rsidRPr="00EB39A0">
              <w:rPr>
                <w:szCs w:val="18"/>
              </w:rPr>
              <w:t xml:space="preserve">Indicator variable </w:t>
            </w:r>
            <w:r w:rsidR="00A41743" w:rsidRPr="00EB39A0">
              <w:rPr>
                <w:szCs w:val="18"/>
              </w:rPr>
              <w:t>for the month</w:t>
            </w:r>
          </w:p>
        </w:tc>
      </w:tr>
      <w:tr w:rsidR="00A57221" w:rsidRPr="00EB39A0" w:rsidTr="00A57221">
        <w:trPr>
          <w:trHeight w:val="276"/>
          <w:jc w:val="center"/>
        </w:trPr>
        <w:tc>
          <w:tcPr>
            <w:tcW w:w="602" w:type="pct"/>
            <w:tcBorders>
              <w:top w:val="single" w:sz="4" w:space="0" w:color="auto"/>
              <w:left w:val="single" w:sz="4" w:space="0" w:color="auto"/>
              <w:bottom w:val="single" w:sz="4" w:space="0" w:color="auto"/>
              <w:right w:val="single" w:sz="4" w:space="0" w:color="auto"/>
            </w:tcBorders>
            <w:vAlign w:val="center"/>
            <w:hideMark/>
          </w:tcPr>
          <w:p w:rsidR="00A57221" w:rsidRPr="00EB39A0" w:rsidRDefault="00A41743" w:rsidP="00EF00D6">
            <w:pPr>
              <w:pStyle w:val="TableText"/>
              <w:keepNext/>
              <w:rPr>
                <w:szCs w:val="18"/>
              </w:rPr>
            </w:pPr>
            <m:oMathPara>
              <m:oMathParaPr>
                <m:jc m:val="left"/>
              </m:oMathParaPr>
              <m:oMath>
                <m:r>
                  <w:rPr>
                    <w:rFonts w:ascii="Cambria Math" w:hAnsi="Cambria Math"/>
                  </w:rPr>
                  <m:t>earlyevent</m:t>
                </m:r>
              </m:oMath>
            </m:oMathPara>
          </w:p>
        </w:tc>
        <w:tc>
          <w:tcPr>
            <w:tcW w:w="4398" w:type="pct"/>
            <w:tcBorders>
              <w:top w:val="single" w:sz="4" w:space="0" w:color="auto"/>
              <w:left w:val="single" w:sz="4" w:space="0" w:color="auto"/>
              <w:bottom w:val="single" w:sz="4" w:space="0" w:color="auto"/>
              <w:right w:val="single" w:sz="4" w:space="0" w:color="auto"/>
            </w:tcBorders>
            <w:hideMark/>
          </w:tcPr>
          <w:p w:rsidR="00A57221" w:rsidRPr="00EB39A0" w:rsidRDefault="00A57221" w:rsidP="00EF00D6">
            <w:pPr>
              <w:pStyle w:val="TableText"/>
              <w:keepNext/>
              <w:rPr>
                <w:szCs w:val="18"/>
              </w:rPr>
            </w:pPr>
            <w:r w:rsidRPr="00EB39A0">
              <w:rPr>
                <w:szCs w:val="18"/>
              </w:rPr>
              <w:t xml:space="preserve">Indicator variable to </w:t>
            </w:r>
            <w:r w:rsidR="00B32D71">
              <w:rPr>
                <w:szCs w:val="18"/>
              </w:rPr>
              <w:t>model</w:t>
            </w:r>
            <w:r w:rsidRPr="00EB39A0">
              <w:rPr>
                <w:szCs w:val="18"/>
              </w:rPr>
              <w:t xml:space="preserve"> the </w:t>
            </w:r>
            <w:r w:rsidR="00A41743" w:rsidRPr="00EB39A0">
              <w:rPr>
                <w:szCs w:val="18"/>
              </w:rPr>
              <w:t xml:space="preserve">hourly </w:t>
            </w:r>
            <w:r w:rsidRPr="00EB39A0">
              <w:rPr>
                <w:szCs w:val="18"/>
              </w:rPr>
              <w:t xml:space="preserve">effects of </w:t>
            </w:r>
            <w:r w:rsidR="00A41743" w:rsidRPr="00EB39A0">
              <w:rPr>
                <w:szCs w:val="18"/>
              </w:rPr>
              <w:t>events occurring during</w:t>
            </w:r>
            <w:r w:rsidR="00931E96" w:rsidRPr="00EB39A0">
              <w:rPr>
                <w:szCs w:val="18"/>
              </w:rPr>
              <w:t xml:space="preserve"> 1</w:t>
            </w:r>
            <w:r w:rsidR="00880DED">
              <w:rPr>
                <w:szCs w:val="18"/>
              </w:rPr>
              <w:t xml:space="preserve"> PM </w:t>
            </w:r>
            <w:r w:rsidR="00931E96" w:rsidRPr="00EB39A0">
              <w:rPr>
                <w:szCs w:val="18"/>
              </w:rPr>
              <w:t>-</w:t>
            </w:r>
            <w:r w:rsidR="00880DED">
              <w:rPr>
                <w:szCs w:val="18"/>
              </w:rPr>
              <w:t xml:space="preserve"> </w:t>
            </w:r>
            <w:r w:rsidR="00931E96" w:rsidRPr="00EB39A0">
              <w:rPr>
                <w:szCs w:val="18"/>
              </w:rPr>
              <w:t>5</w:t>
            </w:r>
            <w:r w:rsidR="00880DED">
              <w:rPr>
                <w:szCs w:val="18"/>
              </w:rPr>
              <w:t xml:space="preserve"> PM</w:t>
            </w:r>
          </w:p>
        </w:tc>
      </w:tr>
      <w:tr w:rsidR="00A57221" w:rsidRPr="00EB39A0" w:rsidTr="00A57221">
        <w:trPr>
          <w:trHeight w:val="276"/>
          <w:jc w:val="center"/>
        </w:trPr>
        <w:tc>
          <w:tcPr>
            <w:tcW w:w="602" w:type="pct"/>
            <w:tcBorders>
              <w:top w:val="single" w:sz="4" w:space="0" w:color="auto"/>
              <w:left w:val="single" w:sz="4" w:space="0" w:color="auto"/>
              <w:bottom w:val="single" w:sz="4" w:space="0" w:color="auto"/>
              <w:right w:val="single" w:sz="4" w:space="0" w:color="auto"/>
            </w:tcBorders>
            <w:vAlign w:val="center"/>
            <w:hideMark/>
          </w:tcPr>
          <w:p w:rsidR="00A57221" w:rsidRPr="00EB39A0" w:rsidRDefault="00A41743" w:rsidP="00EF00D6">
            <w:pPr>
              <w:pStyle w:val="TableText"/>
              <w:keepNext/>
              <w:rPr>
                <w:szCs w:val="18"/>
              </w:rPr>
            </w:pPr>
            <m:oMathPara>
              <m:oMathParaPr>
                <m:jc m:val="left"/>
              </m:oMathParaPr>
              <m:oMath>
                <m:r>
                  <w:rPr>
                    <w:rFonts w:ascii="Cambria Math" w:hAnsi="Cambria Math"/>
                  </w:rPr>
                  <m:t>lateevent</m:t>
                </m:r>
              </m:oMath>
            </m:oMathPara>
          </w:p>
        </w:tc>
        <w:tc>
          <w:tcPr>
            <w:tcW w:w="4398" w:type="pct"/>
            <w:tcBorders>
              <w:top w:val="single" w:sz="4" w:space="0" w:color="auto"/>
              <w:left w:val="single" w:sz="4" w:space="0" w:color="auto"/>
              <w:bottom w:val="single" w:sz="4" w:space="0" w:color="auto"/>
              <w:right w:val="single" w:sz="4" w:space="0" w:color="auto"/>
            </w:tcBorders>
            <w:hideMark/>
          </w:tcPr>
          <w:p w:rsidR="00A57221" w:rsidRPr="00EB39A0" w:rsidRDefault="00A41743" w:rsidP="00EF00D6">
            <w:pPr>
              <w:pStyle w:val="TableText"/>
              <w:keepNext/>
              <w:rPr>
                <w:szCs w:val="18"/>
              </w:rPr>
            </w:pPr>
            <w:r w:rsidRPr="00EB39A0">
              <w:rPr>
                <w:szCs w:val="18"/>
              </w:rPr>
              <w:t xml:space="preserve">Indicator variable to </w:t>
            </w:r>
            <w:r w:rsidR="00B32D71">
              <w:rPr>
                <w:szCs w:val="18"/>
              </w:rPr>
              <w:t>model</w:t>
            </w:r>
            <w:r w:rsidRPr="00EB39A0">
              <w:rPr>
                <w:szCs w:val="18"/>
              </w:rPr>
              <w:t xml:space="preserve"> the hourly effects of events occurring during 2</w:t>
            </w:r>
            <w:r w:rsidR="00880DED">
              <w:rPr>
                <w:szCs w:val="18"/>
              </w:rPr>
              <w:t xml:space="preserve"> PM </w:t>
            </w:r>
            <w:r w:rsidRPr="00EB39A0">
              <w:rPr>
                <w:szCs w:val="18"/>
              </w:rPr>
              <w:t>-</w:t>
            </w:r>
            <w:r w:rsidR="00880DED">
              <w:rPr>
                <w:szCs w:val="18"/>
              </w:rPr>
              <w:t xml:space="preserve"> </w:t>
            </w:r>
            <w:r w:rsidRPr="00EB39A0">
              <w:rPr>
                <w:szCs w:val="18"/>
              </w:rPr>
              <w:t>6</w:t>
            </w:r>
            <w:r w:rsidR="00880DED">
              <w:rPr>
                <w:szCs w:val="18"/>
              </w:rPr>
              <w:t xml:space="preserve"> PM</w:t>
            </w:r>
          </w:p>
        </w:tc>
      </w:tr>
      <w:tr w:rsidR="00A57221" w:rsidRPr="00EB39A0" w:rsidTr="00A57221">
        <w:trPr>
          <w:trHeight w:val="276"/>
          <w:jc w:val="center"/>
        </w:trPr>
        <w:tc>
          <w:tcPr>
            <w:tcW w:w="602" w:type="pct"/>
            <w:tcBorders>
              <w:top w:val="single" w:sz="4" w:space="0" w:color="auto"/>
              <w:left w:val="single" w:sz="4" w:space="0" w:color="auto"/>
              <w:bottom w:val="single" w:sz="4" w:space="0" w:color="auto"/>
              <w:right w:val="single" w:sz="4" w:space="0" w:color="auto"/>
            </w:tcBorders>
            <w:vAlign w:val="center"/>
            <w:hideMark/>
          </w:tcPr>
          <w:p w:rsidR="00A57221" w:rsidRPr="00EB39A0" w:rsidRDefault="00EB39A0" w:rsidP="00EF00D6">
            <w:pPr>
              <w:pStyle w:val="TableText"/>
              <w:keepNext/>
            </w:pPr>
            <m:oMathPara>
              <m:oMathParaPr>
                <m:jc m:val="left"/>
              </m:oMathParaPr>
              <m:oMath>
                <m:r>
                  <w:rPr>
                    <w:rFonts w:ascii="Cambria Math" w:hAnsi="Cambria Math"/>
                  </w:rPr>
                  <m:t>lagcdh</m:t>
                </m:r>
              </m:oMath>
            </m:oMathPara>
          </w:p>
        </w:tc>
        <w:tc>
          <w:tcPr>
            <w:tcW w:w="4398" w:type="pct"/>
            <w:tcBorders>
              <w:top w:val="single" w:sz="4" w:space="0" w:color="auto"/>
              <w:left w:val="single" w:sz="4" w:space="0" w:color="auto"/>
              <w:bottom w:val="single" w:sz="4" w:space="0" w:color="auto"/>
              <w:right w:val="single" w:sz="4" w:space="0" w:color="auto"/>
            </w:tcBorders>
            <w:hideMark/>
          </w:tcPr>
          <w:p w:rsidR="00A57221" w:rsidRPr="00EB39A0" w:rsidRDefault="00A57221" w:rsidP="00EF00D6">
            <w:pPr>
              <w:pStyle w:val="TableText"/>
              <w:keepNext/>
              <w:rPr>
                <w:szCs w:val="18"/>
              </w:rPr>
            </w:pPr>
            <w:r w:rsidRPr="00EB39A0">
              <w:rPr>
                <w:szCs w:val="18"/>
              </w:rPr>
              <w:t xml:space="preserve">Weighted average of the previous </w:t>
            </w:r>
            <w:r w:rsidR="00931E96" w:rsidRPr="00EB39A0">
              <w:rPr>
                <w:szCs w:val="18"/>
              </w:rPr>
              <w:t>24</w:t>
            </w:r>
            <w:r w:rsidRPr="00EB39A0">
              <w:rPr>
                <w:szCs w:val="18"/>
              </w:rPr>
              <w:t xml:space="preserve"> hours of cooling-degree hours with a base of 70</w:t>
            </w:r>
            <w:r w:rsidRPr="00EB39A0">
              <w:rPr>
                <w:rFonts w:cs="Arial"/>
                <w:szCs w:val="18"/>
              </w:rPr>
              <w:t>°</w:t>
            </w:r>
            <w:r w:rsidRPr="00EB39A0">
              <w:rPr>
                <w:szCs w:val="18"/>
              </w:rPr>
              <w:t>F</w:t>
            </w:r>
          </w:p>
        </w:tc>
      </w:tr>
      <w:tr w:rsidR="00EB39A0" w:rsidRPr="00EB39A0" w:rsidTr="00A57221">
        <w:trPr>
          <w:trHeight w:val="276"/>
          <w:jc w:val="center"/>
        </w:trPr>
        <w:tc>
          <w:tcPr>
            <w:tcW w:w="602" w:type="pct"/>
            <w:tcBorders>
              <w:top w:val="single" w:sz="4" w:space="0" w:color="auto"/>
              <w:left w:val="single" w:sz="4" w:space="0" w:color="auto"/>
              <w:bottom w:val="single" w:sz="4" w:space="0" w:color="auto"/>
              <w:right w:val="single" w:sz="4" w:space="0" w:color="auto"/>
            </w:tcBorders>
            <w:vAlign w:val="center"/>
            <w:hideMark/>
          </w:tcPr>
          <w:p w:rsidR="00EB39A0" w:rsidRPr="00EB39A0" w:rsidRDefault="00EB39A0" w:rsidP="00EF00D6">
            <w:pPr>
              <w:pStyle w:val="TableText"/>
              <w:keepNext/>
            </w:pPr>
            <m:oMathPara>
              <m:oMathParaPr>
                <m:jc m:val="left"/>
              </m:oMathParaPr>
              <m:oMath>
                <m:r>
                  <w:rPr>
                    <w:rFonts w:ascii="Cambria Math" w:hAnsi="Cambria Math"/>
                  </w:rPr>
                  <m:t>wacdh</m:t>
                </m:r>
              </m:oMath>
            </m:oMathPara>
          </w:p>
        </w:tc>
        <w:tc>
          <w:tcPr>
            <w:tcW w:w="4398" w:type="pct"/>
            <w:tcBorders>
              <w:top w:val="single" w:sz="4" w:space="0" w:color="auto"/>
              <w:left w:val="single" w:sz="4" w:space="0" w:color="auto"/>
              <w:bottom w:val="single" w:sz="4" w:space="0" w:color="auto"/>
              <w:right w:val="single" w:sz="4" w:space="0" w:color="auto"/>
            </w:tcBorders>
            <w:hideMark/>
          </w:tcPr>
          <w:p w:rsidR="00EB39A0" w:rsidRPr="00EB39A0" w:rsidRDefault="00EB39A0" w:rsidP="00EF00D6">
            <w:pPr>
              <w:pStyle w:val="TableText"/>
              <w:keepNext/>
              <w:rPr>
                <w:szCs w:val="18"/>
              </w:rPr>
            </w:pPr>
            <w:r w:rsidRPr="00EB39A0">
              <w:rPr>
                <w:szCs w:val="18"/>
              </w:rPr>
              <w:t>Weighted average of the previous 3 hours of cooling-degree hours with a base of 75</w:t>
            </w:r>
            <w:r w:rsidRPr="00EB39A0">
              <w:rPr>
                <w:rFonts w:cs="Arial"/>
                <w:szCs w:val="18"/>
              </w:rPr>
              <w:t>°</w:t>
            </w:r>
            <w:r w:rsidRPr="00EB39A0">
              <w:rPr>
                <w:szCs w:val="18"/>
              </w:rPr>
              <w:t>F.</w:t>
            </w:r>
            <w:r w:rsidR="00B32D71">
              <w:rPr>
                <w:szCs w:val="18"/>
              </w:rPr>
              <w:t xml:space="preserve">  Captures shorter-term effects of high temperatures.</w:t>
            </w:r>
          </w:p>
        </w:tc>
      </w:tr>
      <w:tr w:rsidR="00EB39A0" w:rsidRPr="006D410B" w:rsidTr="00A57221">
        <w:trPr>
          <w:trHeight w:val="276"/>
          <w:jc w:val="center"/>
        </w:trPr>
        <w:tc>
          <w:tcPr>
            <w:tcW w:w="602" w:type="pct"/>
            <w:tcBorders>
              <w:top w:val="single" w:sz="4" w:space="0" w:color="auto"/>
              <w:left w:val="single" w:sz="4" w:space="0" w:color="auto"/>
              <w:bottom w:val="single" w:sz="4" w:space="0" w:color="auto"/>
              <w:right w:val="single" w:sz="4" w:space="0" w:color="auto"/>
            </w:tcBorders>
            <w:vAlign w:val="center"/>
            <w:hideMark/>
          </w:tcPr>
          <w:p w:rsidR="00EB39A0" w:rsidRPr="00EB39A0" w:rsidRDefault="00EF00D6" w:rsidP="00EF00D6">
            <w:pPr>
              <w:pStyle w:val="TableText"/>
            </w:pPr>
            <m:oMathPara>
              <m:oMathParaPr>
                <m:jc m:val="left"/>
              </m:oMathParaPr>
              <m:oMath>
                <m:r>
                  <w:rPr>
                    <w:rFonts w:ascii="Cambria Math" w:hAnsi="Cambria Math"/>
                  </w:rPr>
                  <m:t>ε</m:t>
                </m:r>
              </m:oMath>
            </m:oMathPara>
          </w:p>
        </w:tc>
        <w:tc>
          <w:tcPr>
            <w:tcW w:w="4398" w:type="pct"/>
            <w:tcBorders>
              <w:top w:val="single" w:sz="4" w:space="0" w:color="auto"/>
              <w:left w:val="single" w:sz="4" w:space="0" w:color="auto"/>
              <w:bottom w:val="single" w:sz="4" w:space="0" w:color="auto"/>
              <w:right w:val="single" w:sz="4" w:space="0" w:color="auto"/>
            </w:tcBorders>
            <w:hideMark/>
          </w:tcPr>
          <w:p w:rsidR="00EB39A0" w:rsidRPr="00EB39A0" w:rsidRDefault="00EB39A0" w:rsidP="00EB39A0">
            <w:pPr>
              <w:pStyle w:val="TableText"/>
              <w:rPr>
                <w:szCs w:val="18"/>
              </w:rPr>
            </w:pPr>
            <w:r>
              <w:rPr>
                <w:szCs w:val="18"/>
              </w:rPr>
              <w:t>Error term</w:t>
            </w:r>
          </w:p>
        </w:tc>
      </w:tr>
    </w:tbl>
    <w:p w:rsidR="00050B4E" w:rsidRPr="00EB1041" w:rsidRDefault="00050B4E" w:rsidP="00050B4E">
      <w:pPr>
        <w:pStyle w:val="BodyParaAfterTableFigure"/>
      </w:pPr>
      <w:r w:rsidRPr="00EB1041">
        <w:t>The conceptual basis for statistical analysis is that with large sample sizes, the effect of unobservable or omitted factors not related to the main effect will disappear due to the power of averaging.  Presumably, many factor</w:t>
      </w:r>
      <w:r>
        <w:t xml:space="preserve">s affect </w:t>
      </w:r>
      <w:r w:rsidR="00270B6D">
        <w:t xml:space="preserve">an </w:t>
      </w:r>
      <w:r>
        <w:t>individual</w:t>
      </w:r>
      <w:r w:rsidR="00270B6D">
        <w:t xml:space="preserve"> </w:t>
      </w:r>
      <w:r>
        <w:t>customer</w:t>
      </w:r>
      <w:r w:rsidR="00270B6D">
        <w:t>’s</w:t>
      </w:r>
      <w:r>
        <w:t xml:space="preserve"> </w:t>
      </w:r>
      <w:r w:rsidRPr="00EB1041">
        <w:t xml:space="preserve">usage other than what can be included in a large-scale model.  In a large sample, such as hundreds of customers over three months, it is likely that the effect of these omitted factors is small. </w:t>
      </w:r>
      <w:r w:rsidR="00880DED">
        <w:t xml:space="preserve"> </w:t>
      </w:r>
      <w:r w:rsidRPr="00EB1041">
        <w:t xml:space="preserve">However, in smaller samples, such as one or a few customers’ regression models, these </w:t>
      </w:r>
      <w:r>
        <w:t xml:space="preserve">omitted </w:t>
      </w:r>
      <w:r w:rsidRPr="00EB1041">
        <w:t xml:space="preserve">factors </w:t>
      </w:r>
      <w:r>
        <w:t xml:space="preserve">could </w:t>
      </w:r>
      <w:r w:rsidRPr="00EB1041">
        <w:t>have an important effect.  This means that results for sub-samples of the dataset should be viewed with increasing caution as the sub-samples decrease in size.</w:t>
      </w:r>
    </w:p>
    <w:p w:rsidR="00050B4E" w:rsidRDefault="00050B4E" w:rsidP="00050B4E">
      <w:pPr>
        <w:pStyle w:val="BodyParagraph"/>
      </w:pPr>
      <w:r w:rsidRPr="00EB1041">
        <w:t xml:space="preserve">A </w:t>
      </w:r>
      <w:r w:rsidRPr="00F67E28">
        <w:t>related</w:t>
      </w:r>
      <w:r w:rsidRPr="00EB1041">
        <w:t xml:space="preserve"> issue is that any measure of event-impact standard error associated with these indiv</w:t>
      </w:r>
      <w:r>
        <w:t xml:space="preserve">idual customer </w:t>
      </w:r>
      <w:r w:rsidRPr="00EB1041">
        <w:t>regressions inherently assumes that the model has been fully and correctly specified so that the only remaining unexplained variation is completely random</w:t>
      </w:r>
      <w:r w:rsidR="00880DED">
        <w:t xml:space="preserve"> – </w:t>
      </w:r>
      <w:r w:rsidRPr="00EB1041">
        <w:t xml:space="preserve">meaning that it is unrelated to any variables of interest.  As noted, this </w:t>
      </w:r>
      <w:r>
        <w:t>may be</w:t>
      </w:r>
      <w:r w:rsidRPr="00EB1041">
        <w:t xml:space="preserve"> untru</w:t>
      </w:r>
      <w:r>
        <w:t>e at an individual customer level</w:t>
      </w:r>
      <w:r w:rsidRPr="00EB1041">
        <w:t xml:space="preserve">.  Moreover, statistical variation can only be calculated based on the observed events during the study period.  This means that it cannot take into account the effect of weather patterns or other recurring behavior patterns that are not well-represented in the dataset, but are likely to arise in the future.  </w:t>
      </w:r>
      <w:r>
        <w:t>When the statistical model is asked to provide an extrapolation, there is no procedure for adjusting its uncertainty estimate upward because it</w:t>
      </w:r>
      <w:r w:rsidR="0099126F">
        <w:t xml:space="preserve"> i</w:t>
      </w:r>
      <w:r>
        <w:t xml:space="preserve">s an extrapolation.  </w:t>
      </w:r>
      <w:r w:rsidRPr="00EB1041">
        <w:t xml:space="preserve">Both of these issues probably lead to an under-estimation of the true level of variance that should be expected in </w:t>
      </w:r>
      <w:r>
        <w:t>Summer Saver</w:t>
      </w:r>
      <w:r w:rsidRPr="00EB1041">
        <w:t xml:space="preserve"> results</w:t>
      </w:r>
      <w:r w:rsidR="00880DED">
        <w:t xml:space="preserve"> – </w:t>
      </w:r>
      <w:r w:rsidRPr="00EB1041">
        <w:t>even assuming no operational changes or changes in underlying customer behavior.  The degree of this under-estimation is unknown because there is no data to model it</w:t>
      </w:r>
      <w:r>
        <w:t>.</w:t>
      </w:r>
    </w:p>
    <w:p w:rsidR="00050B4E" w:rsidRPr="00EB1041" w:rsidRDefault="00050B4E" w:rsidP="005F7DA6">
      <w:pPr>
        <w:pStyle w:val="BodyBeforeBullet"/>
      </w:pPr>
      <w:r w:rsidRPr="00EB1041">
        <w:t>Given that caveat, standard errors for load impacts are calculated as</w:t>
      </w:r>
      <w:r w:rsidR="00880DED">
        <w:t>:</w:t>
      </w:r>
    </w:p>
    <w:p w:rsidR="00050B4E" w:rsidRDefault="00050B4E" w:rsidP="00050B4E">
      <w:pPr>
        <w:jc w:val="center"/>
        <w:rPr>
          <w:rFonts w:cs="Arial"/>
        </w:rPr>
      </w:pPr>
      <m:oMath>
        <m:r>
          <w:rPr>
            <w:rFonts w:ascii="Cambria Math" w:hAnsi="Cambria Math" w:cs="Arial"/>
          </w:rPr>
          <m:t>se</m:t>
        </m:r>
        <m:r>
          <w:rPr>
            <w:rFonts w:ascii="Cambria Math" w:cs="Arial"/>
          </w:rPr>
          <m:t>=</m:t>
        </m:r>
        <m:rad>
          <m:radPr>
            <m:degHide m:val="on"/>
            <m:ctrlPr>
              <w:rPr>
                <w:rFonts w:ascii="Cambria Math" w:hAnsi="Cambria Math" w:cs="Arial"/>
                <w:i/>
              </w:rPr>
            </m:ctrlPr>
          </m:radPr>
          <m:deg/>
          <m:e>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stdp</m:t>
                    </m:r>
                  </m:e>
                  <m:sup>
                    <m:r>
                      <w:rPr>
                        <w:rFonts w:ascii="Cambria Math" w:cs="Arial"/>
                      </w:rPr>
                      <m:t>2</m:t>
                    </m:r>
                  </m:sup>
                </m:sSup>
                <m:r>
                  <w:rPr>
                    <w:rFonts w:ascii="Cambria Math" w:cs="Arial"/>
                  </w:rPr>
                  <m:t>+</m:t>
                </m:r>
                <m:sSup>
                  <m:sSupPr>
                    <m:ctrlPr>
                      <w:rPr>
                        <w:rFonts w:ascii="Cambria Math" w:hAnsi="Cambria Math" w:cs="Arial"/>
                        <w:i/>
                      </w:rPr>
                    </m:ctrlPr>
                  </m:sSupPr>
                  <m:e>
                    <m:r>
                      <w:rPr>
                        <w:rFonts w:ascii="Cambria Math" w:hAnsi="Cambria Math" w:cs="Arial"/>
                      </w:rPr>
                      <m:t>rmse</m:t>
                    </m:r>
                  </m:e>
                  <m:sup>
                    <m:r>
                      <w:rPr>
                        <w:rFonts w:ascii="Cambria Math" w:cs="Arial"/>
                      </w:rPr>
                      <m:t>2</m:t>
                    </m:r>
                  </m:sup>
                </m:sSup>
              </m:e>
            </m:d>
          </m:e>
        </m:rad>
      </m:oMath>
      <w:r>
        <w:rPr>
          <w:rFonts w:cs="Arial"/>
        </w:rPr>
        <w:t>,</w:t>
      </w:r>
    </w:p>
    <w:p w:rsidR="00050B4E" w:rsidRDefault="00880DED" w:rsidP="005F7DA6">
      <w:pPr>
        <w:pStyle w:val="BodyParaAfterTableFigure"/>
      </w:pPr>
      <w:r>
        <w:t>W</w:t>
      </w:r>
      <w:r w:rsidR="00050B4E" w:rsidRPr="00EB1041">
        <w:t xml:space="preserve">here </w:t>
      </w:r>
      <w:r w:rsidR="00050B4E" w:rsidRPr="00EB1041">
        <w:rPr>
          <w:i/>
        </w:rPr>
        <w:t>stdp</w:t>
      </w:r>
      <w:r w:rsidR="00050B4E" w:rsidRPr="00EB1041">
        <w:t xml:space="preserve"> is the standard deviation of the prediction</w:t>
      </w:r>
      <w:r w:rsidR="002C5429">
        <w:t>,</w:t>
      </w:r>
      <w:r>
        <w:t xml:space="preserve"> </w:t>
      </w:r>
      <w:r w:rsidR="00F91A0B" w:rsidRPr="00F91A0B">
        <w:rPr>
          <w:i/>
        </w:rPr>
        <w:t>i.e.</w:t>
      </w:r>
      <w:r w:rsidR="00050B4E">
        <w:t>,</w:t>
      </w:r>
      <w:r w:rsidR="00050B4E" w:rsidRPr="00EB1041">
        <w:t xml:space="preserve"> the standard error associated with the fact that all coefficients are estimated values</w:t>
      </w:r>
      <w:r w:rsidR="002C5429">
        <w:t>,</w:t>
      </w:r>
      <w:r>
        <w:t xml:space="preserve"> </w:t>
      </w:r>
      <w:r w:rsidR="00050B4E" w:rsidRPr="00EB1041">
        <w:t xml:space="preserve">and </w:t>
      </w:r>
      <w:r w:rsidR="00050B4E" w:rsidRPr="00EB1041">
        <w:rPr>
          <w:i/>
        </w:rPr>
        <w:t>rmse</w:t>
      </w:r>
      <w:r w:rsidR="00050B4E" w:rsidRPr="00EB1041">
        <w:t xml:space="preserve"> is the root-mean-squared-error of the regression, or the error associated with the fact that the model has a baseline of uncertainty in it even if </w:t>
      </w:r>
      <w:r w:rsidR="00050B4E" w:rsidRPr="00EB1041">
        <w:lastRenderedPageBreak/>
        <w:t xml:space="preserve">coefficients are estimated perfectly.  The </w:t>
      </w:r>
      <w:r w:rsidR="00050B4E" w:rsidRPr="00EB1041">
        <w:rPr>
          <w:i/>
        </w:rPr>
        <w:t>stdp</w:t>
      </w:r>
      <w:r w:rsidR="00050B4E" w:rsidRPr="00EB1041">
        <w:t xml:space="preserve"> value is calculated </w:t>
      </w:r>
      <w:r w:rsidR="002C5429">
        <w:t>independently</w:t>
      </w:r>
      <w:r w:rsidR="00050B4E" w:rsidRPr="00EB1041">
        <w:t xml:space="preserve"> for each hourly prediction of each customer’s load.</w:t>
      </w:r>
    </w:p>
    <w:p w:rsidR="00050B4E" w:rsidRPr="00EB1041" w:rsidRDefault="00050B4E" w:rsidP="005F7DA6">
      <w:pPr>
        <w:pStyle w:val="BodyParagraph"/>
      </w:pPr>
      <w:r>
        <w:t xml:space="preserve">Having calculated the standard error </w:t>
      </w:r>
      <w:r w:rsidR="002C5429">
        <w:t xml:space="preserve">for each hour </w:t>
      </w:r>
      <w:r>
        <w:t>for each customer, aggregate standard errors are calculated assuming that errors are independent across customers.  Therefore, variances can be summed to get aggregate variance.</w:t>
      </w:r>
    </w:p>
    <w:p w:rsidR="00050B4E" w:rsidRDefault="00050B4E" w:rsidP="00050B4E">
      <w:pPr>
        <w:pStyle w:val="BodyParagraph"/>
      </w:pPr>
      <w:r w:rsidRPr="00EB1041">
        <w:t>Having calculated standard errors of predicted load</w:t>
      </w:r>
      <w:r w:rsidR="003210FA">
        <w:t xml:space="preserve"> impact</w:t>
      </w:r>
      <w:r w:rsidRPr="00EB1041">
        <w:t>, percentiles of load impact are calculated based on a Gaussian</w:t>
      </w:r>
      <w:r>
        <w:t xml:space="preserve"> (Normal)</w:t>
      </w:r>
      <w:r w:rsidRPr="00EB1041">
        <w:t xml:space="preserve"> distribution with standard deviation equal to the calculated standard error and mean equal to the estimated load impact.  This calculation is justified by the central limit</w:t>
      </w:r>
      <w:r w:rsidR="005F7DA6">
        <w:t> </w:t>
      </w:r>
      <w:r w:rsidRPr="00EB1041">
        <w:t>theorem</w:t>
      </w:r>
      <w:r>
        <w:t>.</w:t>
      </w:r>
    </w:p>
    <w:p w:rsidR="00A57221" w:rsidRDefault="000E2080" w:rsidP="00BD6DEC">
      <w:pPr>
        <w:pStyle w:val="Heading3"/>
      </w:pPr>
      <w:bookmarkStart w:id="11" w:name="_Toc325370143"/>
      <w:r>
        <w:t xml:space="preserve">Residential Regression </w:t>
      </w:r>
      <w:r w:rsidR="000618C6">
        <w:t>Model Validation</w:t>
      </w:r>
      <w:bookmarkEnd w:id="11"/>
    </w:p>
    <w:p w:rsidR="00A57221" w:rsidRDefault="00A57221" w:rsidP="00A57221">
      <w:pPr>
        <w:pStyle w:val="BodyParagraph"/>
      </w:pPr>
      <w:r w:rsidRPr="00EB1041">
        <w:t xml:space="preserve">In order </w:t>
      </w:r>
      <w:r w:rsidRPr="00F67E28">
        <w:t>for</w:t>
      </w:r>
      <w:r w:rsidRPr="00EB1041">
        <w:t xml:space="preserve"> a model to be useful in </w:t>
      </w:r>
      <w:r>
        <w:t>the</w:t>
      </w:r>
      <w:r w:rsidRPr="00EB1041">
        <w:t xml:space="preserve"> </w:t>
      </w:r>
      <w:r w:rsidRPr="005817A5">
        <w:t>context</w:t>
      </w:r>
      <w:r>
        <w:t xml:space="preserve"> of Summer Saver</w:t>
      </w:r>
      <w:r w:rsidRPr="00EB1041">
        <w:t xml:space="preserve">, it must make accurate predictions of </w:t>
      </w:r>
      <w:r w:rsidR="00013148">
        <w:t>C</w:t>
      </w:r>
      <w:r w:rsidRPr="00EB1041">
        <w:t xml:space="preserve">AC loads, primarily at high temperatures.  Three methods of validation are used to </w:t>
      </w:r>
      <w:r>
        <w:t>assess this capability</w:t>
      </w:r>
      <w:r w:rsidR="001D7242">
        <w:t>:  in-sample testing</w:t>
      </w:r>
      <w:r w:rsidR="00880DED">
        <w:t>,</w:t>
      </w:r>
      <w:r w:rsidR="001D7242">
        <w:t xml:space="preserve"> out-of-sample testing and </w:t>
      </w:r>
      <w:r w:rsidR="002C5429">
        <w:t xml:space="preserve">evaluation of </w:t>
      </w:r>
      <w:r w:rsidR="001D7242">
        <w:t>general plausibility of</w:t>
      </w:r>
      <w:r w:rsidR="00B304F1">
        <w:t> </w:t>
      </w:r>
      <w:r w:rsidR="001D7242">
        <w:t>predictions</w:t>
      </w:r>
      <w:r>
        <w:t>.</w:t>
      </w:r>
      <w:r w:rsidR="00013148">
        <w:t xml:space="preserve">  </w:t>
      </w:r>
    </w:p>
    <w:p w:rsidR="00A57221" w:rsidRDefault="00A57221" w:rsidP="00BD6DEC">
      <w:pPr>
        <w:pStyle w:val="Heading4"/>
      </w:pPr>
      <w:r>
        <w:t>In-sample Testing</w:t>
      </w:r>
    </w:p>
    <w:p w:rsidR="007A3A03" w:rsidRDefault="00013148" w:rsidP="00A57221">
      <w:pPr>
        <w:pStyle w:val="BodyParagraph"/>
      </w:pPr>
      <w:r>
        <w:t>A</w:t>
      </w:r>
      <w:r w:rsidR="00A57221" w:rsidRPr="00EB1041">
        <w:t xml:space="preserve">t an individual level and </w:t>
      </w:r>
      <w:r w:rsidR="002C5429">
        <w:t xml:space="preserve">at </w:t>
      </w:r>
      <w:r w:rsidR="00A57221" w:rsidRPr="00EB1041">
        <w:t xml:space="preserve">an aggregate level, the model </w:t>
      </w:r>
      <w:r w:rsidR="00A57221">
        <w:t>must</w:t>
      </w:r>
      <w:r w:rsidR="00A57221" w:rsidRPr="00EB1041">
        <w:t xml:space="preserve"> explain a large degree of the observed variation in </w:t>
      </w:r>
      <w:r w:rsidR="000618C6">
        <w:t xml:space="preserve">household </w:t>
      </w:r>
      <w:r w:rsidR="00A57221" w:rsidRPr="00EB1041">
        <w:t>load during the summer of 201</w:t>
      </w:r>
      <w:r w:rsidR="000618C6">
        <w:t>1</w:t>
      </w:r>
      <w:r w:rsidR="00A57221" w:rsidRPr="00EB1041">
        <w:t>.  This is a test of the in-sample R</w:t>
      </w:r>
      <w:r w:rsidR="00A57221">
        <w:t xml:space="preserve">-squared </w:t>
      </w:r>
      <w:r w:rsidR="00A57221" w:rsidRPr="00EB1041">
        <w:t>of the model</w:t>
      </w:r>
      <w:r w:rsidR="002C5429">
        <w:t xml:space="preserve">, which </w:t>
      </w:r>
      <w:r w:rsidR="00A57221" w:rsidRPr="00EB1041">
        <w:t>is the simplest test for the model to pass and is a necessary, but not sufficient</w:t>
      </w:r>
      <w:r w:rsidR="002C5429">
        <w:t>,</w:t>
      </w:r>
      <w:r w:rsidR="00A57221" w:rsidRPr="00EB1041">
        <w:t xml:space="preserve"> condition for the model to be useful.  </w:t>
      </w:r>
      <w:r w:rsidR="00541227">
        <w:t>A substantial body of evidence from previous evaluations by FSC and others demonstrates</w:t>
      </w:r>
      <w:r w:rsidR="007A3A03">
        <w:t xml:space="preserve"> that weather and time variables in a regression model can explain a large amount of the variation in CAC load.  </w:t>
      </w:r>
      <w:r w:rsidR="00541227">
        <w:t xml:space="preserve">Therefore, a </w:t>
      </w:r>
      <w:r w:rsidR="007A3A03">
        <w:t xml:space="preserve">model without an aggregate R-squared value of at least 70% would </w:t>
      </w:r>
      <w:r w:rsidR="0025721F">
        <w:t>suggest a significant error</w:t>
      </w:r>
      <w:r w:rsidR="007A3A03">
        <w:t xml:space="preserve"> and would bear significant investi</w:t>
      </w:r>
      <w:r w:rsidR="00B304F1">
        <w:t xml:space="preserve">gation before being accepted. </w:t>
      </w:r>
    </w:p>
    <w:p w:rsidR="00A57221" w:rsidRPr="00EB1041" w:rsidRDefault="0062194F" w:rsidP="00A57221">
      <w:pPr>
        <w:pStyle w:val="BodyParagraph"/>
      </w:pPr>
      <w:r>
        <w:t>The R-squared of a model can be inflated</w:t>
      </w:r>
      <w:r w:rsidR="00A57221" w:rsidRPr="00EB1041">
        <w:t xml:space="preserve"> by including a very large number of variables.  In this case, the model will appear to explai</w:t>
      </w:r>
      <w:r w:rsidR="00A57221">
        <w:t>n</w:t>
      </w:r>
      <w:r w:rsidR="00A57221" w:rsidRPr="00EB1041">
        <w:t xml:space="preserve"> a large degree of the variation in load, but it </w:t>
      </w:r>
      <w:r w:rsidR="00A57221">
        <w:t>may</w:t>
      </w:r>
      <w:r w:rsidR="00A57221" w:rsidRPr="00EB1041">
        <w:t xml:space="preserve"> be highly inaccurate in predicting for conditions outside of the </w:t>
      </w:r>
      <w:r w:rsidR="00A57221">
        <w:t>range of values for the data used to estimate the model</w:t>
      </w:r>
      <w:r w:rsidR="00A57221" w:rsidRPr="00EB1041">
        <w:t>.  This is known as over-fitting.</w:t>
      </w:r>
      <w:r w:rsidR="0036608B">
        <w:t xml:space="preserve">  Diagnosing whether a model is over-fit inherently requires judgment.  There are several metrics</w:t>
      </w:r>
      <w:r w:rsidR="007A3A03">
        <w:t>, such as adjusted R-squared,</w:t>
      </w:r>
      <w:r w:rsidR="0036608B">
        <w:t xml:space="preserve"> that </w:t>
      </w:r>
      <w:r w:rsidR="007A3A03">
        <w:t xml:space="preserve">attempt to penalize models for including many variables, but they are all based on arbitrary weightings of the number of variables as compared to the fit of the model.  The method used here to guard against over-fitting is out-of-sample testing, as described below.  An over-fit model will not </w:t>
      </w:r>
      <w:r w:rsidR="0025721F">
        <w:t>produce accurate</w:t>
      </w:r>
      <w:r w:rsidR="007A3A03">
        <w:t xml:space="preserve"> out-of-sample </w:t>
      </w:r>
      <w:r w:rsidR="0025721F">
        <w:t>predictions</w:t>
      </w:r>
      <w:r w:rsidR="007A3A03">
        <w:t>.</w:t>
      </w:r>
    </w:p>
    <w:p w:rsidR="00A57221" w:rsidRPr="00EB1041" w:rsidRDefault="00A57221" w:rsidP="00A57221">
      <w:pPr>
        <w:pStyle w:val="BodyParagraph"/>
      </w:pPr>
      <w:r w:rsidRPr="00EB1041">
        <w:t xml:space="preserve">Although the regressions were performed at the individual </w:t>
      </w:r>
      <w:r w:rsidR="0078384D">
        <w:t>premise</w:t>
      </w:r>
      <w:r w:rsidRPr="00EB1041">
        <w:t xml:space="preserve"> level, from a</w:t>
      </w:r>
      <w:r w:rsidR="0009232A">
        <w:t>n</w:t>
      </w:r>
      <w:r w:rsidRPr="00EB1041">
        <w:t xml:space="preserve"> </w:t>
      </w:r>
      <w:r w:rsidR="0009232A">
        <w:t>evaluation</w:t>
      </w:r>
      <w:r w:rsidR="0009232A" w:rsidRPr="00EB1041">
        <w:t xml:space="preserve"> </w:t>
      </w:r>
      <w:r w:rsidR="002C5429">
        <w:t>standpoint</w:t>
      </w:r>
      <w:r w:rsidRPr="00EB1041">
        <w:t xml:space="preserve"> the focus is less on how the regressions perform for individual </w:t>
      </w:r>
      <w:r w:rsidR="0078384D">
        <w:t>premises</w:t>
      </w:r>
      <w:r w:rsidRPr="00EB1041">
        <w:t xml:space="preserve"> than on how the</w:t>
      </w:r>
      <w:r>
        <w:t xml:space="preserve">y </w:t>
      </w:r>
      <w:r w:rsidRPr="00EB1041">
        <w:t xml:space="preserve">perform for the </w:t>
      </w:r>
      <w:r w:rsidR="00E33C2E">
        <w:t>aggregated sample</w:t>
      </w:r>
      <w:r w:rsidRPr="00EB1041">
        <w:t xml:space="preserve">.  </w:t>
      </w:r>
      <w:r w:rsidR="00E33C2E">
        <w:t>Therefore, t</w:t>
      </w:r>
      <w:r w:rsidRPr="00EB1041">
        <w:t xml:space="preserve">he R-squared </w:t>
      </w:r>
      <w:r w:rsidR="0062194F">
        <w:t>(</w:t>
      </w:r>
      <w:r w:rsidRPr="00EB1041">
        <w:t>goodness-of-fit</w:t>
      </w:r>
      <w:r w:rsidR="0062194F">
        <w:t>)</w:t>
      </w:r>
      <w:r w:rsidRPr="00EB1041">
        <w:t xml:space="preserve"> statistic</w:t>
      </w:r>
      <w:r w:rsidR="00E33C2E">
        <w:t xml:space="preserve"> is presented </w:t>
      </w:r>
      <w:r w:rsidRPr="00EB1041">
        <w:t xml:space="preserve">for </w:t>
      </w:r>
      <w:r w:rsidR="00E33C2E">
        <w:t xml:space="preserve">both </w:t>
      </w:r>
      <w:r w:rsidRPr="00EB1041">
        <w:t xml:space="preserve">the individual regressions and for </w:t>
      </w:r>
      <w:r w:rsidR="002C5429">
        <w:t xml:space="preserve">the </w:t>
      </w:r>
      <w:r w:rsidRPr="00EB1041">
        <w:t>aggregate load</w:t>
      </w:r>
      <w:r w:rsidR="00270B6D">
        <w:t>:</w:t>
      </w:r>
      <w:r w:rsidRPr="00EB1041">
        <w:t xml:space="preserve"> </w:t>
      </w:r>
      <w:r w:rsidR="00270B6D">
        <w:t>t</w:t>
      </w:r>
      <w:r w:rsidRPr="00B4173B">
        <w:t>he average R-squared among</w:t>
      </w:r>
      <w:r w:rsidR="00CF1287">
        <w:t xml:space="preserve"> individual</w:t>
      </w:r>
      <w:r w:rsidRPr="00B4173B">
        <w:t xml:space="preserve"> residential </w:t>
      </w:r>
      <w:r w:rsidR="00CF1287">
        <w:t>households</w:t>
      </w:r>
      <w:r w:rsidRPr="00B4173B">
        <w:t xml:space="preserve"> is </w:t>
      </w:r>
      <w:r>
        <w:t>43</w:t>
      </w:r>
      <w:r w:rsidR="002C5429">
        <w:t>%</w:t>
      </w:r>
      <w:r w:rsidR="00CF1287">
        <w:t xml:space="preserve"> and at</w:t>
      </w:r>
      <w:r w:rsidRPr="00EB1041">
        <w:t xml:space="preserve"> an aggregate level </w:t>
      </w:r>
      <w:r>
        <w:t>th</w:t>
      </w:r>
      <w:r w:rsidR="00CF1287">
        <w:t xml:space="preserve">e residential </w:t>
      </w:r>
      <w:r w:rsidR="00CF1287" w:rsidRPr="00B4173B">
        <w:t>R-squared</w:t>
      </w:r>
      <w:r w:rsidR="00CF1287">
        <w:t xml:space="preserve"> is</w:t>
      </w:r>
      <w:r>
        <w:t xml:space="preserve"> 8</w:t>
      </w:r>
      <w:r w:rsidR="00CF1287">
        <w:t>7</w:t>
      </w:r>
      <w:r>
        <w:t>%</w:t>
      </w:r>
      <w:r w:rsidRPr="00EB1041">
        <w:t xml:space="preserve">.  </w:t>
      </w:r>
    </w:p>
    <w:p w:rsidR="00A57221" w:rsidRPr="00EB1041" w:rsidRDefault="00A57221" w:rsidP="00A57221">
      <w:pPr>
        <w:pStyle w:val="BodyParagraph"/>
      </w:pPr>
      <w:r>
        <w:t>Summer Saver</w:t>
      </w:r>
      <w:r w:rsidRPr="00EB1041">
        <w:t xml:space="preserve"> events are only likely to be called at times of very high temperature</w:t>
      </w:r>
      <w:r w:rsidR="002C5429">
        <w:t xml:space="preserve">. </w:t>
      </w:r>
      <w:r w:rsidRPr="00EB1041">
        <w:t xml:space="preserve"> </w:t>
      </w:r>
      <w:r w:rsidR="002C5429">
        <w:t>T</w:t>
      </w:r>
      <w:r w:rsidRPr="00EB1041">
        <w:t xml:space="preserve">herefore the models must accurately fit load at high temperatures in particular.  Figures </w:t>
      </w:r>
      <w:r>
        <w:t>3-</w:t>
      </w:r>
      <w:r w:rsidR="005F7DA6">
        <w:t>1</w:t>
      </w:r>
      <w:r w:rsidRPr="00EB1041">
        <w:t xml:space="preserve"> and </w:t>
      </w:r>
      <w:r>
        <w:t>3-</w:t>
      </w:r>
      <w:r w:rsidR="005F7DA6">
        <w:t>2</w:t>
      </w:r>
      <w:r w:rsidRPr="00EB1041">
        <w:t xml:space="preserve"> show that the</w:t>
      </w:r>
      <w:r w:rsidR="0009232A">
        <w:t xml:space="preserve"> residential models</w:t>
      </w:r>
      <w:r w:rsidRPr="00EB1041">
        <w:t xml:space="preserve"> do </w:t>
      </w:r>
      <w:r w:rsidR="002C5429">
        <w:t>fit load</w:t>
      </w:r>
      <w:r w:rsidRPr="00EB1041">
        <w:t xml:space="preserve"> </w:t>
      </w:r>
      <w:r w:rsidR="002C5429">
        <w:t xml:space="preserve">accurately </w:t>
      </w:r>
      <w:r w:rsidRPr="00EB1041">
        <w:t>for the high-temperature periods during the summer of 201</w:t>
      </w:r>
      <w:r w:rsidR="00CF1287">
        <w:t>1</w:t>
      </w:r>
      <w:r w:rsidRPr="00EB1041">
        <w:t xml:space="preserve">.  </w:t>
      </w:r>
      <w:r w:rsidRPr="00EB1041">
        <w:lastRenderedPageBreak/>
        <w:t xml:space="preserve">Figure </w:t>
      </w:r>
      <w:r w:rsidR="005F7DA6">
        <w:t>3-1</w:t>
      </w:r>
      <w:r w:rsidRPr="00EB1041">
        <w:t xml:space="preserve"> shows the average actual hourly load in the residential sample and the predicted hourly load for afternoon non-event hours between 1 PM and 6 PM when the temperature exceeds </w:t>
      </w:r>
      <w:r>
        <w:t>80</w:t>
      </w:r>
      <w:r>
        <w:rPr>
          <w:rFonts w:cs="Arial"/>
          <w:szCs w:val="18"/>
        </w:rPr>
        <w:t>°</w:t>
      </w:r>
      <w:r>
        <w:rPr>
          <w:szCs w:val="18"/>
        </w:rPr>
        <w:t>F</w:t>
      </w:r>
      <w:r w:rsidRPr="00EB1041">
        <w:t>.  Bias in these figures would show itself as a persistent difference between actual and predicted values in one direction.  For example, if the actual values strongly tended to be above the predicted values,</w:t>
      </w:r>
      <w:r>
        <w:t xml:space="preserve"> then</w:t>
      </w:r>
      <w:r w:rsidRPr="00EB1041">
        <w:t xml:space="preserve"> that would indicate that the model under-predicted load at high temperatures</w:t>
      </w:r>
      <w:r w:rsidR="008C3A15">
        <w:t xml:space="preserve">. </w:t>
      </w:r>
      <w:r w:rsidR="00D939CF">
        <w:t xml:space="preserve"> </w:t>
      </w:r>
      <w:r w:rsidRPr="00EB1041">
        <w:t>There is little systematic difference between the predicted and actual loads</w:t>
      </w:r>
      <w:r w:rsidR="00FA60B9">
        <w:t xml:space="preserve"> as shown</w:t>
      </w:r>
      <w:r w:rsidRPr="00EB1041">
        <w:t xml:space="preserve"> in </w:t>
      </w:r>
      <w:r w:rsidR="00A666B8">
        <w:t>the</w:t>
      </w:r>
      <w:r w:rsidRPr="00EB1041">
        <w:t xml:space="preserve"> figure.  On average, residential </w:t>
      </w:r>
      <w:r>
        <w:t>predicted</w:t>
      </w:r>
      <w:r w:rsidRPr="00EB1041">
        <w:t xml:space="preserve"> loads exceed the </w:t>
      </w:r>
      <w:r>
        <w:t>actual</w:t>
      </w:r>
      <w:r w:rsidRPr="00EB1041">
        <w:t xml:space="preserve"> loads by </w:t>
      </w:r>
      <w:r w:rsidR="008C3A15">
        <w:t>2</w:t>
      </w:r>
      <w:r>
        <w:t xml:space="preserve">%. </w:t>
      </w:r>
    </w:p>
    <w:p w:rsidR="00A57221" w:rsidRDefault="00A57221" w:rsidP="00A57221">
      <w:pPr>
        <w:pStyle w:val="TableFigureCaption"/>
      </w:pPr>
      <w:r w:rsidRPr="00EB1041">
        <w:t xml:space="preserve">Figure </w:t>
      </w:r>
      <w:r w:rsidR="005F7DA6">
        <w:t>3-1</w:t>
      </w:r>
      <w:r w:rsidRPr="00EB1041">
        <w:t>:</w:t>
      </w:r>
      <w:r w:rsidR="00B304F1">
        <w:t xml:space="preserve"> </w:t>
      </w:r>
      <w:r w:rsidRPr="00EB1041">
        <w:t xml:space="preserve">Actual and </w:t>
      </w:r>
      <w:r>
        <w:t>P</w:t>
      </w:r>
      <w:r w:rsidRPr="00EB1041">
        <w:t xml:space="preserve">redicted </w:t>
      </w:r>
      <w:r>
        <w:t>A</w:t>
      </w:r>
      <w:r w:rsidRPr="00EB1041">
        <w:t xml:space="preserve">verage </w:t>
      </w:r>
      <w:r>
        <w:t>R</w:t>
      </w:r>
      <w:r w:rsidRPr="00EB1041">
        <w:t xml:space="preserve">esidential </w:t>
      </w:r>
      <w:r>
        <w:t>L</w:t>
      </w:r>
      <w:r w:rsidRPr="00EB1041">
        <w:t xml:space="preserve">oad for 1 PM to 6 PM, </w:t>
      </w:r>
      <w:r>
        <w:t>N</w:t>
      </w:r>
      <w:r w:rsidRPr="00EB1041">
        <w:t xml:space="preserve">on-event </w:t>
      </w:r>
      <w:r>
        <w:t>D</w:t>
      </w:r>
      <w:r w:rsidRPr="00EB1041">
        <w:t xml:space="preserve">ays </w:t>
      </w:r>
      <w:r>
        <w:t>When the T</w:t>
      </w:r>
      <w:r w:rsidRPr="00EB1041">
        <w:t xml:space="preserve">emperature </w:t>
      </w:r>
      <w:r>
        <w:t>E</w:t>
      </w:r>
      <w:r w:rsidRPr="00EB1041">
        <w:t xml:space="preserve">xceeds </w:t>
      </w:r>
      <w:r>
        <w:t>80</w:t>
      </w:r>
      <w:r>
        <w:rPr>
          <w:rFonts w:cs="Arial"/>
          <w:szCs w:val="18"/>
        </w:rPr>
        <w:t>°</w:t>
      </w:r>
      <w:r>
        <w:rPr>
          <w:szCs w:val="18"/>
        </w:rPr>
        <w:t>F</w:t>
      </w:r>
    </w:p>
    <w:p w:rsidR="00A57221" w:rsidRDefault="003277EF" w:rsidP="003277EF">
      <w:pPr>
        <w:pStyle w:val="BodyParagraph"/>
        <w:jc w:val="center"/>
      </w:pPr>
      <w:r w:rsidRPr="003277EF">
        <w:rPr>
          <w:noProof/>
        </w:rPr>
        <w:drawing>
          <wp:inline distT="0" distB="0" distL="0" distR="0">
            <wp:extent cx="5133975" cy="3762374"/>
            <wp:effectExtent l="19050" t="0" r="9525"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57221" w:rsidRDefault="00A57221" w:rsidP="005F7DA6">
      <w:pPr>
        <w:pStyle w:val="BodyParaAfterTableFigure"/>
      </w:pPr>
      <w:r w:rsidRPr="00EB1041">
        <w:t xml:space="preserve">In addition to checking how well the model predicts load at non-event times, it is also important to verify that the model predicts load well during event periods.  Figure </w:t>
      </w:r>
      <w:r>
        <w:t>3-</w:t>
      </w:r>
      <w:r w:rsidR="005F7DA6">
        <w:t>2</w:t>
      </w:r>
      <w:r w:rsidR="008C3A15">
        <w:t xml:space="preserve"> shows the predicted versus actual values during the 2011 events </w:t>
      </w:r>
      <w:r w:rsidRPr="00EB1041">
        <w:t xml:space="preserve">when the temperature exceeds </w:t>
      </w:r>
      <w:r>
        <w:t>80</w:t>
      </w:r>
      <w:r>
        <w:rPr>
          <w:rFonts w:cs="Arial"/>
          <w:szCs w:val="18"/>
        </w:rPr>
        <w:t>°</w:t>
      </w:r>
      <w:r>
        <w:rPr>
          <w:szCs w:val="18"/>
        </w:rPr>
        <w:t>F</w:t>
      </w:r>
      <w:r w:rsidR="00A666B8">
        <w:rPr>
          <w:szCs w:val="18"/>
        </w:rPr>
        <w:t>. This includes all 2011 event hours except those on September 9</w:t>
      </w:r>
      <w:r w:rsidR="008C3A15">
        <w:t>.  For residential households</w:t>
      </w:r>
      <w:r w:rsidRPr="00EB1041">
        <w:t xml:space="preserve">, the </w:t>
      </w:r>
      <w:r w:rsidR="00E13981">
        <w:t xml:space="preserve">actual </w:t>
      </w:r>
      <w:r>
        <w:t>loa</w:t>
      </w:r>
      <w:r w:rsidR="00E13981">
        <w:t>d exceeds the predicted load by less than 1</w:t>
      </w:r>
      <w:r>
        <w:t>%.</w:t>
      </w:r>
    </w:p>
    <w:p w:rsidR="00A57221" w:rsidRPr="00EB1041" w:rsidRDefault="00A57221" w:rsidP="00A57221">
      <w:pPr>
        <w:pStyle w:val="TableFigureCaption"/>
      </w:pPr>
      <w:r w:rsidRPr="00EB1041">
        <w:lastRenderedPageBreak/>
        <w:t xml:space="preserve">Figure </w:t>
      </w:r>
      <w:r w:rsidR="005F7DA6">
        <w:t>3-2</w:t>
      </w:r>
      <w:r w:rsidRPr="00EB1041">
        <w:t>:</w:t>
      </w:r>
      <w:r w:rsidR="00B304F1">
        <w:t xml:space="preserve"> </w:t>
      </w:r>
      <w:r w:rsidRPr="00EB1041">
        <w:t xml:space="preserve">Actual </w:t>
      </w:r>
      <w:r w:rsidRPr="00741D3C">
        <w:t>and</w:t>
      </w:r>
      <w:r w:rsidRPr="00EB1041">
        <w:t xml:space="preserve"> </w:t>
      </w:r>
      <w:r>
        <w:t>P</w:t>
      </w:r>
      <w:r w:rsidRPr="00EB1041">
        <w:t xml:space="preserve">redicted </w:t>
      </w:r>
      <w:r>
        <w:t>A</w:t>
      </w:r>
      <w:r w:rsidRPr="00EB1041">
        <w:t xml:space="preserve">verage </w:t>
      </w:r>
      <w:r>
        <w:t>Residential</w:t>
      </w:r>
      <w:r w:rsidRPr="00EB1041">
        <w:t xml:space="preserve"> </w:t>
      </w:r>
      <w:r>
        <w:t>L</w:t>
      </w:r>
      <w:r w:rsidRPr="00EB1041">
        <w:t xml:space="preserve">oad for </w:t>
      </w:r>
      <w:r>
        <w:t>Event Hours</w:t>
      </w:r>
      <w:r w:rsidRPr="00EB1041">
        <w:t xml:space="preserve"> </w:t>
      </w:r>
      <w:r>
        <w:t>W</w:t>
      </w:r>
      <w:r w:rsidRPr="00EB1041">
        <w:t xml:space="preserve">hen the </w:t>
      </w:r>
      <w:r>
        <w:t>Temperature E</w:t>
      </w:r>
      <w:r w:rsidRPr="00EB1041">
        <w:t xml:space="preserve">xceeds </w:t>
      </w:r>
      <w:r>
        <w:t>80</w:t>
      </w:r>
      <w:r>
        <w:rPr>
          <w:rFonts w:cs="Arial"/>
          <w:szCs w:val="18"/>
        </w:rPr>
        <w:t>°</w:t>
      </w:r>
      <w:r>
        <w:rPr>
          <w:szCs w:val="18"/>
        </w:rPr>
        <w:t>F</w:t>
      </w:r>
      <w:r w:rsidRPr="00EB1041" w:rsidDel="00BF599D">
        <w:t xml:space="preserve"> </w:t>
      </w:r>
    </w:p>
    <w:p w:rsidR="00A57221" w:rsidRDefault="003277EF" w:rsidP="003277EF">
      <w:pPr>
        <w:pStyle w:val="BodyParagraph"/>
        <w:jc w:val="center"/>
      </w:pPr>
      <w:r w:rsidRPr="003277EF">
        <w:rPr>
          <w:noProof/>
        </w:rPr>
        <w:drawing>
          <wp:inline distT="0" distB="0" distL="0" distR="0">
            <wp:extent cx="4894856" cy="3593990"/>
            <wp:effectExtent l="19050" t="0" r="20044" b="646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666B8" w:rsidRPr="00EB1041" w:rsidRDefault="00A666B8" w:rsidP="00A666B8">
      <w:pPr>
        <w:pStyle w:val="BodyParaAfterTableFigure"/>
      </w:pPr>
      <w:r>
        <w:t>T</w:t>
      </w:r>
      <w:r w:rsidRPr="00EB1041">
        <w:t xml:space="preserve">hese figures do not necessarily indicate that the model is good at </w:t>
      </w:r>
      <w:r>
        <w:t xml:space="preserve">predicting in </w:t>
      </w:r>
      <w:r w:rsidR="0063534A">
        <w:t xml:space="preserve">the </w:t>
      </w:r>
      <w:r>
        <w:t xml:space="preserve">ex ante </w:t>
      </w:r>
      <w:r w:rsidR="0063534A">
        <w:t>application</w:t>
      </w:r>
      <w:r w:rsidRPr="00EB1041">
        <w:t xml:space="preserve"> </w:t>
      </w:r>
      <w:r>
        <w:t>b</w:t>
      </w:r>
      <w:r w:rsidRPr="00EB1041">
        <w:t>ecause these values are predictions for conditions used to fit the model</w:t>
      </w:r>
      <w:r>
        <w:t xml:space="preserve">.  </w:t>
      </w:r>
      <w:r w:rsidRPr="00EB1041">
        <w:t>Instead, these figures show that there is only a small amount of variation in the existing data that the model does not account for</w:t>
      </w:r>
      <w:r w:rsidR="004E06FB">
        <w:t xml:space="preserve"> at the higher temperature levels</w:t>
      </w:r>
      <w:r>
        <w:t>.</w:t>
      </w:r>
    </w:p>
    <w:p w:rsidR="00A57221" w:rsidRDefault="00A57221" w:rsidP="00BD6DEC">
      <w:pPr>
        <w:pStyle w:val="Heading4"/>
      </w:pPr>
      <w:r>
        <w:t>Out</w:t>
      </w:r>
      <w:r w:rsidR="005F7DA6">
        <w:t>-of-s</w:t>
      </w:r>
      <w:r>
        <w:t>ample Testing</w:t>
      </w:r>
    </w:p>
    <w:p w:rsidR="00A57221" w:rsidRPr="00EB1041" w:rsidRDefault="00A57221" w:rsidP="00A57221">
      <w:pPr>
        <w:pStyle w:val="BodyParagraph"/>
      </w:pPr>
      <w:r w:rsidRPr="00EB1041">
        <w:rPr>
          <w:rFonts w:cs="Arial"/>
        </w:rPr>
        <w:t xml:space="preserve">As a second and more stringent test, the model </w:t>
      </w:r>
      <w:r>
        <w:rPr>
          <w:rFonts w:cs="Arial"/>
        </w:rPr>
        <w:t>must</w:t>
      </w:r>
      <w:r w:rsidRPr="00EB1041">
        <w:rPr>
          <w:rFonts w:cs="Arial"/>
        </w:rPr>
        <w:t xml:space="preserve"> do well in out-of-sample testing on days included in the 201</w:t>
      </w:r>
      <w:r w:rsidR="008C357F">
        <w:rPr>
          <w:rFonts w:cs="Arial"/>
        </w:rPr>
        <w:t>1</w:t>
      </w:r>
      <w:r w:rsidRPr="00EB1041">
        <w:rPr>
          <w:rFonts w:cs="Arial"/>
        </w:rPr>
        <w:t xml:space="preserve"> dataset.  </w:t>
      </w:r>
      <w:r w:rsidRPr="00EB1041">
        <w:t>The procedure for out-of-sample testing consist</w:t>
      </w:r>
      <w:r w:rsidR="0063534A">
        <w:t>s</w:t>
      </w:r>
      <w:r w:rsidRPr="00EB1041">
        <w:t xml:space="preserve"> of </w:t>
      </w:r>
      <w:r w:rsidR="00270B6D">
        <w:t>re-</w:t>
      </w:r>
      <w:r w:rsidR="0078384D">
        <w:t>estimating</w:t>
      </w:r>
      <w:r w:rsidR="0078384D" w:rsidRPr="00EB1041">
        <w:t xml:space="preserve"> </w:t>
      </w:r>
      <w:r w:rsidRPr="00EB1041">
        <w:t xml:space="preserve">the </w:t>
      </w:r>
      <w:r w:rsidR="00791CB3">
        <w:t>model</w:t>
      </w:r>
      <w:r w:rsidR="0078384D">
        <w:t xml:space="preserve"> </w:t>
      </w:r>
      <w:r w:rsidR="00791CB3">
        <w:t xml:space="preserve">while </w:t>
      </w:r>
      <w:r w:rsidRPr="00EB1041">
        <w:t xml:space="preserve">holding back some of the hot non-event days of the summer from the estimation.  </w:t>
      </w:r>
      <w:r w:rsidR="00B103D0">
        <w:t>P</w:t>
      </w:r>
      <w:r w:rsidRPr="00EB1041">
        <w:t xml:space="preserve">redicted loads were </w:t>
      </w:r>
      <w:r w:rsidR="00B103D0">
        <w:t xml:space="preserve">then </w:t>
      </w:r>
      <w:r w:rsidRPr="00EB1041">
        <w:t xml:space="preserve">compared to </w:t>
      </w:r>
      <w:r w:rsidR="00A666B8">
        <w:t xml:space="preserve">the </w:t>
      </w:r>
      <w:r w:rsidRPr="00EB1041">
        <w:t>actual loads on the days held back.  This is a true test of the regression model’s predictive power for weather conditions actually observed during the summer of 201</w:t>
      </w:r>
      <w:r w:rsidR="008C357F">
        <w:t>1</w:t>
      </w:r>
      <w:r w:rsidRPr="00EB1041">
        <w:t xml:space="preserve">.  </w:t>
      </w:r>
    </w:p>
    <w:p w:rsidR="00A57221" w:rsidRDefault="00A57221" w:rsidP="00A57221">
      <w:pPr>
        <w:pStyle w:val="BodyParagraph"/>
      </w:pPr>
      <w:r w:rsidRPr="00EB1041">
        <w:t xml:space="preserve">Figure </w:t>
      </w:r>
      <w:r w:rsidR="005F7DA6">
        <w:t>3-3</w:t>
      </w:r>
      <w:r w:rsidRPr="00EB1041">
        <w:t xml:space="preserve"> shows the actual average hourly energy use of residential </w:t>
      </w:r>
      <w:r w:rsidR="00791CB3">
        <w:t>households for the out-of-sample days</w:t>
      </w:r>
      <w:r w:rsidR="00EA131E">
        <w:t>,</w:t>
      </w:r>
      <w:r w:rsidR="00291D87">
        <w:t xml:space="preserve"> July 6, July 8, and September 6.</w:t>
      </w:r>
      <w:r w:rsidRPr="00EB1041">
        <w:t xml:space="preserve">  The close match between predicted values and actual </w:t>
      </w:r>
      <w:r w:rsidRPr="008C09AF">
        <w:t>values</w:t>
      </w:r>
      <w:r w:rsidRPr="00EB1041">
        <w:t xml:space="preserve"> reflects the ability of the regressions to predict accurately.  For residential customers, </w:t>
      </w:r>
      <w:r w:rsidR="003417FD">
        <w:t xml:space="preserve">the average absolute difference between predicted and actual load is approximately 3% </w:t>
      </w:r>
      <w:r w:rsidRPr="00EB1041">
        <w:t xml:space="preserve">during the hours </w:t>
      </w:r>
      <w:r>
        <w:t xml:space="preserve">of </w:t>
      </w:r>
      <w:r w:rsidRPr="00EB1041">
        <w:t xml:space="preserve">1 PM to 6 PM.  </w:t>
      </w:r>
    </w:p>
    <w:p w:rsidR="00A57221" w:rsidRDefault="00A57221" w:rsidP="00A57221">
      <w:pPr>
        <w:pStyle w:val="TableFigureCaption"/>
      </w:pPr>
      <w:r>
        <w:lastRenderedPageBreak/>
        <w:t>Figure 3-</w:t>
      </w:r>
      <w:r w:rsidR="005F7DA6">
        <w:t>3</w:t>
      </w:r>
      <w:r>
        <w:t>:</w:t>
      </w:r>
      <w:r w:rsidR="00B304F1">
        <w:t xml:space="preserve"> </w:t>
      </w:r>
      <w:r w:rsidRPr="00EB1041">
        <w:t xml:space="preserve">Average Residential </w:t>
      </w:r>
      <w:r w:rsidR="00DB5C3A">
        <w:t>Whole-</w:t>
      </w:r>
      <w:r w:rsidR="00A666B8">
        <w:t>B</w:t>
      </w:r>
      <w:r w:rsidR="00DB5C3A">
        <w:t>uilding</w:t>
      </w:r>
      <w:r w:rsidRPr="00EB1041">
        <w:t xml:space="preserve"> Actual and </w:t>
      </w:r>
      <w:r w:rsidR="00B304F1">
        <w:br/>
      </w:r>
      <w:r w:rsidRPr="00EB1041">
        <w:t>Predicted Load for Out-of</w:t>
      </w:r>
      <w:r>
        <w:t>-</w:t>
      </w:r>
      <w:r w:rsidR="005F7DA6">
        <w:t>s</w:t>
      </w:r>
      <w:r w:rsidRPr="00EB1041">
        <w:t>ample Days</w:t>
      </w:r>
    </w:p>
    <w:p w:rsidR="001D7242" w:rsidRDefault="00CF088A" w:rsidP="001D7242">
      <w:pPr>
        <w:pStyle w:val="BodyParagraph"/>
        <w:jc w:val="center"/>
      </w:pPr>
      <w:r w:rsidRPr="00CF088A">
        <w:rPr>
          <w:noProof/>
        </w:rPr>
        <w:drawing>
          <wp:inline distT="0" distB="0" distL="0" distR="0">
            <wp:extent cx="5061833" cy="3641698"/>
            <wp:effectExtent l="19050" t="0" r="24517" b="0"/>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57221" w:rsidRDefault="00A57221" w:rsidP="00FF24B8">
      <w:pPr>
        <w:pStyle w:val="BodyParaAfterTableFigure"/>
      </w:pPr>
      <w:r w:rsidRPr="00EB1041">
        <w:t xml:space="preserve">The final test </w:t>
      </w:r>
      <w:r w:rsidR="00B103D0">
        <w:t xml:space="preserve">of </w:t>
      </w:r>
      <w:r w:rsidRPr="00EB1041">
        <w:t xml:space="preserve">the model is one of general plausibility in predicting </w:t>
      </w:r>
      <w:r w:rsidR="001D7242">
        <w:t xml:space="preserve">loads during </w:t>
      </w:r>
      <w:r w:rsidR="00A666B8">
        <w:t xml:space="preserve">the </w:t>
      </w:r>
      <w:r w:rsidR="001D7242">
        <w:t xml:space="preserve">event periods and </w:t>
      </w:r>
      <w:r w:rsidRPr="00EB1041">
        <w:t>for the ex ante weather conditions.  This test is less well-specified</w:t>
      </w:r>
      <w:r w:rsidR="00A666B8">
        <w:t xml:space="preserve"> </w:t>
      </w:r>
      <w:r w:rsidRPr="00EB1041">
        <w:t xml:space="preserve">but consists of producing reasonable </w:t>
      </w:r>
      <w:r w:rsidR="00AB35F4">
        <w:t xml:space="preserve">household </w:t>
      </w:r>
      <w:r w:rsidRPr="00EB1041">
        <w:t xml:space="preserve">load patterns as a function of weather as </w:t>
      </w:r>
      <w:r w:rsidRPr="008C09AF">
        <w:t>compared</w:t>
      </w:r>
      <w:r w:rsidRPr="00EB1041">
        <w:t xml:space="preserve"> to results in past years, results from other programs and general knowledge about how the program works.  This reality-check test is a crucial way to test the assumptions that go into the model.  </w:t>
      </w:r>
      <w:r w:rsidR="0078384D">
        <w:t xml:space="preserve">The ex ante estimates that will be presented in a future report were carefully reviewed and generally display the expected patterns across event conditions and are consistent with other studies after judgmentally accounting for expected differences due to weather conditions and other factors.  </w:t>
      </w:r>
    </w:p>
    <w:p w:rsidR="00011B71" w:rsidRDefault="002271DB">
      <w:pPr>
        <w:pStyle w:val="Heading3"/>
      </w:pPr>
      <w:bookmarkStart w:id="12" w:name="_Toc325370144"/>
      <w:r>
        <w:t>Day-</w:t>
      </w:r>
      <w:r w:rsidR="00D939CF">
        <w:t>m</w:t>
      </w:r>
      <w:r>
        <w:t xml:space="preserve">atching </w:t>
      </w:r>
      <w:r w:rsidR="00B07F18">
        <w:t>for Commercial Customers</w:t>
      </w:r>
      <w:bookmarkEnd w:id="12"/>
    </w:p>
    <w:p w:rsidR="00013DC8" w:rsidRDefault="000B6034" w:rsidP="00A93AE9">
      <w:pPr>
        <w:pStyle w:val="BodyParagraph"/>
      </w:pPr>
      <w:r>
        <w:t xml:space="preserve">As noted above, complications arose due to the unique nature of </w:t>
      </w:r>
      <w:r w:rsidR="00270B6D">
        <w:t xml:space="preserve">the 2011 </w:t>
      </w:r>
      <w:r>
        <w:t xml:space="preserve">event days which led to the use of a day-matching method to produce commercial ex post impact estimates.  </w:t>
      </w:r>
      <w:r w:rsidR="002271DB">
        <w:t xml:space="preserve">Under this method, each event day was matched with a non-event day that appeared to provide an accurate reference load based on pre-event, event-period and post-event loads.  </w:t>
      </w:r>
      <w:r w:rsidR="00013DC8">
        <w:t xml:space="preserve">The underlying concept is that even after accounting for the effects of weather, loads remain highly correlated throughout the day.  Observing </w:t>
      </w:r>
      <w:r w:rsidR="00BF3BA2">
        <w:t>that loads on an event day and non-event day are very close in the hours before an event and after an event is strongly suggestive that loads during the event would have been similar had the event not occurred.</w:t>
      </w:r>
      <w:r w:rsidR="00B07F18" w:rsidRPr="00B07F18">
        <w:rPr>
          <w:rStyle w:val="FootnoteReference"/>
        </w:rPr>
        <w:t xml:space="preserve"> </w:t>
      </w:r>
      <w:r w:rsidR="00B07F18">
        <w:rPr>
          <w:rStyle w:val="FootnoteReference"/>
        </w:rPr>
        <w:footnoteReference w:id="12"/>
      </w:r>
    </w:p>
    <w:p w:rsidR="002271DB" w:rsidRDefault="00BF3BA2" w:rsidP="00001505">
      <w:pPr>
        <w:pStyle w:val="BodyBeforeBullet"/>
      </w:pPr>
      <w:r>
        <w:lastRenderedPageBreak/>
        <w:t xml:space="preserve">With this conceptual framework in mind, </w:t>
      </w:r>
      <w:r w:rsidR="002271DB">
        <w:t xml:space="preserve">a day’s load </w:t>
      </w:r>
      <w:r>
        <w:t xml:space="preserve">had to satisfy three basic criteria </w:t>
      </w:r>
      <w:r w:rsidR="002271DB">
        <w:t>to be judged to be suitable as a reference load for an event day:</w:t>
      </w:r>
    </w:p>
    <w:p w:rsidR="002271DB" w:rsidRDefault="002271DB" w:rsidP="002271DB">
      <w:pPr>
        <w:pStyle w:val="Bullets"/>
      </w:pPr>
      <w:r>
        <w:t xml:space="preserve">The event day </w:t>
      </w:r>
      <w:r w:rsidR="00A93AE9">
        <w:t xml:space="preserve">average </w:t>
      </w:r>
      <w:r>
        <w:t xml:space="preserve">loads during the </w:t>
      </w:r>
      <w:r w:rsidR="00A93AE9">
        <w:t xml:space="preserve">three </w:t>
      </w:r>
      <w:r>
        <w:t xml:space="preserve">hours before the event had to be </w:t>
      </w:r>
      <w:r w:rsidR="00A93AE9">
        <w:t xml:space="preserve">at least as </w:t>
      </w:r>
      <w:r>
        <w:t xml:space="preserve">close to the </w:t>
      </w:r>
      <w:r w:rsidR="00A93AE9">
        <w:t xml:space="preserve">average </w:t>
      </w:r>
      <w:r>
        <w:t>loads on the reference day during the same hours</w:t>
      </w:r>
      <w:r w:rsidR="00A93AE9">
        <w:t xml:space="preserve"> as they were to the average loads during those hours on any other non-event </w:t>
      </w:r>
      <w:r w:rsidR="0025721F">
        <w:t>week</w:t>
      </w:r>
      <w:r w:rsidR="00A93AE9">
        <w:t>day.  In other words, there was no day with pre-event average loads closer to those on the event day than the reference day chosen</w:t>
      </w:r>
      <w:r>
        <w:t>;</w:t>
      </w:r>
    </w:p>
    <w:p w:rsidR="002271DB" w:rsidRDefault="002271DB" w:rsidP="002271DB">
      <w:pPr>
        <w:pStyle w:val="Bullets"/>
      </w:pPr>
      <w:r>
        <w:t>The event day loads during the event hours had to be below the loads on the reference day during the same hours; and</w:t>
      </w:r>
    </w:p>
    <w:p w:rsidR="002271DB" w:rsidRDefault="002271DB" w:rsidP="002271DB">
      <w:pPr>
        <w:pStyle w:val="BulletLast"/>
      </w:pPr>
      <w:r>
        <w:t xml:space="preserve">The event day loads during the three hours immediately after the event had to be near to or higher than the loads on the reference day during the same hours.  </w:t>
      </w:r>
    </w:p>
    <w:p w:rsidR="002271DB" w:rsidRDefault="002271DB" w:rsidP="002271DB">
      <w:pPr>
        <w:pStyle w:val="BodyParagraph"/>
      </w:pPr>
      <w:r>
        <w:t xml:space="preserve">September 7 and August 26 had such high loads that no non-event day had loads that satisfied </w:t>
      </w:r>
      <w:r w:rsidR="00A93AE9">
        <w:t xml:space="preserve">all </w:t>
      </w:r>
      <w:r>
        <w:t xml:space="preserve">the criteria.  This was also true for using day-matching to model the impacts of the first two hours of the event on September 8, which was interrupted by the blackout.  For these cases, the non-event day with the highest load was chosen and a same-day adjustment was applied.  A same-day adjustment is a way to account for known biases in a reference load.  In this case, the fact that that load in the hour immediately before the event is much higher than the highest available reference day load indicates the high likelihood of a downward bias in the reference load during the event.  To partially correct this bias, the reference load is adjusted by adding to it the difference between event day load and the reference day load during the hour immediately before the event.  </w:t>
      </w:r>
      <w:r w:rsidR="0058484B">
        <w:t>T</w:t>
      </w:r>
      <w:r>
        <w:t xml:space="preserve">his adjustment is </w:t>
      </w:r>
      <w:r w:rsidR="0058484B">
        <w:t xml:space="preserve">calculated separately for each cycling option of each customer segment and </w:t>
      </w:r>
      <w:r>
        <w:t xml:space="preserve">applied to the day-matching reference load for each event day.  </w:t>
      </w:r>
    </w:p>
    <w:p w:rsidR="003D707E" w:rsidRDefault="00001505" w:rsidP="002271DB">
      <w:pPr>
        <w:pStyle w:val="BodyParagraph"/>
      </w:pPr>
      <w:r>
        <w:t>Table 3</w:t>
      </w:r>
      <w:r w:rsidR="003D707E">
        <w:t>-</w:t>
      </w:r>
      <w:r>
        <w:t>5</w:t>
      </w:r>
      <w:r w:rsidR="003D707E">
        <w:t xml:space="preserve"> shows the days that were chosen to provide reference load for each ex po</w:t>
      </w:r>
      <w:r w:rsidR="009A533B">
        <w:t xml:space="preserve">st event day.  Appendix </w:t>
      </w:r>
      <w:r w:rsidR="00011B71">
        <w:t>B</w:t>
      </w:r>
      <w:r w:rsidR="009A533B">
        <w:t xml:space="preserve"> shows graphs of the load shapes and adjusted load shapes for each event day load and reference day load.</w:t>
      </w:r>
    </w:p>
    <w:p w:rsidR="009A533B" w:rsidRDefault="009A533B" w:rsidP="0078384D">
      <w:pPr>
        <w:pStyle w:val="TableFigureCaption"/>
      </w:pPr>
      <w:r>
        <w:t xml:space="preserve">Table </w:t>
      </w:r>
      <w:r w:rsidR="00001505">
        <w:t>3</w:t>
      </w:r>
      <w:r>
        <w:t>-</w:t>
      </w:r>
      <w:r w:rsidR="00001505">
        <w:t>5</w:t>
      </w:r>
      <w:r>
        <w:t>:</w:t>
      </w:r>
      <w:r w:rsidR="00B304F1">
        <w:t xml:space="preserve"> </w:t>
      </w:r>
      <w:r>
        <w:t>Event Days and Matched Reference Load Days</w:t>
      </w:r>
      <w:r w:rsidR="00B07F18">
        <w:t xml:space="preserve"> for Commercial Customers</w:t>
      </w:r>
    </w:p>
    <w:tbl>
      <w:tblPr>
        <w:tblW w:w="3501" w:type="dxa"/>
        <w:jc w:val="center"/>
        <w:tblLook w:val="04A0"/>
      </w:tblPr>
      <w:tblGrid>
        <w:gridCol w:w="1661"/>
        <w:gridCol w:w="1840"/>
      </w:tblGrid>
      <w:tr w:rsidR="002A4511" w:rsidRPr="009A533B" w:rsidTr="005800E4">
        <w:trPr>
          <w:trHeight w:val="710"/>
          <w:jc w:val="center"/>
        </w:trPr>
        <w:tc>
          <w:tcPr>
            <w:tcW w:w="1661" w:type="dxa"/>
            <w:tcBorders>
              <w:top w:val="single" w:sz="4" w:space="0" w:color="auto"/>
              <w:left w:val="single" w:sz="4" w:space="0" w:color="auto"/>
              <w:bottom w:val="single" w:sz="4" w:space="0" w:color="auto"/>
              <w:right w:val="single" w:sz="4" w:space="0" w:color="FFFFFF" w:themeColor="background1"/>
            </w:tcBorders>
            <w:shd w:val="clear" w:color="000000" w:fill="1F497D"/>
            <w:noWrap/>
            <w:vAlign w:val="center"/>
            <w:hideMark/>
          </w:tcPr>
          <w:p w:rsidR="002A4511" w:rsidRPr="009A533B" w:rsidRDefault="002A4511" w:rsidP="0078384D">
            <w:pPr>
              <w:pStyle w:val="TableHeader"/>
              <w:keepNext/>
            </w:pPr>
            <w:r w:rsidRPr="009A533B">
              <w:t>Event Day</w:t>
            </w:r>
          </w:p>
        </w:tc>
        <w:tc>
          <w:tcPr>
            <w:tcW w:w="1840" w:type="dxa"/>
            <w:tcBorders>
              <w:top w:val="single" w:sz="4" w:space="0" w:color="auto"/>
              <w:left w:val="single" w:sz="4" w:space="0" w:color="FFFFFF" w:themeColor="background1"/>
              <w:bottom w:val="single" w:sz="4" w:space="0" w:color="auto"/>
              <w:right w:val="single" w:sz="4" w:space="0" w:color="auto"/>
            </w:tcBorders>
            <w:shd w:val="clear" w:color="000000" w:fill="1F497D"/>
            <w:noWrap/>
            <w:vAlign w:val="center"/>
            <w:hideMark/>
          </w:tcPr>
          <w:p w:rsidR="002A4511" w:rsidRPr="009A533B" w:rsidRDefault="002A4511" w:rsidP="0078384D">
            <w:pPr>
              <w:pStyle w:val="TableHeader"/>
              <w:keepNext/>
            </w:pPr>
            <w:r>
              <w:t>Matched Days</w:t>
            </w:r>
          </w:p>
        </w:tc>
      </w:tr>
      <w:tr w:rsidR="002A4511" w:rsidRPr="009A533B" w:rsidTr="00B07F18">
        <w:trPr>
          <w:trHeight w:val="300"/>
          <w:jc w:val="center"/>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4511" w:rsidRPr="009A533B" w:rsidRDefault="002A4511" w:rsidP="0078384D">
            <w:pPr>
              <w:pStyle w:val="TableText"/>
              <w:keepNext/>
              <w:jc w:val="center"/>
            </w:pPr>
            <w:r w:rsidRPr="009A533B">
              <w:t>26-Aug-11</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2A4511" w:rsidRPr="009A533B" w:rsidRDefault="002A4511" w:rsidP="0078384D">
            <w:pPr>
              <w:pStyle w:val="TableText"/>
              <w:keepNext/>
              <w:jc w:val="center"/>
            </w:pPr>
            <w:r w:rsidRPr="009A533B">
              <w:t>2-Aug-11</w:t>
            </w:r>
          </w:p>
        </w:tc>
      </w:tr>
      <w:tr w:rsidR="002A4511" w:rsidRPr="009A533B" w:rsidTr="00B07F18">
        <w:trPr>
          <w:trHeight w:val="300"/>
          <w:jc w:val="center"/>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2A4511" w:rsidRPr="009A533B" w:rsidRDefault="002A4511" w:rsidP="0078384D">
            <w:pPr>
              <w:pStyle w:val="TableText"/>
              <w:keepNext/>
              <w:jc w:val="center"/>
            </w:pPr>
            <w:r w:rsidRPr="009A533B">
              <w:t>7-Sep-11</w:t>
            </w:r>
          </w:p>
        </w:tc>
        <w:tc>
          <w:tcPr>
            <w:tcW w:w="1840" w:type="dxa"/>
            <w:tcBorders>
              <w:top w:val="nil"/>
              <w:left w:val="nil"/>
              <w:bottom w:val="single" w:sz="4" w:space="0" w:color="auto"/>
              <w:right w:val="single" w:sz="4" w:space="0" w:color="auto"/>
            </w:tcBorders>
            <w:shd w:val="clear" w:color="auto" w:fill="auto"/>
            <w:noWrap/>
            <w:vAlign w:val="bottom"/>
            <w:hideMark/>
          </w:tcPr>
          <w:p w:rsidR="002A4511" w:rsidRPr="009A533B" w:rsidRDefault="002A4511" w:rsidP="0078384D">
            <w:pPr>
              <w:pStyle w:val="TableText"/>
              <w:keepNext/>
              <w:jc w:val="center"/>
            </w:pPr>
            <w:r w:rsidRPr="009A533B">
              <w:t>2-Aug-11</w:t>
            </w:r>
          </w:p>
        </w:tc>
      </w:tr>
      <w:tr w:rsidR="002A4511" w:rsidRPr="009A533B" w:rsidTr="00B07F18">
        <w:trPr>
          <w:trHeight w:val="300"/>
          <w:jc w:val="center"/>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2A4511" w:rsidRPr="009A533B" w:rsidRDefault="002A4511" w:rsidP="0078384D">
            <w:pPr>
              <w:pStyle w:val="TableText"/>
              <w:keepNext/>
              <w:jc w:val="center"/>
            </w:pPr>
            <w:r w:rsidRPr="009A533B">
              <w:t>8-Sep-11</w:t>
            </w:r>
          </w:p>
        </w:tc>
        <w:tc>
          <w:tcPr>
            <w:tcW w:w="1840" w:type="dxa"/>
            <w:tcBorders>
              <w:top w:val="nil"/>
              <w:left w:val="nil"/>
              <w:bottom w:val="single" w:sz="4" w:space="0" w:color="auto"/>
              <w:right w:val="single" w:sz="4" w:space="0" w:color="auto"/>
            </w:tcBorders>
            <w:shd w:val="clear" w:color="auto" w:fill="auto"/>
            <w:noWrap/>
            <w:vAlign w:val="bottom"/>
            <w:hideMark/>
          </w:tcPr>
          <w:p w:rsidR="002A4511" w:rsidRPr="009A533B" w:rsidRDefault="002A4511" w:rsidP="0078384D">
            <w:pPr>
              <w:pStyle w:val="TableText"/>
              <w:keepNext/>
              <w:jc w:val="center"/>
            </w:pPr>
            <w:r w:rsidRPr="009A533B">
              <w:t>2-Aug-11</w:t>
            </w:r>
          </w:p>
        </w:tc>
      </w:tr>
      <w:tr w:rsidR="002A4511" w:rsidRPr="009A533B" w:rsidTr="00B07F18">
        <w:trPr>
          <w:trHeight w:val="300"/>
          <w:jc w:val="center"/>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2A4511" w:rsidRPr="009A533B" w:rsidRDefault="002A4511" w:rsidP="0078384D">
            <w:pPr>
              <w:pStyle w:val="TableText"/>
              <w:keepNext/>
              <w:jc w:val="center"/>
            </w:pPr>
            <w:r w:rsidRPr="009A533B">
              <w:t>9-Sep-11</w:t>
            </w:r>
          </w:p>
        </w:tc>
        <w:tc>
          <w:tcPr>
            <w:tcW w:w="1840" w:type="dxa"/>
            <w:tcBorders>
              <w:top w:val="nil"/>
              <w:left w:val="nil"/>
              <w:bottom w:val="single" w:sz="4" w:space="0" w:color="auto"/>
              <w:right w:val="single" w:sz="4" w:space="0" w:color="auto"/>
            </w:tcBorders>
            <w:shd w:val="clear" w:color="auto" w:fill="auto"/>
            <w:noWrap/>
            <w:vAlign w:val="bottom"/>
            <w:hideMark/>
          </w:tcPr>
          <w:p w:rsidR="002A4511" w:rsidRPr="009A533B" w:rsidRDefault="002A4511" w:rsidP="0078384D">
            <w:pPr>
              <w:pStyle w:val="TableText"/>
              <w:keepNext/>
              <w:jc w:val="center"/>
            </w:pPr>
            <w:r w:rsidRPr="009A533B">
              <w:t>7-Jul-11</w:t>
            </w:r>
          </w:p>
        </w:tc>
      </w:tr>
      <w:tr w:rsidR="002A4511" w:rsidRPr="009A533B" w:rsidTr="00B07F18">
        <w:trPr>
          <w:trHeight w:val="300"/>
          <w:jc w:val="center"/>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2A4511" w:rsidRPr="009A533B" w:rsidRDefault="002A4511" w:rsidP="0078384D">
            <w:pPr>
              <w:pStyle w:val="TableText"/>
              <w:keepNext/>
              <w:jc w:val="center"/>
            </w:pPr>
            <w:r w:rsidRPr="009A533B">
              <w:t>12-Oct-11</w:t>
            </w:r>
          </w:p>
        </w:tc>
        <w:tc>
          <w:tcPr>
            <w:tcW w:w="1840" w:type="dxa"/>
            <w:tcBorders>
              <w:top w:val="nil"/>
              <w:left w:val="nil"/>
              <w:bottom w:val="single" w:sz="4" w:space="0" w:color="auto"/>
              <w:right w:val="single" w:sz="4" w:space="0" w:color="auto"/>
            </w:tcBorders>
            <w:shd w:val="clear" w:color="auto" w:fill="auto"/>
            <w:noWrap/>
            <w:vAlign w:val="bottom"/>
            <w:hideMark/>
          </w:tcPr>
          <w:p w:rsidR="002A4511" w:rsidRPr="009A533B" w:rsidRDefault="002A4511" w:rsidP="0078384D">
            <w:pPr>
              <w:pStyle w:val="TableText"/>
              <w:keepNext/>
              <w:jc w:val="center"/>
            </w:pPr>
            <w:r w:rsidRPr="009A533B">
              <w:t>6-Sep-11</w:t>
            </w:r>
          </w:p>
        </w:tc>
      </w:tr>
      <w:tr w:rsidR="002A4511" w:rsidRPr="009A533B" w:rsidTr="00B07F18">
        <w:trPr>
          <w:trHeight w:val="300"/>
          <w:jc w:val="center"/>
        </w:trPr>
        <w:tc>
          <w:tcPr>
            <w:tcW w:w="1661" w:type="dxa"/>
            <w:tcBorders>
              <w:top w:val="nil"/>
              <w:left w:val="single" w:sz="4" w:space="0" w:color="auto"/>
              <w:bottom w:val="single" w:sz="4" w:space="0" w:color="auto"/>
              <w:right w:val="single" w:sz="4" w:space="0" w:color="auto"/>
            </w:tcBorders>
            <w:shd w:val="clear" w:color="auto" w:fill="auto"/>
            <w:noWrap/>
            <w:vAlign w:val="bottom"/>
            <w:hideMark/>
          </w:tcPr>
          <w:p w:rsidR="002A4511" w:rsidRPr="009A533B" w:rsidRDefault="002A4511" w:rsidP="00001505">
            <w:pPr>
              <w:pStyle w:val="TableText"/>
              <w:jc w:val="center"/>
            </w:pPr>
            <w:r w:rsidRPr="009A533B">
              <w:t>13-Oct-11</w:t>
            </w:r>
          </w:p>
        </w:tc>
        <w:tc>
          <w:tcPr>
            <w:tcW w:w="1840" w:type="dxa"/>
            <w:tcBorders>
              <w:top w:val="nil"/>
              <w:left w:val="nil"/>
              <w:bottom w:val="single" w:sz="4" w:space="0" w:color="auto"/>
              <w:right w:val="single" w:sz="4" w:space="0" w:color="auto"/>
            </w:tcBorders>
            <w:shd w:val="clear" w:color="auto" w:fill="auto"/>
            <w:noWrap/>
            <w:vAlign w:val="bottom"/>
            <w:hideMark/>
          </w:tcPr>
          <w:p w:rsidR="002A4511" w:rsidRPr="009A533B" w:rsidRDefault="002A4511" w:rsidP="00001505">
            <w:pPr>
              <w:pStyle w:val="TableText"/>
              <w:jc w:val="center"/>
            </w:pPr>
            <w:r w:rsidRPr="009A533B">
              <w:t>25-Aug-11</w:t>
            </w:r>
          </w:p>
        </w:tc>
      </w:tr>
    </w:tbl>
    <w:p w:rsidR="00127F22" w:rsidRDefault="00127F22" w:rsidP="00FF24B8">
      <w:pPr>
        <w:pStyle w:val="BodyParaAfterTableFigure"/>
      </w:pPr>
      <w:r>
        <w:t xml:space="preserve">Based on the figures in Appendix </w:t>
      </w:r>
      <w:r w:rsidR="00011B71">
        <w:t>B</w:t>
      </w:r>
      <w:r>
        <w:t xml:space="preserve">, the day-matching reference loads for commercial customers appear quite plausible.  </w:t>
      </w:r>
    </w:p>
    <w:p w:rsidR="00FF24B8" w:rsidRDefault="00A654EA" w:rsidP="00FF24B8">
      <w:pPr>
        <w:pStyle w:val="BodyParaAfterTableFigure"/>
      </w:pPr>
      <w:r>
        <w:lastRenderedPageBreak/>
        <w:t xml:space="preserve">Having </w:t>
      </w:r>
      <w:r w:rsidR="00BD6DEC">
        <w:t>identified</w:t>
      </w:r>
      <w:r>
        <w:t xml:space="preserve"> matched days, load impacts for each cycling option within each customer segment were estimated by subtracting average hourly load during each event from average hourly load during the same hours of the matched reference day.  Standard errors were calculated </w:t>
      </w:r>
      <w:r w:rsidR="00A13D49">
        <w:t xml:space="preserve">at an hourly level </w:t>
      </w:r>
      <w:r>
        <w:t xml:space="preserve">as the square root of the sum of squared standard errors of each hourly average load.  </w:t>
      </w:r>
    </w:p>
    <w:p w:rsidR="003F7303" w:rsidRDefault="003F7303" w:rsidP="003F7303">
      <w:pPr>
        <w:pStyle w:val="Heading2"/>
        <w:spacing w:before="360"/>
        <w:ind w:left="547" w:hanging="547"/>
      </w:pPr>
      <w:bookmarkStart w:id="13" w:name="_Toc325370145"/>
      <w:r>
        <w:t>Ex Ante Impact Estimation Methodology</w:t>
      </w:r>
      <w:bookmarkEnd w:id="13"/>
    </w:p>
    <w:p w:rsidR="003F7303" w:rsidRDefault="003F7303" w:rsidP="003F7303">
      <w:pPr>
        <w:pStyle w:val="BodyParagraph"/>
      </w:pPr>
      <w:r>
        <w:t xml:space="preserve">Just as 2011 presented different modeling issues than in previous years for ex post estimation, it also had unique characteristics for ex ante modeling.  In the previous two evaluations of this program, ex ante load impact estimates were developed using the same individual customer regressions that were used for ex post.  For reasons discussed </w:t>
      </w:r>
      <w:r w:rsidR="00DF0F7C">
        <w:t>in Appendix A</w:t>
      </w:r>
      <w:r>
        <w:t>, ex post estimates from individual customer regressions deserve extra scrutiny this year.  Additionally, strictly from the standpoint of ex ante prediction, 2011 was not ideal as a sole source of information for future prediction.  Predicting impacts for ex ante weather conditions relies on observing system operation multiple times and under a variety of conditions.  For accurate predictions, a larger number of events occurring under different weather conditions are better.  Only six events were called in 2011, and several of them are not highly useful for predicting typical system performance.</w:t>
      </w:r>
    </w:p>
    <w:p w:rsidR="003F7303" w:rsidRPr="00FF24B8" w:rsidRDefault="003F7303" w:rsidP="003F7303">
      <w:pPr>
        <w:pStyle w:val="BodyParagraph"/>
      </w:pPr>
      <w:r>
        <w:t>First, the two October event days had impacts that are lower than what would be expected during similar conditions earlier in the season, or even during October if there was a more extended period of heat.</w:t>
      </w:r>
    </w:p>
    <w:p w:rsidR="003F7303" w:rsidRDefault="003F7303" w:rsidP="003F7303">
      <w:pPr>
        <w:pStyle w:val="BodyParagraph"/>
      </w:pPr>
      <w:r>
        <w:t xml:space="preserve">In addition, on one of the event days, September 8, a blackout affected the entire SDG&amp;E territory.  This blackout happened in the middle of the event, leaving only two hours in which loads are representative of normal event loads; this limits the usefulness of this event for predictive purposes.  The day after the blackout, September 9, was also an event day.  This event day provides no particular challenges for ex post modeling; however the temperatures on September 9 are much lower than normal for a Summer Saver event.  For this reason, the observed load impact on that day provides little useful input into a predictive ex ante model.  </w:t>
      </w:r>
    </w:p>
    <w:p w:rsidR="003F7303" w:rsidRDefault="003F7303" w:rsidP="003F7303">
      <w:pPr>
        <w:pStyle w:val="BodyParagraph"/>
      </w:pPr>
      <w:r>
        <w:t xml:space="preserve">Finally, the day before the blackout, September 7, was the system peak day for 2011 and Summer Saver customers had pre-event loads on that day higher than loads during similar hours on any non-event days.  This means that any reference load model for that day will be an extrapolation from loads under observed weather conditions to loads under un-observed weather conditions.  Another event day, August 26, presented the same issue for commercial customers but not for residential customers. </w:t>
      </w:r>
    </w:p>
    <w:p w:rsidR="003F7303" w:rsidRDefault="003F7303" w:rsidP="003F7303">
      <w:pPr>
        <w:pStyle w:val="BodyParagraph"/>
      </w:pPr>
      <w:r>
        <w:t>For these reasons, it is worth careful consideration whether ex ante results based only on 2011 events are reliable.  An alternative option is to use both 2010 and 2011 results to develop ex ante impact estimates.  This is reasonable because the program has changed little in the past year, the population of participants has been stable, and in such a short time it is unlikely that underlying customer behavior or CAC operation has changed significantly.  Additionally, there were 11 events in 2010 that occurred under conditions more similar to those likely to arise in the future than the 2011 events.  The latest event occurred in late September, with the bulk of events occurring in mid-July through early September.  The temperatures during events were mainly in the mid-to-high 80s, which is typical of summer weather in San Diego and is also similar to most of the conditions used for ex ante prediction.</w:t>
      </w:r>
    </w:p>
    <w:p w:rsidR="003F7303" w:rsidRDefault="003F7303" w:rsidP="003F7303">
      <w:pPr>
        <w:pStyle w:val="BodyParagraph"/>
      </w:pPr>
      <w:r>
        <w:lastRenderedPageBreak/>
        <w:t>For residential customers it makes little difference which strategy is used.  Ex ante predictions developed using 2011 data alone are very similar to those developed in 2010.  Therefore combining the years’ data has no appreciable effect on the ex ante impact estimates.  This is shown in Figure 3-7 below.  The figure shows point estimates of load impact per CAC unit for each set of ex ante weather conditions as a function of the average temperature from midnight to 5 PM under those conditions.  This summary measure of temperature is highly predictive of load impacts.  The linear trend-lines between the two sets of data points are practically indistinguishable, which indicates that as a practical matter, predictions using either year’s data are essentially identical.</w:t>
      </w:r>
      <w:r>
        <w:rPr>
          <w:rStyle w:val="FootnoteReference"/>
        </w:rPr>
        <w:footnoteReference w:id="13"/>
      </w:r>
      <w:r>
        <w:t xml:space="preserve">  Both the average values and the way the predictions vary with temperature are the same.  For this reason, ex ante estimates developed using the individual customer regression model </w:t>
      </w:r>
      <w:proofErr w:type="gramStart"/>
      <w:r>
        <w:t>are</w:t>
      </w:r>
      <w:proofErr w:type="gramEnd"/>
      <w:r>
        <w:t xml:space="preserve"> used.</w:t>
      </w:r>
    </w:p>
    <w:p w:rsidR="003F7303" w:rsidRDefault="003F7303" w:rsidP="003F7303">
      <w:pPr>
        <w:pStyle w:val="TableFigureCaption"/>
      </w:pPr>
      <w:r>
        <w:t xml:space="preserve">Figure 3-7: </w:t>
      </w:r>
      <w:r>
        <w:br/>
        <w:t xml:space="preserve">Residential Ex Ante Predictions Developed Using 2011 Data Alone </w:t>
      </w:r>
      <w:r>
        <w:br/>
        <w:t xml:space="preserve">and those Developed in 2010 </w:t>
      </w:r>
    </w:p>
    <w:p w:rsidR="003F7303" w:rsidRDefault="003F7303" w:rsidP="003F7303">
      <w:pPr>
        <w:pStyle w:val="BodyParagraph"/>
      </w:pPr>
      <w:r w:rsidRPr="0013748B">
        <w:rPr>
          <w:noProof/>
        </w:rPr>
        <w:drawing>
          <wp:inline distT="0" distB="0" distL="0" distR="0">
            <wp:extent cx="5943600" cy="3853815"/>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F7303" w:rsidRDefault="003F7303" w:rsidP="003F7303">
      <w:pPr>
        <w:pStyle w:val="BodyParaAfterTableFigure"/>
      </w:pPr>
      <w:r>
        <w:t xml:space="preserve">For commercial customers, due to the variability in impacts induced by the unique 2011 modeling issues and the fairly small number of events, impact estimates developed using both years’ data together are likely to be more reliable.  </w:t>
      </w:r>
    </w:p>
    <w:p w:rsidR="003F7303" w:rsidRDefault="003F7303" w:rsidP="003F7303">
      <w:pPr>
        <w:pStyle w:val="BodyParagraph"/>
      </w:pPr>
      <w:r>
        <w:lastRenderedPageBreak/>
        <w:t>Load impact estimates in 2010 were developed using a different sample of customers and a different source of data (CAC load data rather than whole building), which means that combining data from the two years cannot be done by simply developing one large set of individual customer regressions.  Instead, a predictive model of</w:t>
      </w:r>
      <w:r w:rsidRPr="00D81B03">
        <w:t xml:space="preserve"> </w:t>
      </w:r>
      <w:r>
        <w:t xml:space="preserve">load impacts was developed using ex post impact values as a dependent variable.  </w:t>
      </w:r>
    </w:p>
    <w:p w:rsidR="003F7303" w:rsidRDefault="003F7303" w:rsidP="003F7303">
      <w:pPr>
        <w:pStyle w:val="BodyBeforeBullet"/>
      </w:pPr>
      <w:r>
        <w:t xml:space="preserve">To determine the best regression to use for ex ante predictions, dozens of models predicting ex post impacts based on different measures of recent temperature were tested.  The final regression only includes one explanatory variable because there are only a total of 16 events over the two years – 11 in 2010 and 5 in 2011 (September 8 is excluded due to the blackout).  Using more explanatory variables </w:t>
      </w:r>
      <w:r w:rsidR="00DF0F7C">
        <w:t>might</w:t>
      </w:r>
      <w:r>
        <w:t xml:space="preserve"> result in model over-fitting.  The model that best predicted average ex post impacts:</w:t>
      </w:r>
    </w:p>
    <w:p w:rsidR="003F7303" w:rsidRDefault="00A36EA8" w:rsidP="003F7303">
      <w:pPr>
        <w:pStyle w:val="BodyParagraph"/>
        <w:rPr>
          <w:rFonts w:eastAsiaTheme="minorEastAsia"/>
          <w:sz w:val="24"/>
          <w:szCs w:val="24"/>
        </w:rPr>
      </w:pPr>
      <m:oMathPara>
        <m:oMath>
          <m:sSub>
            <m:sSubPr>
              <m:ctrlPr>
                <w:rPr>
                  <w:rFonts w:ascii="Cambria Math" w:hAnsi="Cambria Math" w:cs="Arial"/>
                  <w:sz w:val="24"/>
                  <w:szCs w:val="24"/>
                </w:rPr>
              </m:ctrlPr>
            </m:sSubPr>
            <m:e>
              <m:r>
                <w:rPr>
                  <w:rFonts w:ascii="Cambria Math" w:hAnsi="Cambria Math" w:cs="Arial"/>
                </w:rPr>
                <m:t>Impact</m:t>
              </m:r>
            </m:e>
            <m:sub>
              <m:r>
                <w:rPr>
                  <w:rFonts w:ascii="Cambria Math" w:hAnsi="Cambria Math" w:cs="Arial"/>
                </w:rPr>
                <m:t>c</m:t>
              </m:r>
            </m:sub>
          </m:sSub>
          <m:r>
            <w:rPr>
              <w:rFonts w:ascii="Cambria Math" w:cs="Arial"/>
            </w:rPr>
            <m:t>=</m:t>
          </m:r>
          <m:r>
            <w:rPr>
              <w:rFonts w:ascii="Cambria Math" w:hAnsi="Cambria Math" w:cs="Arial"/>
            </w:rPr>
            <m:t>a</m:t>
          </m:r>
          <m:r>
            <w:rPr>
              <w:rFonts w:ascii="Cambria Math" w:cs="Arial"/>
            </w:rPr>
            <m:t>+b</m:t>
          </m:r>
          <m:sSub>
            <m:sSubPr>
              <m:ctrlPr>
                <w:rPr>
                  <w:rFonts w:ascii="Cambria Math" w:hAnsi="Cambria Math" w:cs="Arial"/>
                  <w:sz w:val="24"/>
                  <w:szCs w:val="24"/>
                </w:rPr>
              </m:ctrlPr>
            </m:sSubPr>
            <m:e>
              <m:r>
                <w:rPr>
                  <w:rFonts w:ascii="Cambria Math" w:hAnsi="Cambria Math" w:cs="Arial"/>
                </w:rPr>
                <m:t>∙</m:t>
              </m:r>
              <m:r>
                <w:rPr>
                  <w:rFonts w:ascii="Cambria Math" w:cs="Arial"/>
                </w:rPr>
                <m:t>mean17</m:t>
              </m:r>
            </m:e>
            <m:sub>
              <m:r>
                <m:rPr>
                  <m:sty m:val="p"/>
                </m:rPr>
                <w:rPr>
                  <w:rFonts w:ascii="Cambria Math" w:hAnsi="Cambria Math" w:cs="Arial"/>
                  <w:sz w:val="24"/>
                  <w:szCs w:val="24"/>
                </w:rPr>
                <m:t xml:space="preserve">c </m:t>
              </m:r>
            </m:sub>
          </m:sSub>
          <m:r>
            <m:rPr>
              <m:sty m:val="b"/>
            </m:rPr>
            <w:rPr>
              <w:rFonts w:ascii="Cambria Math" w:eastAsia="Times New Roman" w:hAnsi="Cambria Math"/>
            </w:rPr>
            <m:t>+</m:t>
          </m:r>
          <m:sSub>
            <m:sSubPr>
              <m:ctrlPr>
                <w:rPr>
                  <w:rFonts w:ascii="Cambria Math" w:hAnsi="Cambria Math"/>
                  <w:sz w:val="24"/>
                  <w:szCs w:val="24"/>
                </w:rPr>
              </m:ctrlPr>
            </m:sSubPr>
            <m:e>
              <m:r>
                <m:rPr>
                  <m:sty m:val="b"/>
                </m:rPr>
                <w:rPr>
                  <w:rFonts w:ascii="Cambria Math" w:hAnsi="Cambria Math"/>
                </w:rPr>
                <m:t>ε</m:t>
              </m:r>
            </m:e>
            <m:sub>
              <m:r>
                <m:rPr>
                  <m:sty m:val="bi"/>
                </m:rPr>
                <w:rPr>
                  <w:rFonts w:ascii="Cambria Math" w:hAnsi="Cambria Math"/>
                </w:rPr>
                <m:t>c</m:t>
              </m:r>
            </m:sub>
          </m:sSub>
        </m:oMath>
      </m:oMathPara>
    </w:p>
    <w:p w:rsidR="003F7303" w:rsidRPr="00067776" w:rsidRDefault="003F7303" w:rsidP="003F7303">
      <w:pPr>
        <w:pStyle w:val="TableFigureCaption"/>
      </w:pPr>
      <w:r>
        <w:t>Table 3</w:t>
      </w:r>
      <w:r>
        <w:noBreakHyphen/>
        <w:t>8</w:t>
      </w:r>
      <w:proofErr w:type="gramStart"/>
      <w:r>
        <w:t>:</w:t>
      </w:r>
      <w:proofErr w:type="gramEnd"/>
      <w:r>
        <w:br/>
        <w:t>Commercial Ex Ante Regression Variables</w:t>
      </w:r>
    </w:p>
    <w:tbl>
      <w:tblPr>
        <w:tblW w:w="4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8142"/>
      </w:tblGrid>
      <w:tr w:rsidR="003F7303" w:rsidRPr="00412F16" w:rsidTr="008526DC">
        <w:trPr>
          <w:trHeight w:val="276"/>
          <w:tblHeader/>
          <w:jc w:val="center"/>
        </w:trPr>
        <w:tc>
          <w:tcPr>
            <w:tcW w:w="544" w:type="pct"/>
            <w:tcBorders>
              <w:top w:val="single" w:sz="4" w:space="0" w:color="auto"/>
              <w:left w:val="single" w:sz="4" w:space="0" w:color="auto"/>
              <w:bottom w:val="single" w:sz="4" w:space="0" w:color="auto"/>
              <w:right w:val="single" w:sz="8" w:space="0" w:color="FFFFFF"/>
            </w:tcBorders>
            <w:shd w:val="clear" w:color="auto" w:fill="1F497D" w:themeFill="text2"/>
            <w:hideMark/>
          </w:tcPr>
          <w:p w:rsidR="003F7303" w:rsidRPr="00412F16" w:rsidRDefault="003F7303" w:rsidP="008526DC">
            <w:pPr>
              <w:pStyle w:val="TableHeader"/>
            </w:pPr>
            <w:r w:rsidRPr="00412F16">
              <w:t>Variable</w:t>
            </w:r>
          </w:p>
        </w:tc>
        <w:tc>
          <w:tcPr>
            <w:tcW w:w="4456" w:type="pct"/>
            <w:tcBorders>
              <w:top w:val="single" w:sz="4" w:space="0" w:color="auto"/>
              <w:left w:val="single" w:sz="8" w:space="0" w:color="FFFFFF"/>
              <w:bottom w:val="single" w:sz="4" w:space="0" w:color="auto"/>
              <w:right w:val="single" w:sz="4" w:space="0" w:color="auto"/>
            </w:tcBorders>
            <w:shd w:val="clear" w:color="auto" w:fill="1F497D" w:themeFill="text2"/>
            <w:hideMark/>
          </w:tcPr>
          <w:p w:rsidR="003F7303" w:rsidRPr="00412F16" w:rsidRDefault="003F7303" w:rsidP="008526DC">
            <w:pPr>
              <w:pStyle w:val="TableHeader"/>
            </w:pPr>
            <w:r w:rsidRPr="00412F16">
              <w:t>Description</w:t>
            </w:r>
          </w:p>
        </w:tc>
      </w:tr>
      <w:tr w:rsidR="003F7303" w:rsidRPr="006D1B4A" w:rsidTr="008526DC">
        <w:trPr>
          <w:trHeight w:val="276"/>
          <w:jc w:val="center"/>
        </w:trPr>
        <w:tc>
          <w:tcPr>
            <w:tcW w:w="5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F7303" w:rsidRPr="00810FC5" w:rsidRDefault="003F7303" w:rsidP="008526DC">
            <w:pPr>
              <w:pStyle w:val="TableText"/>
              <w:rPr>
                <w:rFonts w:ascii="Calibri" w:hAnsi="Calibri"/>
                <w:i/>
              </w:rPr>
            </w:pPr>
            <w:proofErr w:type="spellStart"/>
            <w:r w:rsidRPr="00A3660A">
              <w:rPr>
                <w:rFonts w:ascii="Calibri" w:hAnsi="Calibri"/>
                <w:i/>
              </w:rPr>
              <w:t>Impact</w:t>
            </w:r>
            <w:r w:rsidRPr="00A3660A">
              <w:rPr>
                <w:rFonts w:ascii="Calibri" w:hAnsi="Calibri"/>
                <w:i/>
                <w:vertAlign w:val="subscript"/>
              </w:rPr>
              <w:t>c</w:t>
            </w:r>
            <w:proofErr w:type="spellEnd"/>
          </w:p>
        </w:tc>
        <w:tc>
          <w:tcPr>
            <w:tcW w:w="4456" w:type="pct"/>
            <w:tcBorders>
              <w:top w:val="single" w:sz="4" w:space="0" w:color="auto"/>
              <w:left w:val="single" w:sz="4" w:space="0" w:color="auto"/>
              <w:bottom w:val="single" w:sz="4" w:space="0" w:color="auto"/>
              <w:right w:val="single" w:sz="4" w:space="0" w:color="auto"/>
            </w:tcBorders>
            <w:shd w:val="clear" w:color="auto" w:fill="FFFFFF"/>
            <w:hideMark/>
          </w:tcPr>
          <w:p w:rsidR="003F7303" w:rsidRPr="006D1B4A" w:rsidRDefault="003F7303" w:rsidP="008526DC">
            <w:pPr>
              <w:pStyle w:val="TableText"/>
              <w:rPr>
                <w:szCs w:val="18"/>
              </w:rPr>
            </w:pPr>
            <w:r>
              <w:rPr>
                <w:szCs w:val="18"/>
              </w:rPr>
              <w:t>Average per CAC unit ex post load impact for each event day from 3 to 5 PM</w:t>
            </w:r>
          </w:p>
        </w:tc>
      </w:tr>
      <w:tr w:rsidR="003F7303" w:rsidRPr="006D1B4A" w:rsidTr="008526DC">
        <w:trPr>
          <w:trHeight w:val="276"/>
          <w:jc w:val="center"/>
        </w:trPr>
        <w:tc>
          <w:tcPr>
            <w:tcW w:w="5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F7303" w:rsidRDefault="003F7303" w:rsidP="008526DC">
            <w:pPr>
              <w:pStyle w:val="TableText"/>
              <w:rPr>
                <w:szCs w:val="18"/>
              </w:rPr>
            </w:pPr>
            <m:oMathPara>
              <m:oMathParaPr>
                <m:jc m:val="left"/>
              </m:oMathParaPr>
              <m:oMath>
                <m:r>
                  <w:rPr>
                    <w:rFonts w:ascii="Cambria Math" w:hAnsi="Cambria Math"/>
                  </w:rPr>
                  <m:t>a</m:t>
                </m:r>
              </m:oMath>
            </m:oMathPara>
          </w:p>
        </w:tc>
        <w:tc>
          <w:tcPr>
            <w:tcW w:w="4456" w:type="pct"/>
            <w:tcBorders>
              <w:top w:val="single" w:sz="4" w:space="0" w:color="auto"/>
              <w:left w:val="single" w:sz="4" w:space="0" w:color="auto"/>
              <w:bottom w:val="single" w:sz="4" w:space="0" w:color="auto"/>
              <w:right w:val="single" w:sz="4" w:space="0" w:color="auto"/>
            </w:tcBorders>
            <w:shd w:val="clear" w:color="auto" w:fill="FFFFFF"/>
            <w:hideMark/>
          </w:tcPr>
          <w:p w:rsidR="003F7303" w:rsidRPr="006D1B4A" w:rsidRDefault="003F7303" w:rsidP="008526DC">
            <w:pPr>
              <w:pStyle w:val="TableText"/>
              <w:rPr>
                <w:szCs w:val="18"/>
              </w:rPr>
            </w:pPr>
            <w:r w:rsidRPr="006D1B4A">
              <w:rPr>
                <w:szCs w:val="18"/>
              </w:rPr>
              <w:t>Estimated constant</w:t>
            </w:r>
          </w:p>
        </w:tc>
      </w:tr>
      <w:tr w:rsidR="003F7303" w:rsidRPr="006D1B4A" w:rsidTr="008526DC">
        <w:trPr>
          <w:trHeight w:val="276"/>
          <w:jc w:val="center"/>
        </w:trPr>
        <w:tc>
          <w:tcPr>
            <w:tcW w:w="544" w:type="pct"/>
            <w:tcBorders>
              <w:top w:val="single" w:sz="4" w:space="0" w:color="auto"/>
              <w:left w:val="single" w:sz="4" w:space="0" w:color="auto"/>
              <w:bottom w:val="single" w:sz="4" w:space="0" w:color="auto"/>
              <w:right w:val="single" w:sz="4" w:space="0" w:color="auto"/>
            </w:tcBorders>
            <w:vAlign w:val="center"/>
            <w:hideMark/>
          </w:tcPr>
          <w:p w:rsidR="003F7303" w:rsidRDefault="003F7303" w:rsidP="008526DC">
            <w:pPr>
              <w:pStyle w:val="TableText"/>
              <w:rPr>
                <w:szCs w:val="18"/>
              </w:rPr>
            </w:pPr>
            <m:oMathPara>
              <m:oMathParaPr>
                <m:jc m:val="left"/>
              </m:oMathParaPr>
              <m:oMath>
                <m:r>
                  <w:rPr>
                    <w:rFonts w:ascii="Cambria Math" w:hAnsi="Cambria Math"/>
                    <w:szCs w:val="18"/>
                  </w:rPr>
                  <m:t>b</m:t>
                </m:r>
              </m:oMath>
            </m:oMathPara>
          </w:p>
        </w:tc>
        <w:tc>
          <w:tcPr>
            <w:tcW w:w="4456" w:type="pct"/>
            <w:tcBorders>
              <w:top w:val="single" w:sz="4" w:space="0" w:color="auto"/>
              <w:left w:val="single" w:sz="4" w:space="0" w:color="auto"/>
              <w:bottom w:val="single" w:sz="4" w:space="0" w:color="auto"/>
              <w:right w:val="single" w:sz="4" w:space="0" w:color="auto"/>
            </w:tcBorders>
            <w:hideMark/>
          </w:tcPr>
          <w:p w:rsidR="003F7303" w:rsidRPr="006D1B4A" w:rsidRDefault="003F7303" w:rsidP="008526DC">
            <w:pPr>
              <w:pStyle w:val="TableText"/>
              <w:rPr>
                <w:szCs w:val="18"/>
              </w:rPr>
            </w:pPr>
            <w:r>
              <w:rPr>
                <w:szCs w:val="18"/>
              </w:rPr>
              <w:t>Estimated parameter coefficient</w:t>
            </w:r>
          </w:p>
        </w:tc>
      </w:tr>
      <w:tr w:rsidR="003F7303" w:rsidRPr="006D1B4A" w:rsidTr="008526DC">
        <w:trPr>
          <w:trHeight w:val="276"/>
          <w:jc w:val="center"/>
        </w:trPr>
        <w:tc>
          <w:tcPr>
            <w:tcW w:w="544" w:type="pct"/>
            <w:tcBorders>
              <w:top w:val="single" w:sz="4" w:space="0" w:color="auto"/>
              <w:left w:val="single" w:sz="4" w:space="0" w:color="auto"/>
              <w:bottom w:val="single" w:sz="4" w:space="0" w:color="auto"/>
              <w:right w:val="single" w:sz="4" w:space="0" w:color="auto"/>
            </w:tcBorders>
            <w:vAlign w:val="center"/>
            <w:hideMark/>
          </w:tcPr>
          <w:p w:rsidR="003F7303" w:rsidRDefault="003F7303" w:rsidP="008526DC">
            <w:pPr>
              <w:pStyle w:val="TableText"/>
              <w:rPr>
                <w:i/>
              </w:rPr>
            </w:pPr>
            <m:oMathPara>
              <m:oMathParaPr>
                <m:jc m:val="left"/>
              </m:oMathParaPr>
              <m:oMath>
                <m:r>
                  <w:rPr>
                    <w:rFonts w:ascii="Cambria Math" w:hAnsi="Cambria Math"/>
                  </w:rPr>
                  <m:t>mean17</m:t>
                </m:r>
              </m:oMath>
            </m:oMathPara>
          </w:p>
        </w:tc>
        <w:tc>
          <w:tcPr>
            <w:tcW w:w="4456" w:type="pct"/>
            <w:tcBorders>
              <w:top w:val="single" w:sz="4" w:space="0" w:color="auto"/>
              <w:left w:val="single" w:sz="4" w:space="0" w:color="auto"/>
              <w:bottom w:val="single" w:sz="4" w:space="0" w:color="auto"/>
              <w:right w:val="single" w:sz="4" w:space="0" w:color="auto"/>
            </w:tcBorders>
            <w:hideMark/>
          </w:tcPr>
          <w:p w:rsidR="003F7303" w:rsidRPr="006D1B4A" w:rsidRDefault="003F7303" w:rsidP="008526DC">
            <w:pPr>
              <w:pStyle w:val="TableText"/>
              <w:rPr>
                <w:szCs w:val="18"/>
              </w:rPr>
            </w:pPr>
            <w:r>
              <w:rPr>
                <w:szCs w:val="18"/>
              </w:rPr>
              <w:t>Average temperature over the 17 hours prior to the start of the event</w:t>
            </w:r>
          </w:p>
        </w:tc>
      </w:tr>
      <w:tr w:rsidR="003F7303" w:rsidRPr="006D1B4A" w:rsidTr="008526DC">
        <w:trPr>
          <w:trHeight w:val="278"/>
          <w:jc w:val="center"/>
        </w:trPr>
        <w:tc>
          <w:tcPr>
            <w:tcW w:w="544" w:type="pct"/>
            <w:tcBorders>
              <w:top w:val="single" w:sz="4" w:space="0" w:color="auto"/>
              <w:left w:val="single" w:sz="4" w:space="0" w:color="auto"/>
              <w:bottom w:val="single" w:sz="4" w:space="0" w:color="auto"/>
              <w:right w:val="single" w:sz="4" w:space="0" w:color="auto"/>
            </w:tcBorders>
            <w:vAlign w:val="center"/>
            <w:hideMark/>
          </w:tcPr>
          <w:p w:rsidR="003F7303" w:rsidRDefault="00A36EA8" w:rsidP="008526DC">
            <w:pPr>
              <w:pStyle w:val="TableText"/>
              <w:rPr>
                <w:rFonts w:ascii="Calibri" w:hAnsi="Calibri"/>
              </w:rPr>
            </w:pPr>
            <m:oMathPara>
              <m:oMathParaPr>
                <m:jc m:val="left"/>
              </m:oMathParaPr>
              <m:oMath>
                <m:sSub>
                  <m:sSubPr>
                    <m:ctrlPr>
                      <w:rPr>
                        <w:rFonts w:ascii="Cambria Math" w:hAnsi="Cambria Math"/>
                        <w:sz w:val="24"/>
                        <w:szCs w:val="24"/>
                      </w:rPr>
                    </m:ctrlPr>
                  </m:sSubPr>
                  <m:e>
                    <m:r>
                      <m:rPr>
                        <m:sty m:val="b"/>
                      </m:rPr>
                      <w:rPr>
                        <w:rFonts w:ascii="Cambria Math" w:hAnsi="Cambria Math"/>
                      </w:rPr>
                      <m:t>ε</m:t>
                    </m:r>
                  </m:e>
                  <m:sub>
                    <m:r>
                      <m:rPr>
                        <m:sty m:val="bi"/>
                      </m:rPr>
                      <w:rPr>
                        <w:rFonts w:ascii="Cambria Math" w:hAnsi="Cambria Math"/>
                      </w:rPr>
                      <m:t>t</m:t>
                    </m:r>
                  </m:sub>
                </m:sSub>
              </m:oMath>
            </m:oMathPara>
          </w:p>
        </w:tc>
        <w:tc>
          <w:tcPr>
            <w:tcW w:w="4456" w:type="pct"/>
            <w:tcBorders>
              <w:top w:val="single" w:sz="4" w:space="0" w:color="auto"/>
              <w:left w:val="single" w:sz="4" w:space="0" w:color="auto"/>
              <w:bottom w:val="single" w:sz="4" w:space="0" w:color="auto"/>
              <w:right w:val="single" w:sz="4" w:space="0" w:color="auto"/>
            </w:tcBorders>
            <w:hideMark/>
          </w:tcPr>
          <w:p w:rsidR="003F7303" w:rsidRDefault="003F7303" w:rsidP="008526DC">
            <w:pPr>
              <w:pStyle w:val="TableText"/>
              <w:rPr>
                <w:szCs w:val="18"/>
              </w:rPr>
            </w:pPr>
            <w:r w:rsidRPr="006D1B4A">
              <w:rPr>
                <w:szCs w:val="18"/>
              </w:rPr>
              <w:t>The error term, assumed to be a mean zero and uncorrelated with any of the independent variables</w:t>
            </w:r>
          </w:p>
        </w:tc>
      </w:tr>
    </w:tbl>
    <w:p w:rsidR="003F7303" w:rsidRDefault="003F7303" w:rsidP="003F7303">
      <w:pPr>
        <w:pStyle w:val="BodyParaAfterTableFigure"/>
      </w:pPr>
      <w:r>
        <w:t>The average temperature over the previous 17 hours was chosen as the weather variable for modeling because of its predictive ability and the fact that ex ante impact prediction uses only one day’s worth of temperature data for each set of conditions.  A model using the average of the previous 24 hours of temperature performed similarly in prediction, but would require additional assumptions about weather in the day prior to each ex ante day.  Using the previous 17 hours made full use of the available ex ante weather information without requiring additional assumptions and without sacrificing model accuracy.  Models using temperature as far back as 48 hours prior to the event were tested, but were not found to perform better than the model using 17 hours.</w:t>
      </w:r>
    </w:p>
    <w:p w:rsidR="003F7303" w:rsidRDefault="003F7303" w:rsidP="003F7303">
      <w:pPr>
        <w:pStyle w:val="BodyParagraph"/>
      </w:pPr>
      <w:r>
        <w:t>It is quite likely that event impacts depend on variables other than this average of recent temperatures, but with 16 points for modeling it is not possible to accurately identify these effects.  Ideally, in future years, more data may allow for modeling of impacts using more variables.</w:t>
      </w:r>
    </w:p>
    <w:p w:rsidR="003F7303" w:rsidRDefault="003F7303" w:rsidP="003F7303">
      <w:pPr>
        <w:pStyle w:val="BodyParagraph"/>
      </w:pPr>
      <w:r>
        <w:t>The model was estimated separately for customers on the 30% and 50% cycling options.</w:t>
      </w:r>
    </w:p>
    <w:p w:rsidR="003F7303" w:rsidRDefault="003F7303" w:rsidP="003F7303">
      <w:pPr>
        <w:pStyle w:val="BodyParagraph"/>
      </w:pPr>
      <w:r>
        <w:t>The regressions were weighted by the inverse of the estimated sampling variance of each ex post data point.  The day-matching based estimates of 2011 had significantly larger sampling variances than the regression-based estimates of 2010.  Additionally, there were only 5 events that could be used for modeling from 2011, versus 11 from 2010.  These two factors meant that the 2010 results had a much larger influence on the ex ante results.  Given the noted issues in the 2011 results, this is appropriate.</w:t>
      </w:r>
    </w:p>
    <w:p w:rsidR="003F7303" w:rsidRDefault="003F7303" w:rsidP="003F7303">
      <w:pPr>
        <w:pStyle w:val="BodyParagraph"/>
      </w:pPr>
      <w:r>
        <w:lastRenderedPageBreak/>
        <w:t xml:space="preserve">The dependent variable in each regression was the ex post load impact measured for the window 3 to 5 PM.  This variable was chosen because all events covered the hours 3 to 5 PM, and that window does not contain the first hour of any event, which typically has lower impacts due to the gradual event start.  Therefore, this dependent variable is a comparable measure of event impact for each test event day and does not introduce confounding factors such as different customer load shapes at different times of day.  For example, it would not be as accurate to model total average event impacts using this regression because some events went from 1 to 5 PM, while others went from 2 to 6 PM.  </w:t>
      </w:r>
    </w:p>
    <w:p w:rsidR="003F7303" w:rsidRDefault="003F7303" w:rsidP="003F7303">
      <w:pPr>
        <w:pStyle w:val="BodyParaAfterTableFigure"/>
      </w:pPr>
      <w:r>
        <w:t xml:space="preserve">The last step in estimating load impacts was to translate average impacts from 3 to 5 PM to hourly impacts over the entire range of time required for prediction, 1 to 6 PM.  Hourly ex post impact estimates for each event in 2010 and 2011 were expressed as a fraction of the average impact from 3 to 5 PM.    </w:t>
      </w:r>
      <w:fldSimple w:instr=" REF _Ref308704790 ">
        <w:r>
          <w:t xml:space="preserve">Table </w:t>
        </w:r>
        <w:r>
          <w:rPr>
            <w:noProof/>
          </w:rPr>
          <w:t>3</w:t>
        </w:r>
        <w:r>
          <w:noBreakHyphen/>
        </w:r>
      </w:fldSimple>
      <w:r>
        <w:t xml:space="preserve">9 gives an example of this process.  The first column of </w:t>
      </w:r>
      <w:fldSimple w:instr=" REF _Ref308704790 ">
        <w:r>
          <w:t xml:space="preserve">Table </w:t>
        </w:r>
        <w:r>
          <w:rPr>
            <w:noProof/>
          </w:rPr>
          <w:t>3</w:t>
        </w:r>
        <w:r>
          <w:noBreakHyphen/>
        </w:r>
      </w:fldSimple>
      <w:r>
        <w:t>9 shows how the average event impact for each hour of the five hour events compares to the average impact from 3 to 5 PM.  To illustrate, the second column shows the proportions in the first column multiplied by 0.29 kW, the average predicted impact from 3 to 5</w:t>
      </w:r>
      <w:r w:rsidRPr="00A66757">
        <w:t xml:space="preserve"> PM </w:t>
      </w:r>
      <w:r>
        <w:t>for commercial customers during a typical event day during a 1-in-2 weather year.  To calculate the estimated impact for 1 to 2 PM, for example, 0.50 kW was multiplied by 52% to yield an impact of 0.26 kW.  The same strategy is applied for all five hours of the event, as illustrated below in Table 3-9.</w:t>
      </w:r>
    </w:p>
    <w:p w:rsidR="003F7303" w:rsidRDefault="003F7303" w:rsidP="003F7303">
      <w:pPr>
        <w:pStyle w:val="TableFigureCaption"/>
      </w:pPr>
      <w:bookmarkStart w:id="14" w:name="_Ref308704790"/>
      <w:r>
        <w:t>Table 3</w:t>
      </w:r>
      <w:r>
        <w:noBreakHyphen/>
      </w:r>
      <w:bookmarkEnd w:id="14"/>
      <w:r>
        <w:t>9</w:t>
      </w:r>
      <w:proofErr w:type="gramStart"/>
      <w:r>
        <w:t>:</w:t>
      </w:r>
      <w:proofErr w:type="gramEnd"/>
      <w:r>
        <w:br/>
        <w:t>Hourly Impact Compared to Average Impact from 3–5 PM</w:t>
      </w:r>
    </w:p>
    <w:tbl>
      <w:tblPr>
        <w:tblW w:w="4934" w:type="dxa"/>
        <w:jc w:val="center"/>
        <w:tblInd w:w="89" w:type="dxa"/>
        <w:tblLook w:val="04A0"/>
      </w:tblPr>
      <w:tblGrid>
        <w:gridCol w:w="995"/>
        <w:gridCol w:w="1890"/>
        <w:gridCol w:w="2049"/>
      </w:tblGrid>
      <w:tr w:rsidR="003F7303" w:rsidRPr="003C3A20" w:rsidTr="008526DC">
        <w:trPr>
          <w:trHeight w:val="765"/>
          <w:jc w:val="center"/>
        </w:trPr>
        <w:tc>
          <w:tcPr>
            <w:tcW w:w="995" w:type="dxa"/>
            <w:tcBorders>
              <w:top w:val="single" w:sz="4" w:space="0" w:color="auto"/>
              <w:left w:val="single" w:sz="4" w:space="0" w:color="auto"/>
              <w:bottom w:val="single" w:sz="4" w:space="0" w:color="auto"/>
              <w:right w:val="single" w:sz="4" w:space="0" w:color="FFFFFF"/>
            </w:tcBorders>
            <w:shd w:val="clear" w:color="000000" w:fill="1F497D"/>
            <w:vAlign w:val="center"/>
            <w:hideMark/>
          </w:tcPr>
          <w:p w:rsidR="003F7303" w:rsidRPr="003C3A20" w:rsidRDefault="003F7303" w:rsidP="008526DC">
            <w:pPr>
              <w:pStyle w:val="TableHeader"/>
              <w:rPr>
                <w:rFonts w:eastAsia="Times New Roman"/>
              </w:rPr>
            </w:pPr>
            <w:r w:rsidRPr="00F2192C">
              <w:rPr>
                <w:rFonts w:eastAsia="Times New Roman"/>
              </w:rPr>
              <w:t>Hour of Event</w:t>
            </w:r>
          </w:p>
        </w:tc>
        <w:tc>
          <w:tcPr>
            <w:tcW w:w="1890" w:type="dxa"/>
            <w:tcBorders>
              <w:top w:val="single" w:sz="4" w:space="0" w:color="auto"/>
              <w:left w:val="nil"/>
              <w:bottom w:val="single" w:sz="4" w:space="0" w:color="auto"/>
              <w:right w:val="single" w:sz="4" w:space="0" w:color="FFFFFF"/>
            </w:tcBorders>
            <w:shd w:val="clear" w:color="000000" w:fill="1F497D"/>
            <w:vAlign w:val="center"/>
            <w:hideMark/>
          </w:tcPr>
          <w:p w:rsidR="003F7303" w:rsidRPr="003C3A20" w:rsidRDefault="003F7303" w:rsidP="008526DC">
            <w:pPr>
              <w:pStyle w:val="TableHeader"/>
              <w:rPr>
                <w:rFonts w:eastAsia="Times New Roman"/>
              </w:rPr>
            </w:pPr>
            <w:r>
              <w:rPr>
                <w:rFonts w:eastAsia="Times New Roman"/>
              </w:rPr>
              <w:t>Hourly Impact/ Average 3–5</w:t>
            </w:r>
            <w:r w:rsidRPr="00F2192C">
              <w:rPr>
                <w:rFonts w:eastAsia="Times New Roman"/>
              </w:rPr>
              <w:t xml:space="preserve"> PM Impact </w:t>
            </w:r>
            <w:r>
              <w:rPr>
                <w:rFonts w:eastAsia="Times New Roman"/>
              </w:rPr>
              <w:t>(%)</w:t>
            </w:r>
          </w:p>
        </w:tc>
        <w:tc>
          <w:tcPr>
            <w:tcW w:w="2049" w:type="dxa"/>
            <w:tcBorders>
              <w:top w:val="single" w:sz="4" w:space="0" w:color="auto"/>
              <w:left w:val="nil"/>
              <w:bottom w:val="single" w:sz="4" w:space="0" w:color="auto"/>
              <w:right w:val="single" w:sz="4" w:space="0" w:color="auto"/>
            </w:tcBorders>
            <w:shd w:val="clear" w:color="000000" w:fill="1F497D"/>
            <w:vAlign w:val="center"/>
            <w:hideMark/>
          </w:tcPr>
          <w:p w:rsidR="003F7303" w:rsidRPr="003C3A20" w:rsidRDefault="003F7303" w:rsidP="008526DC">
            <w:pPr>
              <w:pStyle w:val="TableHeader"/>
              <w:rPr>
                <w:rFonts w:eastAsia="Times New Roman"/>
              </w:rPr>
            </w:pPr>
            <w:r w:rsidRPr="00F2192C">
              <w:rPr>
                <w:rFonts w:eastAsia="Times New Roman"/>
              </w:rPr>
              <w:t xml:space="preserve">Hourly Impact for </w:t>
            </w:r>
            <w:r w:rsidRPr="00F2192C">
              <w:rPr>
                <w:rFonts w:eastAsia="Times New Roman"/>
              </w:rPr>
              <w:br/>
              <w:t>Typical Event</w:t>
            </w:r>
            <w:r>
              <w:rPr>
                <w:rFonts w:eastAsia="Times New Roman"/>
              </w:rPr>
              <w:t xml:space="preserve"> Day</w:t>
            </w:r>
            <w:r w:rsidRPr="00F2192C">
              <w:rPr>
                <w:rFonts w:eastAsia="Times New Roman"/>
              </w:rPr>
              <w:t>, 1-in-2 Weather</w:t>
            </w:r>
            <w:r>
              <w:rPr>
                <w:rFonts w:eastAsia="Times New Roman"/>
              </w:rPr>
              <w:t xml:space="preserve"> (kW)</w:t>
            </w:r>
          </w:p>
        </w:tc>
      </w:tr>
      <w:tr w:rsidR="003F7303" w:rsidRPr="003C3A20" w:rsidTr="008526DC">
        <w:trPr>
          <w:trHeight w:val="300"/>
          <w:jc w:val="center"/>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3F7303" w:rsidRPr="003C3A20" w:rsidRDefault="003F7303" w:rsidP="008526DC">
            <w:pPr>
              <w:pStyle w:val="TableText"/>
              <w:jc w:val="center"/>
              <w:rPr>
                <w:rFonts w:eastAsia="Times New Roman"/>
              </w:rPr>
            </w:pPr>
            <w:r w:rsidRPr="00F2192C">
              <w:rPr>
                <w:rFonts w:eastAsia="Times New Roman"/>
              </w:rPr>
              <w:t>1-2 PM</w:t>
            </w:r>
          </w:p>
        </w:tc>
        <w:tc>
          <w:tcPr>
            <w:tcW w:w="1890" w:type="dxa"/>
            <w:tcBorders>
              <w:top w:val="nil"/>
              <w:left w:val="nil"/>
              <w:bottom w:val="single" w:sz="4" w:space="0" w:color="auto"/>
              <w:right w:val="single" w:sz="4" w:space="0" w:color="auto"/>
            </w:tcBorders>
            <w:shd w:val="clear" w:color="auto" w:fill="auto"/>
            <w:vAlign w:val="center"/>
            <w:hideMark/>
          </w:tcPr>
          <w:p w:rsidR="003F7303" w:rsidRPr="00FA3B2F" w:rsidRDefault="003F7303" w:rsidP="008526DC">
            <w:pPr>
              <w:spacing w:after="0"/>
              <w:jc w:val="center"/>
              <w:rPr>
                <w:rFonts w:ascii="Arial" w:eastAsia="Times New Roman" w:hAnsi="Arial" w:cstheme="minorBidi"/>
                <w:sz w:val="18"/>
              </w:rPr>
            </w:pPr>
            <w:r w:rsidRPr="00FA3B2F">
              <w:rPr>
                <w:rFonts w:ascii="Arial" w:eastAsia="Times New Roman" w:hAnsi="Arial" w:cstheme="minorBidi"/>
                <w:sz w:val="18"/>
              </w:rPr>
              <w:t>92</w:t>
            </w:r>
          </w:p>
        </w:tc>
        <w:tc>
          <w:tcPr>
            <w:tcW w:w="2049" w:type="dxa"/>
            <w:tcBorders>
              <w:top w:val="nil"/>
              <w:left w:val="nil"/>
              <w:bottom w:val="single" w:sz="4" w:space="0" w:color="auto"/>
              <w:right w:val="single" w:sz="4" w:space="0" w:color="auto"/>
            </w:tcBorders>
            <w:shd w:val="clear" w:color="auto" w:fill="auto"/>
            <w:vAlign w:val="bottom"/>
            <w:hideMark/>
          </w:tcPr>
          <w:p w:rsidR="003F7303" w:rsidRPr="00FA3B2F" w:rsidRDefault="003F7303" w:rsidP="008526DC">
            <w:pPr>
              <w:spacing w:after="0"/>
              <w:jc w:val="center"/>
              <w:rPr>
                <w:rFonts w:ascii="Arial" w:eastAsia="Times New Roman" w:hAnsi="Arial" w:cstheme="minorBidi"/>
                <w:sz w:val="18"/>
              </w:rPr>
            </w:pPr>
            <w:r w:rsidRPr="00FA3B2F">
              <w:rPr>
                <w:rFonts w:ascii="Arial" w:eastAsia="Times New Roman" w:hAnsi="Arial" w:cstheme="minorBidi"/>
                <w:sz w:val="18"/>
              </w:rPr>
              <w:t>0.34</w:t>
            </w:r>
          </w:p>
        </w:tc>
      </w:tr>
      <w:tr w:rsidR="003F7303" w:rsidRPr="003C3A20" w:rsidTr="008526DC">
        <w:trPr>
          <w:trHeight w:val="300"/>
          <w:jc w:val="center"/>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3F7303" w:rsidRPr="003C3A20" w:rsidRDefault="003F7303" w:rsidP="008526DC">
            <w:pPr>
              <w:pStyle w:val="TableText"/>
              <w:jc w:val="center"/>
              <w:rPr>
                <w:rFonts w:eastAsia="Times New Roman"/>
              </w:rPr>
            </w:pPr>
            <w:r w:rsidRPr="00F2192C">
              <w:rPr>
                <w:rFonts w:eastAsia="Times New Roman"/>
              </w:rPr>
              <w:t>2-3 PM</w:t>
            </w:r>
          </w:p>
        </w:tc>
        <w:tc>
          <w:tcPr>
            <w:tcW w:w="1890" w:type="dxa"/>
            <w:tcBorders>
              <w:top w:val="nil"/>
              <w:left w:val="nil"/>
              <w:bottom w:val="single" w:sz="4" w:space="0" w:color="auto"/>
              <w:right w:val="single" w:sz="4" w:space="0" w:color="auto"/>
            </w:tcBorders>
            <w:shd w:val="clear" w:color="auto" w:fill="auto"/>
            <w:noWrap/>
            <w:vAlign w:val="center"/>
            <w:hideMark/>
          </w:tcPr>
          <w:p w:rsidR="003F7303" w:rsidRPr="00FA3B2F" w:rsidRDefault="003F7303" w:rsidP="008526DC">
            <w:pPr>
              <w:spacing w:after="0"/>
              <w:jc w:val="center"/>
              <w:rPr>
                <w:rFonts w:ascii="Arial" w:eastAsia="Times New Roman" w:hAnsi="Arial" w:cstheme="minorBidi"/>
                <w:sz w:val="18"/>
              </w:rPr>
            </w:pPr>
            <w:r w:rsidRPr="00FA3B2F">
              <w:rPr>
                <w:rFonts w:ascii="Arial" w:eastAsia="Times New Roman" w:hAnsi="Arial" w:cstheme="minorBidi"/>
                <w:sz w:val="18"/>
              </w:rPr>
              <w:t>104</w:t>
            </w:r>
          </w:p>
        </w:tc>
        <w:tc>
          <w:tcPr>
            <w:tcW w:w="2049" w:type="dxa"/>
            <w:tcBorders>
              <w:top w:val="nil"/>
              <w:left w:val="nil"/>
              <w:bottom w:val="single" w:sz="4" w:space="0" w:color="auto"/>
              <w:right w:val="single" w:sz="4" w:space="0" w:color="auto"/>
            </w:tcBorders>
            <w:shd w:val="clear" w:color="auto" w:fill="auto"/>
            <w:vAlign w:val="bottom"/>
            <w:hideMark/>
          </w:tcPr>
          <w:p w:rsidR="003F7303" w:rsidRPr="00FA3B2F" w:rsidRDefault="003F7303" w:rsidP="008526DC">
            <w:pPr>
              <w:spacing w:after="0"/>
              <w:jc w:val="center"/>
              <w:rPr>
                <w:rFonts w:ascii="Arial" w:eastAsia="Times New Roman" w:hAnsi="Arial" w:cstheme="minorBidi"/>
                <w:sz w:val="18"/>
              </w:rPr>
            </w:pPr>
            <w:r w:rsidRPr="00FA3B2F">
              <w:rPr>
                <w:rFonts w:ascii="Arial" w:eastAsia="Times New Roman" w:hAnsi="Arial" w:cstheme="minorBidi"/>
                <w:sz w:val="18"/>
              </w:rPr>
              <w:t>0.38</w:t>
            </w:r>
          </w:p>
        </w:tc>
      </w:tr>
      <w:tr w:rsidR="003F7303" w:rsidRPr="003C3A20" w:rsidTr="008526DC">
        <w:trPr>
          <w:trHeight w:val="300"/>
          <w:jc w:val="center"/>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3F7303" w:rsidRPr="003C3A20" w:rsidRDefault="003F7303" w:rsidP="008526DC">
            <w:pPr>
              <w:pStyle w:val="TableText"/>
              <w:jc w:val="center"/>
              <w:rPr>
                <w:rFonts w:eastAsia="Times New Roman"/>
              </w:rPr>
            </w:pPr>
            <w:r w:rsidRPr="00F2192C">
              <w:rPr>
                <w:rFonts w:eastAsia="Times New Roman"/>
              </w:rPr>
              <w:t>3-4 PM</w:t>
            </w:r>
          </w:p>
        </w:tc>
        <w:tc>
          <w:tcPr>
            <w:tcW w:w="1890" w:type="dxa"/>
            <w:tcBorders>
              <w:top w:val="nil"/>
              <w:left w:val="nil"/>
              <w:bottom w:val="single" w:sz="4" w:space="0" w:color="auto"/>
              <w:right w:val="single" w:sz="4" w:space="0" w:color="auto"/>
            </w:tcBorders>
            <w:shd w:val="clear" w:color="auto" w:fill="auto"/>
            <w:noWrap/>
            <w:vAlign w:val="center"/>
            <w:hideMark/>
          </w:tcPr>
          <w:p w:rsidR="003F7303" w:rsidRPr="00FA3B2F" w:rsidRDefault="003F7303" w:rsidP="008526DC">
            <w:pPr>
              <w:spacing w:after="0"/>
              <w:jc w:val="center"/>
              <w:rPr>
                <w:rFonts w:ascii="Arial" w:eastAsia="Times New Roman" w:hAnsi="Arial" w:cstheme="minorBidi"/>
                <w:sz w:val="18"/>
              </w:rPr>
            </w:pPr>
            <w:r w:rsidRPr="00FA3B2F">
              <w:rPr>
                <w:rFonts w:ascii="Arial" w:eastAsia="Times New Roman" w:hAnsi="Arial" w:cstheme="minorBidi"/>
                <w:sz w:val="18"/>
              </w:rPr>
              <w:t>99</w:t>
            </w:r>
          </w:p>
        </w:tc>
        <w:tc>
          <w:tcPr>
            <w:tcW w:w="2049" w:type="dxa"/>
            <w:tcBorders>
              <w:top w:val="nil"/>
              <w:left w:val="nil"/>
              <w:bottom w:val="single" w:sz="4" w:space="0" w:color="auto"/>
              <w:right w:val="single" w:sz="4" w:space="0" w:color="auto"/>
            </w:tcBorders>
            <w:shd w:val="clear" w:color="auto" w:fill="auto"/>
            <w:vAlign w:val="bottom"/>
            <w:hideMark/>
          </w:tcPr>
          <w:p w:rsidR="003F7303" w:rsidRPr="00FA3B2F" w:rsidRDefault="003F7303" w:rsidP="008526DC">
            <w:pPr>
              <w:spacing w:after="0"/>
              <w:jc w:val="center"/>
              <w:rPr>
                <w:rFonts w:ascii="Arial" w:eastAsia="Times New Roman" w:hAnsi="Arial" w:cstheme="minorBidi"/>
                <w:sz w:val="18"/>
              </w:rPr>
            </w:pPr>
            <w:r w:rsidRPr="00FA3B2F">
              <w:rPr>
                <w:rFonts w:ascii="Arial" w:eastAsia="Times New Roman" w:hAnsi="Arial" w:cstheme="minorBidi"/>
                <w:sz w:val="18"/>
              </w:rPr>
              <w:t>0.36</w:t>
            </w:r>
          </w:p>
        </w:tc>
      </w:tr>
      <w:tr w:rsidR="003F7303" w:rsidRPr="003C3A20" w:rsidTr="008526DC">
        <w:trPr>
          <w:trHeight w:val="300"/>
          <w:jc w:val="center"/>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3F7303" w:rsidRPr="003C3A20" w:rsidRDefault="003F7303" w:rsidP="008526DC">
            <w:pPr>
              <w:pStyle w:val="TableText"/>
              <w:jc w:val="center"/>
              <w:rPr>
                <w:rFonts w:eastAsia="Times New Roman"/>
              </w:rPr>
            </w:pPr>
            <w:r w:rsidRPr="00F2192C">
              <w:rPr>
                <w:rFonts w:eastAsia="Times New Roman"/>
              </w:rPr>
              <w:t>4-5 PM</w:t>
            </w:r>
          </w:p>
        </w:tc>
        <w:tc>
          <w:tcPr>
            <w:tcW w:w="1890" w:type="dxa"/>
            <w:tcBorders>
              <w:top w:val="nil"/>
              <w:left w:val="nil"/>
              <w:bottom w:val="single" w:sz="4" w:space="0" w:color="auto"/>
              <w:right w:val="single" w:sz="4" w:space="0" w:color="auto"/>
            </w:tcBorders>
            <w:shd w:val="clear" w:color="auto" w:fill="auto"/>
            <w:noWrap/>
            <w:vAlign w:val="center"/>
            <w:hideMark/>
          </w:tcPr>
          <w:p w:rsidR="003F7303" w:rsidRPr="00FA3B2F" w:rsidRDefault="003F7303" w:rsidP="008526DC">
            <w:pPr>
              <w:spacing w:after="0"/>
              <w:jc w:val="center"/>
              <w:rPr>
                <w:rFonts w:ascii="Arial" w:eastAsia="Times New Roman" w:hAnsi="Arial" w:cstheme="minorBidi"/>
                <w:sz w:val="18"/>
              </w:rPr>
            </w:pPr>
            <w:r w:rsidRPr="00FA3B2F">
              <w:rPr>
                <w:rFonts w:ascii="Arial" w:eastAsia="Times New Roman" w:hAnsi="Arial" w:cstheme="minorBidi"/>
                <w:sz w:val="18"/>
              </w:rPr>
              <w:t>101</w:t>
            </w:r>
          </w:p>
        </w:tc>
        <w:tc>
          <w:tcPr>
            <w:tcW w:w="2049" w:type="dxa"/>
            <w:tcBorders>
              <w:top w:val="nil"/>
              <w:left w:val="nil"/>
              <w:bottom w:val="single" w:sz="4" w:space="0" w:color="auto"/>
              <w:right w:val="single" w:sz="4" w:space="0" w:color="auto"/>
            </w:tcBorders>
            <w:shd w:val="clear" w:color="auto" w:fill="auto"/>
            <w:vAlign w:val="bottom"/>
            <w:hideMark/>
          </w:tcPr>
          <w:p w:rsidR="003F7303" w:rsidRPr="00FA3B2F" w:rsidRDefault="003F7303" w:rsidP="008526DC">
            <w:pPr>
              <w:spacing w:after="0"/>
              <w:jc w:val="center"/>
              <w:rPr>
                <w:rFonts w:ascii="Arial" w:eastAsia="Times New Roman" w:hAnsi="Arial" w:cstheme="minorBidi"/>
                <w:sz w:val="18"/>
              </w:rPr>
            </w:pPr>
            <w:r w:rsidRPr="00FA3B2F">
              <w:rPr>
                <w:rFonts w:ascii="Arial" w:eastAsia="Times New Roman" w:hAnsi="Arial" w:cstheme="minorBidi"/>
                <w:sz w:val="18"/>
              </w:rPr>
              <w:t>0.37</w:t>
            </w:r>
          </w:p>
        </w:tc>
      </w:tr>
      <w:tr w:rsidR="003F7303" w:rsidRPr="003C3A20" w:rsidTr="008526DC">
        <w:trPr>
          <w:trHeight w:val="300"/>
          <w:jc w:val="center"/>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rsidR="003F7303" w:rsidRPr="003C3A20" w:rsidRDefault="003F7303" w:rsidP="008526DC">
            <w:pPr>
              <w:pStyle w:val="TableText"/>
              <w:jc w:val="center"/>
              <w:rPr>
                <w:rFonts w:eastAsia="Times New Roman"/>
              </w:rPr>
            </w:pPr>
            <w:r w:rsidRPr="00F2192C">
              <w:rPr>
                <w:rFonts w:eastAsia="Times New Roman"/>
              </w:rPr>
              <w:t>5-6 PM</w:t>
            </w:r>
          </w:p>
        </w:tc>
        <w:tc>
          <w:tcPr>
            <w:tcW w:w="1890" w:type="dxa"/>
            <w:tcBorders>
              <w:top w:val="nil"/>
              <w:left w:val="nil"/>
              <w:bottom w:val="single" w:sz="4" w:space="0" w:color="auto"/>
              <w:right w:val="single" w:sz="4" w:space="0" w:color="auto"/>
            </w:tcBorders>
            <w:shd w:val="clear" w:color="auto" w:fill="auto"/>
            <w:noWrap/>
            <w:vAlign w:val="center"/>
            <w:hideMark/>
          </w:tcPr>
          <w:p w:rsidR="003F7303" w:rsidRPr="00FA3B2F" w:rsidRDefault="003F7303" w:rsidP="008526DC">
            <w:pPr>
              <w:spacing w:after="0"/>
              <w:jc w:val="center"/>
              <w:rPr>
                <w:rFonts w:ascii="Arial" w:eastAsia="Times New Roman" w:hAnsi="Arial" w:cstheme="minorBidi"/>
                <w:sz w:val="18"/>
              </w:rPr>
            </w:pPr>
            <w:r w:rsidRPr="00FA3B2F">
              <w:rPr>
                <w:rFonts w:ascii="Arial" w:eastAsia="Times New Roman" w:hAnsi="Arial" w:cstheme="minorBidi"/>
                <w:sz w:val="18"/>
              </w:rPr>
              <w:t>97</w:t>
            </w:r>
          </w:p>
        </w:tc>
        <w:tc>
          <w:tcPr>
            <w:tcW w:w="2049" w:type="dxa"/>
            <w:tcBorders>
              <w:top w:val="nil"/>
              <w:left w:val="nil"/>
              <w:bottom w:val="single" w:sz="4" w:space="0" w:color="auto"/>
              <w:right w:val="single" w:sz="4" w:space="0" w:color="auto"/>
            </w:tcBorders>
            <w:shd w:val="clear" w:color="auto" w:fill="auto"/>
            <w:vAlign w:val="bottom"/>
            <w:hideMark/>
          </w:tcPr>
          <w:p w:rsidR="003F7303" w:rsidRPr="00FA3B2F" w:rsidRDefault="003F7303" w:rsidP="008526DC">
            <w:pPr>
              <w:spacing w:after="0"/>
              <w:jc w:val="center"/>
              <w:rPr>
                <w:rFonts w:ascii="Arial" w:eastAsia="Times New Roman" w:hAnsi="Arial" w:cstheme="minorBidi"/>
                <w:sz w:val="18"/>
              </w:rPr>
            </w:pPr>
            <w:r w:rsidRPr="00FA3B2F">
              <w:rPr>
                <w:rFonts w:ascii="Arial" w:eastAsia="Times New Roman" w:hAnsi="Arial" w:cstheme="minorBidi"/>
                <w:sz w:val="18"/>
              </w:rPr>
              <w:t>0.35</w:t>
            </w:r>
          </w:p>
        </w:tc>
      </w:tr>
    </w:tbl>
    <w:p w:rsidR="000F1301" w:rsidRPr="000F1301" w:rsidRDefault="003F7303" w:rsidP="006E48FF">
      <w:pPr>
        <w:pStyle w:val="BodyParaAfterTableFigure"/>
      </w:pPr>
      <w:r>
        <w:t>This method constrains the relative size of event impacts across different hours to be the same for each event.  Event impacts vary with weather, as usual, but in this model the ratio of the impact at 4 PM to the impact at 5 PM, for example, is always the same.  A separate ex ante model could be used for each event hour separately.  Such a strategy would have the virtue of independently identifying the effect of weather on event impacts at different times of day.  That is not done here because there are not enough data points per hour to meaningfully identify differences in the effect of temperature on event impact at different hours.  Given the highly auto-correlated nature of the data, the differential impact of weather on different event hours is likely to be difficult to measure as compared to the primary effect of temperature on average event impact.  This might be a worthwhile effort after several years of data collection or if the data started implying that such effects were more important than they currently appear.</w:t>
      </w:r>
    </w:p>
    <w:p w:rsidR="00A57221" w:rsidRDefault="00A57221" w:rsidP="00AB59C0">
      <w:pPr>
        <w:pStyle w:val="BodyParaAfterTableFigure"/>
      </w:pPr>
      <w:r>
        <w:br w:type="page"/>
      </w:r>
    </w:p>
    <w:p w:rsidR="00A57221" w:rsidRDefault="00A57221" w:rsidP="00A57221">
      <w:pPr>
        <w:pStyle w:val="Heading1"/>
      </w:pPr>
      <w:bookmarkStart w:id="15" w:name="_Toc325370146"/>
      <w:r>
        <w:lastRenderedPageBreak/>
        <w:t xml:space="preserve">Ex Post Load Impact </w:t>
      </w:r>
      <w:r w:rsidR="009F113C">
        <w:t>Estimates</w:t>
      </w:r>
      <w:bookmarkEnd w:id="15"/>
    </w:p>
    <w:p w:rsidR="00BD6DEC" w:rsidRDefault="00A57221" w:rsidP="00A57221">
      <w:pPr>
        <w:pStyle w:val="BodyParagraph"/>
      </w:pPr>
      <w:r>
        <w:t>This section contains the ex post load impact estimates for program year 20</w:t>
      </w:r>
      <w:r w:rsidR="006E3D23">
        <w:t>11</w:t>
      </w:r>
      <w:r>
        <w:t xml:space="preserve">.  </w:t>
      </w:r>
      <w:r w:rsidR="00BD6DEC">
        <w:t xml:space="preserve">Residential estimates are provided first, </w:t>
      </w:r>
      <w:r w:rsidR="00067776">
        <w:t>followed by</w:t>
      </w:r>
      <w:r w:rsidR="00BD6DEC">
        <w:t xml:space="preserve"> commercial estimates.  The section also contains an analysis on control device communication failure and an analysis of the distribution of impacts across customers.  </w:t>
      </w:r>
    </w:p>
    <w:p w:rsidR="00BD6DEC" w:rsidRDefault="00BD6DEC" w:rsidP="00BD6DEC">
      <w:pPr>
        <w:pStyle w:val="Heading2"/>
      </w:pPr>
      <w:bookmarkStart w:id="16" w:name="_Toc325370147"/>
      <w:r>
        <w:t>Residential Ex Post Load Impact Estimates</w:t>
      </w:r>
      <w:bookmarkEnd w:id="16"/>
    </w:p>
    <w:p w:rsidR="006E3D23" w:rsidRPr="006E3D23" w:rsidRDefault="007B08B9" w:rsidP="00A57221">
      <w:pPr>
        <w:pStyle w:val="BodyParagraph"/>
      </w:pPr>
      <w:r>
        <w:t xml:space="preserve">Table 4-1 shows the ex post load impact estimates for residential Summer Saver customers for 2011.  </w:t>
      </w:r>
      <w:r w:rsidR="00A57221">
        <w:t xml:space="preserve">Summer Saver residential customers delivered an average aggregate load reduction over the </w:t>
      </w:r>
      <w:r w:rsidR="00067776">
        <w:t>six</w:t>
      </w:r>
      <w:r w:rsidR="00A57221">
        <w:t xml:space="preserve"> events of 1</w:t>
      </w:r>
      <w:r w:rsidR="00B05568">
        <w:t>4</w:t>
      </w:r>
      <w:r w:rsidR="00A57221">
        <w:t xml:space="preserve"> MW.  Residential impacts ranged from a low of </w:t>
      </w:r>
      <w:r w:rsidR="006E3D23">
        <w:t>6</w:t>
      </w:r>
      <w:r w:rsidR="00A57221">
        <w:t xml:space="preserve"> MW on September 9, to a high of </w:t>
      </w:r>
      <w:r w:rsidR="00B05568">
        <w:t>19</w:t>
      </w:r>
      <w:r w:rsidR="00A57221">
        <w:t xml:space="preserve"> MW on </w:t>
      </w:r>
      <w:r w:rsidR="00A57221" w:rsidRPr="00FA655B">
        <w:t xml:space="preserve">September </w:t>
      </w:r>
      <w:r w:rsidR="00B05568">
        <w:t>7 and September 8</w:t>
      </w:r>
      <w:r w:rsidR="00A57221" w:rsidRPr="00FA655B">
        <w:t>.</w:t>
      </w:r>
      <w:r w:rsidR="00A57221">
        <w:t xml:space="preserve">  </w:t>
      </w:r>
      <w:r w:rsidR="009A44FE">
        <w:t>Due to the modeling issues</w:t>
      </w:r>
      <w:r>
        <w:t xml:space="preserve"> discussed </w:t>
      </w:r>
      <w:r w:rsidR="009A44FE">
        <w:t>in Appendix A</w:t>
      </w:r>
      <w:r>
        <w:t>, these results contain a higher than usual level of uncertainty, but they provide no evidence that program performance in 2011 deviated significantly from 2010.</w:t>
      </w:r>
    </w:p>
    <w:p w:rsidR="00B05568" w:rsidRDefault="00A57221" w:rsidP="00B05568">
      <w:pPr>
        <w:pStyle w:val="TableFigureCaption"/>
        <w:rPr>
          <w:rFonts w:cs="Arial"/>
        </w:rPr>
      </w:pPr>
      <w:r w:rsidRPr="00A65162">
        <w:t xml:space="preserve">Table </w:t>
      </w:r>
      <w:r>
        <w:t>4-</w:t>
      </w:r>
      <w:r w:rsidR="006E3D23">
        <w:t>1</w:t>
      </w:r>
      <w:r w:rsidR="00FA1E2A">
        <w:t xml:space="preserve">: </w:t>
      </w:r>
      <w:r>
        <w:br/>
      </w:r>
      <w:r w:rsidR="007B08B9">
        <w:t>Residential Ex Post Load Impact Estimates</w:t>
      </w:r>
    </w:p>
    <w:tbl>
      <w:tblPr>
        <w:tblW w:w="7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0"/>
        <w:gridCol w:w="1264"/>
        <w:gridCol w:w="1333"/>
        <w:gridCol w:w="1843"/>
        <w:gridCol w:w="1026"/>
        <w:gridCol w:w="960"/>
      </w:tblGrid>
      <w:tr w:rsidR="00B05568" w:rsidRPr="00B05568" w:rsidTr="00B304F1">
        <w:trPr>
          <w:trHeight w:val="315"/>
          <w:jc w:val="center"/>
        </w:trPr>
        <w:tc>
          <w:tcPr>
            <w:tcW w:w="1300" w:type="dxa"/>
            <w:vMerge w:val="restart"/>
            <w:tcBorders>
              <w:right w:val="single" w:sz="4" w:space="0" w:color="FFFFFF" w:themeColor="background1"/>
            </w:tcBorders>
            <w:shd w:val="clear" w:color="000000" w:fill="1F497D"/>
            <w:noWrap/>
            <w:vAlign w:val="center"/>
            <w:hideMark/>
          </w:tcPr>
          <w:p w:rsidR="00B05568" w:rsidRPr="00FF0364" w:rsidRDefault="00B05568" w:rsidP="00B05568">
            <w:pPr>
              <w:spacing w:after="0" w:line="240" w:lineRule="auto"/>
              <w:jc w:val="center"/>
              <w:rPr>
                <w:rFonts w:ascii="Arial" w:eastAsia="Times New Roman" w:hAnsi="Arial" w:cs="Arial"/>
                <w:b/>
                <w:color w:val="FFFFFF"/>
                <w:sz w:val="18"/>
                <w:szCs w:val="18"/>
              </w:rPr>
            </w:pPr>
            <w:r w:rsidRPr="00FF0364">
              <w:rPr>
                <w:rFonts w:ascii="Arial" w:eastAsia="Times New Roman" w:hAnsi="Arial" w:cs="Arial"/>
                <w:b/>
                <w:color w:val="FFFFFF"/>
                <w:sz w:val="18"/>
                <w:szCs w:val="18"/>
              </w:rPr>
              <w:t>Date</w:t>
            </w:r>
          </w:p>
        </w:tc>
        <w:tc>
          <w:tcPr>
            <w:tcW w:w="4440" w:type="dxa"/>
            <w:gridSpan w:val="3"/>
            <w:tcBorders>
              <w:left w:val="single" w:sz="4" w:space="0" w:color="FFFFFF" w:themeColor="background1"/>
              <w:bottom w:val="single" w:sz="4" w:space="0" w:color="FFFFFF" w:themeColor="background1"/>
              <w:right w:val="single" w:sz="4" w:space="0" w:color="FFFFFF" w:themeColor="background1"/>
            </w:tcBorders>
            <w:shd w:val="clear" w:color="000000" w:fill="1F497D"/>
            <w:noWrap/>
            <w:vAlign w:val="center"/>
            <w:hideMark/>
          </w:tcPr>
          <w:p w:rsidR="00B05568" w:rsidRPr="00FF0364" w:rsidRDefault="00B05568" w:rsidP="00B05568">
            <w:pPr>
              <w:spacing w:after="0" w:line="240" w:lineRule="auto"/>
              <w:jc w:val="center"/>
              <w:rPr>
                <w:rFonts w:ascii="Arial" w:eastAsia="Times New Roman" w:hAnsi="Arial" w:cs="Arial"/>
                <w:b/>
                <w:color w:val="FFFFFF"/>
                <w:sz w:val="18"/>
                <w:szCs w:val="18"/>
              </w:rPr>
            </w:pPr>
            <w:r w:rsidRPr="00FF0364">
              <w:rPr>
                <w:rFonts w:ascii="Arial" w:eastAsia="Times New Roman" w:hAnsi="Arial" w:cs="Arial"/>
                <w:b/>
                <w:color w:val="FFFFFF"/>
                <w:sz w:val="18"/>
                <w:szCs w:val="18"/>
              </w:rPr>
              <w:t>Impact</w:t>
            </w:r>
          </w:p>
        </w:tc>
        <w:tc>
          <w:tcPr>
            <w:tcW w:w="1986" w:type="dxa"/>
            <w:gridSpan w:val="2"/>
            <w:tcBorders>
              <w:left w:val="single" w:sz="4" w:space="0" w:color="FFFFFF" w:themeColor="background1"/>
              <w:bottom w:val="single" w:sz="4" w:space="0" w:color="FFFFFF" w:themeColor="background1"/>
            </w:tcBorders>
            <w:shd w:val="clear" w:color="000000" w:fill="1F497D"/>
            <w:noWrap/>
            <w:vAlign w:val="center"/>
            <w:hideMark/>
          </w:tcPr>
          <w:p w:rsidR="00B05568" w:rsidRPr="00FF0364" w:rsidRDefault="00B05568" w:rsidP="00B05568">
            <w:pPr>
              <w:spacing w:after="0" w:line="240" w:lineRule="auto"/>
              <w:jc w:val="center"/>
              <w:rPr>
                <w:rFonts w:ascii="Arial" w:eastAsia="Times New Roman" w:hAnsi="Arial" w:cs="Arial"/>
                <w:b/>
                <w:color w:val="FFFFFF"/>
                <w:sz w:val="18"/>
                <w:szCs w:val="18"/>
              </w:rPr>
            </w:pPr>
            <w:r w:rsidRPr="00FF0364">
              <w:rPr>
                <w:rFonts w:ascii="Arial" w:eastAsia="Times New Roman" w:hAnsi="Arial" w:cs="Arial"/>
                <w:b/>
                <w:color w:val="FFFFFF"/>
                <w:sz w:val="18"/>
                <w:szCs w:val="18"/>
              </w:rPr>
              <w:t>Temperature</w:t>
            </w:r>
          </w:p>
        </w:tc>
      </w:tr>
      <w:tr w:rsidR="00067776" w:rsidRPr="00B05568" w:rsidTr="00B304F1">
        <w:trPr>
          <w:trHeight w:val="585"/>
          <w:jc w:val="center"/>
        </w:trPr>
        <w:tc>
          <w:tcPr>
            <w:tcW w:w="1300" w:type="dxa"/>
            <w:vMerge/>
            <w:tcBorders>
              <w:right w:val="single" w:sz="4" w:space="0" w:color="FFFFFF" w:themeColor="background1"/>
            </w:tcBorders>
            <w:vAlign w:val="center"/>
            <w:hideMark/>
          </w:tcPr>
          <w:p w:rsidR="00067776" w:rsidRPr="00FF0364" w:rsidRDefault="00067776" w:rsidP="00B05568">
            <w:pPr>
              <w:spacing w:after="0" w:line="240" w:lineRule="auto"/>
              <w:rPr>
                <w:rFonts w:ascii="Arial" w:eastAsia="Times New Roman" w:hAnsi="Arial" w:cs="Arial"/>
                <w:b/>
                <w:color w:val="FFFFFF"/>
                <w:sz w:val="18"/>
                <w:szCs w:val="18"/>
              </w:rPr>
            </w:pPr>
          </w:p>
        </w:tc>
        <w:tc>
          <w:tcPr>
            <w:tcW w:w="1264" w:type="dxa"/>
            <w:tcBorders>
              <w:top w:val="single" w:sz="4" w:space="0" w:color="FFFFFF" w:themeColor="background1"/>
              <w:left w:val="single" w:sz="4" w:space="0" w:color="FFFFFF" w:themeColor="background1"/>
              <w:right w:val="single" w:sz="4" w:space="0" w:color="FFFFFF" w:themeColor="background1"/>
            </w:tcBorders>
            <w:shd w:val="clear" w:color="000000" w:fill="1F497D"/>
            <w:noWrap/>
            <w:vAlign w:val="center"/>
            <w:hideMark/>
          </w:tcPr>
          <w:p w:rsidR="00067776" w:rsidRPr="00FF0364" w:rsidRDefault="00067776" w:rsidP="004D17B7">
            <w:pPr>
              <w:keepNext/>
              <w:spacing w:after="0" w:line="240" w:lineRule="auto"/>
              <w:jc w:val="center"/>
              <w:rPr>
                <w:rFonts w:ascii="Arial" w:eastAsia="Times New Roman" w:hAnsi="Arial" w:cs="Arial"/>
                <w:b/>
                <w:color w:val="FFFFFF"/>
                <w:sz w:val="18"/>
                <w:szCs w:val="18"/>
              </w:rPr>
            </w:pPr>
            <w:r w:rsidRPr="00FF0364">
              <w:rPr>
                <w:rFonts w:ascii="Arial" w:eastAsia="Times New Roman" w:hAnsi="Arial" w:cs="Arial"/>
                <w:b/>
                <w:color w:val="FFFFFF"/>
                <w:sz w:val="18"/>
                <w:szCs w:val="18"/>
              </w:rPr>
              <w:t xml:space="preserve">Per </w:t>
            </w:r>
            <w:r w:rsidR="004D17B7">
              <w:rPr>
                <w:rFonts w:ascii="Arial" w:eastAsia="Times New Roman" w:hAnsi="Arial" w:cs="Arial"/>
                <w:b/>
                <w:color w:val="FFFFFF"/>
                <w:sz w:val="18"/>
                <w:szCs w:val="18"/>
              </w:rPr>
              <w:t>CAC Unit</w:t>
            </w:r>
            <w:r w:rsidRPr="00FF0364">
              <w:rPr>
                <w:rFonts w:ascii="Arial" w:eastAsia="Times New Roman" w:hAnsi="Arial" w:cs="Arial"/>
                <w:b/>
                <w:color w:val="FFFFFF"/>
                <w:sz w:val="18"/>
                <w:szCs w:val="18"/>
              </w:rPr>
              <w:t xml:space="preserve"> (kW)</w:t>
            </w:r>
          </w:p>
        </w:tc>
        <w:tc>
          <w:tcPr>
            <w:tcW w:w="1333" w:type="dxa"/>
            <w:tcBorders>
              <w:top w:val="single" w:sz="4" w:space="0" w:color="FFFFFF" w:themeColor="background1"/>
              <w:left w:val="single" w:sz="4" w:space="0" w:color="FFFFFF" w:themeColor="background1"/>
              <w:right w:val="single" w:sz="4" w:space="0" w:color="FFFFFF" w:themeColor="background1"/>
            </w:tcBorders>
            <w:shd w:val="clear" w:color="000000" w:fill="1F497D"/>
            <w:noWrap/>
            <w:vAlign w:val="center"/>
            <w:hideMark/>
          </w:tcPr>
          <w:p w:rsidR="00067776" w:rsidRPr="00FF0364" w:rsidRDefault="00067776" w:rsidP="00067776">
            <w:pPr>
              <w:keepNext/>
              <w:spacing w:after="0" w:line="240" w:lineRule="auto"/>
              <w:jc w:val="center"/>
              <w:rPr>
                <w:rFonts w:ascii="Arial" w:eastAsia="Times New Roman" w:hAnsi="Arial" w:cs="Arial"/>
                <w:b/>
                <w:color w:val="FFFFFF"/>
                <w:sz w:val="18"/>
                <w:szCs w:val="18"/>
              </w:rPr>
            </w:pPr>
            <w:r w:rsidRPr="00FF0364">
              <w:rPr>
                <w:rFonts w:ascii="Arial" w:eastAsia="Times New Roman" w:hAnsi="Arial" w:cs="Arial"/>
                <w:b/>
                <w:color w:val="FFFFFF"/>
                <w:sz w:val="18"/>
                <w:szCs w:val="18"/>
              </w:rPr>
              <w:t>Per Premise (kW)</w:t>
            </w:r>
          </w:p>
        </w:tc>
        <w:tc>
          <w:tcPr>
            <w:tcW w:w="1843" w:type="dxa"/>
            <w:tcBorders>
              <w:top w:val="single" w:sz="4" w:space="0" w:color="FFFFFF" w:themeColor="background1"/>
              <w:left w:val="single" w:sz="4" w:space="0" w:color="FFFFFF" w:themeColor="background1"/>
              <w:right w:val="single" w:sz="4" w:space="0" w:color="FFFFFF" w:themeColor="background1"/>
            </w:tcBorders>
            <w:shd w:val="clear" w:color="000000" w:fill="1F497D"/>
            <w:noWrap/>
            <w:vAlign w:val="center"/>
            <w:hideMark/>
          </w:tcPr>
          <w:p w:rsidR="00067776" w:rsidRPr="00FF0364" w:rsidRDefault="00067776" w:rsidP="00B05568">
            <w:pPr>
              <w:spacing w:after="0" w:line="240" w:lineRule="auto"/>
              <w:jc w:val="center"/>
              <w:rPr>
                <w:rFonts w:ascii="Arial" w:eastAsia="Times New Roman" w:hAnsi="Arial" w:cs="Arial"/>
                <w:b/>
                <w:color w:val="FFFFFF"/>
                <w:sz w:val="18"/>
                <w:szCs w:val="18"/>
              </w:rPr>
            </w:pPr>
            <w:r w:rsidRPr="00FF0364">
              <w:rPr>
                <w:rFonts w:ascii="Arial" w:eastAsia="Times New Roman" w:hAnsi="Arial" w:cs="Arial"/>
                <w:b/>
                <w:color w:val="FFFFFF"/>
                <w:sz w:val="18"/>
                <w:szCs w:val="18"/>
              </w:rPr>
              <w:t>Aggregate (MW)</w:t>
            </w:r>
          </w:p>
        </w:tc>
        <w:tc>
          <w:tcPr>
            <w:tcW w:w="1026" w:type="dxa"/>
            <w:tcBorders>
              <w:top w:val="single" w:sz="4" w:space="0" w:color="FFFFFF" w:themeColor="background1"/>
              <w:left w:val="single" w:sz="4" w:space="0" w:color="FFFFFF" w:themeColor="background1"/>
              <w:right w:val="single" w:sz="4" w:space="0" w:color="FFFFFF" w:themeColor="background1"/>
            </w:tcBorders>
            <w:shd w:val="clear" w:color="000000" w:fill="1F497D"/>
            <w:vAlign w:val="center"/>
            <w:hideMark/>
          </w:tcPr>
          <w:p w:rsidR="00067776" w:rsidRPr="00FF0364" w:rsidRDefault="00067776" w:rsidP="00B05568">
            <w:pPr>
              <w:spacing w:after="0" w:line="240" w:lineRule="auto"/>
              <w:jc w:val="center"/>
              <w:rPr>
                <w:rFonts w:ascii="Arial" w:eastAsia="Times New Roman" w:hAnsi="Arial" w:cs="Arial"/>
                <w:b/>
                <w:color w:val="FFFFFF"/>
                <w:sz w:val="18"/>
                <w:szCs w:val="18"/>
              </w:rPr>
            </w:pPr>
            <w:r w:rsidRPr="00FF0364">
              <w:rPr>
                <w:rFonts w:ascii="Arial" w:eastAsia="Times New Roman" w:hAnsi="Arial" w:cs="Arial"/>
                <w:b/>
                <w:color w:val="FFFFFF"/>
                <w:sz w:val="18"/>
                <w:szCs w:val="18"/>
              </w:rPr>
              <w:t>Midnight-5 PM</w:t>
            </w:r>
          </w:p>
        </w:tc>
        <w:tc>
          <w:tcPr>
            <w:tcW w:w="960" w:type="dxa"/>
            <w:tcBorders>
              <w:top w:val="single" w:sz="4" w:space="0" w:color="FFFFFF" w:themeColor="background1"/>
              <w:left w:val="single" w:sz="4" w:space="0" w:color="FFFFFF" w:themeColor="background1"/>
            </w:tcBorders>
            <w:shd w:val="clear" w:color="000000" w:fill="1F497D"/>
            <w:vAlign w:val="center"/>
            <w:hideMark/>
          </w:tcPr>
          <w:p w:rsidR="00067776" w:rsidRPr="00FF0364" w:rsidRDefault="00067776" w:rsidP="00B05568">
            <w:pPr>
              <w:spacing w:after="0" w:line="240" w:lineRule="auto"/>
              <w:jc w:val="center"/>
              <w:rPr>
                <w:rFonts w:ascii="Arial" w:eastAsia="Times New Roman" w:hAnsi="Arial" w:cs="Arial"/>
                <w:b/>
                <w:color w:val="FFFFFF"/>
                <w:sz w:val="18"/>
                <w:szCs w:val="18"/>
              </w:rPr>
            </w:pPr>
            <w:r w:rsidRPr="00FF0364">
              <w:rPr>
                <w:rFonts w:ascii="Arial" w:eastAsia="Times New Roman" w:hAnsi="Arial" w:cs="Arial"/>
                <w:b/>
                <w:color w:val="FFFFFF"/>
                <w:sz w:val="18"/>
                <w:szCs w:val="18"/>
              </w:rPr>
              <w:t>During Event</w:t>
            </w:r>
          </w:p>
        </w:tc>
      </w:tr>
      <w:tr w:rsidR="00B05568" w:rsidRPr="00B05568" w:rsidTr="00B304F1">
        <w:trPr>
          <w:trHeight w:val="315"/>
          <w:jc w:val="center"/>
        </w:trPr>
        <w:tc>
          <w:tcPr>
            <w:tcW w:w="1300"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26-Aug-11</w:t>
            </w:r>
          </w:p>
        </w:tc>
        <w:tc>
          <w:tcPr>
            <w:tcW w:w="1264"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0.34</w:t>
            </w:r>
          </w:p>
        </w:tc>
        <w:tc>
          <w:tcPr>
            <w:tcW w:w="1333"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0.41</w:t>
            </w:r>
          </w:p>
        </w:tc>
        <w:tc>
          <w:tcPr>
            <w:tcW w:w="1843"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10</w:t>
            </w:r>
          </w:p>
        </w:tc>
        <w:tc>
          <w:tcPr>
            <w:tcW w:w="1026"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77</w:t>
            </w:r>
          </w:p>
        </w:tc>
        <w:tc>
          <w:tcPr>
            <w:tcW w:w="960"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85</w:t>
            </w:r>
          </w:p>
        </w:tc>
      </w:tr>
      <w:tr w:rsidR="00B05568" w:rsidRPr="00B05568" w:rsidTr="00B304F1">
        <w:trPr>
          <w:trHeight w:val="315"/>
          <w:jc w:val="center"/>
        </w:trPr>
        <w:tc>
          <w:tcPr>
            <w:tcW w:w="1300"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7-Sep-11</w:t>
            </w:r>
          </w:p>
        </w:tc>
        <w:tc>
          <w:tcPr>
            <w:tcW w:w="1264"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0.64</w:t>
            </w:r>
          </w:p>
        </w:tc>
        <w:tc>
          <w:tcPr>
            <w:tcW w:w="1333"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0.77</w:t>
            </w:r>
          </w:p>
        </w:tc>
        <w:tc>
          <w:tcPr>
            <w:tcW w:w="1843"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19</w:t>
            </w:r>
          </w:p>
        </w:tc>
        <w:tc>
          <w:tcPr>
            <w:tcW w:w="1026"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82</w:t>
            </w:r>
          </w:p>
        </w:tc>
        <w:tc>
          <w:tcPr>
            <w:tcW w:w="960"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90</w:t>
            </w:r>
          </w:p>
        </w:tc>
      </w:tr>
      <w:tr w:rsidR="00B05568" w:rsidRPr="00B05568" w:rsidTr="00B304F1">
        <w:trPr>
          <w:trHeight w:val="315"/>
          <w:jc w:val="center"/>
        </w:trPr>
        <w:tc>
          <w:tcPr>
            <w:tcW w:w="1300"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8-Sep-11</w:t>
            </w:r>
            <w:r w:rsidR="007B08B9" w:rsidRPr="00FF0364">
              <w:rPr>
                <w:rStyle w:val="FootnoteReference"/>
                <w:rFonts w:ascii="Arial" w:eastAsia="Times New Roman" w:hAnsi="Arial" w:cs="Arial"/>
                <w:color w:val="000000"/>
                <w:sz w:val="18"/>
                <w:szCs w:val="18"/>
              </w:rPr>
              <w:footnoteReference w:id="14"/>
            </w:r>
          </w:p>
        </w:tc>
        <w:tc>
          <w:tcPr>
            <w:tcW w:w="1264"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0.66</w:t>
            </w:r>
          </w:p>
        </w:tc>
        <w:tc>
          <w:tcPr>
            <w:tcW w:w="1333"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0.79</w:t>
            </w:r>
          </w:p>
        </w:tc>
        <w:tc>
          <w:tcPr>
            <w:tcW w:w="1843"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19</w:t>
            </w:r>
          </w:p>
        </w:tc>
        <w:tc>
          <w:tcPr>
            <w:tcW w:w="1026"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81</w:t>
            </w:r>
          </w:p>
        </w:tc>
        <w:tc>
          <w:tcPr>
            <w:tcW w:w="960"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93</w:t>
            </w:r>
          </w:p>
        </w:tc>
      </w:tr>
      <w:tr w:rsidR="00B05568" w:rsidRPr="00B05568" w:rsidTr="00B304F1">
        <w:trPr>
          <w:trHeight w:val="315"/>
          <w:jc w:val="center"/>
        </w:trPr>
        <w:tc>
          <w:tcPr>
            <w:tcW w:w="1300"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9-Sep-11</w:t>
            </w:r>
          </w:p>
        </w:tc>
        <w:tc>
          <w:tcPr>
            <w:tcW w:w="1264"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0.20</w:t>
            </w:r>
          </w:p>
        </w:tc>
        <w:tc>
          <w:tcPr>
            <w:tcW w:w="1333"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0.24</w:t>
            </w:r>
          </w:p>
        </w:tc>
        <w:tc>
          <w:tcPr>
            <w:tcW w:w="1843"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6</w:t>
            </w:r>
          </w:p>
        </w:tc>
        <w:tc>
          <w:tcPr>
            <w:tcW w:w="1026"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69</w:t>
            </w:r>
          </w:p>
        </w:tc>
        <w:tc>
          <w:tcPr>
            <w:tcW w:w="960"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73</w:t>
            </w:r>
          </w:p>
        </w:tc>
      </w:tr>
      <w:tr w:rsidR="00B05568" w:rsidRPr="00B05568" w:rsidTr="00B304F1">
        <w:trPr>
          <w:trHeight w:val="315"/>
          <w:jc w:val="center"/>
        </w:trPr>
        <w:tc>
          <w:tcPr>
            <w:tcW w:w="1300"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12-Oct-11</w:t>
            </w:r>
          </w:p>
        </w:tc>
        <w:tc>
          <w:tcPr>
            <w:tcW w:w="1264"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0.40</w:t>
            </w:r>
          </w:p>
        </w:tc>
        <w:tc>
          <w:tcPr>
            <w:tcW w:w="1333"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0.49</w:t>
            </w:r>
          </w:p>
        </w:tc>
        <w:tc>
          <w:tcPr>
            <w:tcW w:w="1843"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12</w:t>
            </w:r>
          </w:p>
        </w:tc>
        <w:tc>
          <w:tcPr>
            <w:tcW w:w="1026"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76</w:t>
            </w:r>
          </w:p>
        </w:tc>
        <w:tc>
          <w:tcPr>
            <w:tcW w:w="960"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93</w:t>
            </w:r>
          </w:p>
        </w:tc>
      </w:tr>
      <w:tr w:rsidR="00B05568" w:rsidRPr="00B05568" w:rsidTr="00B304F1">
        <w:trPr>
          <w:trHeight w:val="315"/>
          <w:jc w:val="center"/>
        </w:trPr>
        <w:tc>
          <w:tcPr>
            <w:tcW w:w="1300"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13-Oct-11</w:t>
            </w:r>
          </w:p>
        </w:tc>
        <w:tc>
          <w:tcPr>
            <w:tcW w:w="1264"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0.62</w:t>
            </w:r>
          </w:p>
        </w:tc>
        <w:tc>
          <w:tcPr>
            <w:tcW w:w="1333"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0.74</w:t>
            </w:r>
          </w:p>
        </w:tc>
        <w:tc>
          <w:tcPr>
            <w:tcW w:w="1843"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18</w:t>
            </w:r>
          </w:p>
        </w:tc>
        <w:tc>
          <w:tcPr>
            <w:tcW w:w="1026"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78</w:t>
            </w:r>
          </w:p>
        </w:tc>
        <w:tc>
          <w:tcPr>
            <w:tcW w:w="960"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89</w:t>
            </w:r>
          </w:p>
        </w:tc>
      </w:tr>
      <w:tr w:rsidR="00B05568" w:rsidRPr="00B05568" w:rsidTr="00B304F1">
        <w:trPr>
          <w:trHeight w:val="315"/>
          <w:jc w:val="center"/>
        </w:trPr>
        <w:tc>
          <w:tcPr>
            <w:tcW w:w="1300"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Average</w:t>
            </w:r>
          </w:p>
        </w:tc>
        <w:tc>
          <w:tcPr>
            <w:tcW w:w="1264"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0.48</w:t>
            </w:r>
          </w:p>
        </w:tc>
        <w:tc>
          <w:tcPr>
            <w:tcW w:w="1333"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0.57</w:t>
            </w:r>
          </w:p>
        </w:tc>
        <w:tc>
          <w:tcPr>
            <w:tcW w:w="1843"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14</w:t>
            </w:r>
          </w:p>
        </w:tc>
        <w:tc>
          <w:tcPr>
            <w:tcW w:w="1026"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78</w:t>
            </w:r>
          </w:p>
        </w:tc>
        <w:tc>
          <w:tcPr>
            <w:tcW w:w="960" w:type="dxa"/>
            <w:shd w:val="clear" w:color="auto" w:fill="auto"/>
            <w:noWrap/>
            <w:vAlign w:val="bottom"/>
            <w:hideMark/>
          </w:tcPr>
          <w:p w:rsidR="00B05568" w:rsidRPr="00FF0364" w:rsidRDefault="00B05568" w:rsidP="00B05568">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87</w:t>
            </w:r>
          </w:p>
        </w:tc>
      </w:tr>
    </w:tbl>
    <w:p w:rsidR="001B44C8" w:rsidRDefault="001B44C8" w:rsidP="001B44C8">
      <w:pPr>
        <w:pStyle w:val="Heading2"/>
        <w:numPr>
          <w:ilvl w:val="0"/>
          <w:numId w:val="0"/>
        </w:numPr>
        <w:ind w:left="540"/>
      </w:pPr>
    </w:p>
    <w:p w:rsidR="00BD6DEC" w:rsidRDefault="00BD6DEC" w:rsidP="00BD6DEC">
      <w:pPr>
        <w:pStyle w:val="Heading2"/>
      </w:pPr>
      <w:bookmarkStart w:id="17" w:name="_Toc325370148"/>
      <w:r>
        <w:t>Commercial Ex Post Load Impact Results</w:t>
      </w:r>
      <w:bookmarkEnd w:id="17"/>
    </w:p>
    <w:p w:rsidR="007B08B9" w:rsidRDefault="007B08B9" w:rsidP="007B08B9">
      <w:pPr>
        <w:pStyle w:val="BodyParagraph"/>
      </w:pPr>
      <w:r>
        <w:t xml:space="preserve">Table 4-2 shows the ex post load impact estimates for commercial Summer Saver customers for 2011.  Summer Saver commercial customers delivered an average aggregate load reduction over the </w:t>
      </w:r>
      <w:r w:rsidR="00B23A7B">
        <w:t>six</w:t>
      </w:r>
      <w:r>
        <w:t xml:space="preserve"> events of 3.7 MW.  </w:t>
      </w:r>
      <w:r w:rsidR="00940256">
        <w:t xml:space="preserve">Commercial </w:t>
      </w:r>
      <w:r>
        <w:t>impacts ranged from a low of 2.1 MW on September 9, to a high of 4.9 MW on September 8</w:t>
      </w:r>
      <w:r w:rsidRPr="00FA655B">
        <w:t>.</w:t>
      </w:r>
      <w:r>
        <w:t xml:space="preserve">  The highest average impact for a full event, unaffected by the blackout</w:t>
      </w:r>
      <w:r w:rsidR="00B23A7B">
        <w:t>,</w:t>
      </w:r>
      <w:r>
        <w:t xml:space="preserve"> was 4.4 MW on August 26.  </w:t>
      </w:r>
      <w:r w:rsidR="009A44FE">
        <w:t>Again</w:t>
      </w:r>
      <w:r>
        <w:t>, these results contain a higher than usual level of uncertainty, but they provide no evidence that program performance in 2011 deviated significantly from 2010.</w:t>
      </w:r>
    </w:p>
    <w:p w:rsidR="007B08B9" w:rsidRPr="007B08B9" w:rsidRDefault="007B08B9" w:rsidP="007B08B9">
      <w:pPr>
        <w:pStyle w:val="TableFigureCaption"/>
        <w:rPr>
          <w:rFonts w:cs="Arial"/>
        </w:rPr>
      </w:pPr>
      <w:r w:rsidRPr="00A65162">
        <w:lastRenderedPageBreak/>
        <w:t xml:space="preserve">Table </w:t>
      </w:r>
      <w:r>
        <w:t>4-2:</w:t>
      </w:r>
      <w:r w:rsidR="00B304F1">
        <w:t xml:space="preserve"> </w:t>
      </w:r>
      <w:r>
        <w:t>Commercial Ex Post Load Impact Estimates</w:t>
      </w:r>
    </w:p>
    <w:tbl>
      <w:tblPr>
        <w:tblW w:w="6860" w:type="dxa"/>
        <w:jc w:val="center"/>
        <w:tblLook w:val="04A0"/>
      </w:tblPr>
      <w:tblGrid>
        <w:gridCol w:w="1280"/>
        <w:gridCol w:w="1140"/>
        <w:gridCol w:w="1360"/>
        <w:gridCol w:w="1120"/>
        <w:gridCol w:w="1060"/>
        <w:gridCol w:w="900"/>
      </w:tblGrid>
      <w:tr w:rsidR="007B08B9" w:rsidRPr="007B08B9" w:rsidTr="00B304F1">
        <w:trPr>
          <w:trHeight w:val="300"/>
          <w:jc w:val="center"/>
        </w:trPr>
        <w:tc>
          <w:tcPr>
            <w:tcW w:w="1280" w:type="dxa"/>
            <w:vMerge w:val="restart"/>
            <w:tcBorders>
              <w:top w:val="single" w:sz="4" w:space="0" w:color="auto"/>
              <w:left w:val="single" w:sz="4" w:space="0" w:color="auto"/>
              <w:bottom w:val="single" w:sz="4" w:space="0" w:color="000000"/>
              <w:right w:val="single" w:sz="4" w:space="0" w:color="FFFFFF" w:themeColor="background1"/>
            </w:tcBorders>
            <w:shd w:val="clear" w:color="000000" w:fill="1F497D"/>
            <w:vAlign w:val="center"/>
            <w:hideMark/>
          </w:tcPr>
          <w:p w:rsidR="007B08B9" w:rsidRPr="00FF0364" w:rsidRDefault="007B08B9" w:rsidP="007B08B9">
            <w:pPr>
              <w:keepNext/>
              <w:spacing w:after="0" w:line="240" w:lineRule="auto"/>
              <w:jc w:val="center"/>
              <w:rPr>
                <w:rFonts w:ascii="Arial" w:eastAsia="Times New Roman" w:hAnsi="Arial" w:cs="Arial"/>
                <w:b/>
                <w:color w:val="FFFFFF"/>
                <w:sz w:val="18"/>
                <w:szCs w:val="18"/>
              </w:rPr>
            </w:pPr>
            <w:r w:rsidRPr="00FF0364">
              <w:rPr>
                <w:rFonts w:ascii="Arial" w:eastAsia="Times New Roman" w:hAnsi="Arial" w:cs="Arial"/>
                <w:b/>
                <w:color w:val="FFFFFF"/>
                <w:sz w:val="18"/>
                <w:szCs w:val="18"/>
              </w:rPr>
              <w:t>Date</w:t>
            </w:r>
          </w:p>
        </w:tc>
        <w:tc>
          <w:tcPr>
            <w:tcW w:w="3620"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1F497D"/>
            <w:vAlign w:val="center"/>
            <w:hideMark/>
          </w:tcPr>
          <w:p w:rsidR="007B08B9" w:rsidRPr="00FF0364" w:rsidRDefault="007B08B9" w:rsidP="007B08B9">
            <w:pPr>
              <w:keepNext/>
              <w:spacing w:after="0" w:line="240" w:lineRule="auto"/>
              <w:jc w:val="center"/>
              <w:rPr>
                <w:rFonts w:ascii="Arial" w:eastAsia="Times New Roman" w:hAnsi="Arial" w:cs="Arial"/>
                <w:b/>
                <w:color w:val="FFFFFF"/>
                <w:sz w:val="18"/>
                <w:szCs w:val="18"/>
              </w:rPr>
            </w:pPr>
            <w:r w:rsidRPr="00FF0364">
              <w:rPr>
                <w:rFonts w:ascii="Arial" w:eastAsia="Times New Roman" w:hAnsi="Arial" w:cs="Arial"/>
                <w:b/>
                <w:color w:val="FFFFFF"/>
                <w:sz w:val="18"/>
                <w:szCs w:val="18"/>
              </w:rPr>
              <w:t>Impact</w:t>
            </w:r>
          </w:p>
        </w:tc>
        <w:tc>
          <w:tcPr>
            <w:tcW w:w="1960" w:type="dxa"/>
            <w:gridSpan w:val="2"/>
            <w:tcBorders>
              <w:top w:val="single" w:sz="4" w:space="0" w:color="auto"/>
              <w:left w:val="single" w:sz="4" w:space="0" w:color="FFFFFF" w:themeColor="background1"/>
              <w:bottom w:val="single" w:sz="4" w:space="0" w:color="FFFFFF" w:themeColor="background1"/>
              <w:right w:val="single" w:sz="4" w:space="0" w:color="000000"/>
            </w:tcBorders>
            <w:shd w:val="clear" w:color="000000" w:fill="1F497D"/>
            <w:vAlign w:val="center"/>
            <w:hideMark/>
          </w:tcPr>
          <w:p w:rsidR="007B08B9" w:rsidRPr="00FF0364" w:rsidRDefault="007B08B9" w:rsidP="007B08B9">
            <w:pPr>
              <w:keepNext/>
              <w:spacing w:after="0" w:line="240" w:lineRule="auto"/>
              <w:jc w:val="center"/>
              <w:rPr>
                <w:rFonts w:ascii="Arial" w:eastAsia="Times New Roman" w:hAnsi="Arial" w:cs="Arial"/>
                <w:b/>
                <w:color w:val="FFFFFF"/>
                <w:sz w:val="18"/>
                <w:szCs w:val="18"/>
              </w:rPr>
            </w:pPr>
            <w:r w:rsidRPr="00FF0364">
              <w:rPr>
                <w:rFonts w:ascii="Arial" w:eastAsia="Times New Roman" w:hAnsi="Arial" w:cs="Arial"/>
                <w:b/>
                <w:color w:val="FFFFFF"/>
                <w:sz w:val="18"/>
                <w:szCs w:val="18"/>
              </w:rPr>
              <w:t>Average Temperature</w:t>
            </w:r>
          </w:p>
        </w:tc>
      </w:tr>
      <w:tr w:rsidR="007B08B9" w:rsidRPr="007B08B9" w:rsidTr="00B304F1">
        <w:trPr>
          <w:trHeight w:val="600"/>
          <w:jc w:val="center"/>
        </w:trPr>
        <w:tc>
          <w:tcPr>
            <w:tcW w:w="1280" w:type="dxa"/>
            <w:vMerge/>
            <w:tcBorders>
              <w:top w:val="single" w:sz="4" w:space="0" w:color="auto"/>
              <w:left w:val="single" w:sz="4" w:space="0" w:color="auto"/>
              <w:bottom w:val="single" w:sz="4" w:space="0" w:color="000000"/>
              <w:right w:val="single" w:sz="4" w:space="0" w:color="FFFFFF" w:themeColor="background1"/>
            </w:tcBorders>
            <w:vAlign w:val="center"/>
            <w:hideMark/>
          </w:tcPr>
          <w:p w:rsidR="007B08B9" w:rsidRPr="00FF0364" w:rsidRDefault="007B08B9" w:rsidP="007B08B9">
            <w:pPr>
              <w:keepNext/>
              <w:spacing w:after="0" w:line="240" w:lineRule="auto"/>
              <w:rPr>
                <w:rFonts w:ascii="Arial" w:eastAsia="Times New Roman" w:hAnsi="Arial" w:cs="Arial"/>
                <w:b/>
                <w:color w:val="FFFFFF"/>
                <w:sz w:val="18"/>
                <w:szCs w:val="18"/>
              </w:rPr>
            </w:pPr>
          </w:p>
        </w:tc>
        <w:tc>
          <w:tcPr>
            <w:tcW w:w="114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7B08B9" w:rsidRPr="00FF0364" w:rsidRDefault="004D17B7" w:rsidP="007B08B9">
            <w:pPr>
              <w:keepNext/>
              <w:spacing w:after="0" w:line="240" w:lineRule="auto"/>
              <w:jc w:val="center"/>
              <w:rPr>
                <w:rFonts w:ascii="Arial" w:eastAsia="Times New Roman" w:hAnsi="Arial" w:cs="Arial"/>
                <w:b/>
                <w:color w:val="FFFFFF"/>
                <w:sz w:val="18"/>
                <w:szCs w:val="18"/>
              </w:rPr>
            </w:pPr>
            <w:r w:rsidRPr="00FF0364">
              <w:rPr>
                <w:rFonts w:ascii="Arial" w:eastAsia="Times New Roman" w:hAnsi="Arial" w:cs="Arial"/>
                <w:b/>
                <w:color w:val="FFFFFF"/>
                <w:sz w:val="18"/>
                <w:szCs w:val="18"/>
              </w:rPr>
              <w:t xml:space="preserve">Per </w:t>
            </w:r>
            <w:r>
              <w:rPr>
                <w:rFonts w:ascii="Arial" w:eastAsia="Times New Roman" w:hAnsi="Arial" w:cs="Arial"/>
                <w:b/>
                <w:color w:val="FFFFFF"/>
                <w:sz w:val="18"/>
                <w:szCs w:val="18"/>
              </w:rPr>
              <w:t>CAC Unit</w:t>
            </w:r>
            <w:r w:rsidRPr="00FF0364">
              <w:rPr>
                <w:rFonts w:ascii="Arial" w:eastAsia="Times New Roman" w:hAnsi="Arial" w:cs="Arial"/>
                <w:b/>
                <w:color w:val="FFFFFF"/>
                <w:sz w:val="18"/>
                <w:szCs w:val="18"/>
              </w:rPr>
              <w:t xml:space="preserve"> (kW)</w:t>
            </w:r>
          </w:p>
        </w:tc>
        <w:tc>
          <w:tcPr>
            <w:tcW w:w="136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7B08B9" w:rsidRPr="00FF0364" w:rsidRDefault="007B08B9" w:rsidP="007B08B9">
            <w:pPr>
              <w:keepNext/>
              <w:spacing w:after="0" w:line="240" w:lineRule="auto"/>
              <w:jc w:val="center"/>
              <w:rPr>
                <w:rFonts w:ascii="Arial" w:eastAsia="Times New Roman" w:hAnsi="Arial" w:cs="Arial"/>
                <w:b/>
                <w:color w:val="FFFFFF"/>
                <w:sz w:val="18"/>
                <w:szCs w:val="18"/>
              </w:rPr>
            </w:pPr>
            <w:r w:rsidRPr="00FF0364">
              <w:rPr>
                <w:rFonts w:ascii="Arial" w:eastAsia="Times New Roman" w:hAnsi="Arial" w:cs="Arial"/>
                <w:b/>
                <w:color w:val="FFFFFF"/>
                <w:sz w:val="18"/>
                <w:szCs w:val="18"/>
              </w:rPr>
              <w:t>Per Premise (kW)</w:t>
            </w:r>
          </w:p>
        </w:tc>
        <w:tc>
          <w:tcPr>
            <w:tcW w:w="112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7B08B9" w:rsidRPr="00FF0364" w:rsidRDefault="007B08B9" w:rsidP="007B08B9">
            <w:pPr>
              <w:keepNext/>
              <w:spacing w:after="0" w:line="240" w:lineRule="auto"/>
              <w:jc w:val="center"/>
              <w:rPr>
                <w:rFonts w:ascii="Arial" w:eastAsia="Times New Roman" w:hAnsi="Arial" w:cs="Arial"/>
                <w:b/>
                <w:color w:val="FFFFFF"/>
                <w:sz w:val="18"/>
                <w:szCs w:val="18"/>
              </w:rPr>
            </w:pPr>
            <w:r w:rsidRPr="00FF0364">
              <w:rPr>
                <w:rFonts w:ascii="Arial" w:eastAsia="Times New Roman" w:hAnsi="Arial" w:cs="Arial"/>
                <w:b/>
                <w:color w:val="FFFFFF"/>
                <w:sz w:val="18"/>
                <w:szCs w:val="18"/>
              </w:rPr>
              <w:t>Aggregate (MW)</w:t>
            </w:r>
          </w:p>
        </w:tc>
        <w:tc>
          <w:tcPr>
            <w:tcW w:w="106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7B08B9" w:rsidRPr="00FF0364" w:rsidRDefault="007B08B9" w:rsidP="007B08B9">
            <w:pPr>
              <w:keepNext/>
              <w:spacing w:after="0" w:line="240" w:lineRule="auto"/>
              <w:jc w:val="center"/>
              <w:rPr>
                <w:rFonts w:ascii="Arial" w:eastAsia="Times New Roman" w:hAnsi="Arial" w:cs="Arial"/>
                <w:b/>
                <w:color w:val="FFFFFF"/>
                <w:sz w:val="18"/>
                <w:szCs w:val="18"/>
              </w:rPr>
            </w:pPr>
            <w:r w:rsidRPr="00FF0364">
              <w:rPr>
                <w:rFonts w:ascii="Arial" w:eastAsia="Times New Roman" w:hAnsi="Arial" w:cs="Arial"/>
                <w:b/>
                <w:color w:val="FFFFFF"/>
                <w:sz w:val="18"/>
                <w:szCs w:val="18"/>
              </w:rPr>
              <w:t>Midnight-5 PM</w:t>
            </w:r>
          </w:p>
        </w:tc>
        <w:tc>
          <w:tcPr>
            <w:tcW w:w="900" w:type="dxa"/>
            <w:tcBorders>
              <w:top w:val="single" w:sz="4" w:space="0" w:color="FFFFFF" w:themeColor="background1"/>
              <w:left w:val="single" w:sz="4" w:space="0" w:color="FFFFFF" w:themeColor="background1"/>
              <w:bottom w:val="nil"/>
              <w:right w:val="single" w:sz="4" w:space="0" w:color="auto"/>
            </w:tcBorders>
            <w:shd w:val="clear" w:color="000000" w:fill="1F497D"/>
            <w:vAlign w:val="center"/>
            <w:hideMark/>
          </w:tcPr>
          <w:p w:rsidR="007B08B9" w:rsidRPr="00FF0364" w:rsidRDefault="007B08B9" w:rsidP="007B08B9">
            <w:pPr>
              <w:keepNext/>
              <w:spacing w:after="0" w:line="240" w:lineRule="auto"/>
              <w:jc w:val="center"/>
              <w:rPr>
                <w:rFonts w:ascii="Arial" w:eastAsia="Times New Roman" w:hAnsi="Arial" w:cs="Arial"/>
                <w:b/>
                <w:color w:val="FFFFFF"/>
                <w:sz w:val="18"/>
                <w:szCs w:val="18"/>
              </w:rPr>
            </w:pPr>
            <w:r w:rsidRPr="00FF0364">
              <w:rPr>
                <w:rFonts w:ascii="Arial" w:eastAsia="Times New Roman" w:hAnsi="Arial" w:cs="Arial"/>
                <w:b/>
                <w:color w:val="FFFFFF"/>
                <w:sz w:val="18"/>
                <w:szCs w:val="18"/>
              </w:rPr>
              <w:t>Event</w:t>
            </w:r>
          </w:p>
        </w:tc>
      </w:tr>
      <w:tr w:rsidR="007B08B9" w:rsidRPr="007B08B9" w:rsidTr="007B08B9">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26-Aug-11</w:t>
            </w:r>
          </w:p>
        </w:tc>
        <w:tc>
          <w:tcPr>
            <w:tcW w:w="114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0.34</w:t>
            </w:r>
          </w:p>
        </w:tc>
        <w:tc>
          <w:tcPr>
            <w:tcW w:w="136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0.89</w:t>
            </w:r>
          </w:p>
        </w:tc>
        <w:tc>
          <w:tcPr>
            <w:tcW w:w="112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4.4</w:t>
            </w:r>
          </w:p>
        </w:tc>
        <w:tc>
          <w:tcPr>
            <w:tcW w:w="106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76</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82</w:t>
            </w:r>
          </w:p>
        </w:tc>
      </w:tr>
      <w:tr w:rsidR="007B08B9" w:rsidRPr="007B08B9" w:rsidTr="007B08B9">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7-Sep-11</w:t>
            </w:r>
          </w:p>
        </w:tc>
        <w:tc>
          <w:tcPr>
            <w:tcW w:w="114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0.31</w:t>
            </w:r>
          </w:p>
        </w:tc>
        <w:tc>
          <w:tcPr>
            <w:tcW w:w="136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0.79</w:t>
            </w:r>
          </w:p>
        </w:tc>
        <w:tc>
          <w:tcPr>
            <w:tcW w:w="112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3.9</w:t>
            </w:r>
          </w:p>
        </w:tc>
        <w:tc>
          <w:tcPr>
            <w:tcW w:w="106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81</w:t>
            </w:r>
          </w:p>
        </w:tc>
        <w:tc>
          <w:tcPr>
            <w:tcW w:w="90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89</w:t>
            </w:r>
          </w:p>
        </w:tc>
      </w:tr>
      <w:tr w:rsidR="007B08B9" w:rsidRPr="007B08B9" w:rsidTr="007B08B9">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8-Sep-11</w:t>
            </w:r>
            <w:r w:rsidR="00FF0364">
              <w:rPr>
                <w:rStyle w:val="FootnoteReference"/>
                <w:rFonts w:ascii="Arial" w:eastAsia="Times New Roman" w:hAnsi="Arial" w:cs="Arial"/>
                <w:color w:val="000000"/>
                <w:sz w:val="18"/>
                <w:szCs w:val="18"/>
              </w:rPr>
              <w:footnoteReference w:id="15"/>
            </w:r>
          </w:p>
        </w:tc>
        <w:tc>
          <w:tcPr>
            <w:tcW w:w="114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0.38</w:t>
            </w:r>
          </w:p>
        </w:tc>
        <w:tc>
          <w:tcPr>
            <w:tcW w:w="136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0.98</w:t>
            </w:r>
          </w:p>
        </w:tc>
        <w:tc>
          <w:tcPr>
            <w:tcW w:w="112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1E2037">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4.</w:t>
            </w:r>
            <w:r w:rsidR="001E2037">
              <w:rPr>
                <w:rFonts w:ascii="Arial" w:eastAsia="Times New Roman" w:hAnsi="Arial" w:cs="Arial"/>
                <w:color w:val="000000"/>
                <w:sz w:val="18"/>
                <w:szCs w:val="18"/>
              </w:rPr>
              <w:t>8</w:t>
            </w:r>
          </w:p>
        </w:tc>
        <w:tc>
          <w:tcPr>
            <w:tcW w:w="106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80</w:t>
            </w:r>
          </w:p>
        </w:tc>
        <w:tc>
          <w:tcPr>
            <w:tcW w:w="90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91</w:t>
            </w:r>
          </w:p>
        </w:tc>
      </w:tr>
      <w:tr w:rsidR="007B08B9" w:rsidRPr="007B08B9" w:rsidTr="007B08B9">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9-Sep-11</w:t>
            </w:r>
          </w:p>
        </w:tc>
        <w:tc>
          <w:tcPr>
            <w:tcW w:w="114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0.16</w:t>
            </w:r>
          </w:p>
        </w:tc>
        <w:tc>
          <w:tcPr>
            <w:tcW w:w="136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0.42</w:t>
            </w:r>
          </w:p>
        </w:tc>
        <w:tc>
          <w:tcPr>
            <w:tcW w:w="112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2.1</w:t>
            </w:r>
          </w:p>
        </w:tc>
        <w:tc>
          <w:tcPr>
            <w:tcW w:w="106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68</w:t>
            </w:r>
          </w:p>
        </w:tc>
        <w:tc>
          <w:tcPr>
            <w:tcW w:w="90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71</w:t>
            </w:r>
          </w:p>
        </w:tc>
      </w:tr>
      <w:tr w:rsidR="007B08B9" w:rsidRPr="007B08B9" w:rsidTr="007B08B9">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12-Oct-11</w:t>
            </w:r>
          </w:p>
        </w:tc>
        <w:tc>
          <w:tcPr>
            <w:tcW w:w="114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0.29</w:t>
            </w:r>
          </w:p>
        </w:tc>
        <w:tc>
          <w:tcPr>
            <w:tcW w:w="136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0.75</w:t>
            </w:r>
          </w:p>
        </w:tc>
        <w:tc>
          <w:tcPr>
            <w:tcW w:w="112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3.7</w:t>
            </w:r>
          </w:p>
        </w:tc>
        <w:tc>
          <w:tcPr>
            <w:tcW w:w="106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75</w:t>
            </w:r>
          </w:p>
        </w:tc>
        <w:tc>
          <w:tcPr>
            <w:tcW w:w="90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92</w:t>
            </w:r>
          </w:p>
        </w:tc>
      </w:tr>
      <w:tr w:rsidR="007B08B9" w:rsidRPr="007B08B9" w:rsidTr="007B08B9">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13-Oct-11</w:t>
            </w:r>
          </w:p>
        </w:tc>
        <w:tc>
          <w:tcPr>
            <w:tcW w:w="114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0.26</w:t>
            </w:r>
          </w:p>
        </w:tc>
        <w:tc>
          <w:tcPr>
            <w:tcW w:w="136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0.67</w:t>
            </w:r>
          </w:p>
        </w:tc>
        <w:tc>
          <w:tcPr>
            <w:tcW w:w="112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3.3</w:t>
            </w:r>
          </w:p>
        </w:tc>
        <w:tc>
          <w:tcPr>
            <w:tcW w:w="106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77</w:t>
            </w:r>
          </w:p>
        </w:tc>
        <w:tc>
          <w:tcPr>
            <w:tcW w:w="90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86</w:t>
            </w:r>
          </w:p>
        </w:tc>
      </w:tr>
      <w:tr w:rsidR="007B08B9" w:rsidRPr="007B08B9" w:rsidTr="007B08B9">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7B08B9" w:rsidRPr="00FF0364" w:rsidRDefault="007B08B9" w:rsidP="007B08B9">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Average</w:t>
            </w:r>
          </w:p>
        </w:tc>
        <w:tc>
          <w:tcPr>
            <w:tcW w:w="114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0.29</w:t>
            </w:r>
          </w:p>
        </w:tc>
        <w:tc>
          <w:tcPr>
            <w:tcW w:w="136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0.75</w:t>
            </w:r>
          </w:p>
        </w:tc>
        <w:tc>
          <w:tcPr>
            <w:tcW w:w="112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3.7</w:t>
            </w:r>
          </w:p>
        </w:tc>
        <w:tc>
          <w:tcPr>
            <w:tcW w:w="106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76</w:t>
            </w:r>
          </w:p>
        </w:tc>
        <w:tc>
          <w:tcPr>
            <w:tcW w:w="900" w:type="dxa"/>
            <w:tcBorders>
              <w:top w:val="nil"/>
              <w:left w:val="nil"/>
              <w:bottom w:val="single" w:sz="4" w:space="0" w:color="auto"/>
              <w:right w:val="single" w:sz="4" w:space="0" w:color="auto"/>
            </w:tcBorders>
            <w:shd w:val="clear" w:color="auto" w:fill="auto"/>
            <w:noWrap/>
            <w:vAlign w:val="bottom"/>
            <w:hideMark/>
          </w:tcPr>
          <w:p w:rsidR="007B08B9" w:rsidRPr="00FF0364" w:rsidRDefault="007B08B9" w:rsidP="007B08B9">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85</w:t>
            </w:r>
          </w:p>
        </w:tc>
      </w:tr>
    </w:tbl>
    <w:p w:rsidR="007B08B9" w:rsidRPr="007B08B9" w:rsidRDefault="007B08B9" w:rsidP="007B08B9">
      <w:pPr>
        <w:pStyle w:val="BodyParagraph"/>
      </w:pPr>
    </w:p>
    <w:p w:rsidR="00365AB4" w:rsidRDefault="00365AB4" w:rsidP="00365AB4">
      <w:pPr>
        <w:pStyle w:val="Heading2"/>
      </w:pPr>
      <w:bookmarkStart w:id="18" w:name="_Toc325370149"/>
      <w:r>
        <w:t>Load Impacts by Cycling Option</w:t>
      </w:r>
      <w:bookmarkEnd w:id="18"/>
    </w:p>
    <w:p w:rsidR="005671ED" w:rsidRDefault="00365AB4" w:rsidP="00365AB4">
      <w:pPr>
        <w:pStyle w:val="BodyParagraph"/>
      </w:pPr>
      <w:r>
        <w:t>Table 4-</w:t>
      </w:r>
      <w:r w:rsidR="007B08B9">
        <w:t>3</w:t>
      </w:r>
      <w:r>
        <w:t xml:space="preserve"> shows load impacts per CAC </w:t>
      </w:r>
      <w:r w:rsidR="00001F91">
        <w:t>unit</w:t>
      </w:r>
      <w:r>
        <w:t xml:space="preserve"> </w:t>
      </w:r>
      <w:r w:rsidR="00EE73C3">
        <w:t xml:space="preserve">and in aggregate </w:t>
      </w:r>
      <w:r>
        <w:t xml:space="preserve">by cycling option for residential and commercial customers.  Within each segment, the average impact per </w:t>
      </w:r>
      <w:r w:rsidR="00001F91">
        <w:t>unit</w:t>
      </w:r>
      <w:r>
        <w:t xml:space="preserve"> is very close.  This suggests a selection bias on the part of customers, with those who are more likely to </w:t>
      </w:r>
      <w:r w:rsidR="001B44C8">
        <w:t>have large</w:t>
      </w:r>
      <w:r>
        <w:t xml:space="preserve"> CAC load</w:t>
      </w:r>
      <w:r w:rsidR="001B44C8">
        <w:t>s</w:t>
      </w:r>
      <w:r>
        <w:t xml:space="preserve"> being more likely to choose the less </w:t>
      </w:r>
      <w:r w:rsidR="00B23A7B">
        <w:t>intensive</w:t>
      </w:r>
      <w:r>
        <w:t xml:space="preserve"> option.  This selection bias has been noted in previous evaluations</w:t>
      </w:r>
      <w:r w:rsidR="00A54BB9">
        <w:t>, although its effect is particularly stark here</w:t>
      </w:r>
      <w:r>
        <w:t xml:space="preserve">.  Direct measurement of CAC load was </w:t>
      </w:r>
      <w:r w:rsidR="007C6B73">
        <w:t>only</w:t>
      </w:r>
      <w:r>
        <w:t xml:space="preserve"> taken </w:t>
      </w:r>
      <w:r w:rsidR="007C6B73">
        <w:t>for a small sample of customers for contract settlement</w:t>
      </w:r>
      <w:r>
        <w:t>, so it is not possible to determine whether load impacts as a percentage of CAC load are significantly greater for the higher cycling options.  It is worth noting that for residential customers</w:t>
      </w:r>
      <w:r w:rsidR="007C6B73">
        <w:t>,</w:t>
      </w:r>
      <w:r>
        <w:t xml:space="preserve"> whole-building reference loads are significantly higher for customers on </w:t>
      </w:r>
      <w:r w:rsidR="007C6B73">
        <w:t xml:space="preserve">the </w:t>
      </w:r>
      <w:r>
        <w:t>50% cycling</w:t>
      </w:r>
      <w:r w:rsidR="007C6B73">
        <w:t xml:space="preserve"> option</w:t>
      </w:r>
      <w:r>
        <w:t xml:space="preserve">.  Residential customers on </w:t>
      </w:r>
      <w:r w:rsidR="007C6B73">
        <w:t xml:space="preserve">the </w:t>
      </w:r>
      <w:r>
        <w:t xml:space="preserve">50% </w:t>
      </w:r>
      <w:r w:rsidR="007C6B73">
        <w:t xml:space="preserve">option </w:t>
      </w:r>
      <w:r>
        <w:t xml:space="preserve">cycling had average whole-building reference loads of 2.24 kW over all six events in 2011, whereas those on 100% cycling had </w:t>
      </w:r>
      <w:r w:rsidR="007C6B73">
        <w:t xml:space="preserve">reference </w:t>
      </w:r>
      <w:r>
        <w:t>loads of 1.66 kW.  Th</w:t>
      </w:r>
      <w:r w:rsidR="001B44C8">
        <w:t>is is despite the fact that those on 100% cycling have slightly higher CAC tons per premise.</w:t>
      </w:r>
    </w:p>
    <w:p w:rsidR="001B44C8" w:rsidRDefault="001B44C8" w:rsidP="00365AB4">
      <w:pPr>
        <w:pStyle w:val="BodyParagraph"/>
      </w:pPr>
      <w:r>
        <w:t xml:space="preserve">For commercial customers, those on </w:t>
      </w:r>
      <w:r w:rsidR="007C6B73">
        <w:t>5</w:t>
      </w:r>
      <w:r>
        <w:t xml:space="preserve">0% cycling tend to have much lower whole-building loads, but this is less informative than for residential customers.  CAC load is typically a large percentage of whole-building </w:t>
      </w:r>
      <w:r w:rsidR="007C6B73">
        <w:t>loads for residential customers, while f</w:t>
      </w:r>
      <w:r>
        <w:t>or commercial customers this is less consistently</w:t>
      </w:r>
      <w:r w:rsidR="00B304F1">
        <w:t> </w:t>
      </w:r>
      <w:r>
        <w:t>true.</w:t>
      </w:r>
    </w:p>
    <w:p w:rsidR="00EE73C3" w:rsidRDefault="001B44C8" w:rsidP="00EE73C3">
      <w:pPr>
        <w:pStyle w:val="TableFigureCaption"/>
      </w:pPr>
      <w:r>
        <w:lastRenderedPageBreak/>
        <w:t>Table 4-</w:t>
      </w:r>
      <w:r w:rsidR="007B08B9">
        <w:t>3</w:t>
      </w:r>
      <w:r>
        <w:t>:</w:t>
      </w:r>
      <w:r w:rsidR="00B304F1">
        <w:t xml:space="preserve"> </w:t>
      </w:r>
      <w:r>
        <w:t xml:space="preserve">Per CAC Unit </w:t>
      </w:r>
      <w:r w:rsidRPr="008B414A">
        <w:t>Load Reduction</w:t>
      </w:r>
      <w:r>
        <w:t>s</w:t>
      </w:r>
      <w:r w:rsidRPr="008B414A">
        <w:t xml:space="preserve"> </w:t>
      </w:r>
      <w:r>
        <w:t>by Cycling Option (kW)</w:t>
      </w:r>
      <w:r w:rsidR="00460C2A" w:rsidDel="00460C2A">
        <w:t xml:space="preserve"> </w:t>
      </w:r>
    </w:p>
    <w:tbl>
      <w:tblPr>
        <w:tblW w:w="5000" w:type="pct"/>
        <w:tblLook w:val="04A0"/>
      </w:tblPr>
      <w:tblGrid>
        <w:gridCol w:w="1057"/>
        <w:gridCol w:w="1065"/>
        <w:gridCol w:w="1065"/>
        <w:gridCol w:w="1065"/>
        <w:gridCol w:w="1065"/>
        <w:gridCol w:w="1212"/>
        <w:gridCol w:w="1017"/>
        <w:gridCol w:w="1019"/>
        <w:gridCol w:w="1011"/>
      </w:tblGrid>
      <w:tr w:rsidR="00EE73C3" w:rsidRPr="00EE73C3" w:rsidTr="00B304F1">
        <w:trPr>
          <w:trHeight w:val="315"/>
        </w:trPr>
        <w:tc>
          <w:tcPr>
            <w:tcW w:w="552" w:type="pct"/>
            <w:vMerge w:val="restart"/>
            <w:tcBorders>
              <w:top w:val="single" w:sz="4" w:space="0" w:color="auto"/>
              <w:left w:val="single" w:sz="4" w:space="0" w:color="auto"/>
              <w:bottom w:val="single" w:sz="4" w:space="0" w:color="000000"/>
              <w:right w:val="single" w:sz="4" w:space="0" w:color="FFFFFF" w:themeColor="background1"/>
            </w:tcBorders>
            <w:shd w:val="clear" w:color="000000" w:fill="1F497D"/>
            <w:noWrap/>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r w:rsidRPr="00EE73C3">
              <w:rPr>
                <w:rFonts w:ascii="Arial" w:eastAsia="Times New Roman" w:hAnsi="Arial" w:cs="Arial"/>
                <w:b/>
                <w:bCs/>
                <w:color w:val="FFFFFF"/>
                <w:sz w:val="18"/>
                <w:szCs w:val="18"/>
              </w:rPr>
              <w:t>Date</w:t>
            </w:r>
          </w:p>
        </w:tc>
        <w:tc>
          <w:tcPr>
            <w:tcW w:w="2222" w:type="pct"/>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1F497D"/>
            <w:noWrap/>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r w:rsidRPr="00EE73C3">
              <w:rPr>
                <w:rFonts w:ascii="Arial" w:eastAsia="Times New Roman" w:hAnsi="Arial" w:cs="Arial"/>
                <w:b/>
                <w:bCs/>
                <w:color w:val="FFFFFF"/>
                <w:sz w:val="18"/>
                <w:szCs w:val="18"/>
              </w:rPr>
              <w:t>Per CAC (kW)</w:t>
            </w:r>
          </w:p>
        </w:tc>
        <w:tc>
          <w:tcPr>
            <w:tcW w:w="2226" w:type="pct"/>
            <w:gridSpan w:val="4"/>
            <w:tcBorders>
              <w:top w:val="single" w:sz="4" w:space="0" w:color="auto"/>
              <w:left w:val="single" w:sz="4" w:space="0" w:color="FFFFFF" w:themeColor="background1"/>
              <w:bottom w:val="single" w:sz="4" w:space="0" w:color="FFFFFF" w:themeColor="background1"/>
              <w:right w:val="single" w:sz="4" w:space="0" w:color="auto"/>
            </w:tcBorders>
            <w:shd w:val="clear" w:color="000000" w:fill="1F497D"/>
            <w:noWrap/>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r w:rsidRPr="00EE73C3">
              <w:rPr>
                <w:rFonts w:ascii="Arial" w:eastAsia="Times New Roman" w:hAnsi="Arial" w:cs="Arial"/>
                <w:b/>
                <w:bCs/>
                <w:color w:val="FFFFFF"/>
                <w:sz w:val="18"/>
                <w:szCs w:val="18"/>
              </w:rPr>
              <w:t>Aggregate (MW)</w:t>
            </w:r>
          </w:p>
        </w:tc>
      </w:tr>
      <w:tr w:rsidR="00EE73C3" w:rsidRPr="00EE73C3" w:rsidTr="00B304F1">
        <w:trPr>
          <w:trHeight w:val="315"/>
        </w:trPr>
        <w:tc>
          <w:tcPr>
            <w:tcW w:w="552" w:type="pct"/>
            <w:vMerge/>
            <w:tcBorders>
              <w:top w:val="single" w:sz="4" w:space="0" w:color="auto"/>
              <w:left w:val="single" w:sz="4" w:space="0" w:color="auto"/>
              <w:bottom w:val="single" w:sz="4" w:space="0" w:color="000000"/>
              <w:right w:val="single" w:sz="4" w:space="0" w:color="FFFFFF" w:themeColor="background1"/>
            </w:tcBorders>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p>
        </w:tc>
        <w:tc>
          <w:tcPr>
            <w:tcW w:w="2222"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1F497D"/>
            <w:noWrap/>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r w:rsidRPr="00EE73C3">
              <w:rPr>
                <w:rFonts w:ascii="Arial" w:eastAsia="Times New Roman" w:hAnsi="Arial" w:cs="Arial"/>
                <w:b/>
                <w:bCs/>
                <w:color w:val="FFFFFF"/>
                <w:sz w:val="18"/>
                <w:szCs w:val="18"/>
              </w:rPr>
              <w:t>Cycling Option</w:t>
            </w:r>
          </w:p>
        </w:tc>
        <w:tc>
          <w:tcPr>
            <w:tcW w:w="2226" w:type="pct"/>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1F497D"/>
            <w:noWrap/>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r w:rsidRPr="00EE73C3">
              <w:rPr>
                <w:rFonts w:ascii="Arial" w:eastAsia="Times New Roman" w:hAnsi="Arial" w:cs="Arial"/>
                <w:b/>
                <w:bCs/>
                <w:color w:val="FFFFFF"/>
                <w:sz w:val="18"/>
                <w:szCs w:val="18"/>
              </w:rPr>
              <w:t>Cycling Option</w:t>
            </w:r>
          </w:p>
        </w:tc>
      </w:tr>
      <w:tr w:rsidR="00EE73C3" w:rsidRPr="00EE73C3" w:rsidTr="00B304F1">
        <w:trPr>
          <w:trHeight w:val="315"/>
        </w:trPr>
        <w:tc>
          <w:tcPr>
            <w:tcW w:w="552" w:type="pct"/>
            <w:vMerge/>
            <w:tcBorders>
              <w:top w:val="single" w:sz="4" w:space="0" w:color="auto"/>
              <w:left w:val="single" w:sz="4" w:space="0" w:color="auto"/>
              <w:bottom w:val="single" w:sz="4" w:space="0" w:color="000000"/>
              <w:right w:val="single" w:sz="4" w:space="0" w:color="FFFFFF" w:themeColor="background1"/>
            </w:tcBorders>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p>
        </w:tc>
        <w:tc>
          <w:tcPr>
            <w:tcW w:w="111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1F497D"/>
            <w:noWrap/>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r w:rsidRPr="00EE73C3">
              <w:rPr>
                <w:rFonts w:ascii="Arial" w:eastAsia="Times New Roman" w:hAnsi="Arial" w:cs="Arial"/>
                <w:b/>
                <w:bCs/>
                <w:color w:val="FFFFFF"/>
                <w:sz w:val="18"/>
                <w:szCs w:val="18"/>
              </w:rPr>
              <w:t>Residential</w:t>
            </w:r>
          </w:p>
        </w:tc>
        <w:tc>
          <w:tcPr>
            <w:tcW w:w="111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1F497D"/>
            <w:noWrap/>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r w:rsidRPr="00EE73C3">
              <w:rPr>
                <w:rFonts w:ascii="Arial" w:eastAsia="Times New Roman" w:hAnsi="Arial" w:cs="Arial"/>
                <w:b/>
                <w:bCs/>
                <w:color w:val="FFFFFF"/>
                <w:sz w:val="18"/>
                <w:szCs w:val="18"/>
              </w:rPr>
              <w:t>Commercial</w:t>
            </w:r>
          </w:p>
        </w:tc>
        <w:tc>
          <w:tcPr>
            <w:tcW w:w="116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1F497D"/>
            <w:noWrap/>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r w:rsidRPr="00EE73C3">
              <w:rPr>
                <w:rFonts w:ascii="Arial" w:eastAsia="Times New Roman" w:hAnsi="Arial" w:cs="Arial"/>
                <w:b/>
                <w:bCs/>
                <w:color w:val="FFFFFF"/>
                <w:sz w:val="18"/>
                <w:szCs w:val="18"/>
              </w:rPr>
              <w:t>Residential</w:t>
            </w:r>
          </w:p>
        </w:tc>
        <w:tc>
          <w:tcPr>
            <w:tcW w:w="1062" w:type="pct"/>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1F497D"/>
            <w:noWrap/>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r w:rsidRPr="00EE73C3">
              <w:rPr>
                <w:rFonts w:ascii="Arial" w:eastAsia="Times New Roman" w:hAnsi="Arial" w:cs="Arial"/>
                <w:b/>
                <w:bCs/>
                <w:color w:val="FFFFFF"/>
                <w:sz w:val="18"/>
                <w:szCs w:val="18"/>
              </w:rPr>
              <w:t>Commercial</w:t>
            </w:r>
          </w:p>
        </w:tc>
      </w:tr>
      <w:tr w:rsidR="00EE73C3" w:rsidRPr="00EE73C3" w:rsidTr="00B304F1">
        <w:trPr>
          <w:trHeight w:val="315"/>
        </w:trPr>
        <w:tc>
          <w:tcPr>
            <w:tcW w:w="552" w:type="pct"/>
            <w:vMerge/>
            <w:tcBorders>
              <w:top w:val="single" w:sz="4" w:space="0" w:color="auto"/>
              <w:left w:val="single" w:sz="4" w:space="0" w:color="auto"/>
              <w:bottom w:val="single" w:sz="4" w:space="0" w:color="000000"/>
              <w:right w:val="single" w:sz="4" w:space="0" w:color="FFFFFF" w:themeColor="background1"/>
            </w:tcBorders>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p>
        </w:tc>
        <w:tc>
          <w:tcPr>
            <w:tcW w:w="556"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r w:rsidRPr="00EE73C3">
              <w:rPr>
                <w:rFonts w:ascii="Arial" w:eastAsia="Times New Roman" w:hAnsi="Arial" w:cs="Arial"/>
                <w:b/>
                <w:bCs/>
                <w:color w:val="FFFFFF"/>
                <w:sz w:val="18"/>
                <w:szCs w:val="18"/>
              </w:rPr>
              <w:t>100</w:t>
            </w:r>
          </w:p>
        </w:tc>
        <w:tc>
          <w:tcPr>
            <w:tcW w:w="556"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r w:rsidRPr="00EE73C3">
              <w:rPr>
                <w:rFonts w:ascii="Arial" w:eastAsia="Times New Roman" w:hAnsi="Arial" w:cs="Arial"/>
                <w:b/>
                <w:bCs/>
                <w:color w:val="FFFFFF"/>
                <w:sz w:val="18"/>
                <w:szCs w:val="18"/>
              </w:rPr>
              <w:t>50</w:t>
            </w:r>
          </w:p>
        </w:tc>
        <w:tc>
          <w:tcPr>
            <w:tcW w:w="556"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r w:rsidRPr="00EE73C3">
              <w:rPr>
                <w:rFonts w:ascii="Arial" w:eastAsia="Times New Roman" w:hAnsi="Arial" w:cs="Arial"/>
                <w:b/>
                <w:bCs/>
                <w:color w:val="FFFFFF"/>
                <w:sz w:val="18"/>
                <w:szCs w:val="18"/>
              </w:rPr>
              <w:t>50</w:t>
            </w:r>
          </w:p>
        </w:tc>
        <w:tc>
          <w:tcPr>
            <w:tcW w:w="556"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r w:rsidRPr="00EE73C3">
              <w:rPr>
                <w:rFonts w:ascii="Arial" w:eastAsia="Times New Roman" w:hAnsi="Arial" w:cs="Arial"/>
                <w:b/>
                <w:bCs/>
                <w:color w:val="FFFFFF"/>
                <w:sz w:val="18"/>
                <w:szCs w:val="18"/>
              </w:rPr>
              <w:t>30</w:t>
            </w:r>
          </w:p>
        </w:tc>
        <w:tc>
          <w:tcPr>
            <w:tcW w:w="633"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r w:rsidRPr="00EE73C3">
              <w:rPr>
                <w:rFonts w:ascii="Arial" w:eastAsia="Times New Roman" w:hAnsi="Arial" w:cs="Arial"/>
                <w:b/>
                <w:bCs/>
                <w:color w:val="FFFFFF"/>
                <w:sz w:val="18"/>
                <w:szCs w:val="18"/>
              </w:rPr>
              <w:t>100</w:t>
            </w:r>
          </w:p>
        </w:tc>
        <w:tc>
          <w:tcPr>
            <w:tcW w:w="53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r w:rsidRPr="00EE73C3">
              <w:rPr>
                <w:rFonts w:ascii="Arial" w:eastAsia="Times New Roman" w:hAnsi="Arial" w:cs="Arial"/>
                <w:b/>
                <w:bCs/>
                <w:color w:val="FFFFFF"/>
                <w:sz w:val="18"/>
                <w:szCs w:val="18"/>
              </w:rPr>
              <w:t>50</w:t>
            </w:r>
          </w:p>
        </w:tc>
        <w:tc>
          <w:tcPr>
            <w:tcW w:w="53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r w:rsidRPr="00EE73C3">
              <w:rPr>
                <w:rFonts w:ascii="Arial" w:eastAsia="Times New Roman" w:hAnsi="Arial" w:cs="Arial"/>
                <w:b/>
                <w:bCs/>
                <w:color w:val="FFFFFF"/>
                <w:sz w:val="18"/>
                <w:szCs w:val="18"/>
              </w:rPr>
              <w:t>50</w:t>
            </w:r>
          </w:p>
        </w:tc>
        <w:tc>
          <w:tcPr>
            <w:tcW w:w="530" w:type="pct"/>
            <w:tcBorders>
              <w:top w:val="single" w:sz="4" w:space="0" w:color="FFFFFF" w:themeColor="background1"/>
              <w:left w:val="single" w:sz="4" w:space="0" w:color="FFFFFF" w:themeColor="background1"/>
              <w:bottom w:val="single" w:sz="4" w:space="0" w:color="auto"/>
              <w:right w:val="single" w:sz="4" w:space="0" w:color="auto"/>
            </w:tcBorders>
            <w:shd w:val="clear" w:color="000000" w:fill="1F497D"/>
            <w:noWrap/>
            <w:vAlign w:val="center"/>
            <w:hideMark/>
          </w:tcPr>
          <w:p w:rsidR="00EE73C3" w:rsidRPr="00EE73C3" w:rsidRDefault="00EE73C3" w:rsidP="00EE73C3">
            <w:pPr>
              <w:keepNext/>
              <w:spacing w:after="0" w:line="240" w:lineRule="auto"/>
              <w:jc w:val="center"/>
              <w:rPr>
                <w:rFonts w:ascii="Arial" w:eastAsia="Times New Roman" w:hAnsi="Arial" w:cs="Arial"/>
                <w:b/>
                <w:bCs/>
                <w:color w:val="FFFFFF"/>
                <w:sz w:val="18"/>
                <w:szCs w:val="18"/>
              </w:rPr>
            </w:pPr>
            <w:r w:rsidRPr="00EE73C3">
              <w:rPr>
                <w:rFonts w:ascii="Arial" w:eastAsia="Times New Roman" w:hAnsi="Arial" w:cs="Arial"/>
                <w:b/>
                <w:bCs/>
                <w:color w:val="FFFFFF"/>
                <w:sz w:val="18"/>
                <w:szCs w:val="18"/>
              </w:rPr>
              <w:t>30</w:t>
            </w:r>
          </w:p>
        </w:tc>
      </w:tr>
      <w:tr w:rsidR="00EE73C3" w:rsidRPr="00EE73C3" w:rsidTr="00EE73C3">
        <w:trPr>
          <w:trHeight w:val="315"/>
        </w:trPr>
        <w:tc>
          <w:tcPr>
            <w:tcW w:w="552" w:type="pct"/>
            <w:tcBorders>
              <w:top w:val="nil"/>
              <w:left w:val="single" w:sz="4" w:space="0" w:color="auto"/>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26-Aug-11</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0.37</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0.31</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0.34</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0.35</w:t>
            </w:r>
          </w:p>
        </w:tc>
        <w:tc>
          <w:tcPr>
            <w:tcW w:w="633"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1E2037">
            <w:pPr>
              <w:keepNext/>
              <w:spacing w:after="0" w:line="240" w:lineRule="auto"/>
              <w:jc w:val="center"/>
              <w:rPr>
                <w:rFonts w:ascii="Arial" w:eastAsia="Times New Roman" w:hAnsi="Arial" w:cs="Arial"/>
                <w:color w:val="000000"/>
                <w:sz w:val="18"/>
                <w:szCs w:val="18"/>
              </w:rPr>
            </w:pPr>
            <w:r>
              <w:rPr>
                <w:rFonts w:ascii="Arial" w:hAnsi="Arial" w:cs="Arial"/>
                <w:color w:val="000000"/>
                <w:sz w:val="18"/>
                <w:szCs w:val="18"/>
              </w:rPr>
              <w:t>5.</w:t>
            </w:r>
            <w:r w:rsidR="001E2037">
              <w:rPr>
                <w:rFonts w:ascii="Arial" w:hAnsi="Arial" w:cs="Arial"/>
                <w:color w:val="000000"/>
                <w:sz w:val="18"/>
                <w:szCs w:val="18"/>
              </w:rPr>
              <w:t>8</w:t>
            </w:r>
          </w:p>
        </w:tc>
        <w:tc>
          <w:tcPr>
            <w:tcW w:w="531"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A23ECD">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4.</w:t>
            </w:r>
            <w:r w:rsidR="00A23ECD">
              <w:rPr>
                <w:rFonts w:ascii="Arial" w:eastAsia="Times New Roman" w:hAnsi="Arial" w:cs="Arial"/>
                <w:color w:val="000000"/>
                <w:sz w:val="18"/>
                <w:szCs w:val="18"/>
              </w:rPr>
              <w:t>3</w:t>
            </w:r>
          </w:p>
        </w:tc>
        <w:tc>
          <w:tcPr>
            <w:tcW w:w="532"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2.8</w:t>
            </w:r>
          </w:p>
        </w:tc>
        <w:tc>
          <w:tcPr>
            <w:tcW w:w="530"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1.6</w:t>
            </w:r>
          </w:p>
        </w:tc>
      </w:tr>
      <w:tr w:rsidR="00EE73C3" w:rsidRPr="00EE73C3" w:rsidTr="00EE73C3">
        <w:trPr>
          <w:trHeight w:val="315"/>
        </w:trPr>
        <w:tc>
          <w:tcPr>
            <w:tcW w:w="552" w:type="pct"/>
            <w:tcBorders>
              <w:top w:val="nil"/>
              <w:left w:val="single" w:sz="4" w:space="0" w:color="auto"/>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7-Sep-11</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0.67</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0.62</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0.31</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0.30</w:t>
            </w:r>
          </w:p>
        </w:tc>
        <w:tc>
          <w:tcPr>
            <w:tcW w:w="633"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1E2037">
            <w:pPr>
              <w:keepNext/>
              <w:spacing w:after="0" w:line="240" w:lineRule="auto"/>
              <w:jc w:val="center"/>
              <w:rPr>
                <w:rFonts w:ascii="Arial" w:eastAsia="Times New Roman" w:hAnsi="Arial" w:cs="Arial"/>
                <w:color w:val="000000"/>
                <w:sz w:val="18"/>
                <w:szCs w:val="18"/>
              </w:rPr>
            </w:pPr>
            <w:r>
              <w:rPr>
                <w:rFonts w:ascii="Arial" w:hAnsi="Arial" w:cs="Arial"/>
                <w:color w:val="000000"/>
                <w:sz w:val="18"/>
                <w:szCs w:val="18"/>
              </w:rPr>
              <w:t>10.</w:t>
            </w:r>
            <w:r w:rsidR="001E2037">
              <w:rPr>
                <w:rFonts w:ascii="Arial" w:hAnsi="Arial" w:cs="Arial"/>
                <w:color w:val="000000"/>
                <w:sz w:val="18"/>
                <w:szCs w:val="18"/>
              </w:rPr>
              <w:t>5</w:t>
            </w:r>
          </w:p>
        </w:tc>
        <w:tc>
          <w:tcPr>
            <w:tcW w:w="531"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1E2037">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8.</w:t>
            </w:r>
            <w:r w:rsidR="001E2037">
              <w:rPr>
                <w:rFonts w:ascii="Arial" w:eastAsia="Times New Roman" w:hAnsi="Arial" w:cs="Arial"/>
                <w:color w:val="000000"/>
                <w:sz w:val="18"/>
                <w:szCs w:val="18"/>
              </w:rPr>
              <w:t>5</w:t>
            </w:r>
          </w:p>
        </w:tc>
        <w:tc>
          <w:tcPr>
            <w:tcW w:w="532"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2.5</w:t>
            </w:r>
          </w:p>
        </w:tc>
        <w:tc>
          <w:tcPr>
            <w:tcW w:w="530"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1.4</w:t>
            </w:r>
          </w:p>
        </w:tc>
      </w:tr>
      <w:tr w:rsidR="00EE73C3" w:rsidRPr="00EE73C3" w:rsidTr="00EE73C3">
        <w:trPr>
          <w:trHeight w:val="300"/>
        </w:trPr>
        <w:tc>
          <w:tcPr>
            <w:tcW w:w="552" w:type="pct"/>
            <w:tcBorders>
              <w:top w:val="nil"/>
              <w:left w:val="single" w:sz="4" w:space="0" w:color="auto"/>
              <w:bottom w:val="single" w:sz="4" w:space="0" w:color="auto"/>
              <w:right w:val="single" w:sz="4" w:space="0" w:color="auto"/>
            </w:tcBorders>
            <w:shd w:val="clear" w:color="auto" w:fill="auto"/>
            <w:noWrap/>
            <w:vAlign w:val="center"/>
            <w:hideMark/>
          </w:tcPr>
          <w:p w:rsidR="00EE73C3" w:rsidRPr="00EE73C3" w:rsidRDefault="00B23A7B" w:rsidP="00EE73C3">
            <w:pPr>
              <w:keepNext/>
              <w:spacing w:after="0" w:line="240" w:lineRule="auto"/>
              <w:jc w:val="center"/>
              <w:rPr>
                <w:rFonts w:eastAsia="Times New Roman" w:cs="Calibri"/>
                <w:color w:val="0000FF"/>
                <w:u w:val="single"/>
              </w:rPr>
            </w:pPr>
            <w:r>
              <w:rPr>
                <w:rFonts w:ascii="Arial" w:eastAsia="Times New Roman" w:hAnsi="Arial" w:cs="Arial"/>
                <w:color w:val="000000"/>
                <w:sz w:val="18"/>
                <w:szCs w:val="18"/>
              </w:rPr>
              <w:t>8</w:t>
            </w:r>
            <w:r w:rsidR="00EE73C3" w:rsidRPr="00EE73C3">
              <w:rPr>
                <w:rFonts w:ascii="Arial" w:eastAsia="Times New Roman" w:hAnsi="Arial" w:cs="Arial"/>
                <w:color w:val="000000"/>
                <w:sz w:val="18"/>
                <w:szCs w:val="18"/>
              </w:rPr>
              <w:t>-Sep-11</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0.64</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0.67</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0.41</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0.32</w:t>
            </w:r>
          </w:p>
        </w:tc>
        <w:tc>
          <w:tcPr>
            <w:tcW w:w="633"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1E2037">
            <w:pPr>
              <w:keepNext/>
              <w:spacing w:after="0" w:line="240" w:lineRule="auto"/>
              <w:jc w:val="center"/>
              <w:rPr>
                <w:rFonts w:ascii="Arial" w:eastAsia="Times New Roman" w:hAnsi="Arial" w:cs="Arial"/>
                <w:color w:val="000000"/>
                <w:sz w:val="18"/>
                <w:szCs w:val="18"/>
              </w:rPr>
            </w:pPr>
            <w:r>
              <w:rPr>
                <w:rFonts w:ascii="Arial" w:hAnsi="Arial" w:cs="Arial"/>
                <w:color w:val="000000"/>
                <w:sz w:val="18"/>
                <w:szCs w:val="18"/>
              </w:rPr>
              <w:t>10.</w:t>
            </w:r>
            <w:r w:rsidR="001E2037">
              <w:rPr>
                <w:rFonts w:ascii="Arial" w:hAnsi="Arial" w:cs="Arial"/>
                <w:color w:val="000000"/>
                <w:sz w:val="18"/>
                <w:szCs w:val="18"/>
              </w:rPr>
              <w:t>0</w:t>
            </w:r>
          </w:p>
        </w:tc>
        <w:tc>
          <w:tcPr>
            <w:tcW w:w="531"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1E2037">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9.</w:t>
            </w:r>
            <w:r w:rsidR="001E2037">
              <w:rPr>
                <w:rFonts w:ascii="Arial" w:eastAsia="Times New Roman" w:hAnsi="Arial" w:cs="Arial"/>
                <w:color w:val="000000"/>
                <w:sz w:val="18"/>
                <w:szCs w:val="18"/>
              </w:rPr>
              <w:t>2</w:t>
            </w:r>
          </w:p>
        </w:tc>
        <w:tc>
          <w:tcPr>
            <w:tcW w:w="532"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3.3</w:t>
            </w:r>
          </w:p>
        </w:tc>
        <w:tc>
          <w:tcPr>
            <w:tcW w:w="530"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1.5</w:t>
            </w:r>
          </w:p>
        </w:tc>
      </w:tr>
      <w:tr w:rsidR="00EE73C3" w:rsidRPr="00EE73C3" w:rsidTr="00EE73C3">
        <w:trPr>
          <w:trHeight w:val="300"/>
        </w:trPr>
        <w:tc>
          <w:tcPr>
            <w:tcW w:w="552" w:type="pct"/>
            <w:tcBorders>
              <w:top w:val="nil"/>
              <w:left w:val="single" w:sz="4" w:space="0" w:color="auto"/>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9-Sep-11</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0.2</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0.20</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0.18</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0.13</w:t>
            </w:r>
          </w:p>
        </w:tc>
        <w:tc>
          <w:tcPr>
            <w:tcW w:w="633"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1E2037">
            <w:pPr>
              <w:keepNext/>
              <w:spacing w:after="0" w:line="240" w:lineRule="auto"/>
              <w:jc w:val="center"/>
              <w:rPr>
                <w:rFonts w:ascii="Arial" w:eastAsia="Times New Roman" w:hAnsi="Arial" w:cs="Arial"/>
                <w:color w:val="000000"/>
                <w:sz w:val="18"/>
                <w:szCs w:val="18"/>
              </w:rPr>
            </w:pPr>
            <w:r>
              <w:rPr>
                <w:rFonts w:ascii="Arial" w:hAnsi="Arial" w:cs="Arial"/>
                <w:color w:val="000000"/>
                <w:sz w:val="18"/>
                <w:szCs w:val="18"/>
              </w:rPr>
              <w:t>3.</w:t>
            </w:r>
            <w:r w:rsidR="001E2037">
              <w:rPr>
                <w:rFonts w:ascii="Arial" w:hAnsi="Arial" w:cs="Arial"/>
                <w:color w:val="000000"/>
                <w:sz w:val="18"/>
                <w:szCs w:val="18"/>
              </w:rPr>
              <w:t>1</w:t>
            </w:r>
          </w:p>
        </w:tc>
        <w:tc>
          <w:tcPr>
            <w:tcW w:w="531"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2.7</w:t>
            </w:r>
          </w:p>
        </w:tc>
        <w:tc>
          <w:tcPr>
            <w:tcW w:w="532"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1.5</w:t>
            </w:r>
          </w:p>
        </w:tc>
        <w:tc>
          <w:tcPr>
            <w:tcW w:w="530"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0.6</w:t>
            </w:r>
          </w:p>
        </w:tc>
      </w:tr>
      <w:tr w:rsidR="00EE73C3" w:rsidRPr="00EE73C3" w:rsidTr="00EE73C3">
        <w:trPr>
          <w:trHeight w:val="300"/>
        </w:trPr>
        <w:tc>
          <w:tcPr>
            <w:tcW w:w="552" w:type="pct"/>
            <w:tcBorders>
              <w:top w:val="nil"/>
              <w:left w:val="single" w:sz="4" w:space="0" w:color="auto"/>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12-Oct-11</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0.41</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0.40</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0.27</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0.33</w:t>
            </w:r>
          </w:p>
        </w:tc>
        <w:tc>
          <w:tcPr>
            <w:tcW w:w="633"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Pr>
                <w:rFonts w:ascii="Arial" w:hAnsi="Arial" w:cs="Arial"/>
                <w:color w:val="000000"/>
                <w:sz w:val="18"/>
                <w:szCs w:val="18"/>
              </w:rPr>
              <w:t>6.5</w:t>
            </w:r>
          </w:p>
        </w:tc>
        <w:tc>
          <w:tcPr>
            <w:tcW w:w="531"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1E2037">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5.</w:t>
            </w:r>
            <w:r w:rsidR="001E2037">
              <w:rPr>
                <w:rFonts w:ascii="Arial" w:eastAsia="Times New Roman" w:hAnsi="Arial" w:cs="Arial"/>
                <w:color w:val="000000"/>
                <w:sz w:val="18"/>
                <w:szCs w:val="18"/>
              </w:rPr>
              <w:t>4</w:t>
            </w:r>
          </w:p>
        </w:tc>
        <w:tc>
          <w:tcPr>
            <w:tcW w:w="532"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2.2</w:t>
            </w:r>
          </w:p>
        </w:tc>
        <w:tc>
          <w:tcPr>
            <w:tcW w:w="530"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1.5</w:t>
            </w:r>
          </w:p>
        </w:tc>
      </w:tr>
      <w:tr w:rsidR="00EE73C3" w:rsidRPr="00EE73C3" w:rsidTr="00EE73C3">
        <w:trPr>
          <w:trHeight w:val="300"/>
        </w:trPr>
        <w:tc>
          <w:tcPr>
            <w:tcW w:w="552" w:type="pct"/>
            <w:tcBorders>
              <w:top w:val="nil"/>
              <w:left w:val="single" w:sz="4" w:space="0" w:color="auto"/>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13-Oct-11</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0.61</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0.63</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0.27</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0.24</w:t>
            </w:r>
          </w:p>
        </w:tc>
        <w:tc>
          <w:tcPr>
            <w:tcW w:w="633"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1E2037">
            <w:pPr>
              <w:keepNext/>
              <w:spacing w:after="0" w:line="240" w:lineRule="auto"/>
              <w:jc w:val="center"/>
              <w:rPr>
                <w:rFonts w:ascii="Arial" w:eastAsia="Times New Roman" w:hAnsi="Arial" w:cs="Arial"/>
                <w:color w:val="000000"/>
                <w:sz w:val="18"/>
                <w:szCs w:val="18"/>
              </w:rPr>
            </w:pPr>
            <w:r>
              <w:rPr>
                <w:rFonts w:ascii="Arial" w:hAnsi="Arial" w:cs="Arial"/>
                <w:color w:val="000000"/>
                <w:sz w:val="18"/>
                <w:szCs w:val="18"/>
              </w:rPr>
              <w:t>9.</w:t>
            </w:r>
            <w:r w:rsidR="001E2037">
              <w:rPr>
                <w:rFonts w:ascii="Arial" w:hAnsi="Arial" w:cs="Arial"/>
                <w:color w:val="000000"/>
                <w:sz w:val="18"/>
                <w:szCs w:val="18"/>
              </w:rPr>
              <w:t>5</w:t>
            </w:r>
          </w:p>
        </w:tc>
        <w:tc>
          <w:tcPr>
            <w:tcW w:w="531"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1E2037">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8.</w:t>
            </w:r>
            <w:r w:rsidR="001E2037">
              <w:rPr>
                <w:rFonts w:ascii="Arial" w:eastAsia="Times New Roman" w:hAnsi="Arial" w:cs="Arial"/>
                <w:color w:val="000000"/>
                <w:sz w:val="18"/>
                <w:szCs w:val="18"/>
              </w:rPr>
              <w:t>7</w:t>
            </w:r>
          </w:p>
        </w:tc>
        <w:tc>
          <w:tcPr>
            <w:tcW w:w="532"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2.2</w:t>
            </w:r>
          </w:p>
        </w:tc>
        <w:tc>
          <w:tcPr>
            <w:tcW w:w="530"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keepNext/>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1.1</w:t>
            </w:r>
          </w:p>
        </w:tc>
      </w:tr>
      <w:tr w:rsidR="00EE73C3" w:rsidRPr="00EE73C3" w:rsidTr="00EE73C3">
        <w:trPr>
          <w:trHeight w:val="300"/>
        </w:trPr>
        <w:tc>
          <w:tcPr>
            <w:tcW w:w="552" w:type="pct"/>
            <w:tcBorders>
              <w:top w:val="nil"/>
              <w:left w:val="single" w:sz="4" w:space="0" w:color="auto"/>
              <w:bottom w:val="single" w:sz="4" w:space="0" w:color="auto"/>
              <w:right w:val="single" w:sz="4" w:space="0" w:color="auto"/>
            </w:tcBorders>
            <w:shd w:val="clear" w:color="auto" w:fill="auto"/>
            <w:noWrap/>
            <w:vAlign w:val="center"/>
            <w:hideMark/>
          </w:tcPr>
          <w:p w:rsidR="00EE73C3" w:rsidRPr="00EE73C3" w:rsidRDefault="00EE73C3" w:rsidP="00EE73C3">
            <w:pPr>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Average</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0.48</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0.47</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0.30</w:t>
            </w:r>
          </w:p>
        </w:tc>
        <w:tc>
          <w:tcPr>
            <w:tcW w:w="556"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0.28</w:t>
            </w:r>
          </w:p>
        </w:tc>
        <w:tc>
          <w:tcPr>
            <w:tcW w:w="633"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1E2037">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7.</w:t>
            </w:r>
            <w:r w:rsidR="001E2037">
              <w:rPr>
                <w:rFonts w:ascii="Arial" w:hAnsi="Arial" w:cs="Arial"/>
                <w:color w:val="000000"/>
                <w:sz w:val="18"/>
                <w:szCs w:val="18"/>
              </w:rPr>
              <w:t>6</w:t>
            </w:r>
          </w:p>
        </w:tc>
        <w:tc>
          <w:tcPr>
            <w:tcW w:w="531"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6.3</w:t>
            </w:r>
          </w:p>
        </w:tc>
        <w:tc>
          <w:tcPr>
            <w:tcW w:w="532"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2.4</w:t>
            </w:r>
          </w:p>
        </w:tc>
        <w:tc>
          <w:tcPr>
            <w:tcW w:w="530" w:type="pct"/>
            <w:tcBorders>
              <w:top w:val="nil"/>
              <w:left w:val="nil"/>
              <w:bottom w:val="single" w:sz="4" w:space="0" w:color="auto"/>
              <w:right w:val="single" w:sz="4" w:space="0" w:color="auto"/>
            </w:tcBorders>
            <w:shd w:val="clear" w:color="auto" w:fill="auto"/>
            <w:noWrap/>
            <w:vAlign w:val="center"/>
            <w:hideMark/>
          </w:tcPr>
          <w:p w:rsidR="00EE73C3" w:rsidRPr="00EE73C3" w:rsidRDefault="00EE73C3" w:rsidP="00EE73C3">
            <w:pPr>
              <w:spacing w:after="0" w:line="240" w:lineRule="auto"/>
              <w:jc w:val="center"/>
              <w:rPr>
                <w:rFonts w:ascii="Arial" w:eastAsia="Times New Roman" w:hAnsi="Arial" w:cs="Arial"/>
                <w:color w:val="000000"/>
                <w:sz w:val="18"/>
                <w:szCs w:val="18"/>
              </w:rPr>
            </w:pPr>
            <w:r w:rsidRPr="00EE73C3">
              <w:rPr>
                <w:rFonts w:ascii="Arial" w:eastAsia="Times New Roman" w:hAnsi="Arial" w:cs="Arial"/>
                <w:color w:val="000000"/>
                <w:sz w:val="18"/>
                <w:szCs w:val="18"/>
              </w:rPr>
              <w:t>1.3</w:t>
            </w:r>
          </w:p>
        </w:tc>
      </w:tr>
    </w:tbl>
    <w:p w:rsidR="001B44C8" w:rsidRPr="00365AB4" w:rsidRDefault="001B44C8" w:rsidP="00B304F1">
      <w:pPr>
        <w:pStyle w:val="BodyParaAfterTableFigure"/>
      </w:pPr>
      <w:r>
        <w:t>In light of these findings</w:t>
      </w:r>
      <w:r w:rsidRPr="00EB7C5F">
        <w:t xml:space="preserve">, and the fact that the residential 100% cycling group is paid </w:t>
      </w:r>
      <w:r>
        <w:rPr>
          <w:rFonts w:cs="Arial"/>
        </w:rPr>
        <w:t>four</w:t>
      </w:r>
      <w:r w:rsidRPr="00EB7C5F">
        <w:t xml:space="preserve"> times as much to participate as the 50% cycling group, it may be possible to improve program cost effectiveness by increasing the share of program participants on the lower cost 50% cycling option and/or by reducing the incentive paid for 100% cycling while increasing the incentive paid for 50% cycling</w:t>
      </w:r>
      <w:r>
        <w:t>.  The same may be true for the commercial cycling options.</w:t>
      </w:r>
    </w:p>
    <w:p w:rsidR="00884FD5" w:rsidRDefault="00884FD5" w:rsidP="00884FD5">
      <w:pPr>
        <w:pStyle w:val="Heading2"/>
        <w:spacing w:before="360"/>
        <w:ind w:left="547" w:hanging="547"/>
        <w:rPr>
          <w:rFonts w:eastAsia="Times New Roman"/>
        </w:rPr>
      </w:pPr>
      <w:bookmarkStart w:id="19" w:name="_Toc286755174"/>
      <w:bookmarkStart w:id="20" w:name="_Toc325370150"/>
      <w:r>
        <w:rPr>
          <w:rFonts w:eastAsia="Times New Roman"/>
        </w:rPr>
        <w:t>Control Device Communications Failure</w:t>
      </w:r>
      <w:bookmarkEnd w:id="19"/>
      <w:bookmarkEnd w:id="20"/>
    </w:p>
    <w:p w:rsidR="00884FD5" w:rsidRDefault="00884FD5" w:rsidP="00884FD5">
      <w:pPr>
        <w:pStyle w:val="BodyParagraph"/>
      </w:pPr>
      <w:r>
        <w:t xml:space="preserve">The load-control switches that </w:t>
      </w:r>
      <w:r w:rsidR="007C6B73">
        <w:t>trigger</w:t>
      </w:r>
      <w:r>
        <w:t xml:space="preserve"> events to happen at the customer level rely on radio signals for event activation.  If the switch is broken, if the signal is blocked or if the signal is sent on a frequency that the device is not set up to receive, then the event will not occur for that device.  This is referred to as control device communication failure.</w:t>
      </w:r>
    </w:p>
    <w:p w:rsidR="00884FD5" w:rsidRDefault="00884FD5" w:rsidP="00884FD5">
      <w:pPr>
        <w:pStyle w:val="BodyParagraph"/>
      </w:pPr>
      <w:r>
        <w:t xml:space="preserve">Direct measurement of control device communication was not done for the 2011 evaluation.  However, </w:t>
      </w:r>
      <w:r w:rsidR="00D31E19">
        <w:t xml:space="preserve">a load research sample of </w:t>
      </w:r>
      <w:r w:rsidR="009E722D">
        <w:t>C</w:t>
      </w:r>
      <w:r w:rsidR="00D31E19">
        <w:t xml:space="preserve">AC load was collected for the sake of </w:t>
      </w:r>
      <w:r w:rsidR="009E722D">
        <w:t>contract</w:t>
      </w:r>
      <w:r w:rsidR="00D31E19">
        <w:t xml:space="preserve"> settlement with </w:t>
      </w:r>
      <w:r w:rsidR="00DD6C96">
        <w:t>Comverge Inc</w:t>
      </w:r>
      <w:r w:rsidR="00D31E19">
        <w:t xml:space="preserve">.  This sample contained </w:t>
      </w:r>
      <w:r w:rsidR="00B53571">
        <w:t xml:space="preserve">177 </w:t>
      </w:r>
      <w:r>
        <w:t xml:space="preserve">customers on </w:t>
      </w:r>
      <w:r w:rsidR="00B53571">
        <w:t xml:space="preserve">the </w:t>
      </w:r>
      <w:r>
        <w:t xml:space="preserve">100% cycling </w:t>
      </w:r>
      <w:r w:rsidR="00B53571">
        <w:t xml:space="preserve">option.  Customers on 100% cycling </w:t>
      </w:r>
      <w:r>
        <w:t xml:space="preserve">that do not have event load </w:t>
      </w:r>
      <w:r w:rsidR="00940256">
        <w:t xml:space="preserve">reductions </w:t>
      </w:r>
      <w:r>
        <w:t xml:space="preserve">of very close to 100% can be presumed to be affected by communication failure.  </w:t>
      </w:r>
      <w:r w:rsidR="00EC3A51">
        <w:t>Also</w:t>
      </w:r>
      <w:r>
        <w:t xml:space="preserve">, there is no obvious reason why customers on 100% cycling should have different communication failure rates from residential customers on other cycling options, so this analysis probably reflects communication across the residential Summer Saver population.  Commercial Summer Saver customers may have different rates of communication failure due to differing building types and switch locations. </w:t>
      </w:r>
    </w:p>
    <w:p w:rsidR="00B53571" w:rsidRDefault="00DC2BC2" w:rsidP="00884FD5">
      <w:pPr>
        <w:pStyle w:val="BodyParagraph"/>
      </w:pPr>
      <w:r>
        <w:t>As shown in Table 4</w:t>
      </w:r>
      <w:r w:rsidR="00B53571">
        <w:t>-</w:t>
      </w:r>
      <w:r w:rsidR="007C6B73">
        <w:t>4</w:t>
      </w:r>
      <w:r w:rsidR="00B53571">
        <w:t xml:space="preserve">, an analysis of the number of customers in the 100% cycling group that had load above 0.02 kW during each event hour of 2011 revealed that communication failure was variable, but tended to be about 15% during the middle </w:t>
      </w:r>
      <w:r w:rsidR="007C6B73">
        <w:t xml:space="preserve">hours </w:t>
      </w:r>
      <w:r w:rsidR="00B53571">
        <w:t xml:space="preserve">of most events.  The higher percentage of non-zero loads in the first hour can be attributed to </w:t>
      </w:r>
      <w:r w:rsidR="00DE0211">
        <w:t>the fact that for each customer,</w:t>
      </w:r>
      <w:r w:rsidR="00B53571">
        <w:t xml:space="preserve"> events actually begin sometime in the first half-hour of the event, rather than immediately at the top of the hour.  </w:t>
      </w:r>
      <w:r w:rsidR="007C6B73">
        <w:t>It should be noted that</w:t>
      </w:r>
      <w:r w:rsidR="00DE0211">
        <w:t xml:space="preserve"> the samples underlying the values for the two October events are smaller, with data from only 65 customers used to calculate the failure rate for October 12 and only 50 customers used to calculate the failure rate for October 13.</w:t>
      </w:r>
      <w:r w:rsidR="00910E7D">
        <w:t xml:space="preserve">  </w:t>
      </w:r>
    </w:p>
    <w:p w:rsidR="00884FD5" w:rsidRDefault="00DC2BC2" w:rsidP="00884FD5">
      <w:pPr>
        <w:pStyle w:val="TableFigureCaption"/>
      </w:pPr>
      <w:r>
        <w:lastRenderedPageBreak/>
        <w:t>Table 4</w:t>
      </w:r>
      <w:r w:rsidR="00884FD5">
        <w:t>-</w:t>
      </w:r>
      <w:r w:rsidR="007C6B73">
        <w:t>4</w:t>
      </w:r>
      <w:r w:rsidR="00884FD5">
        <w:t>:</w:t>
      </w:r>
      <w:r w:rsidR="00B304F1">
        <w:t xml:space="preserve"> </w:t>
      </w:r>
      <w:r w:rsidR="002E7599">
        <w:t>Percentage</w:t>
      </w:r>
      <w:r w:rsidR="00884FD5">
        <w:t xml:space="preserve"> of </w:t>
      </w:r>
      <w:r w:rsidR="00661870">
        <w:t>Premises</w:t>
      </w:r>
      <w:r w:rsidR="00884FD5">
        <w:t xml:space="preserve"> </w:t>
      </w:r>
      <w:r w:rsidR="00661870">
        <w:t xml:space="preserve">on 100% Cycling with </w:t>
      </w:r>
      <w:r w:rsidR="00B304F1">
        <w:br/>
      </w:r>
      <w:r w:rsidR="00661870">
        <w:t>Non-</w:t>
      </w:r>
      <w:r w:rsidR="00CE25D2">
        <w:t>z</w:t>
      </w:r>
      <w:r w:rsidR="00661870">
        <w:t>ero</w:t>
      </w:r>
      <w:r w:rsidR="002E7599">
        <w:rPr>
          <w:rStyle w:val="FootnoteReference"/>
        </w:rPr>
        <w:footnoteReference w:id="16"/>
      </w:r>
      <w:r w:rsidR="00661870">
        <w:t xml:space="preserve"> Load </w:t>
      </w:r>
      <w:r w:rsidR="00FA1E2A">
        <w:t>during</w:t>
      </w:r>
      <w:r w:rsidR="00661870">
        <w:t xml:space="preserve"> </w:t>
      </w:r>
      <w:r w:rsidR="00CE25D2">
        <w:t>E</w:t>
      </w:r>
      <w:r w:rsidR="00661870">
        <w:t>ach Event Hour</w:t>
      </w:r>
      <w:r w:rsidR="00884FD5">
        <w:t xml:space="preserve"> </w:t>
      </w:r>
    </w:p>
    <w:tbl>
      <w:tblPr>
        <w:tblW w:w="4800" w:type="dxa"/>
        <w:jc w:val="center"/>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0"/>
        <w:gridCol w:w="960"/>
        <w:gridCol w:w="960"/>
        <w:gridCol w:w="960"/>
        <w:gridCol w:w="960"/>
      </w:tblGrid>
      <w:tr w:rsidR="00884FD5" w:rsidTr="00DC2BC2">
        <w:trPr>
          <w:trHeight w:val="315"/>
          <w:jc w:val="center"/>
        </w:trPr>
        <w:tc>
          <w:tcPr>
            <w:tcW w:w="960" w:type="dxa"/>
            <w:vMerge w:val="restart"/>
            <w:tcBorders>
              <w:right w:val="single" w:sz="4" w:space="0" w:color="FFFFFF" w:themeColor="background1"/>
            </w:tcBorders>
            <w:shd w:val="clear" w:color="auto" w:fill="1F497D"/>
            <w:tcMar>
              <w:top w:w="0" w:type="dxa"/>
              <w:left w:w="108" w:type="dxa"/>
              <w:bottom w:w="0" w:type="dxa"/>
              <w:right w:w="108" w:type="dxa"/>
            </w:tcMar>
            <w:vAlign w:val="center"/>
            <w:hideMark/>
          </w:tcPr>
          <w:p w:rsidR="00884FD5" w:rsidRPr="00884FD5" w:rsidRDefault="00884FD5" w:rsidP="00DC2BC2">
            <w:pPr>
              <w:pStyle w:val="TableHeader"/>
            </w:pPr>
            <w:r w:rsidRPr="00884FD5">
              <w:t>Event Date</w:t>
            </w:r>
          </w:p>
        </w:tc>
        <w:tc>
          <w:tcPr>
            <w:tcW w:w="3840" w:type="dxa"/>
            <w:gridSpan w:val="4"/>
            <w:tcBorders>
              <w:left w:val="single" w:sz="4" w:space="0" w:color="FFFFFF" w:themeColor="background1"/>
              <w:bottom w:val="single" w:sz="4" w:space="0" w:color="FFFFFF" w:themeColor="background1"/>
            </w:tcBorders>
            <w:shd w:val="clear" w:color="auto" w:fill="1F497D"/>
            <w:tcMar>
              <w:top w:w="0" w:type="dxa"/>
              <w:left w:w="108" w:type="dxa"/>
              <w:bottom w:w="0" w:type="dxa"/>
              <w:right w:w="108" w:type="dxa"/>
            </w:tcMar>
            <w:vAlign w:val="center"/>
            <w:hideMark/>
          </w:tcPr>
          <w:p w:rsidR="00884FD5" w:rsidRPr="00884FD5" w:rsidRDefault="00884FD5" w:rsidP="00DC2BC2">
            <w:pPr>
              <w:pStyle w:val="TableHeader"/>
            </w:pPr>
            <w:r w:rsidRPr="00884FD5">
              <w:t>Event Hour</w:t>
            </w:r>
          </w:p>
        </w:tc>
      </w:tr>
      <w:tr w:rsidR="00884FD5" w:rsidTr="00DC2BC2">
        <w:trPr>
          <w:trHeight w:val="315"/>
          <w:jc w:val="center"/>
        </w:trPr>
        <w:tc>
          <w:tcPr>
            <w:tcW w:w="0" w:type="auto"/>
            <w:vMerge/>
            <w:tcBorders>
              <w:right w:val="single" w:sz="4" w:space="0" w:color="FFFFFF" w:themeColor="background1"/>
            </w:tcBorders>
            <w:vAlign w:val="center"/>
            <w:hideMark/>
          </w:tcPr>
          <w:p w:rsidR="00884FD5" w:rsidRPr="00884FD5" w:rsidRDefault="00884FD5" w:rsidP="00DC2BC2">
            <w:pPr>
              <w:pStyle w:val="TableHeader"/>
            </w:pPr>
          </w:p>
        </w:tc>
        <w:tc>
          <w:tcPr>
            <w:tcW w:w="960" w:type="dxa"/>
            <w:tcBorders>
              <w:top w:val="single" w:sz="4" w:space="0" w:color="FFFFFF" w:themeColor="background1"/>
              <w:left w:val="single" w:sz="4" w:space="0" w:color="FFFFFF" w:themeColor="background1"/>
              <w:right w:val="single" w:sz="4" w:space="0" w:color="FFFFFF" w:themeColor="background1"/>
            </w:tcBorders>
            <w:shd w:val="clear" w:color="auto" w:fill="1F497D"/>
            <w:tcMar>
              <w:top w:w="0" w:type="dxa"/>
              <w:left w:w="108" w:type="dxa"/>
              <w:bottom w:w="0" w:type="dxa"/>
              <w:right w:w="108" w:type="dxa"/>
            </w:tcMar>
            <w:vAlign w:val="center"/>
            <w:hideMark/>
          </w:tcPr>
          <w:p w:rsidR="00884FD5" w:rsidRPr="00884FD5" w:rsidRDefault="00884FD5" w:rsidP="00DC2BC2">
            <w:pPr>
              <w:pStyle w:val="TableHeader"/>
            </w:pPr>
            <w:r w:rsidRPr="00884FD5">
              <w:t>1</w:t>
            </w:r>
          </w:p>
        </w:tc>
        <w:tc>
          <w:tcPr>
            <w:tcW w:w="960" w:type="dxa"/>
            <w:tcBorders>
              <w:top w:val="single" w:sz="4" w:space="0" w:color="FFFFFF" w:themeColor="background1"/>
              <w:left w:val="single" w:sz="4" w:space="0" w:color="FFFFFF" w:themeColor="background1"/>
              <w:right w:val="single" w:sz="4" w:space="0" w:color="FFFFFF" w:themeColor="background1"/>
            </w:tcBorders>
            <w:shd w:val="clear" w:color="auto" w:fill="1F497D"/>
            <w:tcMar>
              <w:top w:w="0" w:type="dxa"/>
              <w:left w:w="108" w:type="dxa"/>
              <w:bottom w:w="0" w:type="dxa"/>
              <w:right w:w="108" w:type="dxa"/>
            </w:tcMar>
            <w:vAlign w:val="center"/>
            <w:hideMark/>
          </w:tcPr>
          <w:p w:rsidR="00884FD5" w:rsidRPr="00884FD5" w:rsidRDefault="00884FD5" w:rsidP="00DC2BC2">
            <w:pPr>
              <w:pStyle w:val="TableHeader"/>
            </w:pPr>
            <w:r w:rsidRPr="00884FD5">
              <w:t>2</w:t>
            </w:r>
          </w:p>
        </w:tc>
        <w:tc>
          <w:tcPr>
            <w:tcW w:w="960" w:type="dxa"/>
            <w:tcBorders>
              <w:top w:val="single" w:sz="4" w:space="0" w:color="FFFFFF" w:themeColor="background1"/>
              <w:left w:val="single" w:sz="4" w:space="0" w:color="FFFFFF" w:themeColor="background1"/>
              <w:right w:val="single" w:sz="4" w:space="0" w:color="FFFFFF" w:themeColor="background1"/>
            </w:tcBorders>
            <w:shd w:val="clear" w:color="auto" w:fill="1F497D"/>
            <w:tcMar>
              <w:top w:w="0" w:type="dxa"/>
              <w:left w:w="108" w:type="dxa"/>
              <w:bottom w:w="0" w:type="dxa"/>
              <w:right w:w="108" w:type="dxa"/>
            </w:tcMar>
            <w:vAlign w:val="center"/>
            <w:hideMark/>
          </w:tcPr>
          <w:p w:rsidR="00884FD5" w:rsidRPr="00884FD5" w:rsidRDefault="00884FD5" w:rsidP="00DC2BC2">
            <w:pPr>
              <w:pStyle w:val="TableHeader"/>
            </w:pPr>
            <w:r w:rsidRPr="00884FD5">
              <w:t>3</w:t>
            </w:r>
          </w:p>
        </w:tc>
        <w:tc>
          <w:tcPr>
            <w:tcW w:w="960" w:type="dxa"/>
            <w:tcBorders>
              <w:top w:val="single" w:sz="4" w:space="0" w:color="FFFFFF" w:themeColor="background1"/>
              <w:left w:val="single" w:sz="4" w:space="0" w:color="FFFFFF" w:themeColor="background1"/>
            </w:tcBorders>
            <w:shd w:val="clear" w:color="auto" w:fill="1F497D"/>
            <w:tcMar>
              <w:top w:w="0" w:type="dxa"/>
              <w:left w:w="108" w:type="dxa"/>
              <w:bottom w:w="0" w:type="dxa"/>
              <w:right w:w="108" w:type="dxa"/>
            </w:tcMar>
            <w:vAlign w:val="center"/>
            <w:hideMark/>
          </w:tcPr>
          <w:p w:rsidR="00884FD5" w:rsidRPr="00884FD5" w:rsidRDefault="00884FD5" w:rsidP="00DC2BC2">
            <w:pPr>
              <w:pStyle w:val="TableHeader"/>
            </w:pPr>
            <w:r w:rsidRPr="00884FD5">
              <w:t>4</w:t>
            </w:r>
          </w:p>
        </w:tc>
      </w:tr>
      <w:tr w:rsidR="00884FD5" w:rsidTr="00DC2BC2">
        <w:trPr>
          <w:trHeight w:val="315"/>
          <w:jc w:val="center"/>
        </w:trPr>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26-Aug</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33%</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9%</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13%</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14%</w:t>
            </w:r>
          </w:p>
        </w:tc>
      </w:tr>
      <w:tr w:rsidR="00884FD5" w:rsidTr="00DC2BC2">
        <w:trPr>
          <w:trHeight w:val="315"/>
          <w:jc w:val="center"/>
        </w:trPr>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7-Sep</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43%</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1</w:t>
            </w:r>
            <w:r w:rsidR="00E64C04">
              <w:t>5</w:t>
            </w:r>
            <w:r w:rsidRPr="00884FD5">
              <w:t>%</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1</w:t>
            </w:r>
            <w:r w:rsidR="00E64C04">
              <w:t>6</w:t>
            </w:r>
            <w:r w:rsidRPr="00884FD5">
              <w:t>%</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18%</w:t>
            </w:r>
          </w:p>
        </w:tc>
      </w:tr>
      <w:tr w:rsidR="00884FD5" w:rsidTr="00DC2BC2">
        <w:trPr>
          <w:trHeight w:val="315"/>
          <w:jc w:val="center"/>
        </w:trPr>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8-Sep</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33%</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13%</w:t>
            </w:r>
          </w:p>
        </w:tc>
        <w:tc>
          <w:tcPr>
            <w:tcW w:w="960" w:type="dxa"/>
            <w:tcMar>
              <w:top w:w="0" w:type="dxa"/>
              <w:left w:w="108" w:type="dxa"/>
              <w:bottom w:w="0" w:type="dxa"/>
              <w:right w:w="108" w:type="dxa"/>
            </w:tcMar>
            <w:vAlign w:val="center"/>
            <w:hideMark/>
          </w:tcPr>
          <w:p w:rsidR="00884FD5" w:rsidRPr="00884FD5" w:rsidRDefault="00661870" w:rsidP="00DC2BC2">
            <w:pPr>
              <w:pStyle w:val="TableText"/>
              <w:jc w:val="center"/>
            </w:pPr>
            <w:r>
              <w:t>NA</w:t>
            </w:r>
            <w:r w:rsidR="00FF24B8">
              <w:rPr>
                <w:rStyle w:val="FootnoteReference"/>
                <w:rFonts w:cs="Arial"/>
                <w:color w:val="000000"/>
                <w:szCs w:val="18"/>
              </w:rPr>
              <w:footnoteReference w:id="17"/>
            </w:r>
          </w:p>
        </w:tc>
        <w:tc>
          <w:tcPr>
            <w:tcW w:w="960" w:type="dxa"/>
            <w:tcMar>
              <w:top w:w="0" w:type="dxa"/>
              <w:left w:w="108" w:type="dxa"/>
              <w:bottom w:w="0" w:type="dxa"/>
              <w:right w:w="108" w:type="dxa"/>
            </w:tcMar>
            <w:vAlign w:val="center"/>
            <w:hideMark/>
          </w:tcPr>
          <w:p w:rsidR="00884FD5" w:rsidRPr="00884FD5" w:rsidRDefault="00661870" w:rsidP="00DC2BC2">
            <w:pPr>
              <w:pStyle w:val="TableText"/>
              <w:jc w:val="center"/>
            </w:pPr>
            <w:r>
              <w:t>NA</w:t>
            </w:r>
            <w:r w:rsidR="00FF24B8">
              <w:rPr>
                <w:rStyle w:val="FootnoteReference"/>
                <w:rFonts w:cs="Arial"/>
                <w:color w:val="000000"/>
                <w:szCs w:val="18"/>
              </w:rPr>
              <w:footnoteReference w:id="18"/>
            </w:r>
          </w:p>
        </w:tc>
      </w:tr>
      <w:tr w:rsidR="00884FD5" w:rsidTr="00DC2BC2">
        <w:trPr>
          <w:trHeight w:val="315"/>
          <w:jc w:val="center"/>
        </w:trPr>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9-Sep</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1</w:t>
            </w:r>
            <w:r w:rsidR="00E64C04">
              <w:t>6</w:t>
            </w:r>
            <w:r w:rsidRPr="00884FD5">
              <w:t>%</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10%</w:t>
            </w:r>
          </w:p>
        </w:tc>
        <w:tc>
          <w:tcPr>
            <w:tcW w:w="960" w:type="dxa"/>
            <w:tcMar>
              <w:top w:w="0" w:type="dxa"/>
              <w:left w:w="108" w:type="dxa"/>
              <w:bottom w:w="0" w:type="dxa"/>
              <w:right w:w="108" w:type="dxa"/>
            </w:tcMar>
            <w:vAlign w:val="center"/>
            <w:hideMark/>
          </w:tcPr>
          <w:p w:rsidR="00884FD5" w:rsidRPr="00884FD5" w:rsidRDefault="00E64C04" w:rsidP="00DC2BC2">
            <w:pPr>
              <w:pStyle w:val="TableText"/>
              <w:jc w:val="center"/>
            </w:pPr>
            <w:r>
              <w:t>9</w:t>
            </w:r>
            <w:r w:rsidR="00884FD5" w:rsidRPr="00884FD5">
              <w:t>%</w:t>
            </w:r>
          </w:p>
        </w:tc>
        <w:tc>
          <w:tcPr>
            <w:tcW w:w="960" w:type="dxa"/>
            <w:tcMar>
              <w:top w:w="0" w:type="dxa"/>
              <w:left w:w="108" w:type="dxa"/>
              <w:bottom w:w="0" w:type="dxa"/>
              <w:right w:w="108" w:type="dxa"/>
            </w:tcMar>
            <w:vAlign w:val="center"/>
            <w:hideMark/>
          </w:tcPr>
          <w:p w:rsidR="00884FD5" w:rsidRPr="00884FD5" w:rsidRDefault="00E64C04" w:rsidP="00DC2BC2">
            <w:pPr>
              <w:pStyle w:val="TableText"/>
              <w:jc w:val="center"/>
            </w:pPr>
            <w:r>
              <w:t>9</w:t>
            </w:r>
            <w:r w:rsidR="00884FD5" w:rsidRPr="00884FD5">
              <w:t>%</w:t>
            </w:r>
          </w:p>
        </w:tc>
      </w:tr>
      <w:tr w:rsidR="00884FD5" w:rsidTr="00DC2BC2">
        <w:trPr>
          <w:trHeight w:val="315"/>
          <w:jc w:val="center"/>
        </w:trPr>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12-Oct</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17%</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12%</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12%</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13%</w:t>
            </w:r>
          </w:p>
        </w:tc>
      </w:tr>
      <w:tr w:rsidR="00884FD5" w:rsidTr="00DC2BC2">
        <w:trPr>
          <w:trHeight w:val="315"/>
          <w:jc w:val="center"/>
        </w:trPr>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13-Oct</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3</w:t>
            </w:r>
            <w:r w:rsidR="00E64C04">
              <w:t>1</w:t>
            </w:r>
            <w:r w:rsidRPr="00884FD5">
              <w:t>%</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3</w:t>
            </w:r>
            <w:r w:rsidR="00E64C04">
              <w:t>3</w:t>
            </w:r>
            <w:r w:rsidRPr="00884FD5">
              <w:t>%</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3</w:t>
            </w:r>
            <w:r w:rsidR="00E64C04">
              <w:t>7</w:t>
            </w:r>
            <w:r w:rsidRPr="00884FD5">
              <w:t>%</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pPr>
            <w:r w:rsidRPr="00884FD5">
              <w:t>38%</w:t>
            </w:r>
          </w:p>
        </w:tc>
      </w:tr>
      <w:tr w:rsidR="00884FD5" w:rsidTr="00DC2BC2">
        <w:trPr>
          <w:trHeight w:val="315"/>
          <w:jc w:val="center"/>
        </w:trPr>
        <w:tc>
          <w:tcPr>
            <w:tcW w:w="960" w:type="dxa"/>
            <w:tcMar>
              <w:top w:w="0" w:type="dxa"/>
              <w:left w:w="108" w:type="dxa"/>
              <w:bottom w:w="0" w:type="dxa"/>
              <w:right w:w="108" w:type="dxa"/>
            </w:tcMar>
            <w:vAlign w:val="center"/>
            <w:hideMark/>
          </w:tcPr>
          <w:p w:rsidR="00884FD5" w:rsidRPr="00884FD5" w:rsidRDefault="00884FD5" w:rsidP="00DC2BC2">
            <w:pPr>
              <w:pStyle w:val="TableText"/>
              <w:jc w:val="center"/>
              <w:rPr>
                <w:iCs/>
              </w:rPr>
            </w:pPr>
            <w:r w:rsidRPr="00884FD5">
              <w:rPr>
                <w:iCs/>
              </w:rPr>
              <w:t>Average</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rPr>
                <w:iCs/>
              </w:rPr>
            </w:pPr>
            <w:r w:rsidRPr="00884FD5">
              <w:rPr>
                <w:iCs/>
              </w:rPr>
              <w:t>29%</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rPr>
                <w:iCs/>
              </w:rPr>
            </w:pPr>
            <w:r w:rsidRPr="00884FD5">
              <w:rPr>
                <w:iCs/>
              </w:rPr>
              <w:t>15%</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rPr>
                <w:iCs/>
              </w:rPr>
            </w:pPr>
            <w:r w:rsidRPr="00884FD5">
              <w:rPr>
                <w:iCs/>
              </w:rPr>
              <w:t>16%</w:t>
            </w:r>
          </w:p>
        </w:tc>
        <w:tc>
          <w:tcPr>
            <w:tcW w:w="960" w:type="dxa"/>
            <w:tcMar>
              <w:top w:w="0" w:type="dxa"/>
              <w:left w:w="108" w:type="dxa"/>
              <w:bottom w:w="0" w:type="dxa"/>
              <w:right w:w="108" w:type="dxa"/>
            </w:tcMar>
            <w:vAlign w:val="center"/>
            <w:hideMark/>
          </w:tcPr>
          <w:p w:rsidR="00884FD5" w:rsidRPr="00884FD5" w:rsidRDefault="00884FD5" w:rsidP="00DC2BC2">
            <w:pPr>
              <w:pStyle w:val="TableText"/>
              <w:jc w:val="center"/>
              <w:rPr>
                <w:iCs/>
              </w:rPr>
            </w:pPr>
            <w:r w:rsidRPr="00884FD5">
              <w:rPr>
                <w:iCs/>
              </w:rPr>
              <w:t>16%</w:t>
            </w:r>
          </w:p>
        </w:tc>
      </w:tr>
    </w:tbl>
    <w:p w:rsidR="00DC2BC2" w:rsidRDefault="00884FD5" w:rsidP="00DC2BC2">
      <w:pPr>
        <w:pStyle w:val="BodyParaAfterTableFigure"/>
      </w:pPr>
      <w:r>
        <w:t xml:space="preserve">Communications failure did not affect the same customers for each event; only 3% of </w:t>
      </w:r>
      <w:r w:rsidR="00661870">
        <w:t xml:space="preserve">sampled </w:t>
      </w:r>
      <w:r>
        <w:t xml:space="preserve">customers showed failure for all of the events for which they were called.  Almost 13% of </w:t>
      </w:r>
      <w:r w:rsidR="00661870">
        <w:t xml:space="preserve">sampled </w:t>
      </w:r>
      <w:r>
        <w:t>customers showed failure for more than 50% of the event hours for which they were called, and 49% showed failure for more than 10% of their event hours.</w:t>
      </w:r>
    </w:p>
    <w:p w:rsidR="002E7599" w:rsidRPr="002E7599" w:rsidRDefault="002E7599" w:rsidP="002E7599">
      <w:pPr>
        <w:pStyle w:val="BodyParagraph"/>
      </w:pPr>
      <w:r>
        <w:t xml:space="preserve">The overall distribution of control device communication failure in this sample, including the average level of failure is quite similar to what was observed in 2010.  </w:t>
      </w:r>
    </w:p>
    <w:p w:rsidR="00D46FBD" w:rsidRDefault="00BD6DEC" w:rsidP="00BD6DEC">
      <w:pPr>
        <w:pStyle w:val="Heading2"/>
      </w:pPr>
      <w:bookmarkStart w:id="21" w:name="_Toc325370151"/>
      <w:r>
        <w:t xml:space="preserve">The Distribution of Impacts </w:t>
      </w:r>
      <w:r w:rsidR="00072AA7">
        <w:t>a</w:t>
      </w:r>
      <w:r>
        <w:t>cross Customers</w:t>
      </w:r>
      <w:bookmarkEnd w:id="21"/>
    </w:p>
    <w:p w:rsidR="00072AA7" w:rsidRDefault="00D46FBD" w:rsidP="00D46FBD">
      <w:pPr>
        <w:pStyle w:val="BodyParagraph"/>
      </w:pPr>
      <w:r>
        <w:t>In previous evaluations, the distribution of event impacts across customers was estimated based on the distribution of average estimates from individual customer regressions.  Recent internal analysis has shown that this method contains too much noise to be useful as an indicator of the real distribution</w:t>
      </w:r>
      <w:r w:rsidR="00072AA7">
        <w:t xml:space="preserve"> of event impacts at the customer level</w:t>
      </w:r>
      <w:r>
        <w:t xml:space="preserve">. </w:t>
      </w:r>
      <w:r w:rsidR="00072AA7">
        <w:t xml:space="preserve"> </w:t>
      </w:r>
      <w:r>
        <w:t xml:space="preserve"> </w:t>
      </w:r>
    </w:p>
    <w:p w:rsidR="005800E4" w:rsidRDefault="00D46FBD" w:rsidP="00D46FBD">
      <w:pPr>
        <w:pStyle w:val="BodyParagraph"/>
      </w:pPr>
      <w:r>
        <w:t>As an alternative, Table 4-</w:t>
      </w:r>
      <w:r w:rsidR="007C6B73">
        <w:t>5</w:t>
      </w:r>
      <w:r>
        <w:t xml:space="preserve"> shows estimated event impacts for customers segmented into deciles of average load on hot</w:t>
      </w:r>
      <w:r w:rsidR="00212162">
        <w:t>,</w:t>
      </w:r>
      <w:r>
        <w:t xml:space="preserve"> non-event days.  </w:t>
      </w:r>
      <w:r w:rsidR="009A44FE">
        <w:t xml:space="preserve">In this procedure, each customer was placed into a decile category based on their average usage during the hours 12-6 PM on the days used for day-matching (listed in Table A-1 in Appendix A).  Impact estimates were calculated separately for each decile </w:t>
      </w:r>
      <w:r w:rsidR="00072AA7">
        <w:t>using day-matching plus a same-day adjustment</w:t>
      </w:r>
      <w:r w:rsidR="009A44FE">
        <w:t>, with reference loads provided by the days listed in Table A-1</w:t>
      </w:r>
      <w:r w:rsidR="00072AA7">
        <w:t xml:space="preserve">.  </w:t>
      </w:r>
      <w:r w:rsidR="00FA1E2A">
        <w:t xml:space="preserve">The same-day adjustment procedure was applied in the same manner as the adjustment used to produce the primary impact estimates for commercial participants (described above in section 3.2.3).  This is a different procedure than the one used to estimate ex post impacts, which is why the overall average values in the table differ from the overall average ex post event impact.  </w:t>
      </w:r>
    </w:p>
    <w:p w:rsidR="00072AA7" w:rsidRDefault="00072AA7" w:rsidP="00D46FBD">
      <w:pPr>
        <w:pStyle w:val="BodyParagraph"/>
      </w:pPr>
      <w:r>
        <w:lastRenderedPageBreak/>
        <w:t>As the table shows, non-event day loads are highly predictive of average impacts.  The table indicates that the top 30% of customers provide 67% and 60% of residential and commercial aggregate load impacts, respectively.</w:t>
      </w:r>
    </w:p>
    <w:p w:rsidR="00B304F1" w:rsidRDefault="00205BC5" w:rsidP="00B304F1">
      <w:pPr>
        <w:pStyle w:val="BodyParagraph"/>
      </w:pPr>
      <w:r>
        <w:t>Table 4-5 also reports the standard errors of the estimates for each decile.  It is important to note that while the overall trends in the table are consistent and likely reflect a true underlying pattern, the estimates at the decile level have fairly large standard errors.  For example, the impact estimate for the highest decile for residential customers is statistically significantly different at the 5% level from the impact in the 5</w:t>
      </w:r>
      <w:r w:rsidRPr="00205BC5">
        <w:rPr>
          <w:vertAlign w:val="superscript"/>
        </w:rPr>
        <w:t>th</w:t>
      </w:r>
      <w:r>
        <w:t xml:space="preserve"> decile, but not from 6</w:t>
      </w:r>
      <w:r w:rsidRPr="00205BC5">
        <w:rPr>
          <w:vertAlign w:val="superscript"/>
        </w:rPr>
        <w:t>th</w:t>
      </w:r>
      <w:r>
        <w:t>, 7</w:t>
      </w:r>
      <w:r w:rsidRPr="00205BC5">
        <w:rPr>
          <w:vertAlign w:val="superscript"/>
        </w:rPr>
        <w:t>th</w:t>
      </w:r>
      <w:r>
        <w:t>, 8</w:t>
      </w:r>
      <w:r w:rsidRPr="00205BC5">
        <w:rPr>
          <w:vertAlign w:val="superscript"/>
        </w:rPr>
        <w:t>th</w:t>
      </w:r>
      <w:r>
        <w:t xml:space="preserve"> or 9</w:t>
      </w:r>
      <w:r w:rsidRPr="00205BC5">
        <w:rPr>
          <w:vertAlign w:val="superscript"/>
        </w:rPr>
        <w:t>th</w:t>
      </w:r>
      <w:r>
        <w:t xml:space="preserve"> deciles.  For commercial customers, none of the impact estimates are statistically significantly different from each other.</w:t>
      </w:r>
      <w:r w:rsidR="005800E4">
        <w:t xml:space="preserve">  When the data is divided into quartiles rather than deciles (not shown) some statistically significant differences appear for commercial customers.</w:t>
      </w:r>
    </w:p>
    <w:p w:rsidR="00072AA7" w:rsidRDefault="00072AA7" w:rsidP="00B304F1">
      <w:pPr>
        <w:pStyle w:val="TableFigureCaption"/>
      </w:pPr>
      <w:r>
        <w:t>Table 4-</w:t>
      </w:r>
      <w:r w:rsidR="007C6B73">
        <w:t>5</w:t>
      </w:r>
      <w:r>
        <w:t>:</w:t>
      </w:r>
      <w:r w:rsidR="00B304F1">
        <w:t xml:space="preserve"> </w:t>
      </w:r>
      <w:r>
        <w:t xml:space="preserve">Average </w:t>
      </w:r>
      <w:r w:rsidR="00A34C81">
        <w:t xml:space="preserve">Estimated </w:t>
      </w:r>
      <w:r>
        <w:t>Impacts within Deciles of Usage</w:t>
      </w:r>
    </w:p>
    <w:tbl>
      <w:tblPr>
        <w:tblW w:w="9120" w:type="dxa"/>
        <w:jc w:val="center"/>
        <w:tblLook w:val="04A0"/>
      </w:tblPr>
      <w:tblGrid>
        <w:gridCol w:w="960"/>
        <w:gridCol w:w="1360"/>
        <w:gridCol w:w="1360"/>
        <w:gridCol w:w="1360"/>
        <w:gridCol w:w="1360"/>
        <w:gridCol w:w="1360"/>
        <w:gridCol w:w="1360"/>
      </w:tblGrid>
      <w:tr w:rsidR="00205BC5" w:rsidRPr="00072AA7" w:rsidTr="00B304F1">
        <w:trPr>
          <w:trHeight w:val="615"/>
          <w:jc w:val="center"/>
        </w:trPr>
        <w:tc>
          <w:tcPr>
            <w:tcW w:w="960" w:type="dxa"/>
            <w:vMerge w:val="restart"/>
            <w:tcBorders>
              <w:top w:val="single" w:sz="4" w:space="0" w:color="auto"/>
              <w:left w:val="single" w:sz="4" w:space="0" w:color="auto"/>
              <w:right w:val="single" w:sz="4" w:space="0" w:color="FFFFFF" w:themeColor="background1"/>
            </w:tcBorders>
            <w:shd w:val="clear" w:color="000000" w:fill="1F497D"/>
            <w:noWrap/>
            <w:vAlign w:val="center"/>
            <w:hideMark/>
          </w:tcPr>
          <w:p w:rsidR="00205BC5" w:rsidRPr="00FF0364" w:rsidRDefault="00205BC5" w:rsidP="00072AA7">
            <w:pPr>
              <w:keepNext/>
              <w:spacing w:after="0" w:line="240" w:lineRule="auto"/>
              <w:jc w:val="center"/>
              <w:rPr>
                <w:rFonts w:ascii="Arial" w:eastAsiaTheme="minorHAnsi" w:hAnsi="Arial" w:cs="Arial"/>
                <w:b/>
                <w:color w:val="FFFFFF" w:themeColor="background1"/>
                <w:sz w:val="18"/>
                <w:szCs w:val="18"/>
              </w:rPr>
            </w:pPr>
            <w:r w:rsidRPr="00FF0364">
              <w:rPr>
                <w:rFonts w:ascii="Arial" w:eastAsiaTheme="minorHAnsi" w:hAnsi="Arial" w:cs="Arial"/>
                <w:b/>
                <w:color w:val="FFFFFF" w:themeColor="background1"/>
                <w:sz w:val="18"/>
                <w:szCs w:val="18"/>
              </w:rPr>
              <w:t>Decile</w:t>
            </w:r>
          </w:p>
        </w:tc>
        <w:tc>
          <w:tcPr>
            <w:tcW w:w="4080"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1F497D"/>
            <w:vAlign w:val="center"/>
            <w:hideMark/>
          </w:tcPr>
          <w:p w:rsidR="00205BC5" w:rsidRDefault="00205BC5" w:rsidP="00072AA7">
            <w:pPr>
              <w:keepNext/>
              <w:spacing w:after="0" w:line="240" w:lineRule="auto"/>
              <w:jc w:val="center"/>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Residential Customers</w:t>
            </w:r>
          </w:p>
        </w:tc>
        <w:tc>
          <w:tcPr>
            <w:tcW w:w="4080" w:type="dxa"/>
            <w:gridSpan w:val="3"/>
            <w:tcBorders>
              <w:top w:val="single" w:sz="4" w:space="0" w:color="auto"/>
              <w:left w:val="single" w:sz="4" w:space="0" w:color="FFFFFF" w:themeColor="background1"/>
              <w:bottom w:val="single" w:sz="4" w:space="0" w:color="FFFFFF" w:themeColor="background1"/>
              <w:right w:val="single" w:sz="4" w:space="0" w:color="auto"/>
            </w:tcBorders>
            <w:shd w:val="clear" w:color="000000" w:fill="1F497D"/>
            <w:vAlign w:val="center"/>
            <w:hideMark/>
          </w:tcPr>
          <w:p w:rsidR="00205BC5" w:rsidRDefault="00205BC5" w:rsidP="00072AA7">
            <w:pPr>
              <w:keepNext/>
              <w:spacing w:after="0" w:line="240" w:lineRule="auto"/>
              <w:jc w:val="center"/>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Commercial Customers</w:t>
            </w:r>
          </w:p>
        </w:tc>
      </w:tr>
      <w:tr w:rsidR="00205BC5" w:rsidRPr="00072AA7" w:rsidTr="00B304F1">
        <w:trPr>
          <w:trHeight w:val="615"/>
          <w:jc w:val="center"/>
        </w:trPr>
        <w:tc>
          <w:tcPr>
            <w:tcW w:w="960" w:type="dxa"/>
            <w:vMerge/>
            <w:tcBorders>
              <w:left w:val="single" w:sz="4" w:space="0" w:color="auto"/>
              <w:bottom w:val="single" w:sz="4" w:space="0" w:color="auto"/>
              <w:right w:val="single" w:sz="4" w:space="0" w:color="FFFFFF" w:themeColor="background1"/>
            </w:tcBorders>
            <w:shd w:val="clear" w:color="000000" w:fill="1F497D"/>
            <w:noWrap/>
            <w:vAlign w:val="center"/>
            <w:hideMark/>
          </w:tcPr>
          <w:p w:rsidR="00205BC5" w:rsidRPr="00FF0364" w:rsidRDefault="00205BC5" w:rsidP="00072AA7">
            <w:pPr>
              <w:keepNext/>
              <w:spacing w:after="0" w:line="240" w:lineRule="auto"/>
              <w:jc w:val="center"/>
              <w:rPr>
                <w:rFonts w:ascii="Arial" w:eastAsiaTheme="minorHAnsi" w:hAnsi="Arial" w:cs="Arial"/>
                <w:b/>
                <w:color w:val="FFFFFF" w:themeColor="background1"/>
                <w:sz w:val="18"/>
                <w:szCs w:val="18"/>
              </w:rPr>
            </w:pPr>
          </w:p>
        </w:tc>
        <w:tc>
          <w:tcPr>
            <w:tcW w:w="136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205BC5" w:rsidRPr="00FF0364" w:rsidRDefault="00205BC5" w:rsidP="00072AA7">
            <w:pPr>
              <w:keepNext/>
              <w:spacing w:after="0" w:line="240" w:lineRule="auto"/>
              <w:jc w:val="center"/>
              <w:rPr>
                <w:rFonts w:ascii="Arial" w:eastAsiaTheme="minorHAnsi" w:hAnsi="Arial" w:cs="Arial"/>
                <w:b/>
                <w:color w:val="FFFFFF" w:themeColor="background1"/>
                <w:sz w:val="18"/>
                <w:szCs w:val="18"/>
              </w:rPr>
            </w:pPr>
            <w:r w:rsidRPr="00FF0364">
              <w:rPr>
                <w:rFonts w:ascii="Arial" w:eastAsiaTheme="minorHAnsi" w:hAnsi="Arial" w:cs="Arial"/>
                <w:b/>
                <w:color w:val="FFFFFF" w:themeColor="background1"/>
                <w:sz w:val="18"/>
                <w:szCs w:val="18"/>
              </w:rPr>
              <w:t>Average Impact (kW)</w:t>
            </w:r>
          </w:p>
        </w:tc>
        <w:tc>
          <w:tcPr>
            <w:tcW w:w="136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205BC5" w:rsidRPr="00FF0364" w:rsidRDefault="00205BC5" w:rsidP="00072AA7">
            <w:pPr>
              <w:keepNext/>
              <w:spacing w:after="0" w:line="240" w:lineRule="auto"/>
              <w:jc w:val="center"/>
              <w:rPr>
                <w:rFonts w:ascii="Arial" w:eastAsiaTheme="minorHAnsi" w:hAnsi="Arial" w:cs="Arial"/>
                <w:b/>
                <w:color w:val="FFFFFF" w:themeColor="background1"/>
                <w:sz w:val="18"/>
                <w:szCs w:val="18"/>
              </w:rPr>
            </w:pPr>
            <w:r w:rsidRPr="00FF0364">
              <w:rPr>
                <w:rFonts w:ascii="Arial" w:eastAsiaTheme="minorHAnsi" w:hAnsi="Arial" w:cs="Arial"/>
                <w:b/>
                <w:color w:val="FFFFFF" w:themeColor="background1"/>
                <w:sz w:val="18"/>
                <w:szCs w:val="18"/>
              </w:rPr>
              <w:t>% of Total</w:t>
            </w:r>
          </w:p>
        </w:tc>
        <w:tc>
          <w:tcPr>
            <w:tcW w:w="136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tcPr>
          <w:p w:rsidR="00205BC5" w:rsidRPr="00FF0364" w:rsidRDefault="00205BC5" w:rsidP="00072AA7">
            <w:pPr>
              <w:keepNext/>
              <w:spacing w:after="0" w:line="240" w:lineRule="auto"/>
              <w:jc w:val="center"/>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Impact Standard Error (kW)</w:t>
            </w:r>
          </w:p>
        </w:tc>
        <w:tc>
          <w:tcPr>
            <w:tcW w:w="136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205BC5" w:rsidRPr="00FF0364" w:rsidRDefault="00205BC5" w:rsidP="00072AA7">
            <w:pPr>
              <w:keepNext/>
              <w:spacing w:after="0" w:line="240" w:lineRule="auto"/>
              <w:jc w:val="center"/>
              <w:rPr>
                <w:rFonts w:ascii="Arial" w:eastAsiaTheme="minorHAnsi" w:hAnsi="Arial" w:cs="Arial"/>
                <w:b/>
                <w:color w:val="FFFFFF" w:themeColor="background1"/>
                <w:sz w:val="18"/>
                <w:szCs w:val="18"/>
              </w:rPr>
            </w:pPr>
            <w:r w:rsidRPr="00FF0364">
              <w:rPr>
                <w:rFonts w:ascii="Arial" w:eastAsiaTheme="minorHAnsi" w:hAnsi="Arial" w:cs="Arial"/>
                <w:b/>
                <w:color w:val="FFFFFF" w:themeColor="background1"/>
                <w:sz w:val="18"/>
                <w:szCs w:val="18"/>
              </w:rPr>
              <w:t>Average Impact (kW)</w:t>
            </w:r>
          </w:p>
        </w:tc>
        <w:tc>
          <w:tcPr>
            <w:tcW w:w="136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205BC5" w:rsidRPr="00FF0364" w:rsidRDefault="00205BC5" w:rsidP="00072AA7">
            <w:pPr>
              <w:keepNext/>
              <w:spacing w:after="0" w:line="240" w:lineRule="auto"/>
              <w:jc w:val="center"/>
              <w:rPr>
                <w:rFonts w:ascii="Arial" w:eastAsiaTheme="minorHAnsi" w:hAnsi="Arial" w:cs="Arial"/>
                <w:b/>
                <w:color w:val="FFFFFF" w:themeColor="background1"/>
                <w:sz w:val="18"/>
                <w:szCs w:val="18"/>
              </w:rPr>
            </w:pPr>
            <w:r w:rsidRPr="00FF0364">
              <w:rPr>
                <w:rFonts w:ascii="Arial" w:eastAsiaTheme="minorHAnsi" w:hAnsi="Arial" w:cs="Arial"/>
                <w:b/>
                <w:color w:val="FFFFFF" w:themeColor="background1"/>
                <w:sz w:val="18"/>
                <w:szCs w:val="18"/>
              </w:rPr>
              <w:t>% of Total</w:t>
            </w:r>
          </w:p>
        </w:tc>
        <w:tc>
          <w:tcPr>
            <w:tcW w:w="1360" w:type="dxa"/>
            <w:tcBorders>
              <w:top w:val="single" w:sz="4" w:space="0" w:color="FFFFFF" w:themeColor="background1"/>
              <w:left w:val="single" w:sz="4" w:space="0" w:color="FFFFFF" w:themeColor="background1"/>
              <w:bottom w:val="single" w:sz="4" w:space="0" w:color="auto"/>
              <w:right w:val="single" w:sz="4" w:space="0" w:color="auto"/>
            </w:tcBorders>
            <w:shd w:val="clear" w:color="000000" w:fill="1F497D"/>
          </w:tcPr>
          <w:p w:rsidR="00205BC5" w:rsidRPr="00FF0364" w:rsidRDefault="00205BC5" w:rsidP="00072AA7">
            <w:pPr>
              <w:keepNext/>
              <w:spacing w:after="0" w:line="240" w:lineRule="auto"/>
              <w:jc w:val="center"/>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Impact Standard Error (kW)</w:t>
            </w:r>
          </w:p>
        </w:tc>
      </w:tr>
      <w:tr w:rsidR="00205BC5" w:rsidRPr="00072AA7" w:rsidTr="00205BC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072AA7">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1</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0.03</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1</w:t>
            </w:r>
          </w:p>
        </w:tc>
        <w:tc>
          <w:tcPr>
            <w:tcW w:w="1360" w:type="dxa"/>
            <w:tcBorders>
              <w:top w:val="single" w:sz="4" w:space="0" w:color="auto"/>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0.09</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0.03</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1</w:t>
            </w:r>
          </w:p>
        </w:tc>
        <w:tc>
          <w:tcPr>
            <w:tcW w:w="1360" w:type="dxa"/>
            <w:tcBorders>
              <w:top w:val="nil"/>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0.06</w:t>
            </w:r>
          </w:p>
        </w:tc>
      </w:tr>
      <w:tr w:rsidR="00205BC5" w:rsidRPr="00072AA7" w:rsidTr="00205BC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072AA7">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2</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0.11</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2</w:t>
            </w:r>
          </w:p>
        </w:tc>
        <w:tc>
          <w:tcPr>
            <w:tcW w:w="1360" w:type="dxa"/>
            <w:tcBorders>
              <w:top w:val="single" w:sz="4" w:space="0" w:color="auto"/>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0.15</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0.08</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2</w:t>
            </w:r>
          </w:p>
        </w:tc>
        <w:tc>
          <w:tcPr>
            <w:tcW w:w="1360" w:type="dxa"/>
            <w:tcBorders>
              <w:top w:val="nil"/>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0.12</w:t>
            </w:r>
          </w:p>
        </w:tc>
      </w:tr>
      <w:tr w:rsidR="00205BC5" w:rsidRPr="00072AA7" w:rsidTr="00205BC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072AA7">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3</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0.06</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1</w:t>
            </w:r>
          </w:p>
        </w:tc>
        <w:tc>
          <w:tcPr>
            <w:tcW w:w="1360" w:type="dxa"/>
            <w:tcBorders>
              <w:top w:val="single" w:sz="4" w:space="0" w:color="auto"/>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0.17</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0.16</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4</w:t>
            </w:r>
          </w:p>
        </w:tc>
        <w:tc>
          <w:tcPr>
            <w:tcW w:w="1360" w:type="dxa"/>
            <w:tcBorders>
              <w:top w:val="nil"/>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0.17</w:t>
            </w:r>
          </w:p>
        </w:tc>
      </w:tr>
      <w:tr w:rsidR="00205BC5" w:rsidRPr="00072AA7" w:rsidTr="00205BC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072AA7">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4</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0.26</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5</w:t>
            </w:r>
          </w:p>
        </w:tc>
        <w:tc>
          <w:tcPr>
            <w:tcW w:w="1360" w:type="dxa"/>
            <w:tcBorders>
              <w:top w:val="single" w:sz="4" w:space="0" w:color="auto"/>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0.19</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0.23</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5</w:t>
            </w:r>
          </w:p>
        </w:tc>
        <w:tc>
          <w:tcPr>
            <w:tcW w:w="1360" w:type="dxa"/>
            <w:tcBorders>
              <w:top w:val="nil"/>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0.19</w:t>
            </w:r>
          </w:p>
        </w:tc>
      </w:tr>
      <w:tr w:rsidR="00205BC5" w:rsidRPr="00072AA7" w:rsidTr="00205BC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072AA7">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5</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0.31</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5</w:t>
            </w:r>
          </w:p>
        </w:tc>
        <w:tc>
          <w:tcPr>
            <w:tcW w:w="1360" w:type="dxa"/>
            <w:tcBorders>
              <w:top w:val="single" w:sz="4" w:space="0" w:color="auto"/>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0.23</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0.37</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9</w:t>
            </w:r>
          </w:p>
        </w:tc>
        <w:tc>
          <w:tcPr>
            <w:tcW w:w="1360" w:type="dxa"/>
            <w:tcBorders>
              <w:top w:val="nil"/>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0.21</w:t>
            </w:r>
          </w:p>
        </w:tc>
      </w:tr>
      <w:tr w:rsidR="00205BC5" w:rsidRPr="00072AA7" w:rsidTr="00205BC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072AA7">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6</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0.43</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8</w:t>
            </w:r>
          </w:p>
        </w:tc>
        <w:tc>
          <w:tcPr>
            <w:tcW w:w="1360" w:type="dxa"/>
            <w:tcBorders>
              <w:top w:val="single" w:sz="4" w:space="0" w:color="auto"/>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0.24</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0.36</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8</w:t>
            </w:r>
          </w:p>
        </w:tc>
        <w:tc>
          <w:tcPr>
            <w:tcW w:w="1360" w:type="dxa"/>
            <w:tcBorders>
              <w:top w:val="nil"/>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0.25</w:t>
            </w:r>
          </w:p>
        </w:tc>
      </w:tr>
      <w:tr w:rsidR="00205BC5" w:rsidRPr="00072AA7" w:rsidTr="00205BC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072AA7">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7</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0.69</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12</w:t>
            </w:r>
          </w:p>
        </w:tc>
        <w:tc>
          <w:tcPr>
            <w:tcW w:w="1360" w:type="dxa"/>
            <w:tcBorders>
              <w:top w:val="single" w:sz="4" w:space="0" w:color="auto"/>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0.28</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0.51</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12</w:t>
            </w:r>
          </w:p>
        </w:tc>
        <w:tc>
          <w:tcPr>
            <w:tcW w:w="1360" w:type="dxa"/>
            <w:tcBorders>
              <w:top w:val="nil"/>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0.26</w:t>
            </w:r>
          </w:p>
        </w:tc>
      </w:tr>
      <w:tr w:rsidR="00205BC5" w:rsidRPr="00072AA7" w:rsidTr="00205BC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072AA7">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8</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1.02</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18</w:t>
            </w:r>
          </w:p>
        </w:tc>
        <w:tc>
          <w:tcPr>
            <w:tcW w:w="1360" w:type="dxa"/>
            <w:tcBorders>
              <w:top w:val="single" w:sz="4" w:space="0" w:color="auto"/>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0.33</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0.53</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12</w:t>
            </w:r>
          </w:p>
        </w:tc>
        <w:tc>
          <w:tcPr>
            <w:tcW w:w="1360" w:type="dxa"/>
            <w:tcBorders>
              <w:top w:val="nil"/>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0.31</w:t>
            </w:r>
          </w:p>
        </w:tc>
      </w:tr>
      <w:tr w:rsidR="00205BC5" w:rsidRPr="00072AA7" w:rsidTr="00205BC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072AA7">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9</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1.26</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22</w:t>
            </w:r>
          </w:p>
        </w:tc>
        <w:tc>
          <w:tcPr>
            <w:tcW w:w="1360" w:type="dxa"/>
            <w:tcBorders>
              <w:top w:val="single" w:sz="4" w:space="0" w:color="auto"/>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0.34</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0.77</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18</w:t>
            </w:r>
          </w:p>
        </w:tc>
        <w:tc>
          <w:tcPr>
            <w:tcW w:w="1360" w:type="dxa"/>
            <w:tcBorders>
              <w:top w:val="nil"/>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0.4</w:t>
            </w:r>
            <w:r>
              <w:rPr>
                <w:rFonts w:ascii="Arial" w:eastAsiaTheme="minorHAnsi" w:hAnsi="Arial" w:cs="Arial"/>
                <w:sz w:val="18"/>
                <w:szCs w:val="18"/>
              </w:rPr>
              <w:t>0</w:t>
            </w:r>
          </w:p>
        </w:tc>
      </w:tr>
      <w:tr w:rsidR="00205BC5" w:rsidRPr="00072AA7" w:rsidTr="00205BC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072AA7">
            <w:pPr>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10</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1.55</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27</w:t>
            </w:r>
          </w:p>
        </w:tc>
        <w:tc>
          <w:tcPr>
            <w:tcW w:w="1360" w:type="dxa"/>
            <w:tcBorders>
              <w:top w:val="single" w:sz="4" w:space="0" w:color="auto"/>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0.5</w:t>
            </w:r>
            <w:r>
              <w:rPr>
                <w:rFonts w:ascii="Arial" w:eastAsiaTheme="minorHAnsi" w:hAnsi="Arial" w:cs="Arial"/>
                <w:sz w:val="18"/>
                <w:szCs w:val="18"/>
              </w:rPr>
              <w:t>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1.27</w:t>
            </w:r>
          </w:p>
        </w:tc>
        <w:tc>
          <w:tcPr>
            <w:tcW w:w="1360" w:type="dxa"/>
            <w:tcBorders>
              <w:top w:val="nil"/>
              <w:left w:val="nil"/>
              <w:bottom w:val="single" w:sz="4" w:space="0" w:color="auto"/>
              <w:right w:val="single" w:sz="4" w:space="0" w:color="auto"/>
            </w:tcBorders>
            <w:shd w:val="clear" w:color="auto" w:fill="auto"/>
            <w:noWrap/>
            <w:vAlign w:val="center"/>
            <w:hideMark/>
          </w:tcPr>
          <w:p w:rsidR="00205BC5" w:rsidRPr="00FF0364" w:rsidRDefault="00205BC5" w:rsidP="00205BC5">
            <w:pPr>
              <w:keepNext/>
              <w:spacing w:after="0" w:line="240" w:lineRule="auto"/>
              <w:jc w:val="center"/>
              <w:rPr>
                <w:rFonts w:ascii="Arial" w:eastAsiaTheme="minorHAnsi" w:hAnsi="Arial" w:cs="Arial"/>
                <w:sz w:val="18"/>
                <w:szCs w:val="18"/>
              </w:rPr>
            </w:pPr>
            <w:r w:rsidRPr="00FF0364">
              <w:rPr>
                <w:rFonts w:ascii="Arial" w:eastAsiaTheme="minorHAnsi" w:hAnsi="Arial" w:cs="Arial"/>
                <w:sz w:val="18"/>
                <w:szCs w:val="18"/>
              </w:rPr>
              <w:t>29</w:t>
            </w:r>
          </w:p>
        </w:tc>
        <w:tc>
          <w:tcPr>
            <w:tcW w:w="1360" w:type="dxa"/>
            <w:tcBorders>
              <w:top w:val="nil"/>
              <w:left w:val="nil"/>
              <w:bottom w:val="single" w:sz="4" w:space="0" w:color="auto"/>
              <w:right w:val="single" w:sz="4" w:space="0" w:color="auto"/>
            </w:tcBorders>
            <w:vAlign w:val="center"/>
          </w:tcPr>
          <w:p w:rsidR="00205BC5" w:rsidRPr="00FF0364" w:rsidRDefault="00205BC5" w:rsidP="00205BC5">
            <w:pPr>
              <w:keepNext/>
              <w:spacing w:after="0" w:line="240" w:lineRule="auto"/>
              <w:jc w:val="center"/>
              <w:rPr>
                <w:rFonts w:ascii="Arial" w:eastAsiaTheme="minorHAnsi" w:hAnsi="Arial" w:cs="Arial"/>
                <w:sz w:val="18"/>
                <w:szCs w:val="18"/>
              </w:rPr>
            </w:pPr>
            <w:r w:rsidRPr="00205BC5">
              <w:rPr>
                <w:rFonts w:ascii="Arial" w:eastAsiaTheme="minorHAnsi" w:hAnsi="Arial" w:cs="Arial"/>
                <w:sz w:val="18"/>
                <w:szCs w:val="18"/>
              </w:rPr>
              <w:t>1.13</w:t>
            </w:r>
          </w:p>
        </w:tc>
      </w:tr>
    </w:tbl>
    <w:p w:rsidR="003F7303" w:rsidRDefault="003F7303" w:rsidP="003F7303">
      <w:pPr>
        <w:pStyle w:val="Heading1"/>
        <w:numPr>
          <w:ilvl w:val="0"/>
          <w:numId w:val="0"/>
        </w:numPr>
        <w:ind w:left="432"/>
      </w:pPr>
      <w:bookmarkStart w:id="22" w:name="_Toc318368316"/>
    </w:p>
    <w:p w:rsidR="009F113C" w:rsidRDefault="009F113C">
      <w:pPr>
        <w:rPr>
          <w:rFonts w:ascii="Arial Bold" w:eastAsia="Times New Roman" w:hAnsi="Arial Bold"/>
          <w:b/>
          <w:color w:val="433B67"/>
          <w:sz w:val="28"/>
          <w:szCs w:val="28"/>
        </w:rPr>
      </w:pPr>
      <w:r>
        <w:br w:type="page"/>
      </w:r>
    </w:p>
    <w:p w:rsidR="003F7303" w:rsidRDefault="003F7303" w:rsidP="003F7303">
      <w:pPr>
        <w:pStyle w:val="Heading1"/>
      </w:pPr>
      <w:bookmarkStart w:id="23" w:name="_Toc325370152"/>
      <w:r>
        <w:lastRenderedPageBreak/>
        <w:t xml:space="preserve">Ex Ante </w:t>
      </w:r>
      <w:r w:rsidR="009F113C">
        <w:t xml:space="preserve">Load </w:t>
      </w:r>
      <w:r>
        <w:t>Impact</w:t>
      </w:r>
      <w:bookmarkEnd w:id="22"/>
      <w:r w:rsidR="009F113C">
        <w:t xml:space="preserve"> Estimates</w:t>
      </w:r>
      <w:bookmarkEnd w:id="23"/>
    </w:p>
    <w:p w:rsidR="003F7303" w:rsidRDefault="003F7303" w:rsidP="003F7303">
      <w:pPr>
        <w:pStyle w:val="BodyParagraph"/>
        <w:rPr>
          <w:rFonts w:eastAsia="Calibri" w:cs="Times New Roman"/>
        </w:rPr>
      </w:pPr>
      <w:r>
        <w:rPr>
          <w:rFonts w:eastAsia="Calibri" w:cs="Times New Roman"/>
        </w:rPr>
        <w:t>The models described above were used to estimate load impacts based on ex ante event conditions and enrollment projections for the years 201</w:t>
      </w:r>
      <w:r>
        <w:t>2</w:t>
      </w:r>
      <w:r>
        <w:rPr>
          <w:rFonts w:eastAsia="Calibri" w:cs="Times New Roman"/>
        </w:rPr>
        <w:t xml:space="preserve"> through 202</w:t>
      </w:r>
      <w:r>
        <w:t>2</w:t>
      </w:r>
      <w:r>
        <w:rPr>
          <w:rFonts w:eastAsia="Calibri" w:cs="Times New Roman"/>
        </w:rPr>
        <w:t>.  Enrollment is not expected to change in the future, so the tables below represent predictions for the whole period 201</w:t>
      </w:r>
      <w:r>
        <w:t>2</w:t>
      </w:r>
      <w:r>
        <w:rPr>
          <w:rFonts w:eastAsia="Calibri" w:cs="Times New Roman"/>
        </w:rPr>
        <w:t xml:space="preserve"> through 202</w:t>
      </w:r>
      <w:r>
        <w:t>2</w:t>
      </w:r>
      <w:r>
        <w:rPr>
          <w:rFonts w:eastAsia="Calibri" w:cs="Times New Roman"/>
        </w:rPr>
        <w:t>.  FSC was provided with data by SDG&amp;E that represents weather under 1-in-2 and 1-in-10 year conditions for each monthly system peak day.</w:t>
      </w:r>
      <w:r>
        <w:rPr>
          <w:rStyle w:val="FootnoteReference"/>
          <w:rFonts w:eastAsia="Calibri" w:cs="Times New Roman"/>
        </w:rPr>
        <w:footnoteReference w:id="19"/>
      </w:r>
      <w:r>
        <w:rPr>
          <w:rFonts w:eastAsia="Calibri" w:cs="Times New Roman"/>
        </w:rPr>
        <w:t xml:space="preserve">  The ex ante event window is from 1 to 6 PM, which is the CPUC resource adequacy window.  </w:t>
      </w:r>
    </w:p>
    <w:p w:rsidR="003F7303" w:rsidRDefault="003F7303" w:rsidP="003F7303">
      <w:pPr>
        <w:pStyle w:val="BodyParagraph"/>
      </w:pPr>
      <w:r w:rsidRPr="006E0539">
        <w:t>Table</w:t>
      </w:r>
      <w:r>
        <w:t>s</w:t>
      </w:r>
      <w:r w:rsidRPr="006E0539">
        <w:t xml:space="preserve"> </w:t>
      </w:r>
      <w:r>
        <w:t>5</w:t>
      </w:r>
      <w:r w:rsidRPr="006E0539">
        <w:t>-1</w:t>
      </w:r>
      <w:r>
        <w:t xml:space="preserve"> and 5-2</w:t>
      </w:r>
      <w:r w:rsidRPr="006E0539">
        <w:t xml:space="preserve"> summarize </w:t>
      </w:r>
      <w:r>
        <w:t xml:space="preserve">the average and aggregate load impact estimates for residential and commercial customers, respectively.  Aggregate impacts are </w:t>
      </w:r>
      <w:r w:rsidRPr="006E0539">
        <w:t>based on steady enrollment levels</w:t>
      </w:r>
      <w:r>
        <w:t xml:space="preserve"> equal to those as of fall 2011</w:t>
      </w:r>
      <w:r w:rsidRPr="006E0539">
        <w:t xml:space="preserve">.  Load impact estimates are presented for the average </w:t>
      </w:r>
      <w:r>
        <w:t>AC unit</w:t>
      </w:r>
      <w:r w:rsidRPr="006E0539">
        <w:t xml:space="preserve"> and for </w:t>
      </w:r>
      <w:r>
        <w:t>each customer segment</w:t>
      </w:r>
      <w:r w:rsidRPr="006E0539">
        <w:t xml:space="preserve"> as a whole.  </w:t>
      </w:r>
    </w:p>
    <w:p w:rsidR="003F7303" w:rsidRDefault="003F7303" w:rsidP="003F7303">
      <w:pPr>
        <w:pStyle w:val="BodyParagraph"/>
      </w:pPr>
      <w:r w:rsidRPr="006E0539">
        <w:t xml:space="preserve">For a typical event </w:t>
      </w:r>
      <w:r>
        <w:t>with</w:t>
      </w:r>
      <w:r w:rsidRPr="006E0539">
        <w:t xml:space="preserve"> 1-in-2 year weather conditions, the average </w:t>
      </w:r>
      <w:r>
        <w:t>impact</w:t>
      </w:r>
      <w:r w:rsidRPr="006E0539">
        <w:t xml:space="preserve"> per </w:t>
      </w:r>
      <w:r>
        <w:t>AC</w:t>
      </w:r>
      <w:r w:rsidRPr="006E0539">
        <w:t xml:space="preserve"> unit is 0.</w:t>
      </w:r>
      <w:r>
        <w:t>41</w:t>
      </w:r>
      <w:r w:rsidRPr="006E0539">
        <w:t xml:space="preserve"> kW</w:t>
      </w:r>
      <w:r>
        <w:t xml:space="preserve"> for residential customers</w:t>
      </w:r>
      <w:r w:rsidRPr="006E0539">
        <w:t xml:space="preserve">.  </w:t>
      </w:r>
      <w:r>
        <w:t xml:space="preserve">The 1-in-10 </w:t>
      </w:r>
      <w:r w:rsidRPr="006E0539">
        <w:t xml:space="preserve">year </w:t>
      </w:r>
      <w:r>
        <w:t>typical event day estimate is</w:t>
      </w:r>
      <w:r w:rsidRPr="006E0539">
        <w:t xml:space="preserve"> </w:t>
      </w:r>
      <w:r>
        <w:t>17</w:t>
      </w:r>
      <w:r w:rsidRPr="006E0539">
        <w:t>% higher</w:t>
      </w:r>
      <w:r>
        <w:t xml:space="preserve"> at 0.48 kW</w:t>
      </w:r>
      <w:r w:rsidRPr="006E0539">
        <w:t xml:space="preserve">.  The aggregate program load reduction potential </w:t>
      </w:r>
      <w:r>
        <w:t xml:space="preserve">for residential customers </w:t>
      </w:r>
      <w:r w:rsidRPr="006E0539">
        <w:t xml:space="preserve">is </w:t>
      </w:r>
      <w:r>
        <w:t>12</w:t>
      </w:r>
      <w:r w:rsidRPr="006E0539">
        <w:t xml:space="preserve"> MW for a typical event day under 1-in-2 year weather conditions and </w:t>
      </w:r>
      <w:r>
        <w:t>14</w:t>
      </w:r>
      <w:r w:rsidRPr="006E0539">
        <w:t xml:space="preserve"> MW under 1-in-10 year weather conditions.  </w:t>
      </w:r>
      <w:r>
        <w:t xml:space="preserve">September ex ante conditions </w:t>
      </w:r>
      <w:proofErr w:type="gramStart"/>
      <w:r>
        <w:t>are</w:t>
      </w:r>
      <w:proofErr w:type="gramEnd"/>
      <w:r>
        <w:t xml:space="preserve"> much hotter than typical conditions.  The residential program is estimated to provide an average impact of 24 MW over a five-hour event on a 1-in-10 September event day.</w:t>
      </w:r>
    </w:p>
    <w:p w:rsidR="003F7303" w:rsidRDefault="003F7303" w:rsidP="003F7303">
      <w:pPr>
        <w:pStyle w:val="BodyParagraph"/>
      </w:pPr>
      <w:r w:rsidRPr="006E0539">
        <w:t>There is significant variation in load impacts across months and weather conditions.  Based on 1-in-2 year weather, the low temperature</w:t>
      </w:r>
      <w:r>
        <w:t>s</w:t>
      </w:r>
      <w:r w:rsidRPr="006E0539">
        <w:t xml:space="preserve"> in June, reflecting the well known “June Gloom” typically exper</w:t>
      </w:r>
      <w:r>
        <w:t xml:space="preserve">ienced </w:t>
      </w:r>
      <w:r w:rsidRPr="00A106FD">
        <w:t xml:space="preserve">in San Diego, result in small average and aggregate load impact estimates.  The June 1-in-2 impact for residential customers is only 14% of the September estimate, which is the highest of any month in 1-in-2 year weather conditions.  For residential customers the June 1-in-10 year estimate is almost 4 times higher than the 1-in-2 year estimate, which is a result of the average temperature being 11 degrees warmer </w:t>
      </w:r>
      <w:r>
        <w:t>than</w:t>
      </w:r>
      <w:r w:rsidRPr="00A106FD">
        <w:t xml:space="preserve"> the 1-in-10 weather for June.  </w:t>
      </w:r>
    </w:p>
    <w:p w:rsidR="003F7303" w:rsidRDefault="003F7303" w:rsidP="003F7303">
      <w:pPr>
        <w:pStyle w:val="BodyParagraph"/>
      </w:pPr>
      <w:r>
        <w:t>Commercial customers are estimated to provide similar, but slightly lower per CAC unit impacts than residential customers.  Due to the smaller number of commercial installations in the program, aggregate impacts for the commercial segment are much smaller than for residential customers.  The commercial program is expected to provide the highest impact under 1-in-10 conditions in September, when its expected impact is 6.2 MW.</w:t>
      </w:r>
    </w:p>
    <w:p w:rsidR="004F57FA" w:rsidRDefault="003F7303" w:rsidP="003F7303">
      <w:pPr>
        <w:pStyle w:val="BodyParagraph"/>
      </w:pPr>
      <w:r>
        <w:t xml:space="preserve">Tables 5-3 and 5-4 provide ex ante estimates on an hourly basis for residential and commercial customers, respectively.  Residential impacts peak in the hours 3-5 PM, while commercial impacts are relatively flat over the event hours. </w:t>
      </w:r>
      <w:r w:rsidR="004F57FA">
        <w:t xml:space="preserve"> </w:t>
      </w:r>
    </w:p>
    <w:p w:rsidR="003F7303" w:rsidRDefault="004F57FA" w:rsidP="003F7303">
      <w:pPr>
        <w:pStyle w:val="BodyParagraph"/>
      </w:pPr>
      <w:r>
        <w:t>Table 5-5 provides program</w:t>
      </w:r>
      <w:r w:rsidR="0018366F">
        <w:t>-</w:t>
      </w:r>
      <w:r>
        <w:t>level ex ante aggregate estimates for each hour.  The program is expected to provide its highest impact under 1-in-10 conditions in September.  Under those conditions, the average impact over the event window is expected to be 30 MW, with an hourly peak of 34 MW from 3 to 5 PM.</w:t>
      </w:r>
    </w:p>
    <w:p w:rsidR="003F7303" w:rsidRDefault="003F7303" w:rsidP="003F7303">
      <w:pPr>
        <w:keepNext/>
        <w:rPr>
          <w:rFonts w:ascii="Arial" w:eastAsiaTheme="minorHAnsi" w:hAnsi="Arial" w:cstheme="minorBidi"/>
          <w:sz w:val="20"/>
        </w:rPr>
      </w:pPr>
    </w:p>
    <w:p w:rsidR="003F7303" w:rsidRPr="00073F9F" w:rsidDel="00073F9F" w:rsidRDefault="003F7303" w:rsidP="003F7303">
      <w:pPr>
        <w:pStyle w:val="TableFigureCaption"/>
      </w:pPr>
      <w:r w:rsidRPr="00591D31">
        <w:t xml:space="preserve">Table </w:t>
      </w:r>
      <w:r>
        <w:t>5</w:t>
      </w:r>
      <w:r w:rsidRPr="00591D31">
        <w:t>-1</w:t>
      </w:r>
      <w:proofErr w:type="gramStart"/>
      <w:r>
        <w:t>:</w:t>
      </w:r>
      <w:proofErr w:type="gramEnd"/>
      <w:r>
        <w:br/>
      </w:r>
      <w:r w:rsidRPr="00174B6C">
        <w:t xml:space="preserve">Summer Saver </w:t>
      </w:r>
      <w:r>
        <w:t>Residential</w:t>
      </w:r>
      <w:r w:rsidRPr="00174B6C">
        <w:t xml:space="preserve"> Ex </w:t>
      </w:r>
      <w:r>
        <w:t>Ante</w:t>
      </w:r>
      <w:r w:rsidRPr="00174B6C">
        <w:t xml:space="preserve"> Impact Estimates</w:t>
      </w:r>
    </w:p>
    <w:tbl>
      <w:tblPr>
        <w:tblW w:w="7460" w:type="dxa"/>
        <w:jc w:val="center"/>
        <w:tblLook w:val="04A0"/>
      </w:tblPr>
      <w:tblGrid>
        <w:gridCol w:w="2500"/>
        <w:gridCol w:w="1355"/>
        <w:gridCol w:w="1125"/>
        <w:gridCol w:w="1355"/>
        <w:gridCol w:w="1125"/>
      </w:tblGrid>
      <w:tr w:rsidR="003F7303" w:rsidRPr="00073F9F" w:rsidTr="008526DC">
        <w:trPr>
          <w:trHeight w:val="315"/>
          <w:jc w:val="center"/>
        </w:trPr>
        <w:tc>
          <w:tcPr>
            <w:tcW w:w="2500" w:type="dxa"/>
            <w:vMerge w:val="restart"/>
            <w:tcBorders>
              <w:top w:val="single" w:sz="4" w:space="0" w:color="auto"/>
              <w:left w:val="single" w:sz="4" w:space="0" w:color="auto"/>
              <w:bottom w:val="single" w:sz="4" w:space="0" w:color="auto"/>
              <w:right w:val="single" w:sz="4" w:space="0" w:color="FFFFFF" w:themeColor="background1"/>
            </w:tcBorders>
            <w:shd w:val="clear" w:color="000000" w:fill="1F497D"/>
            <w:noWrap/>
            <w:vAlign w:val="center"/>
            <w:hideMark/>
          </w:tcPr>
          <w:p w:rsidR="003F7303" w:rsidRPr="00073F9F" w:rsidRDefault="003F7303" w:rsidP="008526DC">
            <w:pPr>
              <w:pStyle w:val="TableHeader"/>
              <w:keepNext/>
            </w:pPr>
            <w:r w:rsidRPr="00073F9F">
              <w:t>Day Type</w:t>
            </w:r>
          </w:p>
        </w:tc>
        <w:tc>
          <w:tcPr>
            <w:tcW w:w="248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1F497D"/>
            <w:noWrap/>
            <w:vAlign w:val="center"/>
            <w:hideMark/>
          </w:tcPr>
          <w:p w:rsidR="003F7303" w:rsidRPr="00073F9F" w:rsidRDefault="003F7303" w:rsidP="008526DC">
            <w:pPr>
              <w:pStyle w:val="TableHeader"/>
              <w:keepNext/>
            </w:pPr>
            <w:r w:rsidRPr="00073F9F">
              <w:t xml:space="preserve">Per </w:t>
            </w:r>
            <w:r>
              <w:t>CAC Unit</w:t>
            </w:r>
            <w:r w:rsidRPr="00A473C9">
              <w:t xml:space="preserve"> </w:t>
            </w:r>
            <w:r w:rsidRPr="00073F9F">
              <w:t>(kW)</w:t>
            </w:r>
          </w:p>
        </w:tc>
        <w:tc>
          <w:tcPr>
            <w:tcW w:w="2480" w:type="dxa"/>
            <w:gridSpan w:val="2"/>
            <w:tcBorders>
              <w:top w:val="single" w:sz="4" w:space="0" w:color="auto"/>
              <w:left w:val="single" w:sz="4" w:space="0" w:color="FFFFFF" w:themeColor="background1"/>
              <w:bottom w:val="single" w:sz="4" w:space="0" w:color="FFFFFF" w:themeColor="background1"/>
              <w:right w:val="single" w:sz="4" w:space="0" w:color="auto"/>
            </w:tcBorders>
            <w:shd w:val="clear" w:color="000000" w:fill="1F497D"/>
            <w:noWrap/>
            <w:vAlign w:val="center"/>
            <w:hideMark/>
          </w:tcPr>
          <w:p w:rsidR="003F7303" w:rsidRPr="00073F9F" w:rsidRDefault="003F7303" w:rsidP="008526DC">
            <w:pPr>
              <w:pStyle w:val="TableHeader"/>
              <w:keepNext/>
            </w:pPr>
            <w:r w:rsidRPr="00073F9F">
              <w:t>Aggregate (MW)</w:t>
            </w:r>
          </w:p>
        </w:tc>
      </w:tr>
      <w:tr w:rsidR="003F7303" w:rsidRPr="00073F9F" w:rsidTr="008526DC">
        <w:trPr>
          <w:trHeight w:val="315"/>
          <w:jc w:val="center"/>
        </w:trPr>
        <w:tc>
          <w:tcPr>
            <w:tcW w:w="2500" w:type="dxa"/>
            <w:vMerge/>
            <w:tcBorders>
              <w:top w:val="single" w:sz="4" w:space="0" w:color="auto"/>
              <w:left w:val="single" w:sz="4" w:space="0" w:color="auto"/>
              <w:bottom w:val="single" w:sz="4" w:space="0" w:color="auto"/>
              <w:right w:val="single" w:sz="4" w:space="0" w:color="FFFFFF" w:themeColor="background1"/>
            </w:tcBorders>
            <w:vAlign w:val="center"/>
            <w:hideMark/>
          </w:tcPr>
          <w:p w:rsidR="003F7303" w:rsidRPr="00073F9F" w:rsidRDefault="003F7303" w:rsidP="008526DC">
            <w:pPr>
              <w:pStyle w:val="TableHeader"/>
              <w:keepNext/>
            </w:pPr>
          </w:p>
        </w:tc>
        <w:tc>
          <w:tcPr>
            <w:tcW w:w="24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1F497D"/>
            <w:noWrap/>
            <w:vAlign w:val="center"/>
            <w:hideMark/>
          </w:tcPr>
          <w:p w:rsidR="003F7303" w:rsidRPr="00073F9F" w:rsidRDefault="003F7303" w:rsidP="008526DC">
            <w:pPr>
              <w:pStyle w:val="TableHeader"/>
              <w:keepNext/>
            </w:pPr>
            <w:r w:rsidRPr="00073F9F">
              <w:t>Weather Year</w:t>
            </w:r>
          </w:p>
        </w:tc>
        <w:tc>
          <w:tcPr>
            <w:tcW w:w="248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1F497D"/>
            <w:noWrap/>
            <w:vAlign w:val="center"/>
            <w:hideMark/>
          </w:tcPr>
          <w:p w:rsidR="003F7303" w:rsidRPr="00073F9F" w:rsidRDefault="003F7303" w:rsidP="008526DC">
            <w:pPr>
              <w:pStyle w:val="TableHeader"/>
              <w:keepNext/>
            </w:pPr>
            <w:r w:rsidRPr="00073F9F">
              <w:t>Weather Year</w:t>
            </w:r>
          </w:p>
        </w:tc>
      </w:tr>
      <w:tr w:rsidR="003F7303" w:rsidRPr="00073F9F" w:rsidTr="008526DC">
        <w:trPr>
          <w:trHeight w:val="315"/>
          <w:jc w:val="center"/>
        </w:trPr>
        <w:tc>
          <w:tcPr>
            <w:tcW w:w="2500" w:type="dxa"/>
            <w:vMerge/>
            <w:tcBorders>
              <w:top w:val="single" w:sz="4" w:space="0" w:color="auto"/>
              <w:left w:val="single" w:sz="4" w:space="0" w:color="auto"/>
              <w:bottom w:val="single" w:sz="4" w:space="0" w:color="auto"/>
              <w:right w:val="single" w:sz="4" w:space="0" w:color="FFFFFF" w:themeColor="background1"/>
            </w:tcBorders>
            <w:vAlign w:val="center"/>
            <w:hideMark/>
          </w:tcPr>
          <w:p w:rsidR="003F7303" w:rsidRPr="00073F9F" w:rsidRDefault="003F7303" w:rsidP="008526DC">
            <w:pPr>
              <w:pStyle w:val="TableHeader"/>
              <w:keepNext/>
            </w:pPr>
          </w:p>
        </w:tc>
        <w:tc>
          <w:tcPr>
            <w:tcW w:w="135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center"/>
            <w:hideMark/>
          </w:tcPr>
          <w:p w:rsidR="003F7303" w:rsidRPr="00073F9F" w:rsidRDefault="003F7303" w:rsidP="008526DC">
            <w:pPr>
              <w:pStyle w:val="TableHeader"/>
              <w:keepNext/>
            </w:pPr>
            <w:r w:rsidRPr="00073F9F">
              <w:t>1-in-10</w:t>
            </w:r>
          </w:p>
        </w:tc>
        <w:tc>
          <w:tcPr>
            <w:tcW w:w="112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center"/>
            <w:hideMark/>
          </w:tcPr>
          <w:p w:rsidR="003F7303" w:rsidRPr="00073F9F" w:rsidRDefault="003F7303" w:rsidP="008526DC">
            <w:pPr>
              <w:pStyle w:val="TableHeader"/>
              <w:keepNext/>
            </w:pPr>
            <w:r w:rsidRPr="00073F9F">
              <w:t>1-in-2</w:t>
            </w:r>
          </w:p>
        </w:tc>
        <w:tc>
          <w:tcPr>
            <w:tcW w:w="135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center"/>
            <w:hideMark/>
          </w:tcPr>
          <w:p w:rsidR="003F7303" w:rsidRPr="00073F9F" w:rsidRDefault="003F7303" w:rsidP="008526DC">
            <w:pPr>
              <w:pStyle w:val="TableHeader"/>
              <w:keepNext/>
            </w:pPr>
            <w:r w:rsidRPr="00073F9F">
              <w:t>1-in-10</w:t>
            </w:r>
          </w:p>
        </w:tc>
        <w:tc>
          <w:tcPr>
            <w:tcW w:w="1125" w:type="dxa"/>
            <w:tcBorders>
              <w:top w:val="single" w:sz="4" w:space="0" w:color="FFFFFF" w:themeColor="background1"/>
              <w:left w:val="single" w:sz="4" w:space="0" w:color="FFFFFF" w:themeColor="background1"/>
              <w:bottom w:val="single" w:sz="4" w:space="0" w:color="auto"/>
              <w:right w:val="single" w:sz="4" w:space="0" w:color="auto"/>
            </w:tcBorders>
            <w:shd w:val="clear" w:color="000000" w:fill="1F497D"/>
            <w:noWrap/>
            <w:vAlign w:val="center"/>
            <w:hideMark/>
          </w:tcPr>
          <w:p w:rsidR="003F7303" w:rsidRPr="00073F9F" w:rsidRDefault="003F7303" w:rsidP="008526DC">
            <w:pPr>
              <w:pStyle w:val="TableHeader"/>
              <w:keepNext/>
            </w:pPr>
            <w:r w:rsidRPr="00073F9F">
              <w:t>1-in-2</w:t>
            </w:r>
          </w:p>
        </w:tc>
      </w:tr>
      <w:tr w:rsidR="003F7303" w:rsidRPr="00073F9F" w:rsidTr="008526DC">
        <w:trPr>
          <w:trHeight w:val="315"/>
          <w:jc w:val="center"/>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rsidR="003F7303" w:rsidRPr="00073F9F" w:rsidRDefault="003F7303" w:rsidP="008526DC">
            <w:pPr>
              <w:pStyle w:val="TableText"/>
              <w:keepNext/>
              <w:jc w:val="center"/>
            </w:pPr>
            <w:r w:rsidRPr="00073F9F">
              <w:t>Typical Event Day</w:t>
            </w:r>
          </w:p>
        </w:tc>
        <w:tc>
          <w:tcPr>
            <w:tcW w:w="135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0.48</w:t>
            </w:r>
          </w:p>
        </w:tc>
        <w:tc>
          <w:tcPr>
            <w:tcW w:w="112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0.41</w:t>
            </w:r>
          </w:p>
        </w:tc>
        <w:tc>
          <w:tcPr>
            <w:tcW w:w="135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14</w:t>
            </w:r>
          </w:p>
        </w:tc>
        <w:tc>
          <w:tcPr>
            <w:tcW w:w="112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12</w:t>
            </w:r>
          </w:p>
        </w:tc>
      </w:tr>
      <w:tr w:rsidR="003F7303" w:rsidRPr="00073F9F" w:rsidTr="008526DC">
        <w:trPr>
          <w:trHeight w:val="315"/>
          <w:jc w:val="center"/>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rsidR="003F7303" w:rsidRPr="00073F9F" w:rsidRDefault="003F7303" w:rsidP="008526DC">
            <w:pPr>
              <w:pStyle w:val="TableText"/>
              <w:keepNext/>
              <w:jc w:val="center"/>
            </w:pPr>
            <w:r w:rsidRPr="00073F9F">
              <w:t>May Monthly Peak</w:t>
            </w:r>
          </w:p>
        </w:tc>
        <w:tc>
          <w:tcPr>
            <w:tcW w:w="135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0.39</w:t>
            </w:r>
          </w:p>
        </w:tc>
        <w:tc>
          <w:tcPr>
            <w:tcW w:w="112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0.17</w:t>
            </w:r>
          </w:p>
        </w:tc>
        <w:tc>
          <w:tcPr>
            <w:tcW w:w="135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11</w:t>
            </w:r>
          </w:p>
        </w:tc>
        <w:tc>
          <w:tcPr>
            <w:tcW w:w="112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5</w:t>
            </w:r>
          </w:p>
        </w:tc>
      </w:tr>
      <w:tr w:rsidR="003F7303" w:rsidRPr="00073F9F" w:rsidTr="008526DC">
        <w:trPr>
          <w:trHeight w:val="315"/>
          <w:jc w:val="center"/>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rsidR="003F7303" w:rsidRPr="00073F9F" w:rsidRDefault="003F7303" w:rsidP="008526DC">
            <w:pPr>
              <w:pStyle w:val="TableText"/>
              <w:keepNext/>
              <w:jc w:val="center"/>
            </w:pPr>
            <w:r w:rsidRPr="00073F9F">
              <w:t>June Monthly Peak</w:t>
            </w:r>
          </w:p>
        </w:tc>
        <w:tc>
          <w:tcPr>
            <w:tcW w:w="135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0.34</w:t>
            </w:r>
          </w:p>
        </w:tc>
        <w:tc>
          <w:tcPr>
            <w:tcW w:w="112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0.09</w:t>
            </w:r>
          </w:p>
        </w:tc>
        <w:tc>
          <w:tcPr>
            <w:tcW w:w="135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10</w:t>
            </w:r>
          </w:p>
        </w:tc>
        <w:tc>
          <w:tcPr>
            <w:tcW w:w="112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3</w:t>
            </w:r>
          </w:p>
        </w:tc>
      </w:tr>
      <w:tr w:rsidR="003F7303" w:rsidRPr="00073F9F" w:rsidTr="008526DC">
        <w:trPr>
          <w:trHeight w:val="315"/>
          <w:jc w:val="center"/>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rsidR="003F7303" w:rsidRPr="00073F9F" w:rsidRDefault="003F7303" w:rsidP="008526DC">
            <w:pPr>
              <w:pStyle w:val="TableText"/>
              <w:keepNext/>
              <w:jc w:val="center"/>
            </w:pPr>
            <w:r w:rsidRPr="00073F9F">
              <w:t>July Monthly Peak</w:t>
            </w:r>
          </w:p>
        </w:tc>
        <w:tc>
          <w:tcPr>
            <w:tcW w:w="135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0.52</w:t>
            </w:r>
          </w:p>
        </w:tc>
        <w:tc>
          <w:tcPr>
            <w:tcW w:w="112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0.42</w:t>
            </w:r>
          </w:p>
        </w:tc>
        <w:tc>
          <w:tcPr>
            <w:tcW w:w="135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15</w:t>
            </w:r>
          </w:p>
        </w:tc>
        <w:tc>
          <w:tcPr>
            <w:tcW w:w="112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12</w:t>
            </w:r>
          </w:p>
        </w:tc>
      </w:tr>
      <w:tr w:rsidR="003F7303" w:rsidRPr="00073F9F" w:rsidTr="008526DC">
        <w:trPr>
          <w:trHeight w:val="315"/>
          <w:jc w:val="center"/>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rsidR="003F7303" w:rsidRPr="00073F9F" w:rsidRDefault="003F7303" w:rsidP="008526DC">
            <w:pPr>
              <w:pStyle w:val="TableText"/>
              <w:keepNext/>
              <w:jc w:val="center"/>
            </w:pPr>
            <w:r w:rsidRPr="00073F9F">
              <w:t>August Monthly Peak</w:t>
            </w:r>
          </w:p>
        </w:tc>
        <w:tc>
          <w:tcPr>
            <w:tcW w:w="135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0.48</w:t>
            </w:r>
          </w:p>
        </w:tc>
        <w:tc>
          <w:tcPr>
            <w:tcW w:w="112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0.38</w:t>
            </w:r>
          </w:p>
        </w:tc>
        <w:tc>
          <w:tcPr>
            <w:tcW w:w="135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14</w:t>
            </w:r>
          </w:p>
        </w:tc>
        <w:tc>
          <w:tcPr>
            <w:tcW w:w="112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11</w:t>
            </w:r>
          </w:p>
        </w:tc>
      </w:tr>
      <w:tr w:rsidR="003F7303" w:rsidRPr="00073F9F" w:rsidTr="008526DC">
        <w:trPr>
          <w:trHeight w:val="315"/>
          <w:jc w:val="center"/>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rsidR="003F7303" w:rsidRPr="00073F9F" w:rsidRDefault="003F7303" w:rsidP="008526DC">
            <w:pPr>
              <w:pStyle w:val="TableText"/>
              <w:keepNext/>
              <w:jc w:val="center"/>
            </w:pPr>
            <w:r w:rsidRPr="00073F9F">
              <w:t>September Monthly Peak</w:t>
            </w:r>
          </w:p>
        </w:tc>
        <w:tc>
          <w:tcPr>
            <w:tcW w:w="135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0.83</w:t>
            </w:r>
          </w:p>
        </w:tc>
        <w:tc>
          <w:tcPr>
            <w:tcW w:w="112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0.64</w:t>
            </w:r>
          </w:p>
        </w:tc>
        <w:tc>
          <w:tcPr>
            <w:tcW w:w="135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24</w:t>
            </w:r>
          </w:p>
        </w:tc>
        <w:tc>
          <w:tcPr>
            <w:tcW w:w="112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keepNext/>
              <w:jc w:val="center"/>
            </w:pPr>
            <w:r w:rsidRPr="007262FF">
              <w:t>19</w:t>
            </w:r>
          </w:p>
        </w:tc>
      </w:tr>
      <w:tr w:rsidR="003F7303" w:rsidRPr="00073F9F" w:rsidTr="008526DC">
        <w:trPr>
          <w:trHeight w:val="315"/>
          <w:jc w:val="center"/>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rsidR="003F7303" w:rsidRPr="00073F9F" w:rsidRDefault="003F7303" w:rsidP="008526DC">
            <w:pPr>
              <w:pStyle w:val="TableText"/>
              <w:jc w:val="center"/>
            </w:pPr>
            <w:r w:rsidRPr="00073F9F">
              <w:t>October Monthly Peak</w:t>
            </w:r>
          </w:p>
        </w:tc>
        <w:tc>
          <w:tcPr>
            <w:tcW w:w="135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jc w:val="center"/>
            </w:pPr>
            <w:r w:rsidRPr="007262FF">
              <w:t>0.47</w:t>
            </w:r>
          </w:p>
        </w:tc>
        <w:tc>
          <w:tcPr>
            <w:tcW w:w="112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jc w:val="center"/>
            </w:pPr>
            <w:r w:rsidRPr="007262FF">
              <w:t>0.38</w:t>
            </w:r>
          </w:p>
        </w:tc>
        <w:tc>
          <w:tcPr>
            <w:tcW w:w="135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jc w:val="center"/>
            </w:pPr>
            <w:r w:rsidRPr="007262FF">
              <w:t>14</w:t>
            </w:r>
          </w:p>
        </w:tc>
        <w:tc>
          <w:tcPr>
            <w:tcW w:w="1125" w:type="dxa"/>
            <w:tcBorders>
              <w:top w:val="nil"/>
              <w:left w:val="nil"/>
              <w:bottom w:val="single" w:sz="4" w:space="0" w:color="auto"/>
              <w:right w:val="single" w:sz="4" w:space="0" w:color="auto"/>
            </w:tcBorders>
            <w:shd w:val="clear" w:color="auto" w:fill="auto"/>
            <w:noWrap/>
            <w:vAlign w:val="center"/>
            <w:hideMark/>
          </w:tcPr>
          <w:p w:rsidR="003F7303" w:rsidRPr="007262FF" w:rsidRDefault="003F7303" w:rsidP="008526DC">
            <w:pPr>
              <w:pStyle w:val="TableText"/>
              <w:jc w:val="center"/>
            </w:pPr>
            <w:r w:rsidRPr="007262FF">
              <w:t>11</w:t>
            </w:r>
          </w:p>
        </w:tc>
      </w:tr>
    </w:tbl>
    <w:p w:rsidR="003F7303" w:rsidRDefault="003F7303" w:rsidP="003F7303">
      <w:pPr>
        <w:pStyle w:val="TableFigureCaption"/>
      </w:pPr>
    </w:p>
    <w:p w:rsidR="003F7303" w:rsidRDefault="003F7303" w:rsidP="003F7303">
      <w:pPr>
        <w:pStyle w:val="TableFigureCaption"/>
      </w:pPr>
      <w:r w:rsidRPr="00591D31">
        <w:t xml:space="preserve">Table </w:t>
      </w:r>
      <w:r>
        <w:t>5</w:t>
      </w:r>
      <w:r w:rsidRPr="00591D31">
        <w:t>-</w:t>
      </w:r>
      <w:r>
        <w:t>2:</w:t>
      </w:r>
    </w:p>
    <w:p w:rsidR="003F7303" w:rsidRPr="00A473C9" w:rsidRDefault="003F7303" w:rsidP="003F7303">
      <w:pPr>
        <w:pStyle w:val="TableFigureCaption"/>
      </w:pPr>
      <w:r w:rsidRPr="00174B6C">
        <w:t xml:space="preserve">Summer Saver </w:t>
      </w:r>
      <w:r>
        <w:t>Commercial</w:t>
      </w:r>
      <w:r w:rsidRPr="00174B6C">
        <w:t xml:space="preserve"> Ex </w:t>
      </w:r>
      <w:r>
        <w:t>Ante</w:t>
      </w:r>
      <w:r w:rsidRPr="00174B6C">
        <w:t xml:space="preserve"> Impact Estimates</w:t>
      </w:r>
    </w:p>
    <w:tbl>
      <w:tblPr>
        <w:tblW w:w="7100" w:type="dxa"/>
        <w:jc w:val="center"/>
        <w:tblLook w:val="04A0"/>
      </w:tblPr>
      <w:tblGrid>
        <w:gridCol w:w="2620"/>
        <w:gridCol w:w="1225"/>
        <w:gridCol w:w="1015"/>
        <w:gridCol w:w="1225"/>
        <w:gridCol w:w="1015"/>
      </w:tblGrid>
      <w:tr w:rsidR="003F7303" w:rsidRPr="00A473C9" w:rsidTr="008526DC">
        <w:trPr>
          <w:trHeight w:val="300"/>
          <w:jc w:val="center"/>
        </w:trPr>
        <w:tc>
          <w:tcPr>
            <w:tcW w:w="2620" w:type="dxa"/>
            <w:vMerge w:val="restart"/>
            <w:tcBorders>
              <w:top w:val="single" w:sz="4" w:space="0" w:color="auto"/>
              <w:left w:val="single" w:sz="4" w:space="0" w:color="auto"/>
              <w:bottom w:val="single" w:sz="4" w:space="0" w:color="auto"/>
              <w:right w:val="single" w:sz="4" w:space="0" w:color="FFFFFF" w:themeColor="background1"/>
            </w:tcBorders>
            <w:shd w:val="clear" w:color="000000" w:fill="1F497D"/>
            <w:noWrap/>
            <w:vAlign w:val="center"/>
            <w:hideMark/>
          </w:tcPr>
          <w:p w:rsidR="003F7303" w:rsidRPr="00A473C9" w:rsidRDefault="003F7303" w:rsidP="008526DC">
            <w:pPr>
              <w:pStyle w:val="TableHeader"/>
              <w:keepNext/>
            </w:pPr>
            <w:r w:rsidRPr="00A473C9">
              <w:t>Day Type</w:t>
            </w:r>
          </w:p>
        </w:tc>
        <w:tc>
          <w:tcPr>
            <w:tcW w:w="224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1F497D"/>
            <w:noWrap/>
            <w:vAlign w:val="center"/>
            <w:hideMark/>
          </w:tcPr>
          <w:p w:rsidR="003F7303" w:rsidRPr="00A473C9" w:rsidRDefault="003F7303" w:rsidP="008526DC">
            <w:pPr>
              <w:pStyle w:val="TableHeader"/>
              <w:keepNext/>
            </w:pPr>
            <w:r w:rsidRPr="00A473C9">
              <w:t xml:space="preserve">Per </w:t>
            </w:r>
            <w:r>
              <w:t>CAC Unit</w:t>
            </w:r>
            <w:r w:rsidRPr="00A473C9">
              <w:t xml:space="preserve"> (kW)</w:t>
            </w:r>
          </w:p>
        </w:tc>
        <w:tc>
          <w:tcPr>
            <w:tcW w:w="2240" w:type="dxa"/>
            <w:gridSpan w:val="2"/>
            <w:tcBorders>
              <w:top w:val="single" w:sz="4" w:space="0" w:color="auto"/>
              <w:left w:val="single" w:sz="4" w:space="0" w:color="FFFFFF" w:themeColor="background1"/>
              <w:bottom w:val="single" w:sz="4" w:space="0" w:color="FFFFFF" w:themeColor="background1"/>
              <w:right w:val="single" w:sz="4" w:space="0" w:color="auto"/>
            </w:tcBorders>
            <w:shd w:val="clear" w:color="000000" w:fill="1F497D"/>
            <w:noWrap/>
            <w:vAlign w:val="center"/>
            <w:hideMark/>
          </w:tcPr>
          <w:p w:rsidR="003F7303" w:rsidRPr="00A473C9" w:rsidRDefault="003F7303" w:rsidP="008526DC">
            <w:pPr>
              <w:pStyle w:val="TableHeader"/>
              <w:keepNext/>
            </w:pPr>
            <w:r w:rsidRPr="00A473C9">
              <w:t>Aggregate (MW)</w:t>
            </w:r>
          </w:p>
        </w:tc>
      </w:tr>
      <w:tr w:rsidR="003F7303" w:rsidRPr="00A473C9" w:rsidTr="008526DC">
        <w:trPr>
          <w:trHeight w:val="300"/>
          <w:jc w:val="center"/>
        </w:trPr>
        <w:tc>
          <w:tcPr>
            <w:tcW w:w="2620" w:type="dxa"/>
            <w:vMerge/>
            <w:tcBorders>
              <w:top w:val="single" w:sz="4" w:space="0" w:color="auto"/>
              <w:left w:val="single" w:sz="4" w:space="0" w:color="auto"/>
              <w:bottom w:val="single" w:sz="4" w:space="0" w:color="auto"/>
              <w:right w:val="single" w:sz="4" w:space="0" w:color="FFFFFF" w:themeColor="background1"/>
            </w:tcBorders>
            <w:vAlign w:val="center"/>
            <w:hideMark/>
          </w:tcPr>
          <w:p w:rsidR="003F7303" w:rsidRPr="00A473C9" w:rsidRDefault="003F7303" w:rsidP="008526DC">
            <w:pPr>
              <w:pStyle w:val="TableHeader"/>
              <w:keepNext/>
            </w:pPr>
          </w:p>
        </w:tc>
        <w:tc>
          <w:tcPr>
            <w:tcW w:w="2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1F497D"/>
            <w:noWrap/>
            <w:vAlign w:val="center"/>
            <w:hideMark/>
          </w:tcPr>
          <w:p w:rsidR="003F7303" w:rsidRPr="00A473C9" w:rsidRDefault="003F7303" w:rsidP="008526DC">
            <w:pPr>
              <w:pStyle w:val="TableHeader"/>
              <w:keepNext/>
            </w:pPr>
            <w:r w:rsidRPr="00A473C9">
              <w:t>Weather Year</w:t>
            </w:r>
          </w:p>
        </w:tc>
        <w:tc>
          <w:tcPr>
            <w:tcW w:w="224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1F497D"/>
            <w:noWrap/>
            <w:vAlign w:val="center"/>
            <w:hideMark/>
          </w:tcPr>
          <w:p w:rsidR="003F7303" w:rsidRPr="00A473C9" w:rsidRDefault="003F7303" w:rsidP="008526DC">
            <w:pPr>
              <w:pStyle w:val="TableHeader"/>
              <w:keepNext/>
            </w:pPr>
            <w:r w:rsidRPr="00A473C9">
              <w:t>Weather Year</w:t>
            </w:r>
          </w:p>
        </w:tc>
      </w:tr>
      <w:tr w:rsidR="003F7303" w:rsidRPr="00A473C9" w:rsidTr="008526DC">
        <w:trPr>
          <w:trHeight w:val="300"/>
          <w:jc w:val="center"/>
        </w:trPr>
        <w:tc>
          <w:tcPr>
            <w:tcW w:w="2620" w:type="dxa"/>
            <w:vMerge/>
            <w:tcBorders>
              <w:top w:val="single" w:sz="4" w:space="0" w:color="auto"/>
              <w:left w:val="single" w:sz="4" w:space="0" w:color="auto"/>
              <w:bottom w:val="single" w:sz="4" w:space="0" w:color="auto"/>
              <w:right w:val="single" w:sz="4" w:space="0" w:color="FFFFFF" w:themeColor="background1"/>
            </w:tcBorders>
            <w:vAlign w:val="center"/>
            <w:hideMark/>
          </w:tcPr>
          <w:p w:rsidR="003F7303" w:rsidRPr="00A473C9" w:rsidRDefault="003F7303" w:rsidP="008526DC">
            <w:pPr>
              <w:pStyle w:val="TableHeader"/>
              <w:keepNext/>
            </w:pPr>
          </w:p>
        </w:tc>
        <w:tc>
          <w:tcPr>
            <w:tcW w:w="122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center"/>
            <w:hideMark/>
          </w:tcPr>
          <w:p w:rsidR="003F7303" w:rsidRPr="00A473C9" w:rsidRDefault="003F7303" w:rsidP="008526DC">
            <w:pPr>
              <w:pStyle w:val="TableHeader"/>
              <w:keepNext/>
            </w:pPr>
            <w:r w:rsidRPr="00A473C9">
              <w:t>1-in-10</w:t>
            </w:r>
          </w:p>
        </w:tc>
        <w:tc>
          <w:tcPr>
            <w:tcW w:w="101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center"/>
            <w:hideMark/>
          </w:tcPr>
          <w:p w:rsidR="003F7303" w:rsidRPr="00A473C9" w:rsidRDefault="003F7303" w:rsidP="008526DC">
            <w:pPr>
              <w:pStyle w:val="TableHeader"/>
              <w:keepNext/>
            </w:pPr>
            <w:r w:rsidRPr="00A473C9">
              <w:t>1-in-2</w:t>
            </w:r>
          </w:p>
        </w:tc>
        <w:tc>
          <w:tcPr>
            <w:tcW w:w="122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center"/>
            <w:hideMark/>
          </w:tcPr>
          <w:p w:rsidR="003F7303" w:rsidRPr="00A473C9" w:rsidRDefault="003F7303" w:rsidP="008526DC">
            <w:pPr>
              <w:pStyle w:val="TableHeader"/>
              <w:keepNext/>
            </w:pPr>
            <w:r w:rsidRPr="00A473C9">
              <w:t>1-in-10</w:t>
            </w:r>
          </w:p>
        </w:tc>
        <w:tc>
          <w:tcPr>
            <w:tcW w:w="1015" w:type="dxa"/>
            <w:tcBorders>
              <w:top w:val="single" w:sz="4" w:space="0" w:color="FFFFFF" w:themeColor="background1"/>
              <w:left w:val="single" w:sz="4" w:space="0" w:color="FFFFFF" w:themeColor="background1"/>
              <w:bottom w:val="single" w:sz="4" w:space="0" w:color="auto"/>
              <w:right w:val="single" w:sz="4" w:space="0" w:color="auto"/>
            </w:tcBorders>
            <w:shd w:val="clear" w:color="000000" w:fill="1F497D"/>
            <w:noWrap/>
            <w:vAlign w:val="center"/>
            <w:hideMark/>
          </w:tcPr>
          <w:p w:rsidR="003F7303" w:rsidRPr="00A473C9" w:rsidRDefault="003F7303" w:rsidP="008526DC">
            <w:pPr>
              <w:pStyle w:val="TableHeader"/>
              <w:keepNext/>
            </w:pPr>
            <w:r w:rsidRPr="00A473C9">
              <w:t>1-in-2</w:t>
            </w:r>
          </w:p>
        </w:tc>
      </w:tr>
      <w:tr w:rsidR="003F7303" w:rsidRPr="00A473C9" w:rsidTr="008526DC">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3F7303" w:rsidRPr="00A473C9" w:rsidRDefault="003F7303" w:rsidP="008526DC">
            <w:pPr>
              <w:pStyle w:val="TableText"/>
              <w:keepNext/>
              <w:jc w:val="center"/>
            </w:pPr>
            <w:r w:rsidRPr="00A473C9">
              <w:t>Typical Event Day</w:t>
            </w:r>
          </w:p>
        </w:tc>
        <w:tc>
          <w:tcPr>
            <w:tcW w:w="122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0.40</w:t>
            </w:r>
          </w:p>
        </w:tc>
        <w:tc>
          <w:tcPr>
            <w:tcW w:w="101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0.36</w:t>
            </w:r>
          </w:p>
        </w:tc>
        <w:tc>
          <w:tcPr>
            <w:tcW w:w="122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5.1</w:t>
            </w:r>
          </w:p>
        </w:tc>
        <w:tc>
          <w:tcPr>
            <w:tcW w:w="101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4.6</w:t>
            </w:r>
          </w:p>
        </w:tc>
      </w:tr>
      <w:tr w:rsidR="003F7303" w:rsidRPr="00A473C9" w:rsidTr="008526DC">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3F7303" w:rsidRPr="00A473C9" w:rsidRDefault="003F7303" w:rsidP="008526DC">
            <w:pPr>
              <w:pStyle w:val="TableText"/>
              <w:keepNext/>
              <w:jc w:val="center"/>
            </w:pPr>
            <w:r w:rsidRPr="00A473C9">
              <w:t>May Monthly Peak</w:t>
            </w:r>
          </w:p>
        </w:tc>
        <w:tc>
          <w:tcPr>
            <w:tcW w:w="122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0.33</w:t>
            </w:r>
          </w:p>
        </w:tc>
        <w:tc>
          <w:tcPr>
            <w:tcW w:w="101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0.24</w:t>
            </w:r>
          </w:p>
        </w:tc>
        <w:tc>
          <w:tcPr>
            <w:tcW w:w="122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4.3</w:t>
            </w:r>
          </w:p>
        </w:tc>
        <w:tc>
          <w:tcPr>
            <w:tcW w:w="101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3.1</w:t>
            </w:r>
          </w:p>
        </w:tc>
      </w:tr>
      <w:tr w:rsidR="003F7303" w:rsidRPr="00A473C9" w:rsidTr="008526DC">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3F7303" w:rsidRPr="00A473C9" w:rsidRDefault="003F7303" w:rsidP="008526DC">
            <w:pPr>
              <w:pStyle w:val="TableText"/>
              <w:keepNext/>
              <w:jc w:val="center"/>
            </w:pPr>
            <w:r w:rsidRPr="00A473C9">
              <w:t>June Monthly Peak</w:t>
            </w:r>
          </w:p>
        </w:tc>
        <w:tc>
          <w:tcPr>
            <w:tcW w:w="122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0.37</w:t>
            </w:r>
          </w:p>
        </w:tc>
        <w:tc>
          <w:tcPr>
            <w:tcW w:w="101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0.24</w:t>
            </w:r>
          </w:p>
        </w:tc>
        <w:tc>
          <w:tcPr>
            <w:tcW w:w="122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4.8</w:t>
            </w:r>
          </w:p>
        </w:tc>
        <w:tc>
          <w:tcPr>
            <w:tcW w:w="101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3.1</w:t>
            </w:r>
          </w:p>
        </w:tc>
      </w:tr>
      <w:tr w:rsidR="003F7303" w:rsidRPr="00A473C9" w:rsidTr="008526DC">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3F7303" w:rsidRPr="00A473C9" w:rsidRDefault="003F7303" w:rsidP="008526DC">
            <w:pPr>
              <w:pStyle w:val="TableText"/>
              <w:keepNext/>
              <w:jc w:val="center"/>
            </w:pPr>
            <w:r w:rsidRPr="00A473C9">
              <w:t>July Monthly Peak</w:t>
            </w:r>
          </w:p>
        </w:tc>
        <w:tc>
          <w:tcPr>
            <w:tcW w:w="122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0.39</w:t>
            </w:r>
          </w:p>
        </w:tc>
        <w:tc>
          <w:tcPr>
            <w:tcW w:w="101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0.36</w:t>
            </w:r>
          </w:p>
        </w:tc>
        <w:tc>
          <w:tcPr>
            <w:tcW w:w="122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5.0</w:t>
            </w:r>
          </w:p>
        </w:tc>
        <w:tc>
          <w:tcPr>
            <w:tcW w:w="101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4.7</w:t>
            </w:r>
          </w:p>
        </w:tc>
      </w:tr>
      <w:tr w:rsidR="003F7303" w:rsidRPr="00A473C9" w:rsidTr="008526DC">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3F7303" w:rsidRPr="00A473C9" w:rsidRDefault="003F7303" w:rsidP="008526DC">
            <w:pPr>
              <w:pStyle w:val="TableText"/>
              <w:keepNext/>
              <w:jc w:val="center"/>
            </w:pPr>
            <w:r w:rsidRPr="00A473C9">
              <w:t>August Monthly Peak</w:t>
            </w:r>
          </w:p>
        </w:tc>
        <w:tc>
          <w:tcPr>
            <w:tcW w:w="122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0.40</w:t>
            </w:r>
          </w:p>
        </w:tc>
        <w:tc>
          <w:tcPr>
            <w:tcW w:w="101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0.36</w:t>
            </w:r>
          </w:p>
        </w:tc>
        <w:tc>
          <w:tcPr>
            <w:tcW w:w="122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5.1</w:t>
            </w:r>
          </w:p>
        </w:tc>
        <w:tc>
          <w:tcPr>
            <w:tcW w:w="101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4.6</w:t>
            </w:r>
          </w:p>
        </w:tc>
      </w:tr>
      <w:tr w:rsidR="003F7303" w:rsidRPr="00A473C9" w:rsidTr="008526DC">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3F7303" w:rsidRPr="00A473C9" w:rsidRDefault="003F7303" w:rsidP="008526DC">
            <w:pPr>
              <w:pStyle w:val="TableText"/>
              <w:keepNext/>
              <w:jc w:val="center"/>
            </w:pPr>
            <w:r w:rsidRPr="00A473C9">
              <w:t>September Monthly Peak</w:t>
            </w:r>
          </w:p>
        </w:tc>
        <w:tc>
          <w:tcPr>
            <w:tcW w:w="122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0.48</w:t>
            </w:r>
          </w:p>
        </w:tc>
        <w:tc>
          <w:tcPr>
            <w:tcW w:w="101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0.42</w:t>
            </w:r>
          </w:p>
        </w:tc>
        <w:tc>
          <w:tcPr>
            <w:tcW w:w="122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6.2</w:t>
            </w:r>
          </w:p>
        </w:tc>
        <w:tc>
          <w:tcPr>
            <w:tcW w:w="101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keepNext/>
              <w:jc w:val="center"/>
            </w:pPr>
            <w:r w:rsidRPr="00E60377">
              <w:t>5.4</w:t>
            </w:r>
          </w:p>
        </w:tc>
      </w:tr>
      <w:tr w:rsidR="003F7303" w:rsidRPr="00A473C9" w:rsidTr="008526DC">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3F7303" w:rsidRPr="00A473C9" w:rsidRDefault="003F7303" w:rsidP="008526DC">
            <w:pPr>
              <w:pStyle w:val="TableText"/>
              <w:jc w:val="center"/>
            </w:pPr>
            <w:r w:rsidRPr="00A473C9">
              <w:t>October Monthly Peak</w:t>
            </w:r>
          </w:p>
        </w:tc>
        <w:tc>
          <w:tcPr>
            <w:tcW w:w="122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jc w:val="center"/>
            </w:pPr>
            <w:r w:rsidRPr="00E60377">
              <w:t>0.34</w:t>
            </w:r>
          </w:p>
        </w:tc>
        <w:tc>
          <w:tcPr>
            <w:tcW w:w="101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jc w:val="center"/>
            </w:pPr>
            <w:r w:rsidRPr="00E60377">
              <w:t>0.30</w:t>
            </w:r>
          </w:p>
        </w:tc>
        <w:tc>
          <w:tcPr>
            <w:tcW w:w="122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jc w:val="center"/>
            </w:pPr>
            <w:r w:rsidRPr="00E60377">
              <w:t>4.3</w:t>
            </w:r>
          </w:p>
        </w:tc>
        <w:tc>
          <w:tcPr>
            <w:tcW w:w="1015" w:type="dxa"/>
            <w:tcBorders>
              <w:top w:val="nil"/>
              <w:left w:val="nil"/>
              <w:bottom w:val="single" w:sz="4" w:space="0" w:color="auto"/>
              <w:right w:val="single" w:sz="4" w:space="0" w:color="auto"/>
            </w:tcBorders>
            <w:shd w:val="clear" w:color="auto" w:fill="auto"/>
            <w:noWrap/>
            <w:vAlign w:val="center"/>
            <w:hideMark/>
          </w:tcPr>
          <w:p w:rsidR="003F7303" w:rsidRPr="00E60377" w:rsidRDefault="003F7303" w:rsidP="008526DC">
            <w:pPr>
              <w:pStyle w:val="TableText"/>
              <w:jc w:val="center"/>
            </w:pPr>
            <w:r w:rsidRPr="00E60377">
              <w:t>3.9</w:t>
            </w:r>
          </w:p>
        </w:tc>
      </w:tr>
    </w:tbl>
    <w:p w:rsidR="003F7303" w:rsidRPr="00C67FF0" w:rsidRDefault="003F7303" w:rsidP="003F7303">
      <w:pPr>
        <w:pStyle w:val="BodyParaAfterTableFigure"/>
      </w:pPr>
    </w:p>
    <w:p w:rsidR="003F7303" w:rsidRDefault="003F7303" w:rsidP="003F7303">
      <w:pPr>
        <w:pStyle w:val="BodyParaAfterTableFigure"/>
      </w:pPr>
      <w:r w:rsidRPr="006E0539">
        <w:t xml:space="preserve"> </w:t>
      </w:r>
    </w:p>
    <w:p w:rsidR="003F7303" w:rsidRDefault="003F7303" w:rsidP="003F7303">
      <w:pPr>
        <w:pStyle w:val="BodyParagraph"/>
      </w:pPr>
      <w:r>
        <w:br w:type="page"/>
      </w:r>
    </w:p>
    <w:p w:rsidR="003F7303" w:rsidRDefault="003F7303" w:rsidP="003F7303">
      <w:pPr>
        <w:pStyle w:val="TableFigureCaption"/>
      </w:pPr>
      <w:r>
        <w:lastRenderedPageBreak/>
        <w:t>Table 5-3</w:t>
      </w:r>
      <w:proofErr w:type="gramStart"/>
      <w:r>
        <w:t>:</w:t>
      </w:r>
      <w:proofErr w:type="gramEnd"/>
      <w:r>
        <w:br/>
        <w:t>Aggregate Load Reductions by Day Type, Weather Year and Hour</w:t>
      </w:r>
      <w:r>
        <w:br/>
        <w:t>All Residential Customers</w:t>
      </w:r>
    </w:p>
    <w:tbl>
      <w:tblPr>
        <w:tblW w:w="88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2400"/>
        <w:gridCol w:w="853"/>
        <w:gridCol w:w="900"/>
        <w:gridCol w:w="810"/>
        <w:gridCol w:w="720"/>
        <w:gridCol w:w="900"/>
        <w:gridCol w:w="1170"/>
      </w:tblGrid>
      <w:tr w:rsidR="003F7303" w:rsidRPr="00BA755A" w:rsidTr="008526DC">
        <w:trPr>
          <w:trHeight w:val="300"/>
        </w:trPr>
        <w:tc>
          <w:tcPr>
            <w:tcW w:w="1080" w:type="dxa"/>
            <w:vMerge w:val="restart"/>
            <w:tcBorders>
              <w:right w:val="single" w:sz="4" w:space="0" w:color="FFFFFF" w:themeColor="background1"/>
            </w:tcBorders>
            <w:shd w:val="clear" w:color="auto" w:fill="1F497D" w:themeFill="text2"/>
            <w:vAlign w:val="center"/>
            <w:hideMark/>
          </w:tcPr>
          <w:p w:rsidR="003F7303" w:rsidRPr="00BA755A" w:rsidRDefault="003F7303" w:rsidP="008526DC">
            <w:pPr>
              <w:pStyle w:val="TableHeader"/>
              <w:keepNext/>
            </w:pPr>
            <w:r w:rsidRPr="00BA755A">
              <w:t>Weather Year</w:t>
            </w:r>
          </w:p>
        </w:tc>
        <w:tc>
          <w:tcPr>
            <w:tcW w:w="2400" w:type="dxa"/>
            <w:vMerge w:val="restart"/>
            <w:tcBorders>
              <w:left w:val="single" w:sz="4" w:space="0" w:color="FFFFFF" w:themeColor="background1"/>
              <w:right w:val="single" w:sz="4" w:space="0" w:color="FFFFFF" w:themeColor="background1"/>
            </w:tcBorders>
            <w:shd w:val="clear" w:color="auto" w:fill="1F497D" w:themeFill="text2"/>
            <w:vAlign w:val="center"/>
            <w:hideMark/>
          </w:tcPr>
          <w:p w:rsidR="003F7303" w:rsidRPr="00BA755A" w:rsidRDefault="003F7303" w:rsidP="008526DC">
            <w:pPr>
              <w:pStyle w:val="TableHeader"/>
              <w:keepNext/>
            </w:pPr>
            <w:r w:rsidRPr="00BA755A">
              <w:t>Day Type</w:t>
            </w:r>
          </w:p>
        </w:tc>
        <w:tc>
          <w:tcPr>
            <w:tcW w:w="4183" w:type="dxa"/>
            <w:gridSpan w:val="5"/>
            <w:tcBorders>
              <w:left w:val="single" w:sz="4" w:space="0" w:color="FFFFFF" w:themeColor="background1"/>
              <w:bottom w:val="single" w:sz="4" w:space="0" w:color="FFFFFF" w:themeColor="background1"/>
              <w:right w:val="single" w:sz="4" w:space="0" w:color="FFFFFF" w:themeColor="background1"/>
            </w:tcBorders>
            <w:shd w:val="clear" w:color="auto" w:fill="1F497D" w:themeFill="text2"/>
            <w:noWrap/>
            <w:vAlign w:val="center"/>
            <w:hideMark/>
          </w:tcPr>
          <w:p w:rsidR="003F7303" w:rsidRPr="00BA755A" w:rsidRDefault="003F7303" w:rsidP="008526DC">
            <w:pPr>
              <w:pStyle w:val="TableHeader"/>
              <w:keepNext/>
            </w:pPr>
            <w:r w:rsidRPr="00BA755A">
              <w:t>Hour of Day</w:t>
            </w:r>
          </w:p>
        </w:tc>
        <w:tc>
          <w:tcPr>
            <w:tcW w:w="1170" w:type="dxa"/>
            <w:vMerge w:val="restart"/>
            <w:tcBorders>
              <w:left w:val="single" w:sz="4" w:space="0" w:color="FFFFFF" w:themeColor="background1"/>
            </w:tcBorders>
            <w:shd w:val="clear" w:color="auto" w:fill="1F497D" w:themeFill="text2"/>
            <w:vAlign w:val="center"/>
            <w:hideMark/>
          </w:tcPr>
          <w:p w:rsidR="003F7303" w:rsidRPr="00BA755A" w:rsidRDefault="003F7303" w:rsidP="008526DC">
            <w:pPr>
              <w:pStyle w:val="TableHeader"/>
              <w:keepNext/>
            </w:pPr>
            <w:r w:rsidRPr="00BA755A">
              <w:t>Average</w:t>
            </w:r>
          </w:p>
        </w:tc>
      </w:tr>
      <w:tr w:rsidR="003F7303" w:rsidRPr="00BA755A" w:rsidTr="008526DC">
        <w:trPr>
          <w:trHeight w:val="300"/>
        </w:trPr>
        <w:tc>
          <w:tcPr>
            <w:tcW w:w="1080" w:type="dxa"/>
            <w:vMerge/>
            <w:tcBorders>
              <w:right w:val="single" w:sz="4" w:space="0" w:color="FFFFFF" w:themeColor="background1"/>
            </w:tcBorders>
            <w:shd w:val="clear" w:color="auto" w:fill="1F497D" w:themeFill="text2"/>
            <w:vAlign w:val="center"/>
            <w:hideMark/>
          </w:tcPr>
          <w:p w:rsidR="003F7303" w:rsidRPr="00BA755A" w:rsidRDefault="003F7303" w:rsidP="008526DC">
            <w:pPr>
              <w:pStyle w:val="TableHeader"/>
              <w:keepNext/>
            </w:pPr>
          </w:p>
        </w:tc>
        <w:tc>
          <w:tcPr>
            <w:tcW w:w="2400" w:type="dxa"/>
            <w:vMerge/>
            <w:tcBorders>
              <w:left w:val="single" w:sz="4" w:space="0" w:color="FFFFFF" w:themeColor="background1"/>
              <w:right w:val="single" w:sz="4" w:space="0" w:color="FFFFFF" w:themeColor="background1"/>
            </w:tcBorders>
            <w:shd w:val="clear" w:color="auto" w:fill="1F497D" w:themeFill="text2"/>
            <w:vAlign w:val="center"/>
            <w:hideMark/>
          </w:tcPr>
          <w:p w:rsidR="003F7303" w:rsidRPr="00BA755A" w:rsidRDefault="003F7303" w:rsidP="008526DC">
            <w:pPr>
              <w:pStyle w:val="TableHeader"/>
              <w:keepNext/>
            </w:pPr>
          </w:p>
        </w:tc>
        <w:tc>
          <w:tcPr>
            <w:tcW w:w="853" w:type="dxa"/>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hideMark/>
          </w:tcPr>
          <w:p w:rsidR="003F7303" w:rsidRPr="00BA755A" w:rsidRDefault="003F7303" w:rsidP="008526DC">
            <w:pPr>
              <w:pStyle w:val="TableHeader"/>
              <w:keepNext/>
            </w:pPr>
            <w:r w:rsidRPr="00BA755A">
              <w:t>1 to 2 PM</w:t>
            </w:r>
          </w:p>
        </w:tc>
        <w:tc>
          <w:tcPr>
            <w:tcW w:w="900" w:type="dxa"/>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hideMark/>
          </w:tcPr>
          <w:p w:rsidR="003F7303" w:rsidRPr="00BA755A" w:rsidRDefault="003F7303" w:rsidP="008526DC">
            <w:pPr>
              <w:pStyle w:val="TableHeader"/>
              <w:keepNext/>
            </w:pPr>
            <w:r w:rsidRPr="00BA755A">
              <w:t>2 to 3 PM</w:t>
            </w:r>
          </w:p>
        </w:tc>
        <w:tc>
          <w:tcPr>
            <w:tcW w:w="810" w:type="dxa"/>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hideMark/>
          </w:tcPr>
          <w:p w:rsidR="003F7303" w:rsidRPr="00BA755A" w:rsidRDefault="003F7303" w:rsidP="008526DC">
            <w:pPr>
              <w:pStyle w:val="TableHeader"/>
              <w:keepNext/>
            </w:pPr>
            <w:r w:rsidRPr="00BA755A">
              <w:t>3 to 4 PM</w:t>
            </w:r>
          </w:p>
        </w:tc>
        <w:tc>
          <w:tcPr>
            <w:tcW w:w="720" w:type="dxa"/>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hideMark/>
          </w:tcPr>
          <w:p w:rsidR="003F7303" w:rsidRPr="00BA755A" w:rsidRDefault="003F7303" w:rsidP="008526DC">
            <w:pPr>
              <w:pStyle w:val="TableHeader"/>
              <w:keepNext/>
            </w:pPr>
            <w:r w:rsidRPr="00BA755A">
              <w:t>4 to 5 PM</w:t>
            </w:r>
          </w:p>
        </w:tc>
        <w:tc>
          <w:tcPr>
            <w:tcW w:w="900" w:type="dxa"/>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hideMark/>
          </w:tcPr>
          <w:p w:rsidR="003F7303" w:rsidRPr="00BA755A" w:rsidRDefault="003F7303" w:rsidP="008526DC">
            <w:pPr>
              <w:pStyle w:val="TableHeader"/>
              <w:keepNext/>
            </w:pPr>
            <w:r w:rsidRPr="00BA755A">
              <w:t>5 to 6 PM</w:t>
            </w:r>
          </w:p>
        </w:tc>
        <w:tc>
          <w:tcPr>
            <w:tcW w:w="1170" w:type="dxa"/>
            <w:vMerge/>
            <w:tcBorders>
              <w:left w:val="single" w:sz="4" w:space="0" w:color="FFFFFF" w:themeColor="background1"/>
            </w:tcBorders>
            <w:shd w:val="clear" w:color="auto" w:fill="1F497D" w:themeFill="text2"/>
            <w:vAlign w:val="center"/>
            <w:hideMark/>
          </w:tcPr>
          <w:p w:rsidR="003F7303" w:rsidRPr="00BA755A" w:rsidRDefault="003F7303" w:rsidP="008526DC">
            <w:pPr>
              <w:pStyle w:val="TableHeader"/>
              <w:keepNext/>
            </w:pPr>
          </w:p>
        </w:tc>
      </w:tr>
      <w:tr w:rsidR="003F7303" w:rsidRPr="00BA755A" w:rsidTr="008526DC">
        <w:trPr>
          <w:trHeight w:val="300"/>
        </w:trPr>
        <w:tc>
          <w:tcPr>
            <w:tcW w:w="1080" w:type="dxa"/>
            <w:vMerge w:val="restart"/>
            <w:shd w:val="clear" w:color="auto" w:fill="auto"/>
            <w:noWrap/>
            <w:vAlign w:val="center"/>
            <w:hideMark/>
          </w:tcPr>
          <w:p w:rsidR="003F7303" w:rsidRPr="00BA755A" w:rsidRDefault="003F7303" w:rsidP="008526DC">
            <w:pPr>
              <w:pStyle w:val="TableText"/>
              <w:keepNext/>
            </w:pPr>
            <w:r w:rsidRPr="00BA755A">
              <w:t>1-in-2</w:t>
            </w:r>
          </w:p>
        </w:tc>
        <w:tc>
          <w:tcPr>
            <w:tcW w:w="2400" w:type="dxa"/>
            <w:shd w:val="clear" w:color="auto" w:fill="auto"/>
            <w:noWrap/>
            <w:vAlign w:val="bottom"/>
            <w:hideMark/>
          </w:tcPr>
          <w:p w:rsidR="003F7303" w:rsidRPr="00BA755A" w:rsidRDefault="003F7303" w:rsidP="008526DC">
            <w:pPr>
              <w:pStyle w:val="TableText"/>
              <w:keepNext/>
            </w:pPr>
            <w:r w:rsidRPr="00BA755A">
              <w:rPr>
                <w:iCs/>
              </w:rPr>
              <w:t>Typical Event Day</w:t>
            </w:r>
          </w:p>
        </w:tc>
        <w:tc>
          <w:tcPr>
            <w:tcW w:w="853" w:type="dxa"/>
            <w:shd w:val="clear" w:color="auto" w:fill="auto"/>
            <w:noWrap/>
            <w:vAlign w:val="bottom"/>
            <w:hideMark/>
          </w:tcPr>
          <w:p w:rsidR="003F7303" w:rsidRPr="00A22F5F" w:rsidRDefault="003F7303" w:rsidP="008526DC">
            <w:pPr>
              <w:pStyle w:val="TableText"/>
              <w:jc w:val="center"/>
            </w:pPr>
            <w:r w:rsidRPr="00A22F5F">
              <w:t>10</w:t>
            </w:r>
          </w:p>
        </w:tc>
        <w:tc>
          <w:tcPr>
            <w:tcW w:w="900" w:type="dxa"/>
            <w:shd w:val="clear" w:color="auto" w:fill="auto"/>
            <w:noWrap/>
            <w:vAlign w:val="bottom"/>
            <w:hideMark/>
          </w:tcPr>
          <w:p w:rsidR="003F7303" w:rsidRPr="00A22F5F" w:rsidRDefault="003F7303" w:rsidP="008526DC">
            <w:pPr>
              <w:pStyle w:val="TableText"/>
              <w:jc w:val="center"/>
            </w:pPr>
            <w:r w:rsidRPr="00A22F5F">
              <w:t>10</w:t>
            </w:r>
          </w:p>
        </w:tc>
        <w:tc>
          <w:tcPr>
            <w:tcW w:w="810" w:type="dxa"/>
            <w:shd w:val="clear" w:color="auto" w:fill="auto"/>
            <w:noWrap/>
            <w:vAlign w:val="bottom"/>
            <w:hideMark/>
          </w:tcPr>
          <w:p w:rsidR="003F7303" w:rsidRPr="00A22F5F" w:rsidRDefault="003F7303" w:rsidP="008526DC">
            <w:pPr>
              <w:pStyle w:val="TableText"/>
              <w:jc w:val="center"/>
            </w:pPr>
            <w:r w:rsidRPr="00A22F5F">
              <w:t>14</w:t>
            </w:r>
          </w:p>
        </w:tc>
        <w:tc>
          <w:tcPr>
            <w:tcW w:w="720" w:type="dxa"/>
            <w:shd w:val="clear" w:color="auto" w:fill="auto"/>
            <w:noWrap/>
            <w:vAlign w:val="bottom"/>
            <w:hideMark/>
          </w:tcPr>
          <w:p w:rsidR="003F7303" w:rsidRPr="00A22F5F" w:rsidRDefault="003F7303" w:rsidP="008526DC">
            <w:pPr>
              <w:pStyle w:val="TableText"/>
              <w:jc w:val="center"/>
            </w:pPr>
            <w:r w:rsidRPr="00A22F5F">
              <w:t>14</w:t>
            </w:r>
          </w:p>
        </w:tc>
        <w:tc>
          <w:tcPr>
            <w:tcW w:w="900" w:type="dxa"/>
            <w:shd w:val="clear" w:color="auto" w:fill="auto"/>
            <w:noWrap/>
            <w:vAlign w:val="bottom"/>
            <w:hideMark/>
          </w:tcPr>
          <w:p w:rsidR="003F7303" w:rsidRPr="00A22F5F" w:rsidRDefault="003F7303" w:rsidP="008526DC">
            <w:pPr>
              <w:pStyle w:val="TableText"/>
              <w:jc w:val="center"/>
            </w:pPr>
            <w:r w:rsidRPr="00A22F5F">
              <w:t>12</w:t>
            </w:r>
          </w:p>
        </w:tc>
        <w:tc>
          <w:tcPr>
            <w:tcW w:w="1170" w:type="dxa"/>
            <w:shd w:val="clear" w:color="auto" w:fill="auto"/>
            <w:noWrap/>
            <w:vAlign w:val="bottom"/>
            <w:hideMark/>
          </w:tcPr>
          <w:p w:rsidR="003F7303" w:rsidRPr="00A22F5F" w:rsidRDefault="003F7303" w:rsidP="008526DC">
            <w:pPr>
              <w:pStyle w:val="TableText"/>
              <w:jc w:val="center"/>
            </w:pPr>
            <w:r w:rsidRPr="00A22F5F">
              <w:t>12</w:t>
            </w:r>
          </w:p>
        </w:tc>
      </w:tr>
      <w:tr w:rsidR="003F7303" w:rsidRPr="00BA755A" w:rsidTr="008526DC">
        <w:trPr>
          <w:trHeight w:val="300"/>
        </w:trPr>
        <w:tc>
          <w:tcPr>
            <w:tcW w:w="1080" w:type="dxa"/>
            <w:vMerge/>
            <w:vAlign w:val="center"/>
            <w:hideMark/>
          </w:tcPr>
          <w:p w:rsidR="003F7303" w:rsidRPr="00BA755A" w:rsidRDefault="003F7303" w:rsidP="008526DC">
            <w:pPr>
              <w:pStyle w:val="TableText"/>
              <w:keepNext/>
            </w:pPr>
          </w:p>
        </w:tc>
        <w:tc>
          <w:tcPr>
            <w:tcW w:w="2400" w:type="dxa"/>
            <w:shd w:val="clear" w:color="auto" w:fill="auto"/>
            <w:noWrap/>
            <w:vAlign w:val="bottom"/>
            <w:hideMark/>
          </w:tcPr>
          <w:p w:rsidR="003F7303" w:rsidRPr="00BA755A" w:rsidRDefault="003F7303" w:rsidP="008526DC">
            <w:pPr>
              <w:pStyle w:val="TableText"/>
              <w:keepNext/>
            </w:pPr>
            <w:r w:rsidRPr="00BA755A">
              <w:t>May Monthly Peak</w:t>
            </w:r>
          </w:p>
        </w:tc>
        <w:tc>
          <w:tcPr>
            <w:tcW w:w="853" w:type="dxa"/>
            <w:shd w:val="clear" w:color="auto" w:fill="auto"/>
            <w:noWrap/>
            <w:vAlign w:val="bottom"/>
            <w:hideMark/>
          </w:tcPr>
          <w:p w:rsidR="003F7303" w:rsidRPr="00A22F5F" w:rsidRDefault="003F7303" w:rsidP="008526DC">
            <w:pPr>
              <w:pStyle w:val="TableText"/>
              <w:jc w:val="center"/>
            </w:pPr>
            <w:r w:rsidRPr="00A22F5F">
              <w:t>4</w:t>
            </w:r>
          </w:p>
        </w:tc>
        <w:tc>
          <w:tcPr>
            <w:tcW w:w="900" w:type="dxa"/>
            <w:shd w:val="clear" w:color="auto" w:fill="auto"/>
            <w:noWrap/>
            <w:vAlign w:val="bottom"/>
            <w:hideMark/>
          </w:tcPr>
          <w:p w:rsidR="003F7303" w:rsidRPr="00A22F5F" w:rsidRDefault="003F7303" w:rsidP="008526DC">
            <w:pPr>
              <w:pStyle w:val="TableText"/>
              <w:jc w:val="center"/>
            </w:pPr>
            <w:r w:rsidRPr="00A22F5F">
              <w:t>4</w:t>
            </w:r>
          </w:p>
        </w:tc>
        <w:tc>
          <w:tcPr>
            <w:tcW w:w="810" w:type="dxa"/>
            <w:shd w:val="clear" w:color="auto" w:fill="auto"/>
            <w:noWrap/>
            <w:vAlign w:val="bottom"/>
            <w:hideMark/>
          </w:tcPr>
          <w:p w:rsidR="003F7303" w:rsidRPr="00A22F5F" w:rsidRDefault="003F7303" w:rsidP="008526DC">
            <w:pPr>
              <w:pStyle w:val="TableText"/>
              <w:jc w:val="center"/>
            </w:pPr>
            <w:r w:rsidRPr="00A22F5F">
              <w:t>6</w:t>
            </w:r>
          </w:p>
        </w:tc>
        <w:tc>
          <w:tcPr>
            <w:tcW w:w="720" w:type="dxa"/>
            <w:shd w:val="clear" w:color="auto" w:fill="auto"/>
            <w:noWrap/>
            <w:vAlign w:val="bottom"/>
            <w:hideMark/>
          </w:tcPr>
          <w:p w:rsidR="003F7303" w:rsidRPr="00A22F5F" w:rsidRDefault="003F7303" w:rsidP="008526DC">
            <w:pPr>
              <w:pStyle w:val="TableText"/>
              <w:jc w:val="center"/>
            </w:pPr>
            <w:r w:rsidRPr="00A22F5F">
              <w:t>6</w:t>
            </w:r>
          </w:p>
        </w:tc>
        <w:tc>
          <w:tcPr>
            <w:tcW w:w="900" w:type="dxa"/>
            <w:shd w:val="clear" w:color="auto" w:fill="auto"/>
            <w:noWrap/>
            <w:vAlign w:val="bottom"/>
            <w:hideMark/>
          </w:tcPr>
          <w:p w:rsidR="003F7303" w:rsidRPr="00A22F5F" w:rsidRDefault="003F7303" w:rsidP="008526DC">
            <w:pPr>
              <w:pStyle w:val="TableText"/>
              <w:jc w:val="center"/>
            </w:pPr>
            <w:r w:rsidRPr="00A22F5F">
              <w:t>5</w:t>
            </w:r>
          </w:p>
        </w:tc>
        <w:tc>
          <w:tcPr>
            <w:tcW w:w="1170" w:type="dxa"/>
            <w:shd w:val="clear" w:color="auto" w:fill="auto"/>
            <w:noWrap/>
            <w:vAlign w:val="bottom"/>
            <w:hideMark/>
          </w:tcPr>
          <w:p w:rsidR="003F7303" w:rsidRPr="00A22F5F" w:rsidRDefault="003F7303" w:rsidP="008526DC">
            <w:pPr>
              <w:pStyle w:val="TableText"/>
              <w:jc w:val="center"/>
            </w:pPr>
            <w:r w:rsidRPr="00A22F5F">
              <w:t>5</w:t>
            </w:r>
          </w:p>
        </w:tc>
      </w:tr>
      <w:tr w:rsidR="003F7303" w:rsidRPr="00BA755A" w:rsidTr="008526DC">
        <w:trPr>
          <w:trHeight w:val="300"/>
        </w:trPr>
        <w:tc>
          <w:tcPr>
            <w:tcW w:w="1080" w:type="dxa"/>
            <w:vMerge/>
            <w:vAlign w:val="center"/>
            <w:hideMark/>
          </w:tcPr>
          <w:p w:rsidR="003F7303" w:rsidRPr="00BA755A" w:rsidRDefault="003F7303" w:rsidP="008526DC">
            <w:pPr>
              <w:pStyle w:val="TableText"/>
              <w:keepNext/>
            </w:pPr>
          </w:p>
        </w:tc>
        <w:tc>
          <w:tcPr>
            <w:tcW w:w="2400" w:type="dxa"/>
            <w:shd w:val="clear" w:color="auto" w:fill="auto"/>
            <w:noWrap/>
            <w:vAlign w:val="bottom"/>
            <w:hideMark/>
          </w:tcPr>
          <w:p w:rsidR="003F7303" w:rsidRPr="00BA755A" w:rsidRDefault="003F7303" w:rsidP="008526DC">
            <w:pPr>
              <w:pStyle w:val="TableText"/>
              <w:keepNext/>
            </w:pPr>
            <w:r w:rsidRPr="00BA755A">
              <w:t>June Monthly Peak</w:t>
            </w:r>
          </w:p>
        </w:tc>
        <w:tc>
          <w:tcPr>
            <w:tcW w:w="853" w:type="dxa"/>
            <w:shd w:val="clear" w:color="auto" w:fill="auto"/>
            <w:noWrap/>
            <w:vAlign w:val="bottom"/>
            <w:hideMark/>
          </w:tcPr>
          <w:p w:rsidR="003F7303" w:rsidRPr="00A22F5F" w:rsidRDefault="003F7303" w:rsidP="008526DC">
            <w:pPr>
              <w:pStyle w:val="TableText"/>
              <w:jc w:val="center"/>
            </w:pPr>
            <w:r w:rsidRPr="00A22F5F">
              <w:t>2</w:t>
            </w:r>
          </w:p>
        </w:tc>
        <w:tc>
          <w:tcPr>
            <w:tcW w:w="900" w:type="dxa"/>
            <w:shd w:val="clear" w:color="auto" w:fill="auto"/>
            <w:noWrap/>
            <w:vAlign w:val="bottom"/>
            <w:hideMark/>
          </w:tcPr>
          <w:p w:rsidR="003F7303" w:rsidRPr="00A22F5F" w:rsidRDefault="003F7303" w:rsidP="008526DC">
            <w:pPr>
              <w:pStyle w:val="TableText"/>
              <w:jc w:val="center"/>
            </w:pPr>
            <w:r w:rsidRPr="00A22F5F">
              <w:t>2</w:t>
            </w:r>
          </w:p>
        </w:tc>
        <w:tc>
          <w:tcPr>
            <w:tcW w:w="810" w:type="dxa"/>
            <w:shd w:val="clear" w:color="auto" w:fill="auto"/>
            <w:noWrap/>
            <w:vAlign w:val="bottom"/>
            <w:hideMark/>
          </w:tcPr>
          <w:p w:rsidR="003F7303" w:rsidRPr="00A22F5F" w:rsidRDefault="003F7303" w:rsidP="008526DC">
            <w:pPr>
              <w:pStyle w:val="TableText"/>
              <w:jc w:val="center"/>
            </w:pPr>
            <w:r w:rsidRPr="00A22F5F">
              <w:t>3</w:t>
            </w:r>
          </w:p>
        </w:tc>
        <w:tc>
          <w:tcPr>
            <w:tcW w:w="720" w:type="dxa"/>
            <w:shd w:val="clear" w:color="auto" w:fill="auto"/>
            <w:noWrap/>
            <w:vAlign w:val="bottom"/>
            <w:hideMark/>
          </w:tcPr>
          <w:p w:rsidR="003F7303" w:rsidRPr="00A22F5F" w:rsidRDefault="003F7303" w:rsidP="008526DC">
            <w:pPr>
              <w:pStyle w:val="TableText"/>
              <w:jc w:val="center"/>
            </w:pPr>
            <w:r w:rsidRPr="00A22F5F">
              <w:t>3</w:t>
            </w:r>
          </w:p>
        </w:tc>
        <w:tc>
          <w:tcPr>
            <w:tcW w:w="900" w:type="dxa"/>
            <w:shd w:val="clear" w:color="auto" w:fill="auto"/>
            <w:noWrap/>
            <w:vAlign w:val="bottom"/>
            <w:hideMark/>
          </w:tcPr>
          <w:p w:rsidR="003F7303" w:rsidRPr="00A22F5F" w:rsidRDefault="003F7303" w:rsidP="008526DC">
            <w:pPr>
              <w:pStyle w:val="TableText"/>
              <w:jc w:val="center"/>
            </w:pPr>
            <w:r w:rsidRPr="00A22F5F">
              <w:t>3</w:t>
            </w:r>
          </w:p>
        </w:tc>
        <w:tc>
          <w:tcPr>
            <w:tcW w:w="1170" w:type="dxa"/>
            <w:shd w:val="clear" w:color="auto" w:fill="auto"/>
            <w:noWrap/>
            <w:vAlign w:val="bottom"/>
            <w:hideMark/>
          </w:tcPr>
          <w:p w:rsidR="003F7303" w:rsidRPr="00A22F5F" w:rsidRDefault="003F7303" w:rsidP="008526DC">
            <w:pPr>
              <w:pStyle w:val="TableText"/>
              <w:jc w:val="center"/>
            </w:pPr>
            <w:r w:rsidRPr="00A22F5F">
              <w:t>3</w:t>
            </w:r>
          </w:p>
        </w:tc>
      </w:tr>
      <w:tr w:rsidR="003F7303" w:rsidRPr="00BA755A" w:rsidTr="008526DC">
        <w:trPr>
          <w:trHeight w:val="300"/>
        </w:trPr>
        <w:tc>
          <w:tcPr>
            <w:tcW w:w="1080" w:type="dxa"/>
            <w:vMerge/>
            <w:vAlign w:val="center"/>
            <w:hideMark/>
          </w:tcPr>
          <w:p w:rsidR="003F7303" w:rsidRPr="00BA755A" w:rsidRDefault="003F7303" w:rsidP="008526DC">
            <w:pPr>
              <w:pStyle w:val="TableText"/>
              <w:keepNext/>
            </w:pPr>
          </w:p>
        </w:tc>
        <w:tc>
          <w:tcPr>
            <w:tcW w:w="2400" w:type="dxa"/>
            <w:shd w:val="clear" w:color="auto" w:fill="auto"/>
            <w:noWrap/>
            <w:vAlign w:val="bottom"/>
            <w:hideMark/>
          </w:tcPr>
          <w:p w:rsidR="003F7303" w:rsidRPr="00BA755A" w:rsidRDefault="003F7303" w:rsidP="008526DC">
            <w:pPr>
              <w:pStyle w:val="TableText"/>
              <w:keepNext/>
            </w:pPr>
            <w:r w:rsidRPr="00BA755A">
              <w:t>July Monthly Peak</w:t>
            </w:r>
          </w:p>
        </w:tc>
        <w:tc>
          <w:tcPr>
            <w:tcW w:w="853" w:type="dxa"/>
            <w:shd w:val="clear" w:color="auto" w:fill="auto"/>
            <w:noWrap/>
            <w:vAlign w:val="bottom"/>
            <w:hideMark/>
          </w:tcPr>
          <w:p w:rsidR="003F7303" w:rsidRPr="00A22F5F" w:rsidRDefault="003F7303" w:rsidP="008526DC">
            <w:pPr>
              <w:pStyle w:val="TableText"/>
              <w:jc w:val="center"/>
            </w:pPr>
            <w:r w:rsidRPr="00A22F5F">
              <w:t>10</w:t>
            </w:r>
          </w:p>
        </w:tc>
        <w:tc>
          <w:tcPr>
            <w:tcW w:w="900" w:type="dxa"/>
            <w:shd w:val="clear" w:color="auto" w:fill="auto"/>
            <w:noWrap/>
            <w:vAlign w:val="bottom"/>
            <w:hideMark/>
          </w:tcPr>
          <w:p w:rsidR="003F7303" w:rsidRPr="00A22F5F" w:rsidRDefault="003F7303" w:rsidP="008526DC">
            <w:pPr>
              <w:pStyle w:val="TableText"/>
              <w:jc w:val="center"/>
            </w:pPr>
            <w:r w:rsidRPr="00A22F5F">
              <w:t>10</w:t>
            </w:r>
          </w:p>
        </w:tc>
        <w:tc>
          <w:tcPr>
            <w:tcW w:w="810" w:type="dxa"/>
            <w:shd w:val="clear" w:color="auto" w:fill="auto"/>
            <w:noWrap/>
            <w:vAlign w:val="bottom"/>
            <w:hideMark/>
          </w:tcPr>
          <w:p w:rsidR="003F7303" w:rsidRPr="00A22F5F" w:rsidRDefault="003F7303" w:rsidP="008526DC">
            <w:pPr>
              <w:pStyle w:val="TableText"/>
              <w:jc w:val="center"/>
            </w:pPr>
            <w:r w:rsidRPr="00A22F5F">
              <w:t>14</w:t>
            </w:r>
          </w:p>
        </w:tc>
        <w:tc>
          <w:tcPr>
            <w:tcW w:w="720" w:type="dxa"/>
            <w:shd w:val="clear" w:color="auto" w:fill="auto"/>
            <w:noWrap/>
            <w:vAlign w:val="bottom"/>
            <w:hideMark/>
          </w:tcPr>
          <w:p w:rsidR="003F7303" w:rsidRPr="00A22F5F" w:rsidRDefault="003F7303" w:rsidP="008526DC">
            <w:pPr>
              <w:pStyle w:val="TableText"/>
              <w:jc w:val="center"/>
            </w:pPr>
            <w:r w:rsidRPr="00A22F5F">
              <w:t>14</w:t>
            </w:r>
          </w:p>
        </w:tc>
        <w:tc>
          <w:tcPr>
            <w:tcW w:w="900" w:type="dxa"/>
            <w:shd w:val="clear" w:color="auto" w:fill="auto"/>
            <w:noWrap/>
            <w:vAlign w:val="bottom"/>
            <w:hideMark/>
          </w:tcPr>
          <w:p w:rsidR="003F7303" w:rsidRPr="00A22F5F" w:rsidRDefault="003F7303" w:rsidP="008526DC">
            <w:pPr>
              <w:pStyle w:val="TableText"/>
              <w:jc w:val="center"/>
            </w:pPr>
            <w:r w:rsidRPr="00A22F5F">
              <w:t>12</w:t>
            </w:r>
          </w:p>
        </w:tc>
        <w:tc>
          <w:tcPr>
            <w:tcW w:w="1170" w:type="dxa"/>
            <w:shd w:val="clear" w:color="auto" w:fill="auto"/>
            <w:noWrap/>
            <w:vAlign w:val="bottom"/>
            <w:hideMark/>
          </w:tcPr>
          <w:p w:rsidR="003F7303" w:rsidRPr="00A22F5F" w:rsidRDefault="003F7303" w:rsidP="008526DC">
            <w:pPr>
              <w:pStyle w:val="TableText"/>
              <w:jc w:val="center"/>
            </w:pPr>
            <w:r w:rsidRPr="00A22F5F">
              <w:t>12</w:t>
            </w:r>
          </w:p>
        </w:tc>
      </w:tr>
      <w:tr w:rsidR="003F7303" w:rsidRPr="00BA755A" w:rsidTr="008526DC">
        <w:trPr>
          <w:trHeight w:val="300"/>
        </w:trPr>
        <w:tc>
          <w:tcPr>
            <w:tcW w:w="1080" w:type="dxa"/>
            <w:vMerge/>
            <w:vAlign w:val="center"/>
            <w:hideMark/>
          </w:tcPr>
          <w:p w:rsidR="003F7303" w:rsidRPr="00BA755A" w:rsidRDefault="003F7303" w:rsidP="008526DC">
            <w:pPr>
              <w:pStyle w:val="TableText"/>
              <w:keepNext/>
            </w:pPr>
          </w:p>
        </w:tc>
        <w:tc>
          <w:tcPr>
            <w:tcW w:w="2400" w:type="dxa"/>
            <w:shd w:val="clear" w:color="auto" w:fill="auto"/>
            <w:noWrap/>
            <w:vAlign w:val="bottom"/>
            <w:hideMark/>
          </w:tcPr>
          <w:p w:rsidR="003F7303" w:rsidRPr="00BA755A" w:rsidRDefault="003F7303" w:rsidP="008526DC">
            <w:pPr>
              <w:pStyle w:val="TableText"/>
              <w:keepNext/>
            </w:pPr>
            <w:r w:rsidRPr="00BA755A">
              <w:t>August Monthly Peak</w:t>
            </w:r>
          </w:p>
        </w:tc>
        <w:tc>
          <w:tcPr>
            <w:tcW w:w="853" w:type="dxa"/>
            <w:shd w:val="clear" w:color="auto" w:fill="auto"/>
            <w:noWrap/>
            <w:vAlign w:val="bottom"/>
            <w:hideMark/>
          </w:tcPr>
          <w:p w:rsidR="003F7303" w:rsidRPr="00A22F5F" w:rsidRDefault="003F7303" w:rsidP="008526DC">
            <w:pPr>
              <w:pStyle w:val="TableText"/>
              <w:jc w:val="center"/>
            </w:pPr>
            <w:r w:rsidRPr="00A22F5F">
              <w:t>9</w:t>
            </w:r>
          </w:p>
        </w:tc>
        <w:tc>
          <w:tcPr>
            <w:tcW w:w="900" w:type="dxa"/>
            <w:shd w:val="clear" w:color="auto" w:fill="auto"/>
            <w:noWrap/>
            <w:vAlign w:val="bottom"/>
            <w:hideMark/>
          </w:tcPr>
          <w:p w:rsidR="003F7303" w:rsidRPr="00A22F5F" w:rsidRDefault="003F7303" w:rsidP="008526DC">
            <w:pPr>
              <w:pStyle w:val="TableText"/>
              <w:jc w:val="center"/>
            </w:pPr>
            <w:r w:rsidRPr="00A22F5F">
              <w:t>9</w:t>
            </w:r>
          </w:p>
        </w:tc>
        <w:tc>
          <w:tcPr>
            <w:tcW w:w="810" w:type="dxa"/>
            <w:shd w:val="clear" w:color="auto" w:fill="auto"/>
            <w:noWrap/>
            <w:vAlign w:val="bottom"/>
            <w:hideMark/>
          </w:tcPr>
          <w:p w:rsidR="003F7303" w:rsidRPr="00A22F5F" w:rsidRDefault="003F7303" w:rsidP="008526DC">
            <w:pPr>
              <w:pStyle w:val="TableText"/>
              <w:jc w:val="center"/>
            </w:pPr>
            <w:r w:rsidRPr="00A22F5F">
              <w:t>13</w:t>
            </w:r>
          </w:p>
        </w:tc>
        <w:tc>
          <w:tcPr>
            <w:tcW w:w="720" w:type="dxa"/>
            <w:shd w:val="clear" w:color="auto" w:fill="auto"/>
            <w:noWrap/>
            <w:vAlign w:val="bottom"/>
            <w:hideMark/>
          </w:tcPr>
          <w:p w:rsidR="003F7303" w:rsidRPr="00A22F5F" w:rsidRDefault="003F7303" w:rsidP="008526DC">
            <w:pPr>
              <w:pStyle w:val="TableText"/>
              <w:jc w:val="center"/>
            </w:pPr>
            <w:r w:rsidRPr="00A22F5F">
              <w:t>13</w:t>
            </w:r>
          </w:p>
        </w:tc>
        <w:tc>
          <w:tcPr>
            <w:tcW w:w="900" w:type="dxa"/>
            <w:shd w:val="clear" w:color="auto" w:fill="auto"/>
            <w:noWrap/>
            <w:vAlign w:val="bottom"/>
            <w:hideMark/>
          </w:tcPr>
          <w:p w:rsidR="003F7303" w:rsidRPr="00A22F5F" w:rsidRDefault="003F7303" w:rsidP="008526DC">
            <w:pPr>
              <w:pStyle w:val="TableText"/>
              <w:jc w:val="center"/>
            </w:pPr>
            <w:r w:rsidRPr="00A22F5F">
              <w:t>11</w:t>
            </w:r>
          </w:p>
        </w:tc>
        <w:tc>
          <w:tcPr>
            <w:tcW w:w="1170" w:type="dxa"/>
            <w:shd w:val="clear" w:color="auto" w:fill="auto"/>
            <w:noWrap/>
            <w:vAlign w:val="bottom"/>
            <w:hideMark/>
          </w:tcPr>
          <w:p w:rsidR="003F7303" w:rsidRPr="00A22F5F" w:rsidRDefault="003F7303" w:rsidP="008526DC">
            <w:pPr>
              <w:pStyle w:val="TableText"/>
              <w:jc w:val="center"/>
            </w:pPr>
            <w:r w:rsidRPr="00A22F5F">
              <w:t>11</w:t>
            </w:r>
          </w:p>
        </w:tc>
      </w:tr>
      <w:tr w:rsidR="003F7303" w:rsidRPr="00BA755A" w:rsidTr="008526DC">
        <w:trPr>
          <w:trHeight w:val="300"/>
        </w:trPr>
        <w:tc>
          <w:tcPr>
            <w:tcW w:w="1080" w:type="dxa"/>
            <w:vMerge/>
            <w:vAlign w:val="center"/>
            <w:hideMark/>
          </w:tcPr>
          <w:p w:rsidR="003F7303" w:rsidRPr="00BA755A" w:rsidRDefault="003F7303" w:rsidP="008526DC">
            <w:pPr>
              <w:pStyle w:val="TableText"/>
              <w:keepNext/>
            </w:pPr>
          </w:p>
        </w:tc>
        <w:tc>
          <w:tcPr>
            <w:tcW w:w="2400" w:type="dxa"/>
            <w:shd w:val="clear" w:color="auto" w:fill="auto"/>
            <w:noWrap/>
            <w:vAlign w:val="bottom"/>
            <w:hideMark/>
          </w:tcPr>
          <w:p w:rsidR="003F7303" w:rsidRPr="00BA755A" w:rsidRDefault="003F7303" w:rsidP="008526DC">
            <w:pPr>
              <w:pStyle w:val="TableText"/>
              <w:keepNext/>
            </w:pPr>
            <w:r w:rsidRPr="00BA755A">
              <w:t>September Monthly Peak</w:t>
            </w:r>
          </w:p>
        </w:tc>
        <w:tc>
          <w:tcPr>
            <w:tcW w:w="853" w:type="dxa"/>
            <w:shd w:val="clear" w:color="auto" w:fill="auto"/>
            <w:noWrap/>
            <w:vAlign w:val="bottom"/>
            <w:hideMark/>
          </w:tcPr>
          <w:p w:rsidR="003F7303" w:rsidRPr="00A22F5F" w:rsidRDefault="003F7303" w:rsidP="008526DC">
            <w:pPr>
              <w:pStyle w:val="TableText"/>
              <w:jc w:val="center"/>
            </w:pPr>
            <w:r w:rsidRPr="00A22F5F">
              <w:t>15</w:t>
            </w:r>
          </w:p>
        </w:tc>
        <w:tc>
          <w:tcPr>
            <w:tcW w:w="900" w:type="dxa"/>
            <w:shd w:val="clear" w:color="auto" w:fill="auto"/>
            <w:noWrap/>
            <w:vAlign w:val="bottom"/>
            <w:hideMark/>
          </w:tcPr>
          <w:p w:rsidR="003F7303" w:rsidRPr="00A22F5F" w:rsidRDefault="003F7303" w:rsidP="008526DC">
            <w:pPr>
              <w:pStyle w:val="TableText"/>
              <w:jc w:val="center"/>
            </w:pPr>
            <w:r w:rsidRPr="00A22F5F">
              <w:t>16</w:t>
            </w:r>
          </w:p>
        </w:tc>
        <w:tc>
          <w:tcPr>
            <w:tcW w:w="810" w:type="dxa"/>
            <w:shd w:val="clear" w:color="auto" w:fill="auto"/>
            <w:noWrap/>
            <w:vAlign w:val="bottom"/>
            <w:hideMark/>
          </w:tcPr>
          <w:p w:rsidR="003F7303" w:rsidRPr="00A22F5F" w:rsidRDefault="003F7303" w:rsidP="008526DC">
            <w:pPr>
              <w:pStyle w:val="TableText"/>
              <w:jc w:val="center"/>
            </w:pPr>
            <w:r w:rsidRPr="00A22F5F">
              <w:t>22</w:t>
            </w:r>
          </w:p>
        </w:tc>
        <w:tc>
          <w:tcPr>
            <w:tcW w:w="720" w:type="dxa"/>
            <w:shd w:val="clear" w:color="auto" w:fill="auto"/>
            <w:noWrap/>
            <w:vAlign w:val="bottom"/>
            <w:hideMark/>
          </w:tcPr>
          <w:p w:rsidR="003F7303" w:rsidRPr="00A22F5F" w:rsidRDefault="003F7303" w:rsidP="008526DC">
            <w:pPr>
              <w:pStyle w:val="TableText"/>
              <w:jc w:val="center"/>
            </w:pPr>
            <w:r w:rsidRPr="00A22F5F">
              <w:t>21</w:t>
            </w:r>
          </w:p>
        </w:tc>
        <w:tc>
          <w:tcPr>
            <w:tcW w:w="900" w:type="dxa"/>
            <w:shd w:val="clear" w:color="auto" w:fill="auto"/>
            <w:noWrap/>
            <w:vAlign w:val="bottom"/>
            <w:hideMark/>
          </w:tcPr>
          <w:p w:rsidR="003F7303" w:rsidRPr="00A22F5F" w:rsidRDefault="003F7303" w:rsidP="008526DC">
            <w:pPr>
              <w:pStyle w:val="TableText"/>
              <w:jc w:val="center"/>
            </w:pPr>
            <w:r w:rsidRPr="00A22F5F">
              <w:t>19</w:t>
            </w:r>
          </w:p>
        </w:tc>
        <w:tc>
          <w:tcPr>
            <w:tcW w:w="1170" w:type="dxa"/>
            <w:shd w:val="clear" w:color="auto" w:fill="auto"/>
            <w:noWrap/>
            <w:vAlign w:val="bottom"/>
            <w:hideMark/>
          </w:tcPr>
          <w:p w:rsidR="003F7303" w:rsidRPr="00A22F5F" w:rsidRDefault="003F7303" w:rsidP="008526DC">
            <w:pPr>
              <w:pStyle w:val="TableText"/>
              <w:jc w:val="center"/>
            </w:pPr>
            <w:r w:rsidRPr="00A22F5F">
              <w:t>19</w:t>
            </w:r>
          </w:p>
        </w:tc>
      </w:tr>
      <w:tr w:rsidR="003F7303" w:rsidRPr="00BA755A" w:rsidTr="008526DC">
        <w:trPr>
          <w:trHeight w:val="300"/>
        </w:trPr>
        <w:tc>
          <w:tcPr>
            <w:tcW w:w="1080" w:type="dxa"/>
            <w:vMerge/>
            <w:vAlign w:val="center"/>
            <w:hideMark/>
          </w:tcPr>
          <w:p w:rsidR="003F7303" w:rsidRPr="00BA755A" w:rsidRDefault="003F7303" w:rsidP="008526DC">
            <w:pPr>
              <w:pStyle w:val="TableText"/>
              <w:keepNext/>
            </w:pPr>
          </w:p>
        </w:tc>
        <w:tc>
          <w:tcPr>
            <w:tcW w:w="2400" w:type="dxa"/>
            <w:shd w:val="clear" w:color="auto" w:fill="auto"/>
            <w:noWrap/>
            <w:vAlign w:val="bottom"/>
            <w:hideMark/>
          </w:tcPr>
          <w:p w:rsidR="003F7303" w:rsidRPr="00BA755A" w:rsidRDefault="003F7303" w:rsidP="008526DC">
            <w:pPr>
              <w:pStyle w:val="TableText"/>
              <w:keepNext/>
            </w:pPr>
            <w:r w:rsidRPr="00BA755A">
              <w:t>October Monthly Peak</w:t>
            </w:r>
          </w:p>
        </w:tc>
        <w:tc>
          <w:tcPr>
            <w:tcW w:w="853" w:type="dxa"/>
            <w:shd w:val="clear" w:color="auto" w:fill="auto"/>
            <w:noWrap/>
            <w:vAlign w:val="bottom"/>
            <w:hideMark/>
          </w:tcPr>
          <w:p w:rsidR="003F7303" w:rsidRPr="00A22F5F" w:rsidRDefault="003F7303" w:rsidP="008526DC">
            <w:pPr>
              <w:pStyle w:val="TableText"/>
              <w:jc w:val="center"/>
            </w:pPr>
            <w:r w:rsidRPr="00A22F5F">
              <w:t>9</w:t>
            </w:r>
          </w:p>
        </w:tc>
        <w:tc>
          <w:tcPr>
            <w:tcW w:w="900" w:type="dxa"/>
            <w:shd w:val="clear" w:color="auto" w:fill="auto"/>
            <w:noWrap/>
            <w:vAlign w:val="bottom"/>
            <w:hideMark/>
          </w:tcPr>
          <w:p w:rsidR="003F7303" w:rsidRPr="00A22F5F" w:rsidRDefault="003F7303" w:rsidP="008526DC">
            <w:pPr>
              <w:pStyle w:val="TableText"/>
              <w:jc w:val="center"/>
            </w:pPr>
            <w:r w:rsidRPr="00A22F5F">
              <w:t>9</w:t>
            </w:r>
          </w:p>
        </w:tc>
        <w:tc>
          <w:tcPr>
            <w:tcW w:w="810" w:type="dxa"/>
            <w:shd w:val="clear" w:color="auto" w:fill="auto"/>
            <w:noWrap/>
            <w:vAlign w:val="bottom"/>
            <w:hideMark/>
          </w:tcPr>
          <w:p w:rsidR="003F7303" w:rsidRPr="00A22F5F" w:rsidRDefault="003F7303" w:rsidP="008526DC">
            <w:pPr>
              <w:pStyle w:val="TableText"/>
              <w:jc w:val="center"/>
            </w:pPr>
            <w:r w:rsidRPr="00A22F5F">
              <w:t>13</w:t>
            </w:r>
          </w:p>
        </w:tc>
        <w:tc>
          <w:tcPr>
            <w:tcW w:w="720" w:type="dxa"/>
            <w:shd w:val="clear" w:color="auto" w:fill="auto"/>
            <w:noWrap/>
            <w:vAlign w:val="bottom"/>
            <w:hideMark/>
          </w:tcPr>
          <w:p w:rsidR="003F7303" w:rsidRPr="00A22F5F" w:rsidRDefault="003F7303" w:rsidP="008526DC">
            <w:pPr>
              <w:pStyle w:val="TableText"/>
              <w:jc w:val="center"/>
            </w:pPr>
            <w:r w:rsidRPr="00A22F5F">
              <w:t>13</w:t>
            </w:r>
          </w:p>
        </w:tc>
        <w:tc>
          <w:tcPr>
            <w:tcW w:w="900" w:type="dxa"/>
            <w:shd w:val="clear" w:color="auto" w:fill="auto"/>
            <w:noWrap/>
            <w:vAlign w:val="bottom"/>
            <w:hideMark/>
          </w:tcPr>
          <w:p w:rsidR="003F7303" w:rsidRPr="00A22F5F" w:rsidRDefault="003F7303" w:rsidP="008526DC">
            <w:pPr>
              <w:pStyle w:val="TableText"/>
              <w:jc w:val="center"/>
            </w:pPr>
            <w:r w:rsidRPr="00A22F5F">
              <w:t>11</w:t>
            </w:r>
          </w:p>
        </w:tc>
        <w:tc>
          <w:tcPr>
            <w:tcW w:w="1170" w:type="dxa"/>
            <w:shd w:val="clear" w:color="auto" w:fill="auto"/>
            <w:noWrap/>
            <w:vAlign w:val="bottom"/>
            <w:hideMark/>
          </w:tcPr>
          <w:p w:rsidR="003F7303" w:rsidRPr="00A22F5F" w:rsidRDefault="003F7303" w:rsidP="008526DC">
            <w:pPr>
              <w:pStyle w:val="TableText"/>
              <w:jc w:val="center"/>
            </w:pPr>
            <w:r w:rsidRPr="00A22F5F">
              <w:t>11</w:t>
            </w:r>
          </w:p>
        </w:tc>
      </w:tr>
      <w:tr w:rsidR="003F7303" w:rsidRPr="00BA755A" w:rsidTr="008526DC">
        <w:trPr>
          <w:trHeight w:val="300"/>
        </w:trPr>
        <w:tc>
          <w:tcPr>
            <w:tcW w:w="1080" w:type="dxa"/>
            <w:vMerge w:val="restart"/>
            <w:shd w:val="clear" w:color="auto" w:fill="auto"/>
            <w:noWrap/>
            <w:vAlign w:val="center"/>
            <w:hideMark/>
          </w:tcPr>
          <w:p w:rsidR="003F7303" w:rsidRPr="00BA755A" w:rsidRDefault="003F7303" w:rsidP="008526DC">
            <w:pPr>
              <w:pStyle w:val="TableText"/>
              <w:keepNext/>
            </w:pPr>
            <w:r w:rsidRPr="00BA755A">
              <w:t>1-in-10</w:t>
            </w:r>
          </w:p>
        </w:tc>
        <w:tc>
          <w:tcPr>
            <w:tcW w:w="2400" w:type="dxa"/>
            <w:shd w:val="clear" w:color="auto" w:fill="auto"/>
            <w:noWrap/>
            <w:vAlign w:val="bottom"/>
            <w:hideMark/>
          </w:tcPr>
          <w:p w:rsidR="003F7303" w:rsidRPr="00BA755A" w:rsidRDefault="003F7303" w:rsidP="008526DC">
            <w:pPr>
              <w:pStyle w:val="TableText"/>
              <w:keepNext/>
            </w:pPr>
            <w:r w:rsidRPr="00BA755A">
              <w:rPr>
                <w:iCs/>
              </w:rPr>
              <w:t>Typical Event Day</w:t>
            </w:r>
          </w:p>
        </w:tc>
        <w:tc>
          <w:tcPr>
            <w:tcW w:w="853" w:type="dxa"/>
            <w:shd w:val="clear" w:color="auto" w:fill="auto"/>
            <w:noWrap/>
            <w:vAlign w:val="bottom"/>
            <w:hideMark/>
          </w:tcPr>
          <w:p w:rsidR="003F7303" w:rsidRPr="00A22F5F" w:rsidRDefault="003F7303" w:rsidP="008526DC">
            <w:pPr>
              <w:pStyle w:val="TableText"/>
              <w:jc w:val="center"/>
            </w:pPr>
            <w:r w:rsidRPr="00A22F5F">
              <w:t>11</w:t>
            </w:r>
          </w:p>
        </w:tc>
        <w:tc>
          <w:tcPr>
            <w:tcW w:w="900" w:type="dxa"/>
            <w:shd w:val="clear" w:color="auto" w:fill="auto"/>
            <w:noWrap/>
            <w:vAlign w:val="bottom"/>
            <w:hideMark/>
          </w:tcPr>
          <w:p w:rsidR="003F7303" w:rsidRPr="00A22F5F" w:rsidRDefault="003F7303" w:rsidP="008526DC">
            <w:pPr>
              <w:pStyle w:val="TableText"/>
              <w:jc w:val="center"/>
            </w:pPr>
            <w:r w:rsidRPr="00A22F5F">
              <w:t>11</w:t>
            </w:r>
          </w:p>
        </w:tc>
        <w:tc>
          <w:tcPr>
            <w:tcW w:w="810" w:type="dxa"/>
            <w:shd w:val="clear" w:color="auto" w:fill="auto"/>
            <w:noWrap/>
            <w:vAlign w:val="bottom"/>
            <w:hideMark/>
          </w:tcPr>
          <w:p w:rsidR="003F7303" w:rsidRPr="00A22F5F" w:rsidRDefault="003F7303" w:rsidP="008526DC">
            <w:pPr>
              <w:pStyle w:val="TableText"/>
              <w:jc w:val="center"/>
            </w:pPr>
            <w:r w:rsidRPr="00A22F5F">
              <w:t>17</w:t>
            </w:r>
          </w:p>
        </w:tc>
        <w:tc>
          <w:tcPr>
            <w:tcW w:w="720" w:type="dxa"/>
            <w:shd w:val="clear" w:color="auto" w:fill="auto"/>
            <w:noWrap/>
            <w:vAlign w:val="bottom"/>
            <w:hideMark/>
          </w:tcPr>
          <w:p w:rsidR="003F7303" w:rsidRPr="00A22F5F" w:rsidRDefault="003F7303" w:rsidP="008526DC">
            <w:pPr>
              <w:pStyle w:val="TableText"/>
              <w:jc w:val="center"/>
            </w:pPr>
            <w:r w:rsidRPr="00A22F5F">
              <w:t>16</w:t>
            </w:r>
          </w:p>
        </w:tc>
        <w:tc>
          <w:tcPr>
            <w:tcW w:w="900" w:type="dxa"/>
            <w:shd w:val="clear" w:color="auto" w:fill="auto"/>
            <w:noWrap/>
            <w:vAlign w:val="bottom"/>
            <w:hideMark/>
          </w:tcPr>
          <w:p w:rsidR="003F7303" w:rsidRPr="00A22F5F" w:rsidRDefault="003F7303" w:rsidP="008526DC">
            <w:pPr>
              <w:pStyle w:val="TableText"/>
              <w:jc w:val="center"/>
            </w:pPr>
            <w:r w:rsidRPr="00A22F5F">
              <w:t>14</w:t>
            </w:r>
          </w:p>
        </w:tc>
        <w:tc>
          <w:tcPr>
            <w:tcW w:w="1170" w:type="dxa"/>
            <w:shd w:val="clear" w:color="auto" w:fill="auto"/>
            <w:noWrap/>
            <w:vAlign w:val="bottom"/>
            <w:hideMark/>
          </w:tcPr>
          <w:p w:rsidR="003F7303" w:rsidRPr="00A22F5F" w:rsidRDefault="003F7303" w:rsidP="008526DC">
            <w:pPr>
              <w:pStyle w:val="TableText"/>
              <w:jc w:val="center"/>
            </w:pPr>
            <w:r w:rsidRPr="00A22F5F">
              <w:t>14</w:t>
            </w:r>
          </w:p>
        </w:tc>
      </w:tr>
      <w:tr w:rsidR="003F7303" w:rsidRPr="00BA755A" w:rsidTr="008526DC">
        <w:trPr>
          <w:trHeight w:val="300"/>
        </w:trPr>
        <w:tc>
          <w:tcPr>
            <w:tcW w:w="1080" w:type="dxa"/>
            <w:vMerge/>
            <w:vAlign w:val="center"/>
            <w:hideMark/>
          </w:tcPr>
          <w:p w:rsidR="003F7303" w:rsidRPr="00BA755A" w:rsidRDefault="003F7303" w:rsidP="008526DC">
            <w:pPr>
              <w:pStyle w:val="TableText"/>
              <w:keepNext/>
            </w:pPr>
          </w:p>
        </w:tc>
        <w:tc>
          <w:tcPr>
            <w:tcW w:w="2400" w:type="dxa"/>
            <w:shd w:val="clear" w:color="auto" w:fill="auto"/>
            <w:noWrap/>
            <w:vAlign w:val="bottom"/>
            <w:hideMark/>
          </w:tcPr>
          <w:p w:rsidR="003F7303" w:rsidRPr="00BA755A" w:rsidRDefault="003F7303" w:rsidP="008526DC">
            <w:pPr>
              <w:pStyle w:val="TableText"/>
              <w:keepNext/>
            </w:pPr>
            <w:r w:rsidRPr="00BA755A">
              <w:t>May Monthly Peak</w:t>
            </w:r>
          </w:p>
        </w:tc>
        <w:tc>
          <w:tcPr>
            <w:tcW w:w="853" w:type="dxa"/>
            <w:shd w:val="clear" w:color="auto" w:fill="auto"/>
            <w:noWrap/>
            <w:vAlign w:val="bottom"/>
            <w:hideMark/>
          </w:tcPr>
          <w:p w:rsidR="003F7303" w:rsidRPr="00A22F5F" w:rsidRDefault="003F7303" w:rsidP="008526DC">
            <w:pPr>
              <w:pStyle w:val="TableText"/>
              <w:jc w:val="center"/>
            </w:pPr>
            <w:r w:rsidRPr="00A22F5F">
              <w:t>8</w:t>
            </w:r>
          </w:p>
        </w:tc>
        <w:tc>
          <w:tcPr>
            <w:tcW w:w="900" w:type="dxa"/>
            <w:shd w:val="clear" w:color="auto" w:fill="auto"/>
            <w:noWrap/>
            <w:vAlign w:val="bottom"/>
            <w:hideMark/>
          </w:tcPr>
          <w:p w:rsidR="003F7303" w:rsidRPr="00A22F5F" w:rsidRDefault="003F7303" w:rsidP="008526DC">
            <w:pPr>
              <w:pStyle w:val="TableText"/>
              <w:jc w:val="center"/>
            </w:pPr>
            <w:r w:rsidRPr="00A22F5F">
              <w:t>9</w:t>
            </w:r>
          </w:p>
        </w:tc>
        <w:tc>
          <w:tcPr>
            <w:tcW w:w="810" w:type="dxa"/>
            <w:shd w:val="clear" w:color="auto" w:fill="auto"/>
            <w:noWrap/>
            <w:vAlign w:val="bottom"/>
            <w:hideMark/>
          </w:tcPr>
          <w:p w:rsidR="003F7303" w:rsidRPr="00A22F5F" w:rsidRDefault="003F7303" w:rsidP="008526DC">
            <w:pPr>
              <w:pStyle w:val="TableText"/>
              <w:jc w:val="center"/>
            </w:pPr>
            <w:r w:rsidRPr="00A22F5F">
              <w:t>13</w:t>
            </w:r>
          </w:p>
        </w:tc>
        <w:tc>
          <w:tcPr>
            <w:tcW w:w="720" w:type="dxa"/>
            <w:shd w:val="clear" w:color="auto" w:fill="auto"/>
            <w:noWrap/>
            <w:vAlign w:val="bottom"/>
            <w:hideMark/>
          </w:tcPr>
          <w:p w:rsidR="003F7303" w:rsidRPr="00A22F5F" w:rsidRDefault="003F7303" w:rsidP="008526DC">
            <w:pPr>
              <w:pStyle w:val="TableText"/>
              <w:jc w:val="center"/>
            </w:pPr>
            <w:r w:rsidRPr="00A22F5F">
              <w:t>14</w:t>
            </w:r>
          </w:p>
        </w:tc>
        <w:tc>
          <w:tcPr>
            <w:tcW w:w="900" w:type="dxa"/>
            <w:shd w:val="clear" w:color="auto" w:fill="auto"/>
            <w:noWrap/>
            <w:vAlign w:val="bottom"/>
            <w:hideMark/>
          </w:tcPr>
          <w:p w:rsidR="003F7303" w:rsidRPr="00A22F5F" w:rsidRDefault="003F7303" w:rsidP="008526DC">
            <w:pPr>
              <w:pStyle w:val="TableText"/>
              <w:jc w:val="center"/>
            </w:pPr>
            <w:r w:rsidRPr="00A22F5F">
              <w:t>12</w:t>
            </w:r>
          </w:p>
        </w:tc>
        <w:tc>
          <w:tcPr>
            <w:tcW w:w="1170" w:type="dxa"/>
            <w:shd w:val="clear" w:color="auto" w:fill="auto"/>
            <w:noWrap/>
            <w:vAlign w:val="bottom"/>
            <w:hideMark/>
          </w:tcPr>
          <w:p w:rsidR="003F7303" w:rsidRPr="00A22F5F" w:rsidRDefault="003F7303" w:rsidP="008526DC">
            <w:pPr>
              <w:pStyle w:val="TableText"/>
              <w:jc w:val="center"/>
            </w:pPr>
            <w:r w:rsidRPr="00A22F5F">
              <w:t>11</w:t>
            </w:r>
          </w:p>
        </w:tc>
      </w:tr>
      <w:tr w:rsidR="003F7303" w:rsidRPr="00BA755A" w:rsidTr="008526DC">
        <w:trPr>
          <w:trHeight w:val="300"/>
        </w:trPr>
        <w:tc>
          <w:tcPr>
            <w:tcW w:w="1080" w:type="dxa"/>
            <w:vMerge/>
            <w:vAlign w:val="center"/>
            <w:hideMark/>
          </w:tcPr>
          <w:p w:rsidR="003F7303" w:rsidRPr="00BA755A" w:rsidRDefault="003F7303" w:rsidP="008526DC">
            <w:pPr>
              <w:pStyle w:val="TableText"/>
              <w:keepNext/>
            </w:pPr>
          </w:p>
        </w:tc>
        <w:tc>
          <w:tcPr>
            <w:tcW w:w="2400" w:type="dxa"/>
            <w:shd w:val="clear" w:color="auto" w:fill="auto"/>
            <w:noWrap/>
            <w:vAlign w:val="bottom"/>
            <w:hideMark/>
          </w:tcPr>
          <w:p w:rsidR="003F7303" w:rsidRPr="00BA755A" w:rsidRDefault="003F7303" w:rsidP="008526DC">
            <w:pPr>
              <w:pStyle w:val="TableText"/>
              <w:keepNext/>
            </w:pPr>
            <w:r w:rsidRPr="00BA755A">
              <w:t>June Monthly Peak</w:t>
            </w:r>
          </w:p>
        </w:tc>
        <w:tc>
          <w:tcPr>
            <w:tcW w:w="853" w:type="dxa"/>
            <w:shd w:val="clear" w:color="auto" w:fill="auto"/>
            <w:noWrap/>
            <w:vAlign w:val="bottom"/>
            <w:hideMark/>
          </w:tcPr>
          <w:p w:rsidR="003F7303" w:rsidRPr="00A22F5F" w:rsidRDefault="003F7303" w:rsidP="008526DC">
            <w:pPr>
              <w:pStyle w:val="TableText"/>
              <w:jc w:val="center"/>
            </w:pPr>
            <w:r w:rsidRPr="00A22F5F">
              <w:t>6</w:t>
            </w:r>
          </w:p>
        </w:tc>
        <w:tc>
          <w:tcPr>
            <w:tcW w:w="900" w:type="dxa"/>
            <w:shd w:val="clear" w:color="auto" w:fill="auto"/>
            <w:noWrap/>
            <w:vAlign w:val="bottom"/>
            <w:hideMark/>
          </w:tcPr>
          <w:p w:rsidR="003F7303" w:rsidRPr="00A22F5F" w:rsidRDefault="003F7303" w:rsidP="008526DC">
            <w:pPr>
              <w:pStyle w:val="TableText"/>
              <w:jc w:val="center"/>
            </w:pPr>
            <w:r w:rsidRPr="00A22F5F">
              <w:t>7</w:t>
            </w:r>
          </w:p>
        </w:tc>
        <w:tc>
          <w:tcPr>
            <w:tcW w:w="810" w:type="dxa"/>
            <w:shd w:val="clear" w:color="auto" w:fill="auto"/>
            <w:noWrap/>
            <w:vAlign w:val="bottom"/>
            <w:hideMark/>
          </w:tcPr>
          <w:p w:rsidR="003F7303" w:rsidRPr="00A22F5F" w:rsidRDefault="003F7303" w:rsidP="008526DC">
            <w:pPr>
              <w:pStyle w:val="TableText"/>
              <w:jc w:val="center"/>
            </w:pPr>
            <w:r w:rsidRPr="00A22F5F">
              <w:t>11</w:t>
            </w:r>
          </w:p>
        </w:tc>
        <w:tc>
          <w:tcPr>
            <w:tcW w:w="720" w:type="dxa"/>
            <w:shd w:val="clear" w:color="auto" w:fill="auto"/>
            <w:noWrap/>
            <w:vAlign w:val="bottom"/>
            <w:hideMark/>
          </w:tcPr>
          <w:p w:rsidR="003F7303" w:rsidRPr="00A22F5F" w:rsidRDefault="003F7303" w:rsidP="008526DC">
            <w:pPr>
              <w:pStyle w:val="TableText"/>
              <w:jc w:val="center"/>
            </w:pPr>
            <w:r w:rsidRPr="00A22F5F">
              <w:t>13</w:t>
            </w:r>
          </w:p>
        </w:tc>
        <w:tc>
          <w:tcPr>
            <w:tcW w:w="900" w:type="dxa"/>
            <w:shd w:val="clear" w:color="auto" w:fill="auto"/>
            <w:noWrap/>
            <w:vAlign w:val="bottom"/>
            <w:hideMark/>
          </w:tcPr>
          <w:p w:rsidR="003F7303" w:rsidRPr="00A22F5F" w:rsidRDefault="003F7303" w:rsidP="008526DC">
            <w:pPr>
              <w:pStyle w:val="TableText"/>
              <w:jc w:val="center"/>
            </w:pPr>
            <w:r w:rsidRPr="00A22F5F">
              <w:t>12</w:t>
            </w:r>
          </w:p>
        </w:tc>
        <w:tc>
          <w:tcPr>
            <w:tcW w:w="1170" w:type="dxa"/>
            <w:shd w:val="clear" w:color="auto" w:fill="auto"/>
            <w:noWrap/>
            <w:vAlign w:val="bottom"/>
            <w:hideMark/>
          </w:tcPr>
          <w:p w:rsidR="003F7303" w:rsidRPr="00A22F5F" w:rsidRDefault="003F7303" w:rsidP="008526DC">
            <w:pPr>
              <w:pStyle w:val="TableText"/>
              <w:jc w:val="center"/>
            </w:pPr>
            <w:r w:rsidRPr="00A22F5F">
              <w:t>10</w:t>
            </w:r>
          </w:p>
        </w:tc>
      </w:tr>
      <w:tr w:rsidR="003F7303" w:rsidRPr="00BA755A" w:rsidTr="008526DC">
        <w:trPr>
          <w:trHeight w:val="300"/>
        </w:trPr>
        <w:tc>
          <w:tcPr>
            <w:tcW w:w="1080" w:type="dxa"/>
            <w:vMerge/>
            <w:vAlign w:val="center"/>
            <w:hideMark/>
          </w:tcPr>
          <w:p w:rsidR="003F7303" w:rsidRPr="00BA755A" w:rsidRDefault="003F7303" w:rsidP="008526DC">
            <w:pPr>
              <w:pStyle w:val="TableText"/>
              <w:keepNext/>
            </w:pPr>
          </w:p>
        </w:tc>
        <w:tc>
          <w:tcPr>
            <w:tcW w:w="2400" w:type="dxa"/>
            <w:shd w:val="clear" w:color="auto" w:fill="auto"/>
            <w:noWrap/>
            <w:vAlign w:val="bottom"/>
            <w:hideMark/>
          </w:tcPr>
          <w:p w:rsidR="003F7303" w:rsidRPr="00BA755A" w:rsidRDefault="003F7303" w:rsidP="008526DC">
            <w:pPr>
              <w:pStyle w:val="TableText"/>
              <w:keepNext/>
            </w:pPr>
            <w:r w:rsidRPr="00BA755A">
              <w:t>July Monthly Peak</w:t>
            </w:r>
          </w:p>
        </w:tc>
        <w:tc>
          <w:tcPr>
            <w:tcW w:w="853" w:type="dxa"/>
            <w:shd w:val="clear" w:color="auto" w:fill="auto"/>
            <w:noWrap/>
            <w:vAlign w:val="bottom"/>
            <w:hideMark/>
          </w:tcPr>
          <w:p w:rsidR="003F7303" w:rsidRPr="00A22F5F" w:rsidRDefault="003F7303" w:rsidP="008526DC">
            <w:pPr>
              <w:pStyle w:val="TableText"/>
              <w:jc w:val="center"/>
            </w:pPr>
            <w:r w:rsidRPr="00A22F5F">
              <w:t>12</w:t>
            </w:r>
          </w:p>
        </w:tc>
        <w:tc>
          <w:tcPr>
            <w:tcW w:w="900" w:type="dxa"/>
            <w:shd w:val="clear" w:color="auto" w:fill="auto"/>
            <w:noWrap/>
            <w:vAlign w:val="bottom"/>
            <w:hideMark/>
          </w:tcPr>
          <w:p w:rsidR="003F7303" w:rsidRPr="00A22F5F" w:rsidRDefault="003F7303" w:rsidP="008526DC">
            <w:pPr>
              <w:pStyle w:val="TableText"/>
              <w:jc w:val="center"/>
            </w:pPr>
            <w:r w:rsidRPr="00A22F5F">
              <w:t>13</w:t>
            </w:r>
          </w:p>
        </w:tc>
        <w:tc>
          <w:tcPr>
            <w:tcW w:w="810" w:type="dxa"/>
            <w:shd w:val="clear" w:color="auto" w:fill="auto"/>
            <w:noWrap/>
            <w:vAlign w:val="bottom"/>
            <w:hideMark/>
          </w:tcPr>
          <w:p w:rsidR="003F7303" w:rsidRPr="00A22F5F" w:rsidRDefault="003F7303" w:rsidP="008526DC">
            <w:pPr>
              <w:pStyle w:val="TableText"/>
              <w:jc w:val="center"/>
            </w:pPr>
            <w:r w:rsidRPr="00A22F5F">
              <w:t>18</w:t>
            </w:r>
          </w:p>
        </w:tc>
        <w:tc>
          <w:tcPr>
            <w:tcW w:w="720" w:type="dxa"/>
            <w:shd w:val="clear" w:color="auto" w:fill="auto"/>
            <w:noWrap/>
            <w:vAlign w:val="bottom"/>
            <w:hideMark/>
          </w:tcPr>
          <w:p w:rsidR="003F7303" w:rsidRPr="00A22F5F" w:rsidRDefault="003F7303" w:rsidP="008526DC">
            <w:pPr>
              <w:pStyle w:val="TableText"/>
              <w:jc w:val="center"/>
            </w:pPr>
            <w:r w:rsidRPr="00A22F5F">
              <w:t>18</w:t>
            </w:r>
          </w:p>
        </w:tc>
        <w:tc>
          <w:tcPr>
            <w:tcW w:w="900" w:type="dxa"/>
            <w:shd w:val="clear" w:color="auto" w:fill="auto"/>
            <w:noWrap/>
            <w:vAlign w:val="bottom"/>
            <w:hideMark/>
          </w:tcPr>
          <w:p w:rsidR="003F7303" w:rsidRPr="00A22F5F" w:rsidRDefault="003F7303" w:rsidP="008526DC">
            <w:pPr>
              <w:pStyle w:val="TableText"/>
              <w:jc w:val="center"/>
            </w:pPr>
            <w:r w:rsidRPr="00A22F5F">
              <w:t>15</w:t>
            </w:r>
          </w:p>
        </w:tc>
        <w:tc>
          <w:tcPr>
            <w:tcW w:w="1170" w:type="dxa"/>
            <w:shd w:val="clear" w:color="auto" w:fill="auto"/>
            <w:noWrap/>
            <w:vAlign w:val="bottom"/>
            <w:hideMark/>
          </w:tcPr>
          <w:p w:rsidR="003F7303" w:rsidRPr="00A22F5F" w:rsidRDefault="003F7303" w:rsidP="008526DC">
            <w:pPr>
              <w:pStyle w:val="TableText"/>
              <w:jc w:val="center"/>
            </w:pPr>
            <w:r w:rsidRPr="00A22F5F">
              <w:t>15</w:t>
            </w:r>
          </w:p>
        </w:tc>
      </w:tr>
      <w:tr w:rsidR="003F7303" w:rsidRPr="00BA755A" w:rsidTr="008526DC">
        <w:trPr>
          <w:trHeight w:val="300"/>
        </w:trPr>
        <w:tc>
          <w:tcPr>
            <w:tcW w:w="1080" w:type="dxa"/>
            <w:vMerge/>
            <w:vAlign w:val="center"/>
            <w:hideMark/>
          </w:tcPr>
          <w:p w:rsidR="003F7303" w:rsidRPr="00BA755A" w:rsidRDefault="003F7303" w:rsidP="008526DC">
            <w:pPr>
              <w:pStyle w:val="TableText"/>
              <w:keepNext/>
            </w:pPr>
          </w:p>
        </w:tc>
        <w:tc>
          <w:tcPr>
            <w:tcW w:w="2400" w:type="dxa"/>
            <w:shd w:val="clear" w:color="auto" w:fill="auto"/>
            <w:noWrap/>
            <w:vAlign w:val="bottom"/>
            <w:hideMark/>
          </w:tcPr>
          <w:p w:rsidR="003F7303" w:rsidRPr="00BA755A" w:rsidRDefault="003F7303" w:rsidP="008526DC">
            <w:pPr>
              <w:pStyle w:val="TableText"/>
              <w:keepNext/>
            </w:pPr>
            <w:r w:rsidRPr="00BA755A">
              <w:t>August Monthly Peak</w:t>
            </w:r>
          </w:p>
        </w:tc>
        <w:tc>
          <w:tcPr>
            <w:tcW w:w="853" w:type="dxa"/>
            <w:shd w:val="clear" w:color="auto" w:fill="auto"/>
            <w:noWrap/>
            <w:vAlign w:val="bottom"/>
            <w:hideMark/>
          </w:tcPr>
          <w:p w:rsidR="003F7303" w:rsidRPr="00A22F5F" w:rsidRDefault="003F7303" w:rsidP="008526DC">
            <w:pPr>
              <w:pStyle w:val="TableText"/>
              <w:jc w:val="center"/>
            </w:pPr>
            <w:r w:rsidRPr="00A22F5F">
              <w:t>12</w:t>
            </w:r>
          </w:p>
        </w:tc>
        <w:tc>
          <w:tcPr>
            <w:tcW w:w="900" w:type="dxa"/>
            <w:shd w:val="clear" w:color="auto" w:fill="auto"/>
            <w:noWrap/>
            <w:vAlign w:val="bottom"/>
            <w:hideMark/>
          </w:tcPr>
          <w:p w:rsidR="003F7303" w:rsidRPr="00A22F5F" w:rsidRDefault="003F7303" w:rsidP="008526DC">
            <w:pPr>
              <w:pStyle w:val="TableText"/>
              <w:jc w:val="center"/>
            </w:pPr>
            <w:r w:rsidRPr="00A22F5F">
              <w:t>11</w:t>
            </w:r>
          </w:p>
        </w:tc>
        <w:tc>
          <w:tcPr>
            <w:tcW w:w="810" w:type="dxa"/>
            <w:shd w:val="clear" w:color="auto" w:fill="auto"/>
            <w:noWrap/>
            <w:vAlign w:val="bottom"/>
            <w:hideMark/>
          </w:tcPr>
          <w:p w:rsidR="003F7303" w:rsidRPr="00A22F5F" w:rsidRDefault="003F7303" w:rsidP="008526DC">
            <w:pPr>
              <w:pStyle w:val="TableText"/>
              <w:jc w:val="center"/>
            </w:pPr>
            <w:r w:rsidRPr="00A22F5F">
              <w:t>16</w:t>
            </w:r>
          </w:p>
        </w:tc>
        <w:tc>
          <w:tcPr>
            <w:tcW w:w="720" w:type="dxa"/>
            <w:shd w:val="clear" w:color="auto" w:fill="auto"/>
            <w:noWrap/>
            <w:vAlign w:val="bottom"/>
            <w:hideMark/>
          </w:tcPr>
          <w:p w:rsidR="003F7303" w:rsidRPr="00A22F5F" w:rsidRDefault="003F7303" w:rsidP="008526DC">
            <w:pPr>
              <w:pStyle w:val="TableText"/>
              <w:jc w:val="center"/>
            </w:pPr>
            <w:r w:rsidRPr="00A22F5F">
              <w:t>16</w:t>
            </w:r>
          </w:p>
        </w:tc>
        <w:tc>
          <w:tcPr>
            <w:tcW w:w="900" w:type="dxa"/>
            <w:shd w:val="clear" w:color="auto" w:fill="auto"/>
            <w:noWrap/>
            <w:vAlign w:val="bottom"/>
            <w:hideMark/>
          </w:tcPr>
          <w:p w:rsidR="003F7303" w:rsidRPr="00A22F5F" w:rsidRDefault="003F7303" w:rsidP="008526DC">
            <w:pPr>
              <w:pStyle w:val="TableText"/>
              <w:jc w:val="center"/>
            </w:pPr>
            <w:r w:rsidRPr="00A22F5F">
              <w:t>14</w:t>
            </w:r>
          </w:p>
        </w:tc>
        <w:tc>
          <w:tcPr>
            <w:tcW w:w="1170" w:type="dxa"/>
            <w:shd w:val="clear" w:color="auto" w:fill="auto"/>
            <w:noWrap/>
            <w:vAlign w:val="bottom"/>
            <w:hideMark/>
          </w:tcPr>
          <w:p w:rsidR="003F7303" w:rsidRPr="00A22F5F" w:rsidRDefault="003F7303" w:rsidP="008526DC">
            <w:pPr>
              <w:pStyle w:val="TableText"/>
              <w:jc w:val="center"/>
            </w:pPr>
            <w:r w:rsidRPr="00A22F5F">
              <w:t>14</w:t>
            </w:r>
          </w:p>
        </w:tc>
      </w:tr>
      <w:tr w:rsidR="003F7303" w:rsidRPr="00BA755A" w:rsidTr="008526DC">
        <w:trPr>
          <w:trHeight w:val="300"/>
        </w:trPr>
        <w:tc>
          <w:tcPr>
            <w:tcW w:w="1080" w:type="dxa"/>
            <w:vMerge/>
            <w:vAlign w:val="center"/>
            <w:hideMark/>
          </w:tcPr>
          <w:p w:rsidR="003F7303" w:rsidRPr="00BA755A" w:rsidRDefault="003F7303" w:rsidP="008526DC">
            <w:pPr>
              <w:pStyle w:val="TableText"/>
              <w:keepNext/>
            </w:pPr>
          </w:p>
        </w:tc>
        <w:tc>
          <w:tcPr>
            <w:tcW w:w="2400" w:type="dxa"/>
            <w:shd w:val="clear" w:color="auto" w:fill="auto"/>
            <w:noWrap/>
            <w:vAlign w:val="bottom"/>
            <w:hideMark/>
          </w:tcPr>
          <w:p w:rsidR="003F7303" w:rsidRPr="00BA755A" w:rsidRDefault="003F7303" w:rsidP="008526DC">
            <w:pPr>
              <w:pStyle w:val="TableText"/>
              <w:keepNext/>
            </w:pPr>
            <w:r w:rsidRPr="00BA755A">
              <w:t>September Monthly Peak</w:t>
            </w:r>
          </w:p>
        </w:tc>
        <w:tc>
          <w:tcPr>
            <w:tcW w:w="853" w:type="dxa"/>
            <w:shd w:val="clear" w:color="auto" w:fill="auto"/>
            <w:noWrap/>
            <w:vAlign w:val="bottom"/>
            <w:hideMark/>
          </w:tcPr>
          <w:p w:rsidR="003F7303" w:rsidRPr="00A22F5F" w:rsidRDefault="003F7303" w:rsidP="008526DC">
            <w:pPr>
              <w:pStyle w:val="TableText"/>
              <w:jc w:val="center"/>
            </w:pPr>
            <w:r w:rsidRPr="00A22F5F">
              <w:t>19</w:t>
            </w:r>
          </w:p>
        </w:tc>
        <w:tc>
          <w:tcPr>
            <w:tcW w:w="900" w:type="dxa"/>
            <w:shd w:val="clear" w:color="auto" w:fill="auto"/>
            <w:noWrap/>
            <w:vAlign w:val="bottom"/>
            <w:hideMark/>
          </w:tcPr>
          <w:p w:rsidR="003F7303" w:rsidRPr="00A22F5F" w:rsidRDefault="003F7303" w:rsidP="008526DC">
            <w:pPr>
              <w:pStyle w:val="TableText"/>
              <w:jc w:val="center"/>
            </w:pPr>
            <w:r w:rsidRPr="00A22F5F">
              <w:t>20</w:t>
            </w:r>
          </w:p>
        </w:tc>
        <w:tc>
          <w:tcPr>
            <w:tcW w:w="810" w:type="dxa"/>
            <w:shd w:val="clear" w:color="auto" w:fill="auto"/>
            <w:noWrap/>
            <w:vAlign w:val="bottom"/>
            <w:hideMark/>
          </w:tcPr>
          <w:p w:rsidR="003F7303" w:rsidRPr="00A22F5F" w:rsidRDefault="003F7303" w:rsidP="008526DC">
            <w:pPr>
              <w:pStyle w:val="TableText"/>
              <w:jc w:val="center"/>
            </w:pPr>
            <w:r w:rsidRPr="00A22F5F">
              <w:t>28</w:t>
            </w:r>
          </w:p>
        </w:tc>
        <w:tc>
          <w:tcPr>
            <w:tcW w:w="720" w:type="dxa"/>
            <w:shd w:val="clear" w:color="auto" w:fill="auto"/>
            <w:noWrap/>
            <w:vAlign w:val="bottom"/>
            <w:hideMark/>
          </w:tcPr>
          <w:p w:rsidR="003F7303" w:rsidRPr="00A22F5F" w:rsidRDefault="003F7303" w:rsidP="008526DC">
            <w:pPr>
              <w:pStyle w:val="TableText"/>
              <w:jc w:val="center"/>
            </w:pPr>
            <w:r w:rsidRPr="00A22F5F">
              <w:t>28</w:t>
            </w:r>
          </w:p>
        </w:tc>
        <w:tc>
          <w:tcPr>
            <w:tcW w:w="900" w:type="dxa"/>
            <w:shd w:val="clear" w:color="auto" w:fill="auto"/>
            <w:noWrap/>
            <w:vAlign w:val="bottom"/>
            <w:hideMark/>
          </w:tcPr>
          <w:p w:rsidR="003F7303" w:rsidRPr="00A22F5F" w:rsidRDefault="003F7303" w:rsidP="008526DC">
            <w:pPr>
              <w:pStyle w:val="TableText"/>
              <w:jc w:val="center"/>
            </w:pPr>
            <w:r w:rsidRPr="00A22F5F">
              <w:t>25</w:t>
            </w:r>
          </w:p>
        </w:tc>
        <w:tc>
          <w:tcPr>
            <w:tcW w:w="1170" w:type="dxa"/>
            <w:shd w:val="clear" w:color="auto" w:fill="auto"/>
            <w:noWrap/>
            <w:vAlign w:val="bottom"/>
            <w:hideMark/>
          </w:tcPr>
          <w:p w:rsidR="003F7303" w:rsidRPr="00A22F5F" w:rsidRDefault="003F7303" w:rsidP="008526DC">
            <w:pPr>
              <w:pStyle w:val="TableText"/>
              <w:jc w:val="center"/>
            </w:pPr>
            <w:r w:rsidRPr="00A22F5F">
              <w:t>24</w:t>
            </w:r>
          </w:p>
        </w:tc>
      </w:tr>
      <w:tr w:rsidR="003F7303" w:rsidRPr="00BA755A" w:rsidTr="008526DC">
        <w:trPr>
          <w:trHeight w:val="300"/>
        </w:trPr>
        <w:tc>
          <w:tcPr>
            <w:tcW w:w="1080" w:type="dxa"/>
            <w:vMerge/>
            <w:vAlign w:val="center"/>
            <w:hideMark/>
          </w:tcPr>
          <w:p w:rsidR="003F7303" w:rsidRPr="00BA755A" w:rsidRDefault="003F7303" w:rsidP="008526DC">
            <w:pPr>
              <w:pStyle w:val="TableText"/>
            </w:pPr>
          </w:p>
        </w:tc>
        <w:tc>
          <w:tcPr>
            <w:tcW w:w="2400" w:type="dxa"/>
            <w:shd w:val="clear" w:color="auto" w:fill="auto"/>
            <w:noWrap/>
            <w:vAlign w:val="bottom"/>
            <w:hideMark/>
          </w:tcPr>
          <w:p w:rsidR="003F7303" w:rsidRPr="00BA755A" w:rsidRDefault="003F7303" w:rsidP="008526DC">
            <w:pPr>
              <w:pStyle w:val="TableText"/>
            </w:pPr>
            <w:r w:rsidRPr="00BA755A">
              <w:t>October Monthly Peak</w:t>
            </w:r>
          </w:p>
        </w:tc>
        <w:tc>
          <w:tcPr>
            <w:tcW w:w="853" w:type="dxa"/>
            <w:shd w:val="clear" w:color="auto" w:fill="auto"/>
            <w:noWrap/>
            <w:vAlign w:val="bottom"/>
            <w:hideMark/>
          </w:tcPr>
          <w:p w:rsidR="003F7303" w:rsidRPr="00A22F5F" w:rsidRDefault="003F7303" w:rsidP="008526DC">
            <w:pPr>
              <w:pStyle w:val="TableText"/>
              <w:jc w:val="center"/>
            </w:pPr>
            <w:r w:rsidRPr="00A22F5F">
              <w:t>10</w:t>
            </w:r>
          </w:p>
        </w:tc>
        <w:tc>
          <w:tcPr>
            <w:tcW w:w="900" w:type="dxa"/>
            <w:shd w:val="clear" w:color="auto" w:fill="auto"/>
            <w:noWrap/>
            <w:vAlign w:val="bottom"/>
            <w:hideMark/>
          </w:tcPr>
          <w:p w:rsidR="003F7303" w:rsidRPr="00A22F5F" w:rsidRDefault="003F7303" w:rsidP="008526DC">
            <w:pPr>
              <w:pStyle w:val="TableText"/>
              <w:jc w:val="center"/>
            </w:pPr>
            <w:r w:rsidRPr="00A22F5F">
              <w:t>11</w:t>
            </w:r>
          </w:p>
        </w:tc>
        <w:tc>
          <w:tcPr>
            <w:tcW w:w="810" w:type="dxa"/>
            <w:shd w:val="clear" w:color="auto" w:fill="auto"/>
            <w:noWrap/>
            <w:vAlign w:val="bottom"/>
            <w:hideMark/>
          </w:tcPr>
          <w:p w:rsidR="003F7303" w:rsidRPr="00A22F5F" w:rsidRDefault="003F7303" w:rsidP="008526DC">
            <w:pPr>
              <w:pStyle w:val="TableText"/>
              <w:jc w:val="center"/>
            </w:pPr>
            <w:r w:rsidRPr="00A22F5F">
              <w:t>15</w:t>
            </w:r>
          </w:p>
        </w:tc>
        <w:tc>
          <w:tcPr>
            <w:tcW w:w="720" w:type="dxa"/>
            <w:shd w:val="clear" w:color="auto" w:fill="auto"/>
            <w:noWrap/>
            <w:vAlign w:val="bottom"/>
            <w:hideMark/>
          </w:tcPr>
          <w:p w:rsidR="003F7303" w:rsidRPr="00A22F5F" w:rsidRDefault="003F7303" w:rsidP="008526DC">
            <w:pPr>
              <w:pStyle w:val="TableText"/>
              <w:jc w:val="center"/>
            </w:pPr>
            <w:r w:rsidRPr="00A22F5F">
              <w:t>16</w:t>
            </w:r>
          </w:p>
        </w:tc>
        <w:tc>
          <w:tcPr>
            <w:tcW w:w="900" w:type="dxa"/>
            <w:shd w:val="clear" w:color="auto" w:fill="auto"/>
            <w:noWrap/>
            <w:vAlign w:val="bottom"/>
            <w:hideMark/>
          </w:tcPr>
          <w:p w:rsidR="003F7303" w:rsidRPr="00A22F5F" w:rsidRDefault="003F7303" w:rsidP="008526DC">
            <w:pPr>
              <w:pStyle w:val="TableText"/>
              <w:jc w:val="center"/>
            </w:pPr>
            <w:r w:rsidRPr="00A22F5F">
              <w:t>15</w:t>
            </w:r>
          </w:p>
        </w:tc>
        <w:tc>
          <w:tcPr>
            <w:tcW w:w="1170" w:type="dxa"/>
            <w:shd w:val="clear" w:color="auto" w:fill="auto"/>
            <w:noWrap/>
            <w:vAlign w:val="bottom"/>
            <w:hideMark/>
          </w:tcPr>
          <w:p w:rsidR="003F7303" w:rsidRPr="00A22F5F" w:rsidRDefault="003F7303" w:rsidP="008526DC">
            <w:pPr>
              <w:pStyle w:val="TableText"/>
              <w:jc w:val="center"/>
            </w:pPr>
            <w:r w:rsidRPr="00A22F5F">
              <w:t>14</w:t>
            </w:r>
          </w:p>
        </w:tc>
      </w:tr>
    </w:tbl>
    <w:p w:rsidR="004F57FA" w:rsidRDefault="004F57FA" w:rsidP="004F57FA">
      <w:pPr>
        <w:pStyle w:val="TableFigureCaption"/>
        <w:jc w:val="left"/>
      </w:pPr>
    </w:p>
    <w:p w:rsidR="003F7303" w:rsidRDefault="003F7303" w:rsidP="004F57FA">
      <w:pPr>
        <w:pStyle w:val="TableFigureCaption"/>
      </w:pPr>
      <w:r>
        <w:t>Table 5-4</w:t>
      </w:r>
      <w:proofErr w:type="gramStart"/>
      <w:r>
        <w:t>:</w:t>
      </w:r>
      <w:proofErr w:type="gramEnd"/>
      <w:r>
        <w:br/>
        <w:t>Aggregate Load Reductions by Day Type, Weather Year and Hour</w:t>
      </w:r>
      <w:r>
        <w:br/>
        <w:t>All Commercial Customers</w:t>
      </w:r>
    </w:p>
    <w:tbl>
      <w:tblPr>
        <w:tblW w:w="88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2400"/>
        <w:gridCol w:w="853"/>
        <w:gridCol w:w="900"/>
        <w:gridCol w:w="810"/>
        <w:gridCol w:w="720"/>
        <w:gridCol w:w="900"/>
        <w:gridCol w:w="1170"/>
      </w:tblGrid>
      <w:tr w:rsidR="003F7303" w:rsidRPr="00BA755A" w:rsidTr="008526DC">
        <w:trPr>
          <w:trHeight w:val="300"/>
        </w:trPr>
        <w:tc>
          <w:tcPr>
            <w:tcW w:w="1080" w:type="dxa"/>
            <w:vMerge w:val="restart"/>
            <w:tcBorders>
              <w:right w:val="single" w:sz="4" w:space="0" w:color="FFFFFF" w:themeColor="background1"/>
            </w:tcBorders>
            <w:shd w:val="clear" w:color="auto" w:fill="1F497D" w:themeFill="text2"/>
            <w:vAlign w:val="center"/>
            <w:hideMark/>
          </w:tcPr>
          <w:p w:rsidR="003F7303" w:rsidRPr="004F57FA" w:rsidRDefault="003F7303" w:rsidP="004F57FA">
            <w:pPr>
              <w:keepNext/>
              <w:spacing w:after="0" w:line="240" w:lineRule="auto"/>
              <w:jc w:val="center"/>
              <w:rPr>
                <w:rFonts w:ascii="Arial" w:eastAsia="Times New Roman" w:hAnsi="Arial" w:cs="Arial"/>
                <w:b/>
                <w:bCs/>
                <w:color w:val="FFFFFF"/>
                <w:sz w:val="20"/>
                <w:szCs w:val="20"/>
              </w:rPr>
            </w:pPr>
            <w:r w:rsidRPr="004F57FA">
              <w:rPr>
                <w:rFonts w:ascii="Arial" w:eastAsia="Times New Roman" w:hAnsi="Arial" w:cs="Arial"/>
                <w:b/>
                <w:bCs/>
                <w:color w:val="FFFFFF"/>
                <w:sz w:val="20"/>
                <w:szCs w:val="20"/>
              </w:rPr>
              <w:t>Weather Year</w:t>
            </w:r>
          </w:p>
        </w:tc>
        <w:tc>
          <w:tcPr>
            <w:tcW w:w="2400" w:type="dxa"/>
            <w:vMerge w:val="restart"/>
            <w:tcBorders>
              <w:left w:val="single" w:sz="4" w:space="0" w:color="FFFFFF" w:themeColor="background1"/>
              <w:right w:val="single" w:sz="4" w:space="0" w:color="FFFFFF" w:themeColor="background1"/>
            </w:tcBorders>
            <w:shd w:val="clear" w:color="auto" w:fill="1F497D" w:themeFill="text2"/>
            <w:vAlign w:val="center"/>
            <w:hideMark/>
          </w:tcPr>
          <w:p w:rsidR="003F7303" w:rsidRPr="004F57FA" w:rsidRDefault="003F7303" w:rsidP="004F57FA">
            <w:pPr>
              <w:keepNext/>
              <w:spacing w:after="0" w:line="240" w:lineRule="auto"/>
              <w:jc w:val="center"/>
              <w:rPr>
                <w:rFonts w:ascii="Arial" w:eastAsia="Times New Roman" w:hAnsi="Arial" w:cs="Arial"/>
                <w:b/>
                <w:bCs/>
                <w:color w:val="FFFFFF"/>
                <w:sz w:val="20"/>
                <w:szCs w:val="20"/>
              </w:rPr>
            </w:pPr>
            <w:r w:rsidRPr="004F57FA">
              <w:rPr>
                <w:rFonts w:ascii="Arial" w:eastAsia="Times New Roman" w:hAnsi="Arial" w:cs="Arial"/>
                <w:b/>
                <w:bCs/>
                <w:color w:val="FFFFFF"/>
                <w:sz w:val="20"/>
                <w:szCs w:val="20"/>
              </w:rPr>
              <w:t>Day Type</w:t>
            </w:r>
          </w:p>
        </w:tc>
        <w:tc>
          <w:tcPr>
            <w:tcW w:w="4183" w:type="dxa"/>
            <w:gridSpan w:val="5"/>
            <w:tcBorders>
              <w:left w:val="single" w:sz="4" w:space="0" w:color="FFFFFF" w:themeColor="background1"/>
              <w:bottom w:val="single" w:sz="4" w:space="0" w:color="FFFFFF" w:themeColor="background1"/>
              <w:right w:val="single" w:sz="4" w:space="0" w:color="FFFFFF" w:themeColor="background1"/>
            </w:tcBorders>
            <w:shd w:val="clear" w:color="auto" w:fill="1F497D" w:themeFill="text2"/>
            <w:noWrap/>
            <w:vAlign w:val="center"/>
            <w:hideMark/>
          </w:tcPr>
          <w:p w:rsidR="003F7303" w:rsidRPr="004F57FA" w:rsidRDefault="003F7303" w:rsidP="004F57FA">
            <w:pPr>
              <w:keepNext/>
              <w:spacing w:after="0" w:line="240" w:lineRule="auto"/>
              <w:jc w:val="center"/>
              <w:rPr>
                <w:rFonts w:ascii="Arial" w:eastAsia="Times New Roman" w:hAnsi="Arial" w:cs="Arial"/>
                <w:b/>
                <w:bCs/>
                <w:color w:val="FFFFFF"/>
                <w:sz w:val="20"/>
                <w:szCs w:val="20"/>
              </w:rPr>
            </w:pPr>
            <w:r w:rsidRPr="004F57FA">
              <w:rPr>
                <w:rFonts w:ascii="Arial" w:eastAsia="Times New Roman" w:hAnsi="Arial" w:cs="Arial"/>
                <w:b/>
                <w:bCs/>
                <w:color w:val="FFFFFF"/>
                <w:sz w:val="20"/>
                <w:szCs w:val="20"/>
              </w:rPr>
              <w:t>Hour of Day</w:t>
            </w:r>
          </w:p>
        </w:tc>
        <w:tc>
          <w:tcPr>
            <w:tcW w:w="1170" w:type="dxa"/>
            <w:vMerge w:val="restart"/>
            <w:tcBorders>
              <w:left w:val="single" w:sz="4" w:space="0" w:color="FFFFFF" w:themeColor="background1"/>
            </w:tcBorders>
            <w:shd w:val="clear" w:color="auto" w:fill="1F497D" w:themeFill="text2"/>
            <w:vAlign w:val="center"/>
            <w:hideMark/>
          </w:tcPr>
          <w:p w:rsidR="003F7303" w:rsidRPr="00BA755A" w:rsidRDefault="003F7303" w:rsidP="004F57FA">
            <w:pPr>
              <w:pStyle w:val="TableHeader"/>
              <w:keepNext/>
            </w:pPr>
            <w:r w:rsidRPr="00BA755A">
              <w:t>Average</w:t>
            </w:r>
          </w:p>
        </w:tc>
      </w:tr>
      <w:tr w:rsidR="003F7303" w:rsidRPr="00BA755A" w:rsidTr="008526DC">
        <w:trPr>
          <w:trHeight w:val="300"/>
        </w:trPr>
        <w:tc>
          <w:tcPr>
            <w:tcW w:w="1080" w:type="dxa"/>
            <w:vMerge/>
            <w:tcBorders>
              <w:right w:val="single" w:sz="4" w:space="0" w:color="FFFFFF" w:themeColor="background1"/>
            </w:tcBorders>
            <w:shd w:val="clear" w:color="auto" w:fill="1F497D" w:themeFill="text2"/>
            <w:vAlign w:val="center"/>
            <w:hideMark/>
          </w:tcPr>
          <w:p w:rsidR="003F7303" w:rsidRPr="00BA755A" w:rsidRDefault="003F7303" w:rsidP="004F57FA">
            <w:pPr>
              <w:pStyle w:val="TableHeader"/>
              <w:keepNext/>
            </w:pPr>
          </w:p>
        </w:tc>
        <w:tc>
          <w:tcPr>
            <w:tcW w:w="2400" w:type="dxa"/>
            <w:vMerge/>
            <w:tcBorders>
              <w:left w:val="single" w:sz="4" w:space="0" w:color="FFFFFF" w:themeColor="background1"/>
              <w:right w:val="single" w:sz="4" w:space="0" w:color="FFFFFF" w:themeColor="background1"/>
            </w:tcBorders>
            <w:shd w:val="clear" w:color="auto" w:fill="1F497D" w:themeFill="text2"/>
            <w:vAlign w:val="center"/>
            <w:hideMark/>
          </w:tcPr>
          <w:p w:rsidR="003F7303" w:rsidRPr="00BA755A" w:rsidRDefault="003F7303" w:rsidP="004F57FA">
            <w:pPr>
              <w:pStyle w:val="TableHeader"/>
              <w:keepNext/>
            </w:pPr>
          </w:p>
        </w:tc>
        <w:tc>
          <w:tcPr>
            <w:tcW w:w="853" w:type="dxa"/>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hideMark/>
          </w:tcPr>
          <w:p w:rsidR="003F7303" w:rsidRPr="00BA755A" w:rsidRDefault="003F7303" w:rsidP="004F57FA">
            <w:pPr>
              <w:pStyle w:val="TableHeader"/>
              <w:keepNext/>
            </w:pPr>
            <w:r w:rsidRPr="00BA755A">
              <w:t>1 to 2 PM</w:t>
            </w:r>
          </w:p>
        </w:tc>
        <w:tc>
          <w:tcPr>
            <w:tcW w:w="900" w:type="dxa"/>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hideMark/>
          </w:tcPr>
          <w:p w:rsidR="003F7303" w:rsidRPr="00BA755A" w:rsidRDefault="003F7303" w:rsidP="004F57FA">
            <w:pPr>
              <w:pStyle w:val="TableHeader"/>
              <w:keepNext/>
            </w:pPr>
            <w:r w:rsidRPr="00BA755A">
              <w:t>2 to 3 PM</w:t>
            </w:r>
          </w:p>
        </w:tc>
        <w:tc>
          <w:tcPr>
            <w:tcW w:w="810" w:type="dxa"/>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hideMark/>
          </w:tcPr>
          <w:p w:rsidR="003F7303" w:rsidRPr="00BA755A" w:rsidRDefault="003F7303" w:rsidP="004F57FA">
            <w:pPr>
              <w:pStyle w:val="TableHeader"/>
              <w:keepNext/>
            </w:pPr>
            <w:r w:rsidRPr="00BA755A">
              <w:t>3 to 4 PM</w:t>
            </w:r>
          </w:p>
        </w:tc>
        <w:tc>
          <w:tcPr>
            <w:tcW w:w="720" w:type="dxa"/>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hideMark/>
          </w:tcPr>
          <w:p w:rsidR="003F7303" w:rsidRPr="00BA755A" w:rsidRDefault="003F7303" w:rsidP="004F57FA">
            <w:pPr>
              <w:pStyle w:val="TableHeader"/>
              <w:keepNext/>
            </w:pPr>
            <w:r w:rsidRPr="00BA755A">
              <w:t>4 to 5 PM</w:t>
            </w:r>
          </w:p>
        </w:tc>
        <w:tc>
          <w:tcPr>
            <w:tcW w:w="900" w:type="dxa"/>
            <w:tcBorders>
              <w:top w:val="single" w:sz="4" w:space="0" w:color="FFFFFF" w:themeColor="background1"/>
              <w:left w:val="single" w:sz="4" w:space="0" w:color="FFFFFF" w:themeColor="background1"/>
              <w:right w:val="single" w:sz="4" w:space="0" w:color="FFFFFF" w:themeColor="background1"/>
            </w:tcBorders>
            <w:shd w:val="clear" w:color="auto" w:fill="1F497D" w:themeFill="text2"/>
            <w:vAlign w:val="center"/>
            <w:hideMark/>
          </w:tcPr>
          <w:p w:rsidR="003F7303" w:rsidRPr="00BA755A" w:rsidRDefault="003F7303" w:rsidP="004F57FA">
            <w:pPr>
              <w:pStyle w:val="TableHeader"/>
              <w:keepNext/>
            </w:pPr>
            <w:r w:rsidRPr="00BA755A">
              <w:t>5 to 6 PM</w:t>
            </w:r>
          </w:p>
        </w:tc>
        <w:tc>
          <w:tcPr>
            <w:tcW w:w="1170" w:type="dxa"/>
            <w:vMerge/>
            <w:tcBorders>
              <w:left w:val="single" w:sz="4" w:space="0" w:color="FFFFFF" w:themeColor="background1"/>
            </w:tcBorders>
            <w:shd w:val="clear" w:color="auto" w:fill="1F497D" w:themeFill="text2"/>
            <w:vAlign w:val="center"/>
            <w:hideMark/>
          </w:tcPr>
          <w:p w:rsidR="003F7303" w:rsidRPr="00BA755A" w:rsidRDefault="003F7303" w:rsidP="004F57FA">
            <w:pPr>
              <w:pStyle w:val="TableHeader"/>
              <w:keepNext/>
            </w:pPr>
          </w:p>
        </w:tc>
      </w:tr>
      <w:tr w:rsidR="003F7303" w:rsidRPr="00BA755A" w:rsidTr="008526DC">
        <w:trPr>
          <w:trHeight w:val="300"/>
        </w:trPr>
        <w:tc>
          <w:tcPr>
            <w:tcW w:w="1080" w:type="dxa"/>
            <w:vMerge w:val="restart"/>
            <w:shd w:val="clear" w:color="auto" w:fill="auto"/>
            <w:noWrap/>
            <w:vAlign w:val="center"/>
            <w:hideMark/>
          </w:tcPr>
          <w:p w:rsidR="003F7303" w:rsidRPr="00BA755A" w:rsidRDefault="003F7303" w:rsidP="004F57FA">
            <w:pPr>
              <w:pStyle w:val="TableText"/>
              <w:keepNext/>
            </w:pPr>
            <w:r w:rsidRPr="00BA755A">
              <w:t>1-in-2</w:t>
            </w:r>
          </w:p>
        </w:tc>
        <w:tc>
          <w:tcPr>
            <w:tcW w:w="2400" w:type="dxa"/>
            <w:shd w:val="clear" w:color="auto" w:fill="auto"/>
            <w:noWrap/>
            <w:vAlign w:val="bottom"/>
            <w:hideMark/>
          </w:tcPr>
          <w:p w:rsidR="003F7303" w:rsidRPr="00BA755A" w:rsidRDefault="003F7303" w:rsidP="004F57FA">
            <w:pPr>
              <w:pStyle w:val="TableText"/>
              <w:keepNext/>
            </w:pPr>
            <w:r w:rsidRPr="00BA755A">
              <w:rPr>
                <w:iCs/>
              </w:rPr>
              <w:t>Typical Event Day</w:t>
            </w:r>
          </w:p>
        </w:tc>
        <w:tc>
          <w:tcPr>
            <w:tcW w:w="853" w:type="dxa"/>
            <w:shd w:val="clear" w:color="auto" w:fill="auto"/>
            <w:noWrap/>
            <w:vAlign w:val="bottom"/>
            <w:hideMark/>
          </w:tcPr>
          <w:p w:rsidR="003F7303" w:rsidRPr="00A22F5F" w:rsidRDefault="003F7303" w:rsidP="004F57FA">
            <w:pPr>
              <w:pStyle w:val="TableText"/>
              <w:keepNext/>
              <w:jc w:val="center"/>
            </w:pPr>
            <w:r w:rsidRPr="00A22F5F">
              <w:t>4.4</w:t>
            </w:r>
          </w:p>
        </w:tc>
        <w:tc>
          <w:tcPr>
            <w:tcW w:w="900" w:type="dxa"/>
            <w:shd w:val="clear" w:color="auto" w:fill="auto"/>
            <w:noWrap/>
            <w:vAlign w:val="bottom"/>
            <w:hideMark/>
          </w:tcPr>
          <w:p w:rsidR="003F7303" w:rsidRPr="00A22F5F" w:rsidRDefault="003F7303" w:rsidP="004F57FA">
            <w:pPr>
              <w:pStyle w:val="TableText"/>
              <w:keepNext/>
              <w:jc w:val="center"/>
            </w:pPr>
            <w:r w:rsidRPr="00A22F5F">
              <w:t>4.9</w:t>
            </w:r>
          </w:p>
        </w:tc>
        <w:tc>
          <w:tcPr>
            <w:tcW w:w="810" w:type="dxa"/>
            <w:shd w:val="clear" w:color="auto" w:fill="auto"/>
            <w:noWrap/>
            <w:vAlign w:val="bottom"/>
            <w:hideMark/>
          </w:tcPr>
          <w:p w:rsidR="003F7303" w:rsidRPr="00A22F5F" w:rsidRDefault="003F7303" w:rsidP="004F57FA">
            <w:pPr>
              <w:pStyle w:val="TableText"/>
              <w:keepNext/>
              <w:jc w:val="center"/>
            </w:pPr>
            <w:r w:rsidRPr="00A22F5F">
              <w:t>4.6</w:t>
            </w:r>
          </w:p>
        </w:tc>
        <w:tc>
          <w:tcPr>
            <w:tcW w:w="720" w:type="dxa"/>
            <w:shd w:val="clear" w:color="auto" w:fill="auto"/>
            <w:noWrap/>
            <w:vAlign w:val="bottom"/>
            <w:hideMark/>
          </w:tcPr>
          <w:p w:rsidR="003F7303" w:rsidRPr="00A22F5F" w:rsidRDefault="003F7303" w:rsidP="004F57FA">
            <w:pPr>
              <w:pStyle w:val="TableText"/>
              <w:keepNext/>
              <w:jc w:val="center"/>
            </w:pPr>
            <w:r w:rsidRPr="00A22F5F">
              <w:t>4.7</w:t>
            </w:r>
          </w:p>
        </w:tc>
        <w:tc>
          <w:tcPr>
            <w:tcW w:w="900" w:type="dxa"/>
            <w:shd w:val="clear" w:color="auto" w:fill="auto"/>
            <w:noWrap/>
            <w:vAlign w:val="bottom"/>
            <w:hideMark/>
          </w:tcPr>
          <w:p w:rsidR="003F7303" w:rsidRPr="00A22F5F" w:rsidRDefault="003F7303" w:rsidP="004F57FA">
            <w:pPr>
              <w:pStyle w:val="TableText"/>
              <w:keepNext/>
              <w:jc w:val="center"/>
            </w:pPr>
            <w:r w:rsidRPr="00A22F5F">
              <w:t>4.5</w:t>
            </w:r>
          </w:p>
        </w:tc>
        <w:tc>
          <w:tcPr>
            <w:tcW w:w="1170" w:type="dxa"/>
            <w:shd w:val="clear" w:color="auto" w:fill="auto"/>
            <w:noWrap/>
            <w:vAlign w:val="bottom"/>
            <w:hideMark/>
          </w:tcPr>
          <w:p w:rsidR="003F7303" w:rsidRPr="00A22F5F" w:rsidRDefault="003F7303" w:rsidP="004F57FA">
            <w:pPr>
              <w:pStyle w:val="TableText"/>
              <w:keepNext/>
              <w:jc w:val="center"/>
            </w:pPr>
            <w:r w:rsidRPr="00A22F5F">
              <w:t>4.6</w:t>
            </w:r>
          </w:p>
        </w:tc>
      </w:tr>
      <w:tr w:rsidR="003F7303" w:rsidRPr="00BA755A" w:rsidTr="008526DC">
        <w:trPr>
          <w:trHeight w:val="300"/>
        </w:trPr>
        <w:tc>
          <w:tcPr>
            <w:tcW w:w="1080" w:type="dxa"/>
            <w:vMerge/>
            <w:vAlign w:val="center"/>
            <w:hideMark/>
          </w:tcPr>
          <w:p w:rsidR="003F7303" w:rsidRPr="00BA755A" w:rsidRDefault="003F7303" w:rsidP="004F57FA">
            <w:pPr>
              <w:pStyle w:val="TableText"/>
              <w:keepNext/>
            </w:pPr>
          </w:p>
        </w:tc>
        <w:tc>
          <w:tcPr>
            <w:tcW w:w="2400" w:type="dxa"/>
            <w:shd w:val="clear" w:color="auto" w:fill="auto"/>
            <w:noWrap/>
            <w:vAlign w:val="bottom"/>
            <w:hideMark/>
          </w:tcPr>
          <w:p w:rsidR="003F7303" w:rsidRPr="00BA755A" w:rsidRDefault="003F7303" w:rsidP="004F57FA">
            <w:pPr>
              <w:pStyle w:val="TableText"/>
              <w:keepNext/>
            </w:pPr>
            <w:r w:rsidRPr="00BA755A">
              <w:t>May Monthly Peak</w:t>
            </w:r>
          </w:p>
        </w:tc>
        <w:tc>
          <w:tcPr>
            <w:tcW w:w="853" w:type="dxa"/>
            <w:shd w:val="clear" w:color="auto" w:fill="auto"/>
            <w:noWrap/>
            <w:vAlign w:val="bottom"/>
            <w:hideMark/>
          </w:tcPr>
          <w:p w:rsidR="003F7303" w:rsidRPr="00A22F5F" w:rsidRDefault="003F7303" w:rsidP="004F57FA">
            <w:pPr>
              <w:pStyle w:val="TableText"/>
              <w:keepNext/>
              <w:jc w:val="center"/>
            </w:pPr>
            <w:r w:rsidRPr="00A22F5F">
              <w:t>2.8</w:t>
            </w:r>
          </w:p>
        </w:tc>
        <w:tc>
          <w:tcPr>
            <w:tcW w:w="900" w:type="dxa"/>
            <w:shd w:val="clear" w:color="auto" w:fill="auto"/>
            <w:noWrap/>
            <w:vAlign w:val="bottom"/>
            <w:hideMark/>
          </w:tcPr>
          <w:p w:rsidR="003F7303" w:rsidRPr="00A22F5F" w:rsidRDefault="003F7303" w:rsidP="004F57FA">
            <w:pPr>
              <w:pStyle w:val="TableText"/>
              <w:keepNext/>
              <w:jc w:val="center"/>
            </w:pPr>
            <w:r w:rsidRPr="00A22F5F">
              <w:t>3.2</w:t>
            </w:r>
          </w:p>
        </w:tc>
        <w:tc>
          <w:tcPr>
            <w:tcW w:w="810" w:type="dxa"/>
            <w:shd w:val="clear" w:color="auto" w:fill="auto"/>
            <w:noWrap/>
            <w:vAlign w:val="bottom"/>
            <w:hideMark/>
          </w:tcPr>
          <w:p w:rsidR="003F7303" w:rsidRPr="00A22F5F" w:rsidRDefault="003F7303" w:rsidP="004F57FA">
            <w:pPr>
              <w:pStyle w:val="TableText"/>
              <w:keepNext/>
              <w:jc w:val="center"/>
            </w:pPr>
            <w:r w:rsidRPr="00A22F5F">
              <w:t>3.1</w:t>
            </w:r>
          </w:p>
        </w:tc>
        <w:tc>
          <w:tcPr>
            <w:tcW w:w="720" w:type="dxa"/>
            <w:shd w:val="clear" w:color="auto" w:fill="auto"/>
            <w:noWrap/>
            <w:vAlign w:val="bottom"/>
            <w:hideMark/>
          </w:tcPr>
          <w:p w:rsidR="003F7303" w:rsidRPr="00A22F5F" w:rsidRDefault="003F7303" w:rsidP="004F57FA">
            <w:pPr>
              <w:pStyle w:val="TableText"/>
              <w:keepNext/>
              <w:jc w:val="center"/>
            </w:pPr>
            <w:r w:rsidRPr="00A22F5F">
              <w:t>3.1</w:t>
            </w:r>
          </w:p>
        </w:tc>
        <w:tc>
          <w:tcPr>
            <w:tcW w:w="900" w:type="dxa"/>
            <w:shd w:val="clear" w:color="auto" w:fill="auto"/>
            <w:noWrap/>
            <w:vAlign w:val="bottom"/>
            <w:hideMark/>
          </w:tcPr>
          <w:p w:rsidR="003F7303" w:rsidRPr="00A22F5F" w:rsidRDefault="003F7303" w:rsidP="004F57FA">
            <w:pPr>
              <w:pStyle w:val="TableText"/>
              <w:keepNext/>
              <w:jc w:val="center"/>
            </w:pPr>
            <w:r w:rsidRPr="00A22F5F">
              <w:t>2.9</w:t>
            </w:r>
          </w:p>
        </w:tc>
        <w:tc>
          <w:tcPr>
            <w:tcW w:w="1170" w:type="dxa"/>
            <w:shd w:val="clear" w:color="auto" w:fill="auto"/>
            <w:noWrap/>
            <w:vAlign w:val="bottom"/>
            <w:hideMark/>
          </w:tcPr>
          <w:p w:rsidR="003F7303" w:rsidRPr="00A22F5F" w:rsidRDefault="003F7303" w:rsidP="004F57FA">
            <w:pPr>
              <w:pStyle w:val="TableText"/>
              <w:keepNext/>
              <w:jc w:val="center"/>
            </w:pPr>
            <w:r w:rsidRPr="00A22F5F">
              <w:t>3.1</w:t>
            </w:r>
          </w:p>
        </w:tc>
      </w:tr>
      <w:tr w:rsidR="003F7303" w:rsidRPr="00BA755A" w:rsidTr="008526DC">
        <w:trPr>
          <w:trHeight w:val="300"/>
        </w:trPr>
        <w:tc>
          <w:tcPr>
            <w:tcW w:w="1080" w:type="dxa"/>
            <w:vMerge/>
            <w:vAlign w:val="center"/>
            <w:hideMark/>
          </w:tcPr>
          <w:p w:rsidR="003F7303" w:rsidRPr="00BA755A" w:rsidRDefault="003F7303" w:rsidP="004F57FA">
            <w:pPr>
              <w:pStyle w:val="TableText"/>
              <w:keepNext/>
            </w:pPr>
          </w:p>
        </w:tc>
        <w:tc>
          <w:tcPr>
            <w:tcW w:w="2400" w:type="dxa"/>
            <w:shd w:val="clear" w:color="auto" w:fill="auto"/>
            <w:noWrap/>
            <w:vAlign w:val="bottom"/>
            <w:hideMark/>
          </w:tcPr>
          <w:p w:rsidR="003F7303" w:rsidRPr="00BA755A" w:rsidRDefault="003F7303" w:rsidP="004F57FA">
            <w:pPr>
              <w:pStyle w:val="TableText"/>
              <w:keepNext/>
            </w:pPr>
            <w:r w:rsidRPr="00BA755A">
              <w:t>June Monthly Peak</w:t>
            </w:r>
          </w:p>
        </w:tc>
        <w:tc>
          <w:tcPr>
            <w:tcW w:w="853" w:type="dxa"/>
            <w:shd w:val="clear" w:color="auto" w:fill="auto"/>
            <w:noWrap/>
            <w:vAlign w:val="bottom"/>
            <w:hideMark/>
          </w:tcPr>
          <w:p w:rsidR="003F7303" w:rsidRPr="00A22F5F" w:rsidRDefault="003F7303" w:rsidP="004F57FA">
            <w:pPr>
              <w:pStyle w:val="TableText"/>
              <w:keepNext/>
              <w:jc w:val="center"/>
            </w:pPr>
            <w:r w:rsidRPr="00A22F5F">
              <w:t>2.9</w:t>
            </w:r>
          </w:p>
        </w:tc>
        <w:tc>
          <w:tcPr>
            <w:tcW w:w="900" w:type="dxa"/>
            <w:shd w:val="clear" w:color="auto" w:fill="auto"/>
            <w:noWrap/>
            <w:vAlign w:val="bottom"/>
            <w:hideMark/>
          </w:tcPr>
          <w:p w:rsidR="003F7303" w:rsidRPr="00A22F5F" w:rsidRDefault="003F7303" w:rsidP="004F57FA">
            <w:pPr>
              <w:pStyle w:val="TableText"/>
              <w:keepNext/>
              <w:jc w:val="center"/>
            </w:pPr>
            <w:r w:rsidRPr="00A22F5F">
              <w:t>3.3</w:t>
            </w:r>
          </w:p>
        </w:tc>
        <w:tc>
          <w:tcPr>
            <w:tcW w:w="810" w:type="dxa"/>
            <w:shd w:val="clear" w:color="auto" w:fill="auto"/>
            <w:noWrap/>
            <w:vAlign w:val="bottom"/>
            <w:hideMark/>
          </w:tcPr>
          <w:p w:rsidR="003F7303" w:rsidRPr="00A22F5F" w:rsidRDefault="003F7303" w:rsidP="004F57FA">
            <w:pPr>
              <w:pStyle w:val="TableText"/>
              <w:keepNext/>
              <w:jc w:val="center"/>
            </w:pPr>
            <w:r w:rsidRPr="00A22F5F">
              <w:t>3.1</w:t>
            </w:r>
          </w:p>
        </w:tc>
        <w:tc>
          <w:tcPr>
            <w:tcW w:w="720" w:type="dxa"/>
            <w:shd w:val="clear" w:color="auto" w:fill="auto"/>
            <w:noWrap/>
            <w:vAlign w:val="bottom"/>
            <w:hideMark/>
          </w:tcPr>
          <w:p w:rsidR="003F7303" w:rsidRPr="00A22F5F" w:rsidRDefault="003F7303" w:rsidP="004F57FA">
            <w:pPr>
              <w:pStyle w:val="TableText"/>
              <w:keepNext/>
              <w:jc w:val="center"/>
            </w:pPr>
            <w:r w:rsidRPr="00A22F5F">
              <w:t>3.2</w:t>
            </w:r>
          </w:p>
        </w:tc>
        <w:tc>
          <w:tcPr>
            <w:tcW w:w="900" w:type="dxa"/>
            <w:shd w:val="clear" w:color="auto" w:fill="auto"/>
            <w:noWrap/>
            <w:vAlign w:val="bottom"/>
            <w:hideMark/>
          </w:tcPr>
          <w:p w:rsidR="003F7303" w:rsidRPr="00A22F5F" w:rsidRDefault="003F7303" w:rsidP="004F57FA">
            <w:pPr>
              <w:pStyle w:val="TableText"/>
              <w:keepNext/>
              <w:jc w:val="center"/>
            </w:pPr>
            <w:r w:rsidRPr="00A22F5F">
              <w:t>3.1</w:t>
            </w:r>
          </w:p>
        </w:tc>
        <w:tc>
          <w:tcPr>
            <w:tcW w:w="1170" w:type="dxa"/>
            <w:shd w:val="clear" w:color="auto" w:fill="auto"/>
            <w:noWrap/>
            <w:vAlign w:val="bottom"/>
            <w:hideMark/>
          </w:tcPr>
          <w:p w:rsidR="003F7303" w:rsidRPr="00A22F5F" w:rsidRDefault="003F7303" w:rsidP="004F57FA">
            <w:pPr>
              <w:pStyle w:val="TableText"/>
              <w:keepNext/>
              <w:jc w:val="center"/>
            </w:pPr>
            <w:r w:rsidRPr="00A22F5F">
              <w:t>3.1</w:t>
            </w:r>
          </w:p>
        </w:tc>
      </w:tr>
      <w:tr w:rsidR="003F7303" w:rsidRPr="00BA755A" w:rsidTr="008526DC">
        <w:trPr>
          <w:trHeight w:val="300"/>
        </w:trPr>
        <w:tc>
          <w:tcPr>
            <w:tcW w:w="1080" w:type="dxa"/>
            <w:vMerge/>
            <w:vAlign w:val="center"/>
            <w:hideMark/>
          </w:tcPr>
          <w:p w:rsidR="003F7303" w:rsidRPr="00BA755A" w:rsidRDefault="003F7303" w:rsidP="004F57FA">
            <w:pPr>
              <w:pStyle w:val="TableText"/>
              <w:keepNext/>
            </w:pPr>
          </w:p>
        </w:tc>
        <w:tc>
          <w:tcPr>
            <w:tcW w:w="2400" w:type="dxa"/>
            <w:shd w:val="clear" w:color="auto" w:fill="auto"/>
            <w:noWrap/>
            <w:vAlign w:val="bottom"/>
            <w:hideMark/>
          </w:tcPr>
          <w:p w:rsidR="003F7303" w:rsidRPr="00BA755A" w:rsidRDefault="003F7303" w:rsidP="004F57FA">
            <w:pPr>
              <w:pStyle w:val="TableText"/>
              <w:keepNext/>
            </w:pPr>
            <w:r w:rsidRPr="00BA755A">
              <w:t>July Monthly Peak</w:t>
            </w:r>
          </w:p>
        </w:tc>
        <w:tc>
          <w:tcPr>
            <w:tcW w:w="853" w:type="dxa"/>
            <w:shd w:val="clear" w:color="auto" w:fill="auto"/>
            <w:noWrap/>
            <w:vAlign w:val="bottom"/>
            <w:hideMark/>
          </w:tcPr>
          <w:p w:rsidR="003F7303" w:rsidRPr="00A22F5F" w:rsidRDefault="003F7303" w:rsidP="004F57FA">
            <w:pPr>
              <w:pStyle w:val="TableText"/>
              <w:keepNext/>
              <w:jc w:val="center"/>
            </w:pPr>
            <w:r w:rsidRPr="00A22F5F">
              <w:t>4.4</w:t>
            </w:r>
          </w:p>
        </w:tc>
        <w:tc>
          <w:tcPr>
            <w:tcW w:w="900" w:type="dxa"/>
            <w:shd w:val="clear" w:color="auto" w:fill="auto"/>
            <w:noWrap/>
            <w:vAlign w:val="bottom"/>
            <w:hideMark/>
          </w:tcPr>
          <w:p w:rsidR="003F7303" w:rsidRPr="00A22F5F" w:rsidRDefault="003F7303" w:rsidP="004F57FA">
            <w:pPr>
              <w:pStyle w:val="TableText"/>
              <w:keepNext/>
              <w:jc w:val="center"/>
            </w:pPr>
            <w:r w:rsidRPr="00A22F5F">
              <w:t>4.9</w:t>
            </w:r>
          </w:p>
        </w:tc>
        <w:tc>
          <w:tcPr>
            <w:tcW w:w="810" w:type="dxa"/>
            <w:shd w:val="clear" w:color="auto" w:fill="auto"/>
            <w:noWrap/>
            <w:vAlign w:val="bottom"/>
            <w:hideMark/>
          </w:tcPr>
          <w:p w:rsidR="003F7303" w:rsidRPr="00A22F5F" w:rsidRDefault="003F7303" w:rsidP="004F57FA">
            <w:pPr>
              <w:pStyle w:val="TableText"/>
              <w:keepNext/>
              <w:jc w:val="center"/>
            </w:pPr>
            <w:r w:rsidRPr="00A22F5F">
              <w:t>4.6</w:t>
            </w:r>
          </w:p>
        </w:tc>
        <w:tc>
          <w:tcPr>
            <w:tcW w:w="720" w:type="dxa"/>
            <w:shd w:val="clear" w:color="auto" w:fill="auto"/>
            <w:noWrap/>
            <w:vAlign w:val="bottom"/>
            <w:hideMark/>
          </w:tcPr>
          <w:p w:rsidR="003F7303" w:rsidRPr="00A22F5F" w:rsidRDefault="003F7303" w:rsidP="004F57FA">
            <w:pPr>
              <w:pStyle w:val="TableText"/>
              <w:keepNext/>
              <w:jc w:val="center"/>
            </w:pPr>
            <w:r w:rsidRPr="00A22F5F">
              <w:t>4.7</w:t>
            </w:r>
          </w:p>
        </w:tc>
        <w:tc>
          <w:tcPr>
            <w:tcW w:w="900" w:type="dxa"/>
            <w:shd w:val="clear" w:color="auto" w:fill="auto"/>
            <w:noWrap/>
            <w:vAlign w:val="bottom"/>
            <w:hideMark/>
          </w:tcPr>
          <w:p w:rsidR="003F7303" w:rsidRPr="00A22F5F" w:rsidRDefault="003F7303" w:rsidP="004F57FA">
            <w:pPr>
              <w:pStyle w:val="TableText"/>
              <w:keepNext/>
              <w:jc w:val="center"/>
            </w:pPr>
            <w:r w:rsidRPr="00A22F5F">
              <w:t>4.6</w:t>
            </w:r>
          </w:p>
        </w:tc>
        <w:tc>
          <w:tcPr>
            <w:tcW w:w="1170" w:type="dxa"/>
            <w:shd w:val="clear" w:color="auto" w:fill="auto"/>
            <w:noWrap/>
            <w:vAlign w:val="bottom"/>
            <w:hideMark/>
          </w:tcPr>
          <w:p w:rsidR="003F7303" w:rsidRPr="00A22F5F" w:rsidRDefault="003F7303" w:rsidP="004F57FA">
            <w:pPr>
              <w:pStyle w:val="TableText"/>
              <w:keepNext/>
              <w:jc w:val="center"/>
            </w:pPr>
            <w:r w:rsidRPr="00A22F5F">
              <w:t>4.7</w:t>
            </w:r>
          </w:p>
        </w:tc>
      </w:tr>
      <w:tr w:rsidR="003F7303" w:rsidRPr="00BA755A" w:rsidTr="008526DC">
        <w:trPr>
          <w:trHeight w:val="300"/>
        </w:trPr>
        <w:tc>
          <w:tcPr>
            <w:tcW w:w="1080" w:type="dxa"/>
            <w:vMerge/>
            <w:vAlign w:val="center"/>
            <w:hideMark/>
          </w:tcPr>
          <w:p w:rsidR="003F7303" w:rsidRPr="00BA755A" w:rsidRDefault="003F7303" w:rsidP="004F57FA">
            <w:pPr>
              <w:pStyle w:val="TableText"/>
              <w:keepNext/>
            </w:pPr>
          </w:p>
        </w:tc>
        <w:tc>
          <w:tcPr>
            <w:tcW w:w="2400" w:type="dxa"/>
            <w:shd w:val="clear" w:color="auto" w:fill="auto"/>
            <w:noWrap/>
            <w:vAlign w:val="bottom"/>
            <w:hideMark/>
          </w:tcPr>
          <w:p w:rsidR="003F7303" w:rsidRPr="00BA755A" w:rsidRDefault="003F7303" w:rsidP="004F57FA">
            <w:pPr>
              <w:pStyle w:val="TableText"/>
              <w:keepNext/>
            </w:pPr>
            <w:r w:rsidRPr="00BA755A">
              <w:t>August Monthly Peak</w:t>
            </w:r>
          </w:p>
        </w:tc>
        <w:tc>
          <w:tcPr>
            <w:tcW w:w="853" w:type="dxa"/>
            <w:shd w:val="clear" w:color="auto" w:fill="auto"/>
            <w:noWrap/>
            <w:vAlign w:val="bottom"/>
            <w:hideMark/>
          </w:tcPr>
          <w:p w:rsidR="003F7303" w:rsidRPr="00A22F5F" w:rsidRDefault="003F7303" w:rsidP="004F57FA">
            <w:pPr>
              <w:pStyle w:val="TableText"/>
              <w:keepNext/>
              <w:jc w:val="center"/>
            </w:pPr>
            <w:r w:rsidRPr="00A22F5F">
              <w:t>4.4</w:t>
            </w:r>
          </w:p>
        </w:tc>
        <w:tc>
          <w:tcPr>
            <w:tcW w:w="900" w:type="dxa"/>
            <w:shd w:val="clear" w:color="auto" w:fill="auto"/>
            <w:noWrap/>
            <w:vAlign w:val="bottom"/>
            <w:hideMark/>
          </w:tcPr>
          <w:p w:rsidR="003F7303" w:rsidRPr="00A22F5F" w:rsidRDefault="003F7303" w:rsidP="004F57FA">
            <w:pPr>
              <w:pStyle w:val="TableText"/>
              <w:keepNext/>
              <w:jc w:val="center"/>
            </w:pPr>
            <w:r w:rsidRPr="00A22F5F">
              <w:t>4.9</w:t>
            </w:r>
          </w:p>
        </w:tc>
        <w:tc>
          <w:tcPr>
            <w:tcW w:w="810" w:type="dxa"/>
            <w:shd w:val="clear" w:color="auto" w:fill="auto"/>
            <w:noWrap/>
            <w:vAlign w:val="bottom"/>
            <w:hideMark/>
          </w:tcPr>
          <w:p w:rsidR="003F7303" w:rsidRPr="00A22F5F" w:rsidRDefault="003F7303" w:rsidP="004F57FA">
            <w:pPr>
              <w:pStyle w:val="TableText"/>
              <w:keepNext/>
              <w:jc w:val="center"/>
            </w:pPr>
            <w:r w:rsidRPr="00A22F5F">
              <w:t>4.6</w:t>
            </w:r>
          </w:p>
        </w:tc>
        <w:tc>
          <w:tcPr>
            <w:tcW w:w="720" w:type="dxa"/>
            <w:shd w:val="clear" w:color="auto" w:fill="auto"/>
            <w:noWrap/>
            <w:vAlign w:val="bottom"/>
            <w:hideMark/>
          </w:tcPr>
          <w:p w:rsidR="003F7303" w:rsidRPr="00A22F5F" w:rsidRDefault="003F7303" w:rsidP="004F57FA">
            <w:pPr>
              <w:pStyle w:val="TableText"/>
              <w:keepNext/>
              <w:jc w:val="center"/>
            </w:pPr>
            <w:r w:rsidRPr="00A22F5F">
              <w:t>4.7</w:t>
            </w:r>
          </w:p>
        </w:tc>
        <w:tc>
          <w:tcPr>
            <w:tcW w:w="900" w:type="dxa"/>
            <w:shd w:val="clear" w:color="auto" w:fill="auto"/>
            <w:noWrap/>
            <w:vAlign w:val="bottom"/>
            <w:hideMark/>
          </w:tcPr>
          <w:p w:rsidR="003F7303" w:rsidRPr="00A22F5F" w:rsidRDefault="003F7303" w:rsidP="004F57FA">
            <w:pPr>
              <w:pStyle w:val="TableText"/>
              <w:keepNext/>
              <w:jc w:val="center"/>
            </w:pPr>
            <w:r w:rsidRPr="00A22F5F">
              <w:t>4.5</w:t>
            </w:r>
          </w:p>
        </w:tc>
        <w:tc>
          <w:tcPr>
            <w:tcW w:w="1170" w:type="dxa"/>
            <w:shd w:val="clear" w:color="auto" w:fill="auto"/>
            <w:noWrap/>
            <w:vAlign w:val="bottom"/>
            <w:hideMark/>
          </w:tcPr>
          <w:p w:rsidR="003F7303" w:rsidRPr="00A22F5F" w:rsidRDefault="003F7303" w:rsidP="004F57FA">
            <w:pPr>
              <w:pStyle w:val="TableText"/>
              <w:keepNext/>
              <w:jc w:val="center"/>
            </w:pPr>
            <w:r w:rsidRPr="00A22F5F">
              <w:t>4.6</w:t>
            </w:r>
          </w:p>
        </w:tc>
      </w:tr>
      <w:tr w:rsidR="003F7303" w:rsidRPr="00BA755A" w:rsidTr="008526DC">
        <w:trPr>
          <w:trHeight w:val="300"/>
        </w:trPr>
        <w:tc>
          <w:tcPr>
            <w:tcW w:w="1080" w:type="dxa"/>
            <w:vMerge/>
            <w:vAlign w:val="center"/>
            <w:hideMark/>
          </w:tcPr>
          <w:p w:rsidR="003F7303" w:rsidRPr="00BA755A" w:rsidRDefault="003F7303" w:rsidP="004F57FA">
            <w:pPr>
              <w:pStyle w:val="TableText"/>
              <w:keepNext/>
            </w:pPr>
          </w:p>
        </w:tc>
        <w:tc>
          <w:tcPr>
            <w:tcW w:w="2400" w:type="dxa"/>
            <w:shd w:val="clear" w:color="auto" w:fill="auto"/>
            <w:noWrap/>
            <w:vAlign w:val="bottom"/>
            <w:hideMark/>
          </w:tcPr>
          <w:p w:rsidR="003F7303" w:rsidRPr="00BA755A" w:rsidRDefault="003F7303" w:rsidP="004F57FA">
            <w:pPr>
              <w:pStyle w:val="TableText"/>
              <w:keepNext/>
            </w:pPr>
            <w:r w:rsidRPr="00BA755A">
              <w:t>September Monthly Peak</w:t>
            </w:r>
          </w:p>
        </w:tc>
        <w:tc>
          <w:tcPr>
            <w:tcW w:w="853" w:type="dxa"/>
            <w:shd w:val="clear" w:color="auto" w:fill="auto"/>
            <w:noWrap/>
            <w:vAlign w:val="bottom"/>
            <w:hideMark/>
          </w:tcPr>
          <w:p w:rsidR="003F7303" w:rsidRPr="00A22F5F" w:rsidRDefault="003F7303" w:rsidP="004F57FA">
            <w:pPr>
              <w:pStyle w:val="TableText"/>
              <w:keepNext/>
              <w:jc w:val="center"/>
            </w:pPr>
            <w:r w:rsidRPr="00A22F5F">
              <w:t>5.0</w:t>
            </w:r>
          </w:p>
        </w:tc>
        <w:tc>
          <w:tcPr>
            <w:tcW w:w="900" w:type="dxa"/>
            <w:shd w:val="clear" w:color="auto" w:fill="auto"/>
            <w:noWrap/>
            <w:vAlign w:val="bottom"/>
            <w:hideMark/>
          </w:tcPr>
          <w:p w:rsidR="003F7303" w:rsidRPr="00A22F5F" w:rsidRDefault="003F7303" w:rsidP="004F57FA">
            <w:pPr>
              <w:pStyle w:val="TableText"/>
              <w:keepNext/>
              <w:jc w:val="center"/>
            </w:pPr>
            <w:r w:rsidRPr="00A22F5F">
              <w:t>5.6</w:t>
            </w:r>
          </w:p>
        </w:tc>
        <w:tc>
          <w:tcPr>
            <w:tcW w:w="810" w:type="dxa"/>
            <w:shd w:val="clear" w:color="auto" w:fill="auto"/>
            <w:noWrap/>
            <w:vAlign w:val="bottom"/>
            <w:hideMark/>
          </w:tcPr>
          <w:p w:rsidR="003F7303" w:rsidRPr="00A22F5F" w:rsidRDefault="003F7303" w:rsidP="004F57FA">
            <w:pPr>
              <w:pStyle w:val="TableText"/>
              <w:keepNext/>
              <w:jc w:val="center"/>
            </w:pPr>
            <w:r w:rsidRPr="00A22F5F">
              <w:t>5.4</w:t>
            </w:r>
          </w:p>
        </w:tc>
        <w:tc>
          <w:tcPr>
            <w:tcW w:w="720" w:type="dxa"/>
            <w:shd w:val="clear" w:color="auto" w:fill="auto"/>
            <w:noWrap/>
            <w:vAlign w:val="bottom"/>
            <w:hideMark/>
          </w:tcPr>
          <w:p w:rsidR="003F7303" w:rsidRPr="00A22F5F" w:rsidRDefault="003F7303" w:rsidP="004F57FA">
            <w:pPr>
              <w:pStyle w:val="TableText"/>
              <w:keepNext/>
              <w:jc w:val="center"/>
            </w:pPr>
            <w:r w:rsidRPr="00A22F5F">
              <w:t>5.5</w:t>
            </w:r>
          </w:p>
        </w:tc>
        <w:tc>
          <w:tcPr>
            <w:tcW w:w="900" w:type="dxa"/>
            <w:shd w:val="clear" w:color="auto" w:fill="auto"/>
            <w:noWrap/>
            <w:vAlign w:val="bottom"/>
            <w:hideMark/>
          </w:tcPr>
          <w:p w:rsidR="003F7303" w:rsidRPr="00A22F5F" w:rsidRDefault="003F7303" w:rsidP="004F57FA">
            <w:pPr>
              <w:pStyle w:val="TableText"/>
              <w:keepNext/>
              <w:jc w:val="center"/>
            </w:pPr>
            <w:r w:rsidRPr="00A22F5F">
              <w:t>5.3</w:t>
            </w:r>
          </w:p>
        </w:tc>
        <w:tc>
          <w:tcPr>
            <w:tcW w:w="1170" w:type="dxa"/>
            <w:shd w:val="clear" w:color="auto" w:fill="auto"/>
            <w:noWrap/>
            <w:vAlign w:val="bottom"/>
            <w:hideMark/>
          </w:tcPr>
          <w:p w:rsidR="003F7303" w:rsidRPr="00A22F5F" w:rsidRDefault="003F7303" w:rsidP="004F57FA">
            <w:pPr>
              <w:pStyle w:val="TableText"/>
              <w:keepNext/>
              <w:jc w:val="center"/>
            </w:pPr>
            <w:r w:rsidRPr="00A22F5F">
              <w:t>5.4</w:t>
            </w:r>
          </w:p>
        </w:tc>
      </w:tr>
      <w:tr w:rsidR="003F7303" w:rsidRPr="00BA755A" w:rsidTr="008526DC">
        <w:trPr>
          <w:trHeight w:val="300"/>
        </w:trPr>
        <w:tc>
          <w:tcPr>
            <w:tcW w:w="1080" w:type="dxa"/>
            <w:vMerge/>
            <w:vAlign w:val="center"/>
            <w:hideMark/>
          </w:tcPr>
          <w:p w:rsidR="003F7303" w:rsidRPr="00BA755A" w:rsidRDefault="003F7303" w:rsidP="004F57FA">
            <w:pPr>
              <w:pStyle w:val="TableText"/>
              <w:keepNext/>
            </w:pPr>
          </w:p>
        </w:tc>
        <w:tc>
          <w:tcPr>
            <w:tcW w:w="2400" w:type="dxa"/>
            <w:shd w:val="clear" w:color="auto" w:fill="auto"/>
            <w:noWrap/>
            <w:vAlign w:val="bottom"/>
            <w:hideMark/>
          </w:tcPr>
          <w:p w:rsidR="003F7303" w:rsidRPr="00BA755A" w:rsidRDefault="003F7303" w:rsidP="004F57FA">
            <w:pPr>
              <w:pStyle w:val="TableText"/>
              <w:keepNext/>
            </w:pPr>
            <w:r w:rsidRPr="00BA755A">
              <w:t>October Monthly Peak</w:t>
            </w:r>
          </w:p>
        </w:tc>
        <w:tc>
          <w:tcPr>
            <w:tcW w:w="853" w:type="dxa"/>
            <w:shd w:val="clear" w:color="auto" w:fill="auto"/>
            <w:noWrap/>
            <w:vAlign w:val="bottom"/>
            <w:hideMark/>
          </w:tcPr>
          <w:p w:rsidR="003F7303" w:rsidRPr="00A22F5F" w:rsidRDefault="003F7303" w:rsidP="004F57FA">
            <w:pPr>
              <w:pStyle w:val="TableText"/>
              <w:keepNext/>
              <w:jc w:val="center"/>
            </w:pPr>
            <w:r w:rsidRPr="00A22F5F">
              <w:t>3.6</w:t>
            </w:r>
          </w:p>
        </w:tc>
        <w:tc>
          <w:tcPr>
            <w:tcW w:w="900" w:type="dxa"/>
            <w:shd w:val="clear" w:color="auto" w:fill="auto"/>
            <w:noWrap/>
            <w:vAlign w:val="bottom"/>
            <w:hideMark/>
          </w:tcPr>
          <w:p w:rsidR="003F7303" w:rsidRPr="00A22F5F" w:rsidRDefault="003F7303" w:rsidP="004F57FA">
            <w:pPr>
              <w:pStyle w:val="TableText"/>
              <w:keepNext/>
              <w:jc w:val="center"/>
            </w:pPr>
            <w:r w:rsidRPr="00A22F5F">
              <w:t>4.1</w:t>
            </w:r>
          </w:p>
        </w:tc>
        <w:tc>
          <w:tcPr>
            <w:tcW w:w="810" w:type="dxa"/>
            <w:shd w:val="clear" w:color="auto" w:fill="auto"/>
            <w:noWrap/>
            <w:vAlign w:val="bottom"/>
            <w:hideMark/>
          </w:tcPr>
          <w:p w:rsidR="003F7303" w:rsidRPr="00A22F5F" w:rsidRDefault="003F7303" w:rsidP="004F57FA">
            <w:pPr>
              <w:pStyle w:val="TableText"/>
              <w:keepNext/>
              <w:jc w:val="center"/>
            </w:pPr>
            <w:r w:rsidRPr="00A22F5F">
              <w:t>3.8</w:t>
            </w:r>
          </w:p>
        </w:tc>
        <w:tc>
          <w:tcPr>
            <w:tcW w:w="720" w:type="dxa"/>
            <w:shd w:val="clear" w:color="auto" w:fill="auto"/>
            <w:noWrap/>
            <w:vAlign w:val="bottom"/>
            <w:hideMark/>
          </w:tcPr>
          <w:p w:rsidR="003F7303" w:rsidRPr="00A22F5F" w:rsidRDefault="003F7303" w:rsidP="004F57FA">
            <w:pPr>
              <w:pStyle w:val="TableText"/>
              <w:keepNext/>
              <w:jc w:val="center"/>
            </w:pPr>
            <w:r w:rsidRPr="00A22F5F">
              <w:t>4.0</w:t>
            </w:r>
          </w:p>
        </w:tc>
        <w:tc>
          <w:tcPr>
            <w:tcW w:w="900" w:type="dxa"/>
            <w:shd w:val="clear" w:color="auto" w:fill="auto"/>
            <w:noWrap/>
            <w:vAlign w:val="bottom"/>
            <w:hideMark/>
          </w:tcPr>
          <w:p w:rsidR="003F7303" w:rsidRPr="00A22F5F" w:rsidRDefault="003F7303" w:rsidP="004F57FA">
            <w:pPr>
              <w:pStyle w:val="TableText"/>
              <w:keepNext/>
              <w:jc w:val="center"/>
            </w:pPr>
            <w:r w:rsidRPr="00A22F5F">
              <w:t>3.8</w:t>
            </w:r>
          </w:p>
        </w:tc>
        <w:tc>
          <w:tcPr>
            <w:tcW w:w="1170" w:type="dxa"/>
            <w:shd w:val="clear" w:color="auto" w:fill="auto"/>
            <w:noWrap/>
            <w:vAlign w:val="bottom"/>
            <w:hideMark/>
          </w:tcPr>
          <w:p w:rsidR="003F7303" w:rsidRPr="00A22F5F" w:rsidRDefault="003F7303" w:rsidP="004F57FA">
            <w:pPr>
              <w:pStyle w:val="TableText"/>
              <w:keepNext/>
              <w:jc w:val="center"/>
            </w:pPr>
            <w:r w:rsidRPr="00A22F5F">
              <w:t>3.9</w:t>
            </w:r>
          </w:p>
        </w:tc>
      </w:tr>
      <w:tr w:rsidR="003F7303" w:rsidRPr="00BA755A" w:rsidTr="008526DC">
        <w:trPr>
          <w:trHeight w:val="300"/>
        </w:trPr>
        <w:tc>
          <w:tcPr>
            <w:tcW w:w="1080" w:type="dxa"/>
            <w:vMerge w:val="restart"/>
            <w:shd w:val="clear" w:color="auto" w:fill="auto"/>
            <w:noWrap/>
            <w:vAlign w:val="center"/>
            <w:hideMark/>
          </w:tcPr>
          <w:p w:rsidR="003F7303" w:rsidRPr="00BA755A" w:rsidRDefault="003F7303" w:rsidP="004F57FA">
            <w:pPr>
              <w:pStyle w:val="TableText"/>
              <w:keepNext/>
            </w:pPr>
            <w:r w:rsidRPr="00BA755A">
              <w:t>1-in-10</w:t>
            </w:r>
          </w:p>
        </w:tc>
        <w:tc>
          <w:tcPr>
            <w:tcW w:w="2400" w:type="dxa"/>
            <w:shd w:val="clear" w:color="auto" w:fill="auto"/>
            <w:noWrap/>
            <w:vAlign w:val="bottom"/>
            <w:hideMark/>
          </w:tcPr>
          <w:p w:rsidR="003F7303" w:rsidRPr="00BA755A" w:rsidRDefault="003F7303" w:rsidP="004F57FA">
            <w:pPr>
              <w:pStyle w:val="TableText"/>
              <w:keepNext/>
            </w:pPr>
            <w:r w:rsidRPr="00BA755A">
              <w:rPr>
                <w:iCs/>
              </w:rPr>
              <w:t>Typical Event Day</w:t>
            </w:r>
          </w:p>
        </w:tc>
        <w:tc>
          <w:tcPr>
            <w:tcW w:w="853" w:type="dxa"/>
            <w:shd w:val="clear" w:color="auto" w:fill="auto"/>
            <w:noWrap/>
            <w:vAlign w:val="bottom"/>
            <w:hideMark/>
          </w:tcPr>
          <w:p w:rsidR="003F7303" w:rsidRPr="00A22F5F" w:rsidRDefault="003F7303" w:rsidP="004F57FA">
            <w:pPr>
              <w:pStyle w:val="TableText"/>
              <w:keepNext/>
              <w:jc w:val="center"/>
            </w:pPr>
            <w:r w:rsidRPr="00A22F5F">
              <w:t>4.7</w:t>
            </w:r>
          </w:p>
        </w:tc>
        <w:tc>
          <w:tcPr>
            <w:tcW w:w="900" w:type="dxa"/>
            <w:shd w:val="clear" w:color="auto" w:fill="auto"/>
            <w:noWrap/>
            <w:vAlign w:val="bottom"/>
            <w:hideMark/>
          </w:tcPr>
          <w:p w:rsidR="003F7303" w:rsidRPr="00A22F5F" w:rsidRDefault="003F7303" w:rsidP="004F57FA">
            <w:pPr>
              <w:pStyle w:val="TableText"/>
              <w:keepNext/>
              <w:jc w:val="center"/>
            </w:pPr>
            <w:r w:rsidRPr="00A22F5F">
              <w:t>5.4</w:t>
            </w:r>
          </w:p>
        </w:tc>
        <w:tc>
          <w:tcPr>
            <w:tcW w:w="810" w:type="dxa"/>
            <w:shd w:val="clear" w:color="auto" w:fill="auto"/>
            <w:noWrap/>
            <w:vAlign w:val="bottom"/>
            <w:hideMark/>
          </w:tcPr>
          <w:p w:rsidR="003F7303" w:rsidRPr="00A22F5F" w:rsidRDefault="003F7303" w:rsidP="004F57FA">
            <w:pPr>
              <w:pStyle w:val="TableText"/>
              <w:keepNext/>
              <w:jc w:val="center"/>
            </w:pPr>
            <w:r w:rsidRPr="00A22F5F">
              <w:t>5.1</w:t>
            </w:r>
          </w:p>
        </w:tc>
        <w:tc>
          <w:tcPr>
            <w:tcW w:w="720" w:type="dxa"/>
            <w:shd w:val="clear" w:color="auto" w:fill="auto"/>
            <w:noWrap/>
            <w:vAlign w:val="bottom"/>
            <w:hideMark/>
          </w:tcPr>
          <w:p w:rsidR="003F7303" w:rsidRPr="00A22F5F" w:rsidRDefault="003F7303" w:rsidP="004F57FA">
            <w:pPr>
              <w:pStyle w:val="TableText"/>
              <w:keepNext/>
              <w:jc w:val="center"/>
            </w:pPr>
            <w:r w:rsidRPr="00A22F5F">
              <w:t>5.3</w:t>
            </w:r>
          </w:p>
        </w:tc>
        <w:tc>
          <w:tcPr>
            <w:tcW w:w="900" w:type="dxa"/>
            <w:shd w:val="clear" w:color="auto" w:fill="auto"/>
            <w:noWrap/>
            <w:vAlign w:val="bottom"/>
            <w:hideMark/>
          </w:tcPr>
          <w:p w:rsidR="003F7303" w:rsidRPr="00A22F5F" w:rsidRDefault="003F7303" w:rsidP="004F57FA">
            <w:pPr>
              <w:pStyle w:val="TableText"/>
              <w:keepNext/>
              <w:jc w:val="center"/>
            </w:pPr>
            <w:r w:rsidRPr="00A22F5F">
              <w:t>5.0</w:t>
            </w:r>
          </w:p>
        </w:tc>
        <w:tc>
          <w:tcPr>
            <w:tcW w:w="1170" w:type="dxa"/>
            <w:shd w:val="clear" w:color="auto" w:fill="auto"/>
            <w:noWrap/>
            <w:vAlign w:val="bottom"/>
            <w:hideMark/>
          </w:tcPr>
          <w:p w:rsidR="003F7303" w:rsidRPr="00A22F5F" w:rsidRDefault="003F7303" w:rsidP="004F57FA">
            <w:pPr>
              <w:pStyle w:val="TableText"/>
              <w:keepNext/>
              <w:jc w:val="center"/>
            </w:pPr>
            <w:r w:rsidRPr="00A22F5F">
              <w:t>5.1</w:t>
            </w:r>
          </w:p>
        </w:tc>
      </w:tr>
      <w:tr w:rsidR="003F7303" w:rsidRPr="00BA755A" w:rsidTr="008526DC">
        <w:trPr>
          <w:trHeight w:val="300"/>
        </w:trPr>
        <w:tc>
          <w:tcPr>
            <w:tcW w:w="1080" w:type="dxa"/>
            <w:vMerge/>
            <w:vAlign w:val="center"/>
            <w:hideMark/>
          </w:tcPr>
          <w:p w:rsidR="003F7303" w:rsidRPr="00BA755A" w:rsidRDefault="003F7303" w:rsidP="004F57FA">
            <w:pPr>
              <w:pStyle w:val="TableText"/>
              <w:keepNext/>
            </w:pPr>
          </w:p>
        </w:tc>
        <w:tc>
          <w:tcPr>
            <w:tcW w:w="2400" w:type="dxa"/>
            <w:shd w:val="clear" w:color="auto" w:fill="auto"/>
            <w:noWrap/>
            <w:vAlign w:val="bottom"/>
            <w:hideMark/>
          </w:tcPr>
          <w:p w:rsidR="003F7303" w:rsidRPr="00BA755A" w:rsidRDefault="003F7303" w:rsidP="004F57FA">
            <w:pPr>
              <w:pStyle w:val="TableText"/>
              <w:keepNext/>
            </w:pPr>
            <w:r w:rsidRPr="00BA755A">
              <w:t>May Monthly Peak</w:t>
            </w:r>
          </w:p>
        </w:tc>
        <w:tc>
          <w:tcPr>
            <w:tcW w:w="853" w:type="dxa"/>
            <w:shd w:val="clear" w:color="auto" w:fill="auto"/>
            <w:noWrap/>
            <w:vAlign w:val="bottom"/>
            <w:hideMark/>
          </w:tcPr>
          <w:p w:rsidR="003F7303" w:rsidRPr="00A22F5F" w:rsidRDefault="003F7303" w:rsidP="004F57FA">
            <w:pPr>
              <w:pStyle w:val="TableText"/>
              <w:keepNext/>
              <w:jc w:val="center"/>
            </w:pPr>
            <w:r w:rsidRPr="00A22F5F">
              <w:t>4.0</w:t>
            </w:r>
          </w:p>
        </w:tc>
        <w:tc>
          <w:tcPr>
            <w:tcW w:w="900" w:type="dxa"/>
            <w:shd w:val="clear" w:color="auto" w:fill="auto"/>
            <w:noWrap/>
            <w:vAlign w:val="bottom"/>
            <w:hideMark/>
          </w:tcPr>
          <w:p w:rsidR="003F7303" w:rsidRPr="00A22F5F" w:rsidRDefault="003F7303" w:rsidP="004F57FA">
            <w:pPr>
              <w:pStyle w:val="TableText"/>
              <w:keepNext/>
              <w:jc w:val="center"/>
            </w:pPr>
            <w:r w:rsidRPr="00A22F5F">
              <w:t>4.5</w:t>
            </w:r>
          </w:p>
        </w:tc>
        <w:tc>
          <w:tcPr>
            <w:tcW w:w="810" w:type="dxa"/>
            <w:shd w:val="clear" w:color="auto" w:fill="auto"/>
            <w:noWrap/>
            <w:vAlign w:val="bottom"/>
            <w:hideMark/>
          </w:tcPr>
          <w:p w:rsidR="003F7303" w:rsidRPr="00A22F5F" w:rsidRDefault="003F7303" w:rsidP="004F57FA">
            <w:pPr>
              <w:pStyle w:val="TableText"/>
              <w:keepNext/>
              <w:jc w:val="center"/>
            </w:pPr>
            <w:r w:rsidRPr="00A22F5F">
              <w:t>4.2</w:t>
            </w:r>
          </w:p>
        </w:tc>
        <w:tc>
          <w:tcPr>
            <w:tcW w:w="720" w:type="dxa"/>
            <w:shd w:val="clear" w:color="auto" w:fill="auto"/>
            <w:noWrap/>
            <w:vAlign w:val="bottom"/>
            <w:hideMark/>
          </w:tcPr>
          <w:p w:rsidR="003F7303" w:rsidRPr="00A22F5F" w:rsidRDefault="003F7303" w:rsidP="004F57FA">
            <w:pPr>
              <w:pStyle w:val="TableText"/>
              <w:keepNext/>
              <w:jc w:val="center"/>
            </w:pPr>
            <w:r w:rsidRPr="00A22F5F">
              <w:t>4.4</w:t>
            </w:r>
          </w:p>
        </w:tc>
        <w:tc>
          <w:tcPr>
            <w:tcW w:w="900" w:type="dxa"/>
            <w:shd w:val="clear" w:color="auto" w:fill="auto"/>
            <w:noWrap/>
            <w:vAlign w:val="bottom"/>
            <w:hideMark/>
          </w:tcPr>
          <w:p w:rsidR="003F7303" w:rsidRPr="00A22F5F" w:rsidRDefault="003F7303" w:rsidP="004F57FA">
            <w:pPr>
              <w:pStyle w:val="TableText"/>
              <w:keepNext/>
              <w:jc w:val="center"/>
            </w:pPr>
            <w:r w:rsidRPr="00A22F5F">
              <w:t>4.2</w:t>
            </w:r>
          </w:p>
        </w:tc>
        <w:tc>
          <w:tcPr>
            <w:tcW w:w="1170" w:type="dxa"/>
            <w:shd w:val="clear" w:color="auto" w:fill="auto"/>
            <w:noWrap/>
            <w:vAlign w:val="bottom"/>
            <w:hideMark/>
          </w:tcPr>
          <w:p w:rsidR="003F7303" w:rsidRPr="00A22F5F" w:rsidRDefault="003F7303" w:rsidP="004F57FA">
            <w:pPr>
              <w:pStyle w:val="TableText"/>
              <w:keepNext/>
              <w:jc w:val="center"/>
            </w:pPr>
            <w:r w:rsidRPr="00A22F5F">
              <w:t>4.3</w:t>
            </w:r>
          </w:p>
        </w:tc>
      </w:tr>
      <w:tr w:rsidR="003F7303" w:rsidRPr="00BA755A" w:rsidTr="008526DC">
        <w:trPr>
          <w:trHeight w:val="300"/>
        </w:trPr>
        <w:tc>
          <w:tcPr>
            <w:tcW w:w="1080" w:type="dxa"/>
            <w:vMerge/>
            <w:vAlign w:val="center"/>
            <w:hideMark/>
          </w:tcPr>
          <w:p w:rsidR="003F7303" w:rsidRPr="00BA755A" w:rsidRDefault="003F7303" w:rsidP="004F57FA">
            <w:pPr>
              <w:pStyle w:val="TableText"/>
              <w:keepNext/>
            </w:pPr>
          </w:p>
        </w:tc>
        <w:tc>
          <w:tcPr>
            <w:tcW w:w="2400" w:type="dxa"/>
            <w:shd w:val="clear" w:color="auto" w:fill="auto"/>
            <w:noWrap/>
            <w:vAlign w:val="bottom"/>
            <w:hideMark/>
          </w:tcPr>
          <w:p w:rsidR="003F7303" w:rsidRPr="00BA755A" w:rsidRDefault="003F7303" w:rsidP="004F57FA">
            <w:pPr>
              <w:pStyle w:val="TableText"/>
              <w:keepNext/>
            </w:pPr>
            <w:r w:rsidRPr="00BA755A">
              <w:t>June Monthly Peak</w:t>
            </w:r>
          </w:p>
        </w:tc>
        <w:tc>
          <w:tcPr>
            <w:tcW w:w="853" w:type="dxa"/>
            <w:shd w:val="clear" w:color="auto" w:fill="auto"/>
            <w:noWrap/>
            <w:vAlign w:val="bottom"/>
            <w:hideMark/>
          </w:tcPr>
          <w:p w:rsidR="003F7303" w:rsidRPr="00A22F5F" w:rsidRDefault="003F7303" w:rsidP="004F57FA">
            <w:pPr>
              <w:pStyle w:val="TableText"/>
              <w:keepNext/>
              <w:jc w:val="center"/>
            </w:pPr>
            <w:r w:rsidRPr="00A22F5F">
              <w:t>4.5</w:t>
            </w:r>
          </w:p>
        </w:tc>
        <w:tc>
          <w:tcPr>
            <w:tcW w:w="900" w:type="dxa"/>
            <w:shd w:val="clear" w:color="auto" w:fill="auto"/>
            <w:noWrap/>
            <w:vAlign w:val="bottom"/>
            <w:hideMark/>
          </w:tcPr>
          <w:p w:rsidR="003F7303" w:rsidRPr="00A22F5F" w:rsidRDefault="003F7303" w:rsidP="004F57FA">
            <w:pPr>
              <w:pStyle w:val="TableText"/>
              <w:keepNext/>
              <w:jc w:val="center"/>
            </w:pPr>
            <w:r w:rsidRPr="00A22F5F">
              <w:t>5.0</w:t>
            </w:r>
          </w:p>
        </w:tc>
        <w:tc>
          <w:tcPr>
            <w:tcW w:w="810" w:type="dxa"/>
            <w:shd w:val="clear" w:color="auto" w:fill="auto"/>
            <w:noWrap/>
            <w:vAlign w:val="bottom"/>
            <w:hideMark/>
          </w:tcPr>
          <w:p w:rsidR="003F7303" w:rsidRPr="00A22F5F" w:rsidRDefault="003F7303" w:rsidP="004F57FA">
            <w:pPr>
              <w:pStyle w:val="TableText"/>
              <w:keepNext/>
              <w:jc w:val="center"/>
            </w:pPr>
            <w:r w:rsidRPr="00A22F5F">
              <w:t>4.7</w:t>
            </w:r>
          </w:p>
        </w:tc>
        <w:tc>
          <w:tcPr>
            <w:tcW w:w="720" w:type="dxa"/>
            <w:shd w:val="clear" w:color="auto" w:fill="auto"/>
            <w:noWrap/>
            <w:vAlign w:val="bottom"/>
            <w:hideMark/>
          </w:tcPr>
          <w:p w:rsidR="003F7303" w:rsidRPr="00A22F5F" w:rsidRDefault="003F7303" w:rsidP="004F57FA">
            <w:pPr>
              <w:pStyle w:val="TableText"/>
              <w:keepNext/>
              <w:jc w:val="center"/>
            </w:pPr>
            <w:r w:rsidRPr="00A22F5F">
              <w:t>4.9</w:t>
            </w:r>
          </w:p>
        </w:tc>
        <w:tc>
          <w:tcPr>
            <w:tcW w:w="900" w:type="dxa"/>
            <w:shd w:val="clear" w:color="auto" w:fill="auto"/>
            <w:noWrap/>
            <w:vAlign w:val="bottom"/>
            <w:hideMark/>
          </w:tcPr>
          <w:p w:rsidR="003F7303" w:rsidRPr="00A22F5F" w:rsidRDefault="003F7303" w:rsidP="004F57FA">
            <w:pPr>
              <w:pStyle w:val="TableText"/>
              <w:keepNext/>
              <w:jc w:val="center"/>
            </w:pPr>
            <w:r w:rsidRPr="00A22F5F">
              <w:t>4.7</w:t>
            </w:r>
          </w:p>
        </w:tc>
        <w:tc>
          <w:tcPr>
            <w:tcW w:w="1170" w:type="dxa"/>
            <w:shd w:val="clear" w:color="auto" w:fill="auto"/>
            <w:noWrap/>
            <w:vAlign w:val="bottom"/>
            <w:hideMark/>
          </w:tcPr>
          <w:p w:rsidR="003F7303" w:rsidRPr="00A22F5F" w:rsidRDefault="003F7303" w:rsidP="004F57FA">
            <w:pPr>
              <w:pStyle w:val="TableText"/>
              <w:keepNext/>
              <w:jc w:val="center"/>
            </w:pPr>
            <w:r w:rsidRPr="00A22F5F">
              <w:t>4.8</w:t>
            </w:r>
          </w:p>
        </w:tc>
      </w:tr>
      <w:tr w:rsidR="003F7303" w:rsidRPr="00BA755A" w:rsidTr="008526DC">
        <w:trPr>
          <w:trHeight w:val="300"/>
        </w:trPr>
        <w:tc>
          <w:tcPr>
            <w:tcW w:w="1080" w:type="dxa"/>
            <w:vMerge/>
            <w:vAlign w:val="center"/>
            <w:hideMark/>
          </w:tcPr>
          <w:p w:rsidR="003F7303" w:rsidRPr="00BA755A" w:rsidRDefault="003F7303" w:rsidP="004F57FA">
            <w:pPr>
              <w:pStyle w:val="TableText"/>
              <w:keepNext/>
            </w:pPr>
          </w:p>
        </w:tc>
        <w:tc>
          <w:tcPr>
            <w:tcW w:w="2400" w:type="dxa"/>
            <w:shd w:val="clear" w:color="auto" w:fill="auto"/>
            <w:noWrap/>
            <w:vAlign w:val="bottom"/>
            <w:hideMark/>
          </w:tcPr>
          <w:p w:rsidR="003F7303" w:rsidRPr="00BA755A" w:rsidRDefault="003F7303" w:rsidP="004F57FA">
            <w:pPr>
              <w:pStyle w:val="TableText"/>
              <w:keepNext/>
            </w:pPr>
            <w:r w:rsidRPr="00BA755A">
              <w:t>July Monthly Peak</w:t>
            </w:r>
          </w:p>
        </w:tc>
        <w:tc>
          <w:tcPr>
            <w:tcW w:w="853" w:type="dxa"/>
            <w:shd w:val="clear" w:color="auto" w:fill="auto"/>
            <w:noWrap/>
            <w:vAlign w:val="bottom"/>
            <w:hideMark/>
          </w:tcPr>
          <w:p w:rsidR="003F7303" w:rsidRPr="00A22F5F" w:rsidRDefault="003F7303" w:rsidP="004F57FA">
            <w:pPr>
              <w:pStyle w:val="TableText"/>
              <w:keepNext/>
              <w:jc w:val="center"/>
            </w:pPr>
            <w:r w:rsidRPr="00A22F5F">
              <w:t>4.7</w:t>
            </w:r>
          </w:p>
        </w:tc>
        <w:tc>
          <w:tcPr>
            <w:tcW w:w="900" w:type="dxa"/>
            <w:shd w:val="clear" w:color="auto" w:fill="auto"/>
            <w:noWrap/>
            <w:vAlign w:val="bottom"/>
            <w:hideMark/>
          </w:tcPr>
          <w:p w:rsidR="003F7303" w:rsidRPr="00A22F5F" w:rsidRDefault="003F7303" w:rsidP="004F57FA">
            <w:pPr>
              <w:pStyle w:val="TableText"/>
              <w:keepNext/>
              <w:jc w:val="center"/>
            </w:pPr>
            <w:r w:rsidRPr="00A22F5F">
              <w:t>5.3</w:t>
            </w:r>
          </w:p>
        </w:tc>
        <w:tc>
          <w:tcPr>
            <w:tcW w:w="810" w:type="dxa"/>
            <w:shd w:val="clear" w:color="auto" w:fill="auto"/>
            <w:noWrap/>
            <w:vAlign w:val="bottom"/>
            <w:hideMark/>
          </w:tcPr>
          <w:p w:rsidR="003F7303" w:rsidRPr="00A22F5F" w:rsidRDefault="003F7303" w:rsidP="004F57FA">
            <w:pPr>
              <w:pStyle w:val="TableText"/>
              <w:keepNext/>
              <w:jc w:val="center"/>
            </w:pPr>
            <w:r w:rsidRPr="00A22F5F">
              <w:t>5.0</w:t>
            </w:r>
          </w:p>
        </w:tc>
        <w:tc>
          <w:tcPr>
            <w:tcW w:w="720" w:type="dxa"/>
            <w:shd w:val="clear" w:color="auto" w:fill="auto"/>
            <w:noWrap/>
            <w:vAlign w:val="bottom"/>
            <w:hideMark/>
          </w:tcPr>
          <w:p w:rsidR="003F7303" w:rsidRPr="00A22F5F" w:rsidRDefault="003F7303" w:rsidP="004F57FA">
            <w:pPr>
              <w:pStyle w:val="TableText"/>
              <w:keepNext/>
              <w:jc w:val="center"/>
            </w:pPr>
            <w:r w:rsidRPr="00A22F5F">
              <w:t>5.1</w:t>
            </w:r>
          </w:p>
        </w:tc>
        <w:tc>
          <w:tcPr>
            <w:tcW w:w="900" w:type="dxa"/>
            <w:shd w:val="clear" w:color="auto" w:fill="auto"/>
            <w:noWrap/>
            <w:vAlign w:val="bottom"/>
            <w:hideMark/>
          </w:tcPr>
          <w:p w:rsidR="003F7303" w:rsidRPr="00A22F5F" w:rsidRDefault="003F7303" w:rsidP="004F57FA">
            <w:pPr>
              <w:pStyle w:val="TableText"/>
              <w:keepNext/>
              <w:jc w:val="center"/>
            </w:pPr>
            <w:r w:rsidRPr="00A22F5F">
              <w:t>4.9</w:t>
            </w:r>
          </w:p>
        </w:tc>
        <w:tc>
          <w:tcPr>
            <w:tcW w:w="1170" w:type="dxa"/>
            <w:shd w:val="clear" w:color="auto" w:fill="auto"/>
            <w:noWrap/>
            <w:vAlign w:val="bottom"/>
            <w:hideMark/>
          </w:tcPr>
          <w:p w:rsidR="003F7303" w:rsidRPr="00A22F5F" w:rsidRDefault="003F7303" w:rsidP="004F57FA">
            <w:pPr>
              <w:pStyle w:val="TableText"/>
              <w:keepNext/>
              <w:jc w:val="center"/>
            </w:pPr>
            <w:r w:rsidRPr="00A22F5F">
              <w:t>5.0</w:t>
            </w:r>
          </w:p>
        </w:tc>
      </w:tr>
      <w:tr w:rsidR="003F7303" w:rsidRPr="00BA755A" w:rsidTr="008526DC">
        <w:trPr>
          <w:trHeight w:val="300"/>
        </w:trPr>
        <w:tc>
          <w:tcPr>
            <w:tcW w:w="1080" w:type="dxa"/>
            <w:vMerge/>
            <w:vAlign w:val="center"/>
            <w:hideMark/>
          </w:tcPr>
          <w:p w:rsidR="003F7303" w:rsidRPr="00BA755A" w:rsidRDefault="003F7303" w:rsidP="004F57FA">
            <w:pPr>
              <w:pStyle w:val="TableText"/>
              <w:keepNext/>
            </w:pPr>
          </w:p>
        </w:tc>
        <w:tc>
          <w:tcPr>
            <w:tcW w:w="2400" w:type="dxa"/>
            <w:shd w:val="clear" w:color="auto" w:fill="auto"/>
            <w:noWrap/>
            <w:vAlign w:val="bottom"/>
            <w:hideMark/>
          </w:tcPr>
          <w:p w:rsidR="003F7303" w:rsidRPr="00BA755A" w:rsidRDefault="003F7303" w:rsidP="004F57FA">
            <w:pPr>
              <w:pStyle w:val="TableText"/>
              <w:keepNext/>
            </w:pPr>
            <w:r w:rsidRPr="00BA755A">
              <w:t>August Monthly Peak</w:t>
            </w:r>
          </w:p>
        </w:tc>
        <w:tc>
          <w:tcPr>
            <w:tcW w:w="853" w:type="dxa"/>
            <w:shd w:val="clear" w:color="auto" w:fill="auto"/>
            <w:noWrap/>
            <w:vAlign w:val="bottom"/>
            <w:hideMark/>
          </w:tcPr>
          <w:p w:rsidR="003F7303" w:rsidRPr="00A22F5F" w:rsidRDefault="003F7303" w:rsidP="004F57FA">
            <w:pPr>
              <w:pStyle w:val="TableText"/>
              <w:keepNext/>
              <w:jc w:val="center"/>
            </w:pPr>
            <w:r w:rsidRPr="00A22F5F">
              <w:t>4.9</w:t>
            </w:r>
          </w:p>
        </w:tc>
        <w:tc>
          <w:tcPr>
            <w:tcW w:w="900" w:type="dxa"/>
            <w:shd w:val="clear" w:color="auto" w:fill="auto"/>
            <w:noWrap/>
            <w:vAlign w:val="bottom"/>
            <w:hideMark/>
          </w:tcPr>
          <w:p w:rsidR="003F7303" w:rsidRPr="00A22F5F" w:rsidRDefault="003F7303" w:rsidP="004F57FA">
            <w:pPr>
              <w:pStyle w:val="TableText"/>
              <w:keepNext/>
              <w:jc w:val="center"/>
            </w:pPr>
            <w:r w:rsidRPr="00A22F5F">
              <w:t>5.4</w:t>
            </w:r>
          </w:p>
        </w:tc>
        <w:tc>
          <w:tcPr>
            <w:tcW w:w="810" w:type="dxa"/>
            <w:shd w:val="clear" w:color="auto" w:fill="auto"/>
            <w:noWrap/>
            <w:vAlign w:val="bottom"/>
            <w:hideMark/>
          </w:tcPr>
          <w:p w:rsidR="003F7303" w:rsidRPr="00A22F5F" w:rsidRDefault="003F7303" w:rsidP="004F57FA">
            <w:pPr>
              <w:pStyle w:val="TableText"/>
              <w:keepNext/>
              <w:jc w:val="center"/>
            </w:pPr>
            <w:r w:rsidRPr="00A22F5F">
              <w:t>5.1</w:t>
            </w:r>
          </w:p>
        </w:tc>
        <w:tc>
          <w:tcPr>
            <w:tcW w:w="720" w:type="dxa"/>
            <w:shd w:val="clear" w:color="auto" w:fill="auto"/>
            <w:noWrap/>
            <w:vAlign w:val="bottom"/>
            <w:hideMark/>
          </w:tcPr>
          <w:p w:rsidR="003F7303" w:rsidRPr="00A22F5F" w:rsidRDefault="003F7303" w:rsidP="004F57FA">
            <w:pPr>
              <w:pStyle w:val="TableText"/>
              <w:keepNext/>
              <w:jc w:val="center"/>
            </w:pPr>
            <w:r w:rsidRPr="00A22F5F">
              <w:t>5.3</w:t>
            </w:r>
          </w:p>
        </w:tc>
        <w:tc>
          <w:tcPr>
            <w:tcW w:w="900" w:type="dxa"/>
            <w:shd w:val="clear" w:color="auto" w:fill="auto"/>
            <w:noWrap/>
            <w:vAlign w:val="bottom"/>
            <w:hideMark/>
          </w:tcPr>
          <w:p w:rsidR="003F7303" w:rsidRPr="00A22F5F" w:rsidRDefault="003F7303" w:rsidP="004F57FA">
            <w:pPr>
              <w:pStyle w:val="TableText"/>
              <w:keepNext/>
              <w:jc w:val="center"/>
            </w:pPr>
            <w:r w:rsidRPr="00A22F5F">
              <w:t>5.0</w:t>
            </w:r>
          </w:p>
        </w:tc>
        <w:tc>
          <w:tcPr>
            <w:tcW w:w="1170" w:type="dxa"/>
            <w:shd w:val="clear" w:color="auto" w:fill="auto"/>
            <w:noWrap/>
            <w:vAlign w:val="bottom"/>
            <w:hideMark/>
          </w:tcPr>
          <w:p w:rsidR="003F7303" w:rsidRPr="00A22F5F" w:rsidRDefault="003F7303" w:rsidP="004F57FA">
            <w:pPr>
              <w:pStyle w:val="TableText"/>
              <w:keepNext/>
              <w:jc w:val="center"/>
            </w:pPr>
            <w:r w:rsidRPr="00A22F5F">
              <w:t>5.1</w:t>
            </w:r>
          </w:p>
        </w:tc>
      </w:tr>
      <w:tr w:rsidR="003F7303" w:rsidRPr="00BA755A" w:rsidTr="008526DC">
        <w:trPr>
          <w:trHeight w:val="300"/>
        </w:trPr>
        <w:tc>
          <w:tcPr>
            <w:tcW w:w="1080" w:type="dxa"/>
            <w:vMerge/>
            <w:vAlign w:val="center"/>
            <w:hideMark/>
          </w:tcPr>
          <w:p w:rsidR="003F7303" w:rsidRPr="00BA755A" w:rsidRDefault="003F7303" w:rsidP="004F57FA">
            <w:pPr>
              <w:pStyle w:val="TableText"/>
              <w:keepNext/>
            </w:pPr>
          </w:p>
        </w:tc>
        <w:tc>
          <w:tcPr>
            <w:tcW w:w="2400" w:type="dxa"/>
            <w:shd w:val="clear" w:color="auto" w:fill="auto"/>
            <w:noWrap/>
            <w:vAlign w:val="bottom"/>
            <w:hideMark/>
          </w:tcPr>
          <w:p w:rsidR="003F7303" w:rsidRPr="00BA755A" w:rsidRDefault="003F7303" w:rsidP="004F57FA">
            <w:pPr>
              <w:pStyle w:val="TableText"/>
              <w:keepNext/>
            </w:pPr>
            <w:r w:rsidRPr="00BA755A">
              <w:t>September Monthly Peak</w:t>
            </w:r>
          </w:p>
        </w:tc>
        <w:tc>
          <w:tcPr>
            <w:tcW w:w="853" w:type="dxa"/>
            <w:shd w:val="clear" w:color="auto" w:fill="auto"/>
            <w:noWrap/>
            <w:vAlign w:val="bottom"/>
            <w:hideMark/>
          </w:tcPr>
          <w:p w:rsidR="003F7303" w:rsidRPr="00A22F5F" w:rsidRDefault="003F7303" w:rsidP="004F57FA">
            <w:pPr>
              <w:pStyle w:val="TableText"/>
              <w:keepNext/>
              <w:jc w:val="center"/>
            </w:pPr>
            <w:r w:rsidRPr="00A22F5F">
              <w:t>5.8</w:t>
            </w:r>
          </w:p>
        </w:tc>
        <w:tc>
          <w:tcPr>
            <w:tcW w:w="900" w:type="dxa"/>
            <w:shd w:val="clear" w:color="auto" w:fill="auto"/>
            <w:noWrap/>
            <w:vAlign w:val="bottom"/>
            <w:hideMark/>
          </w:tcPr>
          <w:p w:rsidR="003F7303" w:rsidRPr="00A22F5F" w:rsidRDefault="003F7303" w:rsidP="004F57FA">
            <w:pPr>
              <w:pStyle w:val="TableText"/>
              <w:keepNext/>
              <w:jc w:val="center"/>
            </w:pPr>
            <w:r w:rsidRPr="00A22F5F">
              <w:t>6.5</w:t>
            </w:r>
          </w:p>
        </w:tc>
        <w:tc>
          <w:tcPr>
            <w:tcW w:w="810" w:type="dxa"/>
            <w:shd w:val="clear" w:color="auto" w:fill="auto"/>
            <w:noWrap/>
            <w:vAlign w:val="bottom"/>
            <w:hideMark/>
          </w:tcPr>
          <w:p w:rsidR="003F7303" w:rsidRPr="00A22F5F" w:rsidRDefault="003F7303" w:rsidP="004F57FA">
            <w:pPr>
              <w:pStyle w:val="TableText"/>
              <w:keepNext/>
              <w:jc w:val="center"/>
            </w:pPr>
            <w:r w:rsidRPr="00A22F5F">
              <w:t>6.1</w:t>
            </w:r>
          </w:p>
        </w:tc>
        <w:tc>
          <w:tcPr>
            <w:tcW w:w="720" w:type="dxa"/>
            <w:shd w:val="clear" w:color="auto" w:fill="auto"/>
            <w:noWrap/>
            <w:vAlign w:val="bottom"/>
            <w:hideMark/>
          </w:tcPr>
          <w:p w:rsidR="003F7303" w:rsidRPr="00A22F5F" w:rsidRDefault="003F7303" w:rsidP="004F57FA">
            <w:pPr>
              <w:pStyle w:val="TableText"/>
              <w:keepNext/>
              <w:jc w:val="center"/>
            </w:pPr>
            <w:r w:rsidRPr="00A22F5F">
              <w:t>6.4</w:t>
            </w:r>
          </w:p>
        </w:tc>
        <w:tc>
          <w:tcPr>
            <w:tcW w:w="900" w:type="dxa"/>
            <w:shd w:val="clear" w:color="auto" w:fill="auto"/>
            <w:noWrap/>
            <w:vAlign w:val="bottom"/>
            <w:hideMark/>
          </w:tcPr>
          <w:p w:rsidR="003F7303" w:rsidRPr="00A22F5F" w:rsidRDefault="003F7303" w:rsidP="004F57FA">
            <w:pPr>
              <w:pStyle w:val="TableText"/>
              <w:keepNext/>
              <w:jc w:val="center"/>
            </w:pPr>
            <w:r w:rsidRPr="00A22F5F">
              <w:t>6.1</w:t>
            </w:r>
          </w:p>
        </w:tc>
        <w:tc>
          <w:tcPr>
            <w:tcW w:w="1170" w:type="dxa"/>
            <w:shd w:val="clear" w:color="auto" w:fill="auto"/>
            <w:noWrap/>
            <w:vAlign w:val="bottom"/>
            <w:hideMark/>
          </w:tcPr>
          <w:p w:rsidR="003F7303" w:rsidRPr="00A22F5F" w:rsidRDefault="003F7303" w:rsidP="004F57FA">
            <w:pPr>
              <w:pStyle w:val="TableText"/>
              <w:keepNext/>
              <w:jc w:val="center"/>
            </w:pPr>
            <w:r w:rsidRPr="00A22F5F">
              <w:t>6.2</w:t>
            </w:r>
          </w:p>
        </w:tc>
      </w:tr>
      <w:tr w:rsidR="003F7303" w:rsidRPr="00BA755A" w:rsidTr="008526DC">
        <w:trPr>
          <w:trHeight w:val="300"/>
        </w:trPr>
        <w:tc>
          <w:tcPr>
            <w:tcW w:w="1080" w:type="dxa"/>
            <w:vMerge/>
            <w:vAlign w:val="center"/>
            <w:hideMark/>
          </w:tcPr>
          <w:p w:rsidR="003F7303" w:rsidRPr="00BA755A" w:rsidRDefault="003F7303" w:rsidP="008526DC">
            <w:pPr>
              <w:pStyle w:val="TableText"/>
            </w:pPr>
          </w:p>
        </w:tc>
        <w:tc>
          <w:tcPr>
            <w:tcW w:w="2400" w:type="dxa"/>
            <w:shd w:val="clear" w:color="auto" w:fill="auto"/>
            <w:noWrap/>
            <w:vAlign w:val="bottom"/>
            <w:hideMark/>
          </w:tcPr>
          <w:p w:rsidR="003F7303" w:rsidRPr="00BA755A" w:rsidRDefault="003F7303" w:rsidP="008526DC">
            <w:pPr>
              <w:pStyle w:val="TableText"/>
            </w:pPr>
            <w:r w:rsidRPr="00BA755A">
              <w:t>October Monthly Peak</w:t>
            </w:r>
          </w:p>
        </w:tc>
        <w:tc>
          <w:tcPr>
            <w:tcW w:w="853" w:type="dxa"/>
            <w:shd w:val="clear" w:color="auto" w:fill="auto"/>
            <w:noWrap/>
            <w:vAlign w:val="bottom"/>
            <w:hideMark/>
          </w:tcPr>
          <w:p w:rsidR="003F7303" w:rsidRPr="00A22F5F" w:rsidRDefault="003F7303" w:rsidP="008526DC">
            <w:pPr>
              <w:pStyle w:val="TableText"/>
              <w:jc w:val="center"/>
            </w:pPr>
            <w:r w:rsidRPr="00A22F5F">
              <w:t>4.1</w:t>
            </w:r>
          </w:p>
        </w:tc>
        <w:tc>
          <w:tcPr>
            <w:tcW w:w="900" w:type="dxa"/>
            <w:shd w:val="clear" w:color="auto" w:fill="auto"/>
            <w:noWrap/>
            <w:vAlign w:val="bottom"/>
            <w:hideMark/>
          </w:tcPr>
          <w:p w:rsidR="003F7303" w:rsidRPr="00A22F5F" w:rsidRDefault="003F7303" w:rsidP="008526DC">
            <w:pPr>
              <w:pStyle w:val="TableText"/>
              <w:jc w:val="center"/>
            </w:pPr>
            <w:r w:rsidRPr="00A22F5F">
              <w:t>4.6</w:t>
            </w:r>
          </w:p>
        </w:tc>
        <w:tc>
          <w:tcPr>
            <w:tcW w:w="810" w:type="dxa"/>
            <w:shd w:val="clear" w:color="auto" w:fill="auto"/>
            <w:noWrap/>
            <w:vAlign w:val="bottom"/>
            <w:hideMark/>
          </w:tcPr>
          <w:p w:rsidR="003F7303" w:rsidRPr="00A22F5F" w:rsidRDefault="003F7303" w:rsidP="008526DC">
            <w:pPr>
              <w:pStyle w:val="TableText"/>
              <w:jc w:val="center"/>
            </w:pPr>
            <w:r w:rsidRPr="00A22F5F">
              <w:t>4.4</w:t>
            </w:r>
          </w:p>
        </w:tc>
        <w:tc>
          <w:tcPr>
            <w:tcW w:w="720" w:type="dxa"/>
            <w:shd w:val="clear" w:color="auto" w:fill="auto"/>
            <w:noWrap/>
            <w:vAlign w:val="bottom"/>
            <w:hideMark/>
          </w:tcPr>
          <w:p w:rsidR="003F7303" w:rsidRPr="00A22F5F" w:rsidRDefault="003F7303" w:rsidP="008526DC">
            <w:pPr>
              <w:pStyle w:val="TableText"/>
              <w:jc w:val="center"/>
            </w:pPr>
            <w:r w:rsidRPr="00A22F5F">
              <w:t>4.5</w:t>
            </w:r>
          </w:p>
        </w:tc>
        <w:tc>
          <w:tcPr>
            <w:tcW w:w="900" w:type="dxa"/>
            <w:shd w:val="clear" w:color="auto" w:fill="auto"/>
            <w:noWrap/>
            <w:vAlign w:val="bottom"/>
            <w:hideMark/>
          </w:tcPr>
          <w:p w:rsidR="003F7303" w:rsidRPr="00A22F5F" w:rsidRDefault="003F7303" w:rsidP="008526DC">
            <w:pPr>
              <w:pStyle w:val="TableText"/>
              <w:jc w:val="center"/>
            </w:pPr>
            <w:r w:rsidRPr="00A22F5F">
              <w:t>4.2</w:t>
            </w:r>
          </w:p>
        </w:tc>
        <w:tc>
          <w:tcPr>
            <w:tcW w:w="1170" w:type="dxa"/>
            <w:shd w:val="clear" w:color="auto" w:fill="auto"/>
            <w:noWrap/>
            <w:vAlign w:val="bottom"/>
            <w:hideMark/>
          </w:tcPr>
          <w:p w:rsidR="003F7303" w:rsidRPr="00A22F5F" w:rsidRDefault="003F7303" w:rsidP="008526DC">
            <w:pPr>
              <w:pStyle w:val="TableText"/>
              <w:jc w:val="center"/>
            </w:pPr>
            <w:r w:rsidRPr="00A22F5F">
              <w:t>4.3</w:t>
            </w:r>
          </w:p>
        </w:tc>
      </w:tr>
    </w:tbl>
    <w:p w:rsidR="003F7303" w:rsidRDefault="003F7303" w:rsidP="003F7303"/>
    <w:p w:rsidR="00614407" w:rsidRDefault="003F7303" w:rsidP="00614407">
      <w:pPr>
        <w:pStyle w:val="TableFigureCaption"/>
      </w:pPr>
      <w:r>
        <w:br w:type="page"/>
      </w:r>
      <w:r w:rsidR="00614407">
        <w:lastRenderedPageBreak/>
        <w:t>Table 5-5:</w:t>
      </w:r>
      <w:r w:rsidR="00614407">
        <w:br/>
        <w:t>Aggregate Load Reductions by Day Type, Weather Year and Hour</w:t>
      </w:r>
      <w:r w:rsidR="00614407">
        <w:br/>
        <w:t>All Customers</w:t>
      </w:r>
    </w:p>
    <w:tbl>
      <w:tblPr>
        <w:tblW w:w="9780" w:type="dxa"/>
        <w:tblInd w:w="93" w:type="dxa"/>
        <w:tblLook w:val="04A0"/>
      </w:tblPr>
      <w:tblGrid>
        <w:gridCol w:w="1080"/>
        <w:gridCol w:w="2445"/>
        <w:gridCol w:w="990"/>
        <w:gridCol w:w="945"/>
        <w:gridCol w:w="1080"/>
        <w:gridCol w:w="1080"/>
        <w:gridCol w:w="1080"/>
        <w:gridCol w:w="1080"/>
      </w:tblGrid>
      <w:tr w:rsidR="00614407" w:rsidRPr="00614407" w:rsidTr="00614407">
        <w:trPr>
          <w:trHeight w:val="300"/>
        </w:trPr>
        <w:tc>
          <w:tcPr>
            <w:tcW w:w="1080" w:type="dxa"/>
            <w:vMerge w:val="restart"/>
            <w:tcBorders>
              <w:top w:val="single" w:sz="8" w:space="0" w:color="auto"/>
              <w:left w:val="single" w:sz="8" w:space="0" w:color="auto"/>
              <w:bottom w:val="single" w:sz="8" w:space="0" w:color="000000"/>
              <w:right w:val="single" w:sz="8" w:space="0" w:color="FFFFFF"/>
            </w:tcBorders>
            <w:shd w:val="clear" w:color="000000" w:fill="1F497D"/>
            <w:vAlign w:val="center"/>
            <w:hideMark/>
          </w:tcPr>
          <w:p w:rsidR="00614407" w:rsidRPr="00614407" w:rsidRDefault="00614407" w:rsidP="00614407">
            <w:pPr>
              <w:spacing w:after="0" w:line="240" w:lineRule="auto"/>
              <w:jc w:val="center"/>
              <w:rPr>
                <w:rFonts w:ascii="Arial" w:eastAsia="Times New Roman" w:hAnsi="Arial" w:cs="Arial"/>
                <w:b/>
                <w:bCs/>
                <w:color w:val="FFFFFF"/>
                <w:sz w:val="20"/>
                <w:szCs w:val="20"/>
              </w:rPr>
            </w:pPr>
            <w:r w:rsidRPr="00614407">
              <w:rPr>
                <w:rFonts w:ascii="Arial" w:eastAsia="Times New Roman" w:hAnsi="Arial" w:cs="Arial"/>
                <w:b/>
                <w:bCs/>
                <w:color w:val="FFFFFF"/>
                <w:sz w:val="20"/>
                <w:szCs w:val="20"/>
              </w:rPr>
              <w:t>Weather Year</w:t>
            </w:r>
          </w:p>
        </w:tc>
        <w:tc>
          <w:tcPr>
            <w:tcW w:w="2445" w:type="dxa"/>
            <w:vMerge w:val="restart"/>
            <w:tcBorders>
              <w:top w:val="single" w:sz="8" w:space="0" w:color="auto"/>
              <w:left w:val="single" w:sz="8" w:space="0" w:color="FFFFFF"/>
              <w:bottom w:val="single" w:sz="8" w:space="0" w:color="000000"/>
              <w:right w:val="single" w:sz="8" w:space="0" w:color="FFFFFF"/>
            </w:tcBorders>
            <w:shd w:val="clear" w:color="000000" w:fill="1F497D"/>
            <w:vAlign w:val="center"/>
            <w:hideMark/>
          </w:tcPr>
          <w:p w:rsidR="00614407" w:rsidRPr="00614407" w:rsidRDefault="00614407" w:rsidP="00614407">
            <w:pPr>
              <w:spacing w:after="0" w:line="240" w:lineRule="auto"/>
              <w:jc w:val="center"/>
              <w:rPr>
                <w:rFonts w:ascii="Arial" w:eastAsia="Times New Roman" w:hAnsi="Arial" w:cs="Arial"/>
                <w:b/>
                <w:bCs/>
                <w:color w:val="FFFFFF"/>
                <w:sz w:val="20"/>
                <w:szCs w:val="20"/>
              </w:rPr>
            </w:pPr>
            <w:r w:rsidRPr="00614407">
              <w:rPr>
                <w:rFonts w:ascii="Arial" w:eastAsia="Times New Roman" w:hAnsi="Arial" w:cs="Arial"/>
                <w:b/>
                <w:bCs/>
                <w:color w:val="FFFFFF"/>
                <w:sz w:val="20"/>
                <w:szCs w:val="20"/>
              </w:rPr>
              <w:t>Day Type</w:t>
            </w:r>
          </w:p>
        </w:tc>
        <w:tc>
          <w:tcPr>
            <w:tcW w:w="5175" w:type="dxa"/>
            <w:gridSpan w:val="5"/>
            <w:tcBorders>
              <w:top w:val="single" w:sz="8" w:space="0" w:color="auto"/>
              <w:left w:val="nil"/>
              <w:bottom w:val="single" w:sz="8" w:space="0" w:color="FFFFFF"/>
              <w:right w:val="single" w:sz="8" w:space="0" w:color="FFFFFF"/>
            </w:tcBorders>
            <w:shd w:val="clear" w:color="000000" w:fill="1F497D"/>
            <w:noWrap/>
            <w:vAlign w:val="center"/>
            <w:hideMark/>
          </w:tcPr>
          <w:p w:rsidR="00614407" w:rsidRPr="00614407" w:rsidRDefault="00614407" w:rsidP="00614407">
            <w:pPr>
              <w:spacing w:after="0" w:line="240" w:lineRule="auto"/>
              <w:jc w:val="center"/>
              <w:rPr>
                <w:rFonts w:ascii="Arial" w:eastAsia="Times New Roman" w:hAnsi="Arial" w:cs="Arial"/>
                <w:b/>
                <w:bCs/>
                <w:color w:val="FFFFFF"/>
                <w:sz w:val="20"/>
                <w:szCs w:val="20"/>
              </w:rPr>
            </w:pPr>
            <w:r w:rsidRPr="00614407">
              <w:rPr>
                <w:rFonts w:ascii="Arial" w:eastAsia="Times New Roman" w:hAnsi="Arial" w:cs="Arial"/>
                <w:b/>
                <w:bCs/>
                <w:color w:val="FFFFFF"/>
                <w:sz w:val="20"/>
                <w:szCs w:val="20"/>
              </w:rPr>
              <w:t>Hour of Day</w:t>
            </w:r>
          </w:p>
        </w:tc>
        <w:tc>
          <w:tcPr>
            <w:tcW w:w="1080" w:type="dxa"/>
            <w:vMerge w:val="restart"/>
            <w:tcBorders>
              <w:top w:val="single" w:sz="8" w:space="0" w:color="auto"/>
              <w:left w:val="single" w:sz="8" w:space="0" w:color="FFFFFF"/>
              <w:bottom w:val="single" w:sz="8" w:space="0" w:color="000000"/>
              <w:right w:val="single" w:sz="8" w:space="0" w:color="auto"/>
            </w:tcBorders>
            <w:shd w:val="clear" w:color="000000" w:fill="1F497D"/>
            <w:vAlign w:val="center"/>
            <w:hideMark/>
          </w:tcPr>
          <w:p w:rsidR="00614407" w:rsidRPr="00614407" w:rsidRDefault="00614407" w:rsidP="00614407">
            <w:pPr>
              <w:spacing w:after="0" w:line="240" w:lineRule="auto"/>
              <w:jc w:val="center"/>
              <w:rPr>
                <w:rFonts w:ascii="Arial" w:eastAsia="Times New Roman" w:hAnsi="Arial" w:cs="Arial"/>
                <w:b/>
                <w:bCs/>
                <w:color w:val="FFFFFF"/>
                <w:sz w:val="20"/>
                <w:szCs w:val="20"/>
              </w:rPr>
            </w:pPr>
            <w:r w:rsidRPr="00614407">
              <w:rPr>
                <w:rFonts w:ascii="Arial" w:eastAsia="Times New Roman" w:hAnsi="Arial" w:cs="Arial"/>
                <w:b/>
                <w:bCs/>
                <w:color w:val="FFFFFF"/>
                <w:sz w:val="20"/>
                <w:szCs w:val="20"/>
              </w:rPr>
              <w:t>Average</w:t>
            </w:r>
          </w:p>
        </w:tc>
      </w:tr>
      <w:tr w:rsidR="00614407" w:rsidRPr="00614407" w:rsidTr="00614407">
        <w:trPr>
          <w:trHeight w:val="300"/>
        </w:trPr>
        <w:tc>
          <w:tcPr>
            <w:tcW w:w="1080" w:type="dxa"/>
            <w:vMerge/>
            <w:tcBorders>
              <w:top w:val="single" w:sz="8" w:space="0" w:color="auto"/>
              <w:left w:val="single" w:sz="8" w:space="0" w:color="auto"/>
              <w:bottom w:val="single" w:sz="8" w:space="0" w:color="000000"/>
              <w:right w:val="single" w:sz="8" w:space="0" w:color="FFFFFF"/>
            </w:tcBorders>
            <w:vAlign w:val="center"/>
            <w:hideMark/>
          </w:tcPr>
          <w:p w:rsidR="00614407" w:rsidRPr="00614407" w:rsidRDefault="00614407" w:rsidP="00614407">
            <w:pPr>
              <w:spacing w:after="0" w:line="240" w:lineRule="auto"/>
              <w:rPr>
                <w:rFonts w:ascii="Arial" w:eastAsia="Times New Roman" w:hAnsi="Arial" w:cs="Arial"/>
                <w:b/>
                <w:bCs/>
                <w:color w:val="FFFFFF"/>
                <w:sz w:val="20"/>
                <w:szCs w:val="20"/>
              </w:rPr>
            </w:pPr>
          </w:p>
        </w:tc>
        <w:tc>
          <w:tcPr>
            <w:tcW w:w="2445" w:type="dxa"/>
            <w:vMerge/>
            <w:tcBorders>
              <w:top w:val="single" w:sz="8" w:space="0" w:color="auto"/>
              <w:left w:val="single" w:sz="8" w:space="0" w:color="FFFFFF"/>
              <w:bottom w:val="single" w:sz="8" w:space="0" w:color="000000"/>
              <w:right w:val="single" w:sz="8" w:space="0" w:color="FFFFFF"/>
            </w:tcBorders>
            <w:vAlign w:val="center"/>
            <w:hideMark/>
          </w:tcPr>
          <w:p w:rsidR="00614407" w:rsidRPr="00614407" w:rsidRDefault="00614407" w:rsidP="00614407">
            <w:pPr>
              <w:spacing w:after="0" w:line="240" w:lineRule="auto"/>
              <w:rPr>
                <w:rFonts w:ascii="Arial" w:eastAsia="Times New Roman" w:hAnsi="Arial" w:cs="Arial"/>
                <w:b/>
                <w:bCs/>
                <w:color w:val="FFFFFF"/>
                <w:sz w:val="20"/>
                <w:szCs w:val="20"/>
              </w:rPr>
            </w:pPr>
          </w:p>
        </w:tc>
        <w:tc>
          <w:tcPr>
            <w:tcW w:w="990" w:type="dxa"/>
            <w:tcBorders>
              <w:top w:val="nil"/>
              <w:left w:val="nil"/>
              <w:bottom w:val="single" w:sz="8" w:space="0" w:color="auto"/>
              <w:right w:val="single" w:sz="8" w:space="0" w:color="FFFFFF"/>
            </w:tcBorders>
            <w:shd w:val="clear" w:color="000000" w:fill="1F497D"/>
            <w:vAlign w:val="center"/>
            <w:hideMark/>
          </w:tcPr>
          <w:p w:rsidR="00614407" w:rsidRPr="00614407" w:rsidRDefault="00614407" w:rsidP="00614407">
            <w:pPr>
              <w:spacing w:after="0" w:line="240" w:lineRule="auto"/>
              <w:jc w:val="center"/>
              <w:rPr>
                <w:rFonts w:ascii="Arial" w:eastAsia="Times New Roman" w:hAnsi="Arial" w:cs="Arial"/>
                <w:b/>
                <w:bCs/>
                <w:color w:val="FFFFFF"/>
                <w:sz w:val="20"/>
                <w:szCs w:val="20"/>
              </w:rPr>
            </w:pPr>
            <w:r w:rsidRPr="00614407">
              <w:rPr>
                <w:rFonts w:ascii="Arial" w:eastAsia="Times New Roman" w:hAnsi="Arial" w:cs="Arial"/>
                <w:b/>
                <w:bCs/>
                <w:color w:val="FFFFFF"/>
                <w:sz w:val="20"/>
                <w:szCs w:val="20"/>
              </w:rPr>
              <w:t>1 to 2 PM</w:t>
            </w:r>
          </w:p>
        </w:tc>
        <w:tc>
          <w:tcPr>
            <w:tcW w:w="945" w:type="dxa"/>
            <w:tcBorders>
              <w:top w:val="nil"/>
              <w:left w:val="nil"/>
              <w:bottom w:val="single" w:sz="8" w:space="0" w:color="auto"/>
              <w:right w:val="single" w:sz="8" w:space="0" w:color="FFFFFF"/>
            </w:tcBorders>
            <w:shd w:val="clear" w:color="000000" w:fill="1F497D"/>
            <w:vAlign w:val="center"/>
            <w:hideMark/>
          </w:tcPr>
          <w:p w:rsidR="00614407" w:rsidRPr="00614407" w:rsidRDefault="00614407" w:rsidP="00614407">
            <w:pPr>
              <w:spacing w:after="0" w:line="240" w:lineRule="auto"/>
              <w:jc w:val="center"/>
              <w:rPr>
                <w:rFonts w:ascii="Arial" w:eastAsia="Times New Roman" w:hAnsi="Arial" w:cs="Arial"/>
                <w:b/>
                <w:bCs/>
                <w:color w:val="FFFFFF"/>
                <w:sz w:val="20"/>
                <w:szCs w:val="20"/>
              </w:rPr>
            </w:pPr>
            <w:r w:rsidRPr="00614407">
              <w:rPr>
                <w:rFonts w:ascii="Arial" w:eastAsia="Times New Roman" w:hAnsi="Arial" w:cs="Arial"/>
                <w:b/>
                <w:bCs/>
                <w:color w:val="FFFFFF"/>
                <w:sz w:val="20"/>
                <w:szCs w:val="20"/>
              </w:rPr>
              <w:t>2 to 3 PM</w:t>
            </w:r>
          </w:p>
        </w:tc>
        <w:tc>
          <w:tcPr>
            <w:tcW w:w="1080" w:type="dxa"/>
            <w:tcBorders>
              <w:top w:val="nil"/>
              <w:left w:val="nil"/>
              <w:bottom w:val="single" w:sz="8" w:space="0" w:color="auto"/>
              <w:right w:val="single" w:sz="8" w:space="0" w:color="FFFFFF"/>
            </w:tcBorders>
            <w:shd w:val="clear" w:color="000000" w:fill="1F497D"/>
            <w:vAlign w:val="center"/>
            <w:hideMark/>
          </w:tcPr>
          <w:p w:rsidR="00614407" w:rsidRPr="00614407" w:rsidRDefault="00614407" w:rsidP="00614407">
            <w:pPr>
              <w:spacing w:after="0" w:line="240" w:lineRule="auto"/>
              <w:jc w:val="center"/>
              <w:rPr>
                <w:rFonts w:ascii="Arial" w:eastAsia="Times New Roman" w:hAnsi="Arial" w:cs="Arial"/>
                <w:b/>
                <w:bCs/>
                <w:color w:val="FFFFFF"/>
                <w:sz w:val="20"/>
                <w:szCs w:val="20"/>
              </w:rPr>
            </w:pPr>
            <w:r w:rsidRPr="00614407">
              <w:rPr>
                <w:rFonts w:ascii="Arial" w:eastAsia="Times New Roman" w:hAnsi="Arial" w:cs="Arial"/>
                <w:b/>
                <w:bCs/>
                <w:color w:val="FFFFFF"/>
                <w:sz w:val="20"/>
                <w:szCs w:val="20"/>
              </w:rPr>
              <w:t>3 to 4 PM</w:t>
            </w:r>
          </w:p>
        </w:tc>
        <w:tc>
          <w:tcPr>
            <w:tcW w:w="1080" w:type="dxa"/>
            <w:tcBorders>
              <w:top w:val="nil"/>
              <w:left w:val="nil"/>
              <w:bottom w:val="single" w:sz="8" w:space="0" w:color="auto"/>
              <w:right w:val="single" w:sz="8" w:space="0" w:color="FFFFFF"/>
            </w:tcBorders>
            <w:shd w:val="clear" w:color="000000" w:fill="1F497D"/>
            <w:vAlign w:val="center"/>
            <w:hideMark/>
          </w:tcPr>
          <w:p w:rsidR="00614407" w:rsidRPr="00614407" w:rsidRDefault="00614407" w:rsidP="00614407">
            <w:pPr>
              <w:spacing w:after="0" w:line="240" w:lineRule="auto"/>
              <w:jc w:val="center"/>
              <w:rPr>
                <w:rFonts w:ascii="Arial" w:eastAsia="Times New Roman" w:hAnsi="Arial" w:cs="Arial"/>
                <w:b/>
                <w:bCs/>
                <w:color w:val="FFFFFF"/>
                <w:sz w:val="20"/>
                <w:szCs w:val="20"/>
              </w:rPr>
            </w:pPr>
            <w:r w:rsidRPr="00614407">
              <w:rPr>
                <w:rFonts w:ascii="Arial" w:eastAsia="Times New Roman" w:hAnsi="Arial" w:cs="Arial"/>
                <w:b/>
                <w:bCs/>
                <w:color w:val="FFFFFF"/>
                <w:sz w:val="20"/>
                <w:szCs w:val="20"/>
              </w:rPr>
              <w:t>4 to 5 PM</w:t>
            </w:r>
          </w:p>
        </w:tc>
        <w:tc>
          <w:tcPr>
            <w:tcW w:w="1080" w:type="dxa"/>
            <w:tcBorders>
              <w:top w:val="nil"/>
              <w:left w:val="nil"/>
              <w:bottom w:val="single" w:sz="8" w:space="0" w:color="auto"/>
              <w:right w:val="single" w:sz="8" w:space="0" w:color="FFFFFF"/>
            </w:tcBorders>
            <w:shd w:val="clear" w:color="000000" w:fill="1F497D"/>
            <w:vAlign w:val="center"/>
            <w:hideMark/>
          </w:tcPr>
          <w:p w:rsidR="00614407" w:rsidRPr="00614407" w:rsidRDefault="00614407" w:rsidP="00614407">
            <w:pPr>
              <w:spacing w:after="0" w:line="240" w:lineRule="auto"/>
              <w:jc w:val="center"/>
              <w:rPr>
                <w:rFonts w:ascii="Arial" w:eastAsia="Times New Roman" w:hAnsi="Arial" w:cs="Arial"/>
                <w:b/>
                <w:bCs/>
                <w:color w:val="FFFFFF"/>
                <w:sz w:val="20"/>
                <w:szCs w:val="20"/>
              </w:rPr>
            </w:pPr>
            <w:r w:rsidRPr="00614407">
              <w:rPr>
                <w:rFonts w:ascii="Arial" w:eastAsia="Times New Roman" w:hAnsi="Arial" w:cs="Arial"/>
                <w:b/>
                <w:bCs/>
                <w:color w:val="FFFFFF"/>
                <w:sz w:val="20"/>
                <w:szCs w:val="20"/>
              </w:rPr>
              <w:t>5 to 6 PM</w:t>
            </w:r>
          </w:p>
        </w:tc>
        <w:tc>
          <w:tcPr>
            <w:tcW w:w="1080" w:type="dxa"/>
            <w:vMerge/>
            <w:tcBorders>
              <w:top w:val="single" w:sz="8" w:space="0" w:color="auto"/>
              <w:left w:val="single" w:sz="8" w:space="0" w:color="FFFFFF"/>
              <w:bottom w:val="single" w:sz="8" w:space="0" w:color="000000"/>
              <w:right w:val="single" w:sz="8" w:space="0" w:color="auto"/>
            </w:tcBorders>
            <w:vAlign w:val="center"/>
            <w:hideMark/>
          </w:tcPr>
          <w:p w:rsidR="00614407" w:rsidRPr="00614407" w:rsidRDefault="00614407" w:rsidP="00614407">
            <w:pPr>
              <w:spacing w:after="0" w:line="240" w:lineRule="auto"/>
              <w:rPr>
                <w:rFonts w:ascii="Arial" w:eastAsia="Times New Roman" w:hAnsi="Arial" w:cs="Arial"/>
                <w:b/>
                <w:bCs/>
                <w:color w:val="FFFFFF"/>
                <w:sz w:val="20"/>
                <w:szCs w:val="20"/>
              </w:rPr>
            </w:pPr>
          </w:p>
        </w:tc>
      </w:tr>
      <w:tr w:rsidR="004F57FA" w:rsidRPr="00614407" w:rsidTr="004F57FA">
        <w:trPr>
          <w:trHeight w:val="300"/>
        </w:trPr>
        <w:tc>
          <w:tcPr>
            <w:tcW w:w="10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F57FA" w:rsidRPr="00614407" w:rsidRDefault="004F57FA" w:rsidP="00614407">
            <w:pPr>
              <w:spacing w:after="0" w:line="240" w:lineRule="auto"/>
              <w:rPr>
                <w:rFonts w:ascii="Arial" w:eastAsia="Times New Roman" w:hAnsi="Arial" w:cs="Arial"/>
                <w:color w:val="000000"/>
                <w:sz w:val="18"/>
                <w:szCs w:val="18"/>
              </w:rPr>
            </w:pPr>
            <w:r w:rsidRPr="00614407">
              <w:rPr>
                <w:rFonts w:ascii="Arial" w:eastAsia="Times New Roman" w:hAnsi="Arial" w:cs="Arial"/>
                <w:color w:val="000000"/>
                <w:sz w:val="18"/>
                <w:szCs w:val="18"/>
              </w:rPr>
              <w:t>1-in-2</w:t>
            </w:r>
          </w:p>
        </w:tc>
        <w:tc>
          <w:tcPr>
            <w:tcW w:w="2445" w:type="dxa"/>
            <w:tcBorders>
              <w:top w:val="nil"/>
              <w:left w:val="nil"/>
              <w:bottom w:val="single" w:sz="8" w:space="0" w:color="auto"/>
              <w:right w:val="single" w:sz="8" w:space="0" w:color="auto"/>
            </w:tcBorders>
            <w:shd w:val="clear" w:color="auto" w:fill="auto"/>
            <w:noWrap/>
            <w:vAlign w:val="center"/>
            <w:hideMark/>
          </w:tcPr>
          <w:p w:rsidR="004F57FA" w:rsidRPr="00614407" w:rsidRDefault="004F57FA" w:rsidP="00614407">
            <w:pPr>
              <w:spacing w:after="0" w:line="240" w:lineRule="auto"/>
              <w:rPr>
                <w:rFonts w:ascii="Arial" w:eastAsia="Times New Roman" w:hAnsi="Arial" w:cs="Arial"/>
                <w:color w:val="000000"/>
                <w:sz w:val="18"/>
                <w:szCs w:val="18"/>
              </w:rPr>
            </w:pPr>
            <w:r w:rsidRPr="00614407">
              <w:rPr>
                <w:rFonts w:ascii="Arial" w:eastAsia="Times New Roman" w:hAnsi="Arial" w:cs="Arial"/>
                <w:iCs/>
                <w:color w:val="000000"/>
                <w:sz w:val="18"/>
                <w:szCs w:val="18"/>
              </w:rPr>
              <w:t>Typical Event Day</w:t>
            </w:r>
          </w:p>
        </w:tc>
        <w:tc>
          <w:tcPr>
            <w:tcW w:w="99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14</w:t>
            </w:r>
          </w:p>
        </w:tc>
        <w:tc>
          <w:tcPr>
            <w:tcW w:w="945"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15</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19</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19</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17</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17</w:t>
            </w:r>
          </w:p>
        </w:tc>
      </w:tr>
      <w:tr w:rsidR="004F57FA" w:rsidRPr="00614407" w:rsidTr="004F57FA">
        <w:trPr>
          <w:trHeight w:val="300"/>
        </w:trPr>
        <w:tc>
          <w:tcPr>
            <w:tcW w:w="1080" w:type="dxa"/>
            <w:vMerge/>
            <w:tcBorders>
              <w:top w:val="nil"/>
              <w:left w:val="single" w:sz="8" w:space="0" w:color="auto"/>
              <w:bottom w:val="single" w:sz="8" w:space="0" w:color="000000"/>
              <w:right w:val="single" w:sz="8" w:space="0" w:color="auto"/>
            </w:tcBorders>
            <w:vAlign w:val="center"/>
            <w:hideMark/>
          </w:tcPr>
          <w:p w:rsidR="004F57FA" w:rsidRPr="00614407" w:rsidRDefault="004F57FA" w:rsidP="00614407">
            <w:pPr>
              <w:spacing w:after="0" w:line="240" w:lineRule="auto"/>
              <w:rPr>
                <w:rFonts w:ascii="Arial" w:eastAsia="Times New Roman" w:hAnsi="Arial" w:cs="Arial"/>
                <w:color w:val="000000"/>
                <w:sz w:val="18"/>
                <w:szCs w:val="18"/>
              </w:rPr>
            </w:pPr>
          </w:p>
        </w:tc>
        <w:tc>
          <w:tcPr>
            <w:tcW w:w="2445" w:type="dxa"/>
            <w:tcBorders>
              <w:top w:val="nil"/>
              <w:left w:val="nil"/>
              <w:bottom w:val="single" w:sz="8" w:space="0" w:color="auto"/>
              <w:right w:val="single" w:sz="8" w:space="0" w:color="auto"/>
            </w:tcBorders>
            <w:shd w:val="clear" w:color="auto" w:fill="auto"/>
            <w:noWrap/>
            <w:vAlign w:val="center"/>
            <w:hideMark/>
          </w:tcPr>
          <w:p w:rsidR="004F57FA" w:rsidRPr="00614407" w:rsidRDefault="004F57FA" w:rsidP="00614407">
            <w:pPr>
              <w:spacing w:after="0" w:line="240" w:lineRule="auto"/>
              <w:rPr>
                <w:rFonts w:ascii="Arial" w:eastAsia="Times New Roman" w:hAnsi="Arial" w:cs="Arial"/>
                <w:color w:val="000000"/>
                <w:sz w:val="18"/>
                <w:szCs w:val="18"/>
              </w:rPr>
            </w:pPr>
            <w:r w:rsidRPr="00614407">
              <w:rPr>
                <w:rFonts w:ascii="Arial" w:eastAsia="Times New Roman" w:hAnsi="Arial" w:cs="Arial"/>
                <w:color w:val="000000"/>
                <w:sz w:val="18"/>
                <w:szCs w:val="18"/>
              </w:rPr>
              <w:t>May Monthly Peak</w:t>
            </w:r>
          </w:p>
        </w:tc>
        <w:tc>
          <w:tcPr>
            <w:tcW w:w="99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7</w:t>
            </w:r>
          </w:p>
        </w:tc>
        <w:tc>
          <w:tcPr>
            <w:tcW w:w="945"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7</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9</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9</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8</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8</w:t>
            </w:r>
          </w:p>
        </w:tc>
      </w:tr>
      <w:tr w:rsidR="004F57FA" w:rsidRPr="00614407" w:rsidTr="004F57FA">
        <w:trPr>
          <w:trHeight w:val="300"/>
        </w:trPr>
        <w:tc>
          <w:tcPr>
            <w:tcW w:w="1080" w:type="dxa"/>
            <w:vMerge/>
            <w:tcBorders>
              <w:top w:val="nil"/>
              <w:left w:val="single" w:sz="8" w:space="0" w:color="auto"/>
              <w:bottom w:val="single" w:sz="8" w:space="0" w:color="000000"/>
              <w:right w:val="single" w:sz="8" w:space="0" w:color="auto"/>
            </w:tcBorders>
            <w:vAlign w:val="center"/>
            <w:hideMark/>
          </w:tcPr>
          <w:p w:rsidR="004F57FA" w:rsidRPr="00614407" w:rsidRDefault="004F57FA" w:rsidP="00614407">
            <w:pPr>
              <w:spacing w:after="0" w:line="240" w:lineRule="auto"/>
              <w:rPr>
                <w:rFonts w:ascii="Arial" w:eastAsia="Times New Roman" w:hAnsi="Arial" w:cs="Arial"/>
                <w:color w:val="000000"/>
                <w:sz w:val="18"/>
                <w:szCs w:val="18"/>
              </w:rPr>
            </w:pPr>
          </w:p>
        </w:tc>
        <w:tc>
          <w:tcPr>
            <w:tcW w:w="2445" w:type="dxa"/>
            <w:tcBorders>
              <w:top w:val="nil"/>
              <w:left w:val="nil"/>
              <w:bottom w:val="single" w:sz="8" w:space="0" w:color="auto"/>
              <w:right w:val="single" w:sz="8" w:space="0" w:color="auto"/>
            </w:tcBorders>
            <w:shd w:val="clear" w:color="auto" w:fill="auto"/>
            <w:noWrap/>
            <w:vAlign w:val="center"/>
            <w:hideMark/>
          </w:tcPr>
          <w:p w:rsidR="004F57FA" w:rsidRPr="00614407" w:rsidRDefault="004F57FA" w:rsidP="00614407">
            <w:pPr>
              <w:spacing w:after="0" w:line="240" w:lineRule="auto"/>
              <w:rPr>
                <w:rFonts w:ascii="Arial" w:eastAsia="Times New Roman" w:hAnsi="Arial" w:cs="Arial"/>
                <w:color w:val="000000"/>
                <w:sz w:val="18"/>
                <w:szCs w:val="18"/>
              </w:rPr>
            </w:pPr>
            <w:r w:rsidRPr="00614407">
              <w:rPr>
                <w:rFonts w:ascii="Arial" w:eastAsia="Times New Roman" w:hAnsi="Arial" w:cs="Arial"/>
                <w:color w:val="000000"/>
                <w:sz w:val="18"/>
                <w:szCs w:val="18"/>
              </w:rPr>
              <w:t>June Monthly Peak</w:t>
            </w:r>
          </w:p>
        </w:tc>
        <w:tc>
          <w:tcPr>
            <w:tcW w:w="99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5</w:t>
            </w:r>
          </w:p>
        </w:tc>
        <w:tc>
          <w:tcPr>
            <w:tcW w:w="945"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5</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6</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6</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6</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6</w:t>
            </w:r>
          </w:p>
        </w:tc>
      </w:tr>
      <w:tr w:rsidR="004F57FA" w:rsidRPr="00614407" w:rsidTr="004F57FA">
        <w:trPr>
          <w:trHeight w:val="300"/>
        </w:trPr>
        <w:tc>
          <w:tcPr>
            <w:tcW w:w="1080" w:type="dxa"/>
            <w:vMerge/>
            <w:tcBorders>
              <w:top w:val="nil"/>
              <w:left w:val="single" w:sz="8" w:space="0" w:color="auto"/>
              <w:bottom w:val="single" w:sz="8" w:space="0" w:color="000000"/>
              <w:right w:val="single" w:sz="8" w:space="0" w:color="auto"/>
            </w:tcBorders>
            <w:vAlign w:val="center"/>
            <w:hideMark/>
          </w:tcPr>
          <w:p w:rsidR="004F57FA" w:rsidRPr="00614407" w:rsidRDefault="004F57FA" w:rsidP="00614407">
            <w:pPr>
              <w:spacing w:after="0" w:line="240" w:lineRule="auto"/>
              <w:rPr>
                <w:rFonts w:ascii="Arial" w:eastAsia="Times New Roman" w:hAnsi="Arial" w:cs="Arial"/>
                <w:color w:val="000000"/>
                <w:sz w:val="18"/>
                <w:szCs w:val="18"/>
              </w:rPr>
            </w:pPr>
          </w:p>
        </w:tc>
        <w:tc>
          <w:tcPr>
            <w:tcW w:w="2445" w:type="dxa"/>
            <w:tcBorders>
              <w:top w:val="nil"/>
              <w:left w:val="nil"/>
              <w:bottom w:val="single" w:sz="8" w:space="0" w:color="auto"/>
              <w:right w:val="single" w:sz="8" w:space="0" w:color="auto"/>
            </w:tcBorders>
            <w:shd w:val="clear" w:color="auto" w:fill="auto"/>
            <w:noWrap/>
            <w:vAlign w:val="center"/>
            <w:hideMark/>
          </w:tcPr>
          <w:p w:rsidR="004F57FA" w:rsidRPr="00614407" w:rsidRDefault="004F57FA" w:rsidP="00614407">
            <w:pPr>
              <w:spacing w:after="0" w:line="240" w:lineRule="auto"/>
              <w:rPr>
                <w:rFonts w:ascii="Arial" w:eastAsia="Times New Roman" w:hAnsi="Arial" w:cs="Arial"/>
                <w:color w:val="000000"/>
                <w:sz w:val="18"/>
                <w:szCs w:val="18"/>
              </w:rPr>
            </w:pPr>
            <w:r w:rsidRPr="00614407">
              <w:rPr>
                <w:rFonts w:ascii="Arial" w:eastAsia="Times New Roman" w:hAnsi="Arial" w:cs="Arial"/>
                <w:color w:val="000000"/>
                <w:sz w:val="18"/>
                <w:szCs w:val="18"/>
              </w:rPr>
              <w:t>July Monthly Peak</w:t>
            </w:r>
          </w:p>
        </w:tc>
        <w:tc>
          <w:tcPr>
            <w:tcW w:w="99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14</w:t>
            </w:r>
          </w:p>
        </w:tc>
        <w:tc>
          <w:tcPr>
            <w:tcW w:w="945"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15</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19</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19</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17</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17</w:t>
            </w:r>
          </w:p>
        </w:tc>
      </w:tr>
      <w:tr w:rsidR="004F57FA" w:rsidRPr="00614407" w:rsidTr="004F57FA">
        <w:trPr>
          <w:trHeight w:val="300"/>
        </w:trPr>
        <w:tc>
          <w:tcPr>
            <w:tcW w:w="1080" w:type="dxa"/>
            <w:vMerge/>
            <w:tcBorders>
              <w:top w:val="nil"/>
              <w:left w:val="single" w:sz="8" w:space="0" w:color="auto"/>
              <w:bottom w:val="single" w:sz="8" w:space="0" w:color="000000"/>
              <w:right w:val="single" w:sz="8" w:space="0" w:color="auto"/>
            </w:tcBorders>
            <w:vAlign w:val="center"/>
            <w:hideMark/>
          </w:tcPr>
          <w:p w:rsidR="004F57FA" w:rsidRPr="00614407" w:rsidRDefault="004F57FA" w:rsidP="00614407">
            <w:pPr>
              <w:spacing w:after="0" w:line="240" w:lineRule="auto"/>
              <w:rPr>
                <w:rFonts w:ascii="Arial" w:eastAsia="Times New Roman" w:hAnsi="Arial" w:cs="Arial"/>
                <w:color w:val="000000"/>
                <w:sz w:val="18"/>
                <w:szCs w:val="18"/>
              </w:rPr>
            </w:pPr>
          </w:p>
        </w:tc>
        <w:tc>
          <w:tcPr>
            <w:tcW w:w="2445" w:type="dxa"/>
            <w:tcBorders>
              <w:top w:val="nil"/>
              <w:left w:val="nil"/>
              <w:bottom w:val="single" w:sz="8" w:space="0" w:color="auto"/>
              <w:right w:val="single" w:sz="8" w:space="0" w:color="auto"/>
            </w:tcBorders>
            <w:shd w:val="clear" w:color="auto" w:fill="auto"/>
            <w:noWrap/>
            <w:vAlign w:val="center"/>
            <w:hideMark/>
          </w:tcPr>
          <w:p w:rsidR="004F57FA" w:rsidRPr="00614407" w:rsidRDefault="004F57FA" w:rsidP="00614407">
            <w:pPr>
              <w:spacing w:after="0" w:line="240" w:lineRule="auto"/>
              <w:rPr>
                <w:rFonts w:ascii="Arial" w:eastAsia="Times New Roman" w:hAnsi="Arial" w:cs="Arial"/>
                <w:color w:val="000000"/>
                <w:sz w:val="18"/>
                <w:szCs w:val="18"/>
              </w:rPr>
            </w:pPr>
            <w:r w:rsidRPr="00614407">
              <w:rPr>
                <w:rFonts w:ascii="Arial" w:eastAsia="Times New Roman" w:hAnsi="Arial" w:cs="Arial"/>
                <w:color w:val="000000"/>
                <w:sz w:val="18"/>
                <w:szCs w:val="18"/>
              </w:rPr>
              <w:t>August Monthly Peak</w:t>
            </w:r>
          </w:p>
        </w:tc>
        <w:tc>
          <w:tcPr>
            <w:tcW w:w="99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13</w:t>
            </w:r>
          </w:p>
        </w:tc>
        <w:tc>
          <w:tcPr>
            <w:tcW w:w="945"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14</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18</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18</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16</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16</w:t>
            </w:r>
          </w:p>
        </w:tc>
      </w:tr>
      <w:tr w:rsidR="004F57FA" w:rsidRPr="00614407" w:rsidTr="004F57FA">
        <w:trPr>
          <w:trHeight w:val="300"/>
        </w:trPr>
        <w:tc>
          <w:tcPr>
            <w:tcW w:w="1080" w:type="dxa"/>
            <w:vMerge/>
            <w:tcBorders>
              <w:top w:val="nil"/>
              <w:left w:val="single" w:sz="8" w:space="0" w:color="auto"/>
              <w:bottom w:val="single" w:sz="8" w:space="0" w:color="000000"/>
              <w:right w:val="single" w:sz="8" w:space="0" w:color="auto"/>
            </w:tcBorders>
            <w:vAlign w:val="center"/>
            <w:hideMark/>
          </w:tcPr>
          <w:p w:rsidR="004F57FA" w:rsidRPr="00614407" w:rsidRDefault="004F57FA" w:rsidP="00614407">
            <w:pPr>
              <w:spacing w:after="0" w:line="240" w:lineRule="auto"/>
              <w:rPr>
                <w:rFonts w:ascii="Arial" w:eastAsia="Times New Roman" w:hAnsi="Arial" w:cs="Arial"/>
                <w:color w:val="000000"/>
                <w:sz w:val="18"/>
                <w:szCs w:val="18"/>
              </w:rPr>
            </w:pPr>
          </w:p>
        </w:tc>
        <w:tc>
          <w:tcPr>
            <w:tcW w:w="2445" w:type="dxa"/>
            <w:tcBorders>
              <w:top w:val="nil"/>
              <w:left w:val="nil"/>
              <w:bottom w:val="single" w:sz="8" w:space="0" w:color="auto"/>
              <w:right w:val="single" w:sz="8" w:space="0" w:color="auto"/>
            </w:tcBorders>
            <w:shd w:val="clear" w:color="auto" w:fill="auto"/>
            <w:noWrap/>
            <w:vAlign w:val="center"/>
            <w:hideMark/>
          </w:tcPr>
          <w:p w:rsidR="004F57FA" w:rsidRPr="00614407" w:rsidRDefault="004F57FA" w:rsidP="00614407">
            <w:pPr>
              <w:spacing w:after="0" w:line="240" w:lineRule="auto"/>
              <w:rPr>
                <w:rFonts w:ascii="Arial" w:eastAsia="Times New Roman" w:hAnsi="Arial" w:cs="Arial"/>
                <w:color w:val="000000"/>
                <w:sz w:val="18"/>
                <w:szCs w:val="18"/>
              </w:rPr>
            </w:pPr>
            <w:r w:rsidRPr="00614407">
              <w:rPr>
                <w:rFonts w:ascii="Arial" w:eastAsia="Times New Roman" w:hAnsi="Arial" w:cs="Arial"/>
                <w:color w:val="000000"/>
                <w:sz w:val="18"/>
                <w:szCs w:val="18"/>
              </w:rPr>
              <w:t>September Monthly Peak</w:t>
            </w:r>
          </w:p>
        </w:tc>
        <w:tc>
          <w:tcPr>
            <w:tcW w:w="99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20</w:t>
            </w:r>
          </w:p>
        </w:tc>
        <w:tc>
          <w:tcPr>
            <w:tcW w:w="945"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22</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27</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27</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24</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24</w:t>
            </w:r>
          </w:p>
        </w:tc>
      </w:tr>
      <w:tr w:rsidR="004F57FA" w:rsidRPr="00614407" w:rsidTr="004F57FA">
        <w:trPr>
          <w:trHeight w:val="300"/>
        </w:trPr>
        <w:tc>
          <w:tcPr>
            <w:tcW w:w="1080" w:type="dxa"/>
            <w:vMerge/>
            <w:tcBorders>
              <w:top w:val="nil"/>
              <w:left w:val="single" w:sz="8" w:space="0" w:color="auto"/>
              <w:bottom w:val="single" w:sz="8" w:space="0" w:color="000000"/>
              <w:right w:val="single" w:sz="8" w:space="0" w:color="auto"/>
            </w:tcBorders>
            <w:vAlign w:val="center"/>
            <w:hideMark/>
          </w:tcPr>
          <w:p w:rsidR="004F57FA" w:rsidRPr="00614407" w:rsidRDefault="004F57FA" w:rsidP="00614407">
            <w:pPr>
              <w:spacing w:after="0" w:line="240" w:lineRule="auto"/>
              <w:rPr>
                <w:rFonts w:ascii="Arial" w:eastAsia="Times New Roman" w:hAnsi="Arial" w:cs="Arial"/>
                <w:color w:val="000000"/>
                <w:sz w:val="18"/>
                <w:szCs w:val="18"/>
              </w:rPr>
            </w:pPr>
          </w:p>
        </w:tc>
        <w:tc>
          <w:tcPr>
            <w:tcW w:w="2445" w:type="dxa"/>
            <w:tcBorders>
              <w:top w:val="nil"/>
              <w:left w:val="nil"/>
              <w:bottom w:val="single" w:sz="8" w:space="0" w:color="auto"/>
              <w:right w:val="single" w:sz="8" w:space="0" w:color="auto"/>
            </w:tcBorders>
            <w:shd w:val="clear" w:color="auto" w:fill="auto"/>
            <w:noWrap/>
            <w:vAlign w:val="center"/>
            <w:hideMark/>
          </w:tcPr>
          <w:p w:rsidR="004F57FA" w:rsidRPr="00614407" w:rsidRDefault="004F57FA" w:rsidP="00614407">
            <w:pPr>
              <w:spacing w:after="0" w:line="240" w:lineRule="auto"/>
              <w:rPr>
                <w:rFonts w:ascii="Arial" w:eastAsia="Times New Roman" w:hAnsi="Arial" w:cs="Arial"/>
                <w:color w:val="000000"/>
                <w:sz w:val="18"/>
                <w:szCs w:val="18"/>
              </w:rPr>
            </w:pPr>
            <w:r w:rsidRPr="00614407">
              <w:rPr>
                <w:rFonts w:ascii="Arial" w:eastAsia="Times New Roman" w:hAnsi="Arial" w:cs="Arial"/>
                <w:color w:val="000000"/>
                <w:sz w:val="18"/>
                <w:szCs w:val="18"/>
              </w:rPr>
              <w:t>October Monthly Peak</w:t>
            </w:r>
          </w:p>
        </w:tc>
        <w:tc>
          <w:tcPr>
            <w:tcW w:w="99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13</w:t>
            </w:r>
          </w:p>
        </w:tc>
        <w:tc>
          <w:tcPr>
            <w:tcW w:w="945"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13</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17</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17</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15</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15</w:t>
            </w:r>
          </w:p>
        </w:tc>
      </w:tr>
      <w:tr w:rsidR="004F57FA" w:rsidRPr="00614407" w:rsidTr="004F57FA">
        <w:trPr>
          <w:trHeight w:val="300"/>
        </w:trPr>
        <w:tc>
          <w:tcPr>
            <w:tcW w:w="10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F57FA" w:rsidRPr="00614407" w:rsidRDefault="004F57FA" w:rsidP="00614407">
            <w:pPr>
              <w:spacing w:after="0" w:line="240" w:lineRule="auto"/>
              <w:rPr>
                <w:rFonts w:ascii="Arial" w:eastAsia="Times New Roman" w:hAnsi="Arial" w:cs="Arial"/>
                <w:color w:val="000000"/>
                <w:sz w:val="18"/>
                <w:szCs w:val="18"/>
              </w:rPr>
            </w:pPr>
            <w:r w:rsidRPr="00614407">
              <w:rPr>
                <w:rFonts w:ascii="Arial" w:eastAsia="Times New Roman" w:hAnsi="Arial" w:cs="Arial"/>
                <w:color w:val="000000"/>
                <w:sz w:val="18"/>
                <w:szCs w:val="18"/>
              </w:rPr>
              <w:t>1-in-10</w:t>
            </w:r>
          </w:p>
        </w:tc>
        <w:tc>
          <w:tcPr>
            <w:tcW w:w="2445" w:type="dxa"/>
            <w:tcBorders>
              <w:top w:val="nil"/>
              <w:left w:val="nil"/>
              <w:bottom w:val="single" w:sz="8" w:space="0" w:color="auto"/>
              <w:right w:val="single" w:sz="8" w:space="0" w:color="auto"/>
            </w:tcBorders>
            <w:shd w:val="clear" w:color="auto" w:fill="auto"/>
            <w:noWrap/>
            <w:vAlign w:val="center"/>
            <w:hideMark/>
          </w:tcPr>
          <w:p w:rsidR="004F57FA" w:rsidRPr="00614407" w:rsidRDefault="004F57FA" w:rsidP="00614407">
            <w:pPr>
              <w:spacing w:after="0" w:line="240" w:lineRule="auto"/>
              <w:rPr>
                <w:rFonts w:ascii="Arial" w:eastAsia="Times New Roman" w:hAnsi="Arial" w:cs="Arial"/>
                <w:color w:val="000000"/>
                <w:sz w:val="18"/>
                <w:szCs w:val="18"/>
              </w:rPr>
            </w:pPr>
            <w:r w:rsidRPr="00614407">
              <w:rPr>
                <w:rFonts w:ascii="Arial" w:eastAsia="Times New Roman" w:hAnsi="Arial" w:cs="Arial"/>
                <w:iCs/>
                <w:color w:val="000000"/>
                <w:sz w:val="18"/>
                <w:szCs w:val="18"/>
              </w:rPr>
              <w:t>Typical Event Day</w:t>
            </w:r>
          </w:p>
        </w:tc>
        <w:tc>
          <w:tcPr>
            <w:tcW w:w="99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16</w:t>
            </w:r>
          </w:p>
        </w:tc>
        <w:tc>
          <w:tcPr>
            <w:tcW w:w="945"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16</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22</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21</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19</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19</w:t>
            </w:r>
          </w:p>
        </w:tc>
      </w:tr>
      <w:tr w:rsidR="004F57FA" w:rsidRPr="00614407" w:rsidTr="004F57FA">
        <w:trPr>
          <w:trHeight w:val="300"/>
        </w:trPr>
        <w:tc>
          <w:tcPr>
            <w:tcW w:w="1080" w:type="dxa"/>
            <w:vMerge/>
            <w:tcBorders>
              <w:top w:val="nil"/>
              <w:left w:val="single" w:sz="8" w:space="0" w:color="auto"/>
              <w:bottom w:val="single" w:sz="8" w:space="0" w:color="000000"/>
              <w:right w:val="single" w:sz="8" w:space="0" w:color="auto"/>
            </w:tcBorders>
            <w:vAlign w:val="center"/>
            <w:hideMark/>
          </w:tcPr>
          <w:p w:rsidR="004F57FA" w:rsidRPr="00614407" w:rsidRDefault="004F57FA" w:rsidP="00614407">
            <w:pPr>
              <w:spacing w:after="0" w:line="240" w:lineRule="auto"/>
              <w:rPr>
                <w:rFonts w:ascii="Arial" w:eastAsia="Times New Roman" w:hAnsi="Arial" w:cs="Arial"/>
                <w:color w:val="000000"/>
                <w:sz w:val="18"/>
                <w:szCs w:val="18"/>
              </w:rPr>
            </w:pPr>
          </w:p>
        </w:tc>
        <w:tc>
          <w:tcPr>
            <w:tcW w:w="2445" w:type="dxa"/>
            <w:tcBorders>
              <w:top w:val="nil"/>
              <w:left w:val="nil"/>
              <w:bottom w:val="single" w:sz="8" w:space="0" w:color="auto"/>
              <w:right w:val="single" w:sz="8" w:space="0" w:color="auto"/>
            </w:tcBorders>
            <w:shd w:val="clear" w:color="auto" w:fill="auto"/>
            <w:noWrap/>
            <w:vAlign w:val="center"/>
            <w:hideMark/>
          </w:tcPr>
          <w:p w:rsidR="004F57FA" w:rsidRPr="00614407" w:rsidRDefault="004F57FA" w:rsidP="00614407">
            <w:pPr>
              <w:spacing w:after="0" w:line="240" w:lineRule="auto"/>
              <w:rPr>
                <w:rFonts w:ascii="Arial" w:eastAsia="Times New Roman" w:hAnsi="Arial" w:cs="Arial"/>
                <w:color w:val="000000"/>
                <w:sz w:val="18"/>
                <w:szCs w:val="18"/>
              </w:rPr>
            </w:pPr>
            <w:r w:rsidRPr="00614407">
              <w:rPr>
                <w:rFonts w:ascii="Arial" w:eastAsia="Times New Roman" w:hAnsi="Arial" w:cs="Arial"/>
                <w:color w:val="000000"/>
                <w:sz w:val="18"/>
                <w:szCs w:val="18"/>
              </w:rPr>
              <w:t>May Monthly Peak</w:t>
            </w:r>
          </w:p>
        </w:tc>
        <w:tc>
          <w:tcPr>
            <w:tcW w:w="99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12</w:t>
            </w:r>
          </w:p>
        </w:tc>
        <w:tc>
          <w:tcPr>
            <w:tcW w:w="945"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14</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17</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18</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16</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15</w:t>
            </w:r>
          </w:p>
        </w:tc>
      </w:tr>
      <w:tr w:rsidR="004F57FA" w:rsidRPr="00614407" w:rsidTr="004F57FA">
        <w:trPr>
          <w:trHeight w:val="300"/>
        </w:trPr>
        <w:tc>
          <w:tcPr>
            <w:tcW w:w="1080" w:type="dxa"/>
            <w:vMerge/>
            <w:tcBorders>
              <w:top w:val="nil"/>
              <w:left w:val="single" w:sz="8" w:space="0" w:color="auto"/>
              <w:bottom w:val="single" w:sz="8" w:space="0" w:color="000000"/>
              <w:right w:val="single" w:sz="8" w:space="0" w:color="auto"/>
            </w:tcBorders>
            <w:vAlign w:val="center"/>
            <w:hideMark/>
          </w:tcPr>
          <w:p w:rsidR="004F57FA" w:rsidRPr="00614407" w:rsidRDefault="004F57FA" w:rsidP="00614407">
            <w:pPr>
              <w:spacing w:after="0" w:line="240" w:lineRule="auto"/>
              <w:rPr>
                <w:rFonts w:ascii="Arial" w:eastAsia="Times New Roman" w:hAnsi="Arial" w:cs="Arial"/>
                <w:color w:val="000000"/>
                <w:sz w:val="18"/>
                <w:szCs w:val="18"/>
              </w:rPr>
            </w:pPr>
          </w:p>
        </w:tc>
        <w:tc>
          <w:tcPr>
            <w:tcW w:w="2445" w:type="dxa"/>
            <w:tcBorders>
              <w:top w:val="nil"/>
              <w:left w:val="nil"/>
              <w:bottom w:val="single" w:sz="8" w:space="0" w:color="auto"/>
              <w:right w:val="single" w:sz="8" w:space="0" w:color="auto"/>
            </w:tcBorders>
            <w:shd w:val="clear" w:color="auto" w:fill="auto"/>
            <w:noWrap/>
            <w:vAlign w:val="center"/>
            <w:hideMark/>
          </w:tcPr>
          <w:p w:rsidR="004F57FA" w:rsidRPr="00614407" w:rsidRDefault="004F57FA" w:rsidP="00614407">
            <w:pPr>
              <w:spacing w:after="0" w:line="240" w:lineRule="auto"/>
              <w:rPr>
                <w:rFonts w:ascii="Arial" w:eastAsia="Times New Roman" w:hAnsi="Arial" w:cs="Arial"/>
                <w:color w:val="000000"/>
                <w:sz w:val="18"/>
                <w:szCs w:val="18"/>
              </w:rPr>
            </w:pPr>
            <w:r w:rsidRPr="00614407">
              <w:rPr>
                <w:rFonts w:ascii="Arial" w:eastAsia="Times New Roman" w:hAnsi="Arial" w:cs="Arial"/>
                <w:color w:val="000000"/>
                <w:sz w:val="18"/>
                <w:szCs w:val="18"/>
              </w:rPr>
              <w:t>June Monthly Peak</w:t>
            </w:r>
          </w:p>
        </w:tc>
        <w:tc>
          <w:tcPr>
            <w:tcW w:w="99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11</w:t>
            </w:r>
          </w:p>
        </w:tc>
        <w:tc>
          <w:tcPr>
            <w:tcW w:w="945"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12</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16</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18</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17</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15</w:t>
            </w:r>
          </w:p>
        </w:tc>
      </w:tr>
      <w:tr w:rsidR="004F57FA" w:rsidRPr="00614407" w:rsidTr="004F57FA">
        <w:trPr>
          <w:trHeight w:val="300"/>
        </w:trPr>
        <w:tc>
          <w:tcPr>
            <w:tcW w:w="1080" w:type="dxa"/>
            <w:vMerge/>
            <w:tcBorders>
              <w:top w:val="nil"/>
              <w:left w:val="single" w:sz="8" w:space="0" w:color="auto"/>
              <w:bottom w:val="single" w:sz="8" w:space="0" w:color="000000"/>
              <w:right w:val="single" w:sz="8" w:space="0" w:color="auto"/>
            </w:tcBorders>
            <w:vAlign w:val="center"/>
            <w:hideMark/>
          </w:tcPr>
          <w:p w:rsidR="004F57FA" w:rsidRPr="00614407" w:rsidRDefault="004F57FA" w:rsidP="00614407">
            <w:pPr>
              <w:spacing w:after="0" w:line="240" w:lineRule="auto"/>
              <w:rPr>
                <w:rFonts w:ascii="Arial" w:eastAsia="Times New Roman" w:hAnsi="Arial" w:cs="Arial"/>
                <w:color w:val="000000"/>
                <w:sz w:val="18"/>
                <w:szCs w:val="18"/>
              </w:rPr>
            </w:pPr>
          </w:p>
        </w:tc>
        <w:tc>
          <w:tcPr>
            <w:tcW w:w="2445" w:type="dxa"/>
            <w:tcBorders>
              <w:top w:val="nil"/>
              <w:left w:val="nil"/>
              <w:bottom w:val="single" w:sz="8" w:space="0" w:color="auto"/>
              <w:right w:val="single" w:sz="8" w:space="0" w:color="auto"/>
            </w:tcBorders>
            <w:shd w:val="clear" w:color="auto" w:fill="auto"/>
            <w:noWrap/>
            <w:vAlign w:val="center"/>
            <w:hideMark/>
          </w:tcPr>
          <w:p w:rsidR="004F57FA" w:rsidRPr="00614407" w:rsidRDefault="004F57FA" w:rsidP="00614407">
            <w:pPr>
              <w:spacing w:after="0" w:line="240" w:lineRule="auto"/>
              <w:rPr>
                <w:rFonts w:ascii="Arial" w:eastAsia="Times New Roman" w:hAnsi="Arial" w:cs="Arial"/>
                <w:color w:val="000000"/>
                <w:sz w:val="18"/>
                <w:szCs w:val="18"/>
              </w:rPr>
            </w:pPr>
            <w:r w:rsidRPr="00614407">
              <w:rPr>
                <w:rFonts w:ascii="Arial" w:eastAsia="Times New Roman" w:hAnsi="Arial" w:cs="Arial"/>
                <w:color w:val="000000"/>
                <w:sz w:val="18"/>
                <w:szCs w:val="18"/>
              </w:rPr>
              <w:t>July Monthly Peak</w:t>
            </w:r>
          </w:p>
        </w:tc>
        <w:tc>
          <w:tcPr>
            <w:tcW w:w="99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17</w:t>
            </w:r>
          </w:p>
        </w:tc>
        <w:tc>
          <w:tcPr>
            <w:tcW w:w="945"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18</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23</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23</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20</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20</w:t>
            </w:r>
          </w:p>
        </w:tc>
      </w:tr>
      <w:tr w:rsidR="004F57FA" w:rsidRPr="00614407" w:rsidTr="004F57FA">
        <w:trPr>
          <w:trHeight w:val="300"/>
        </w:trPr>
        <w:tc>
          <w:tcPr>
            <w:tcW w:w="1080" w:type="dxa"/>
            <w:vMerge/>
            <w:tcBorders>
              <w:top w:val="nil"/>
              <w:left w:val="single" w:sz="8" w:space="0" w:color="auto"/>
              <w:bottom w:val="single" w:sz="8" w:space="0" w:color="000000"/>
              <w:right w:val="single" w:sz="8" w:space="0" w:color="auto"/>
            </w:tcBorders>
            <w:vAlign w:val="center"/>
            <w:hideMark/>
          </w:tcPr>
          <w:p w:rsidR="004F57FA" w:rsidRPr="00614407" w:rsidRDefault="004F57FA" w:rsidP="00614407">
            <w:pPr>
              <w:spacing w:after="0" w:line="240" w:lineRule="auto"/>
              <w:rPr>
                <w:rFonts w:ascii="Arial" w:eastAsia="Times New Roman" w:hAnsi="Arial" w:cs="Arial"/>
                <w:color w:val="000000"/>
                <w:sz w:val="18"/>
                <w:szCs w:val="18"/>
              </w:rPr>
            </w:pPr>
          </w:p>
        </w:tc>
        <w:tc>
          <w:tcPr>
            <w:tcW w:w="2445" w:type="dxa"/>
            <w:tcBorders>
              <w:top w:val="nil"/>
              <w:left w:val="nil"/>
              <w:bottom w:val="single" w:sz="8" w:space="0" w:color="auto"/>
              <w:right w:val="single" w:sz="8" w:space="0" w:color="auto"/>
            </w:tcBorders>
            <w:shd w:val="clear" w:color="auto" w:fill="auto"/>
            <w:noWrap/>
            <w:vAlign w:val="center"/>
            <w:hideMark/>
          </w:tcPr>
          <w:p w:rsidR="004F57FA" w:rsidRPr="00614407" w:rsidRDefault="004F57FA" w:rsidP="00614407">
            <w:pPr>
              <w:spacing w:after="0" w:line="240" w:lineRule="auto"/>
              <w:rPr>
                <w:rFonts w:ascii="Arial" w:eastAsia="Times New Roman" w:hAnsi="Arial" w:cs="Arial"/>
                <w:color w:val="000000"/>
                <w:sz w:val="18"/>
                <w:szCs w:val="18"/>
              </w:rPr>
            </w:pPr>
            <w:r w:rsidRPr="00614407">
              <w:rPr>
                <w:rFonts w:ascii="Arial" w:eastAsia="Times New Roman" w:hAnsi="Arial" w:cs="Arial"/>
                <w:color w:val="000000"/>
                <w:sz w:val="18"/>
                <w:szCs w:val="18"/>
              </w:rPr>
              <w:t>August Monthly Peak</w:t>
            </w:r>
          </w:p>
        </w:tc>
        <w:tc>
          <w:tcPr>
            <w:tcW w:w="99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17</w:t>
            </w:r>
          </w:p>
        </w:tc>
        <w:tc>
          <w:tcPr>
            <w:tcW w:w="945"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16</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21</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21</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19</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19</w:t>
            </w:r>
          </w:p>
        </w:tc>
      </w:tr>
      <w:tr w:rsidR="004F57FA" w:rsidRPr="00614407" w:rsidTr="004F57FA">
        <w:trPr>
          <w:trHeight w:val="300"/>
        </w:trPr>
        <w:tc>
          <w:tcPr>
            <w:tcW w:w="1080" w:type="dxa"/>
            <w:vMerge/>
            <w:tcBorders>
              <w:top w:val="nil"/>
              <w:left w:val="single" w:sz="8" w:space="0" w:color="auto"/>
              <w:bottom w:val="single" w:sz="8" w:space="0" w:color="000000"/>
              <w:right w:val="single" w:sz="8" w:space="0" w:color="auto"/>
            </w:tcBorders>
            <w:vAlign w:val="center"/>
            <w:hideMark/>
          </w:tcPr>
          <w:p w:rsidR="004F57FA" w:rsidRPr="00614407" w:rsidRDefault="004F57FA" w:rsidP="00614407">
            <w:pPr>
              <w:spacing w:after="0" w:line="240" w:lineRule="auto"/>
              <w:rPr>
                <w:rFonts w:ascii="Arial" w:eastAsia="Times New Roman" w:hAnsi="Arial" w:cs="Arial"/>
                <w:color w:val="000000"/>
                <w:sz w:val="18"/>
                <w:szCs w:val="18"/>
              </w:rPr>
            </w:pPr>
          </w:p>
        </w:tc>
        <w:tc>
          <w:tcPr>
            <w:tcW w:w="2445" w:type="dxa"/>
            <w:tcBorders>
              <w:top w:val="nil"/>
              <w:left w:val="nil"/>
              <w:bottom w:val="single" w:sz="8" w:space="0" w:color="auto"/>
              <w:right w:val="single" w:sz="8" w:space="0" w:color="auto"/>
            </w:tcBorders>
            <w:shd w:val="clear" w:color="auto" w:fill="auto"/>
            <w:noWrap/>
            <w:vAlign w:val="center"/>
            <w:hideMark/>
          </w:tcPr>
          <w:p w:rsidR="004F57FA" w:rsidRPr="00614407" w:rsidRDefault="004F57FA" w:rsidP="00614407">
            <w:pPr>
              <w:spacing w:after="0" w:line="240" w:lineRule="auto"/>
              <w:rPr>
                <w:rFonts w:ascii="Arial" w:eastAsia="Times New Roman" w:hAnsi="Arial" w:cs="Arial"/>
                <w:color w:val="000000"/>
                <w:sz w:val="18"/>
                <w:szCs w:val="18"/>
              </w:rPr>
            </w:pPr>
            <w:r w:rsidRPr="00614407">
              <w:rPr>
                <w:rFonts w:ascii="Arial" w:eastAsia="Times New Roman" w:hAnsi="Arial" w:cs="Arial"/>
                <w:color w:val="000000"/>
                <w:sz w:val="18"/>
                <w:szCs w:val="18"/>
              </w:rPr>
              <w:t>September Monthly Peak</w:t>
            </w:r>
          </w:p>
        </w:tc>
        <w:tc>
          <w:tcPr>
            <w:tcW w:w="99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25</w:t>
            </w:r>
          </w:p>
        </w:tc>
        <w:tc>
          <w:tcPr>
            <w:tcW w:w="945"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27</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34</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34</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31</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30</w:t>
            </w:r>
          </w:p>
        </w:tc>
      </w:tr>
      <w:tr w:rsidR="004F57FA" w:rsidRPr="00614407" w:rsidTr="004F57FA">
        <w:trPr>
          <w:trHeight w:val="300"/>
        </w:trPr>
        <w:tc>
          <w:tcPr>
            <w:tcW w:w="1080" w:type="dxa"/>
            <w:vMerge/>
            <w:tcBorders>
              <w:top w:val="nil"/>
              <w:left w:val="single" w:sz="8" w:space="0" w:color="auto"/>
              <w:bottom w:val="single" w:sz="8" w:space="0" w:color="000000"/>
              <w:right w:val="single" w:sz="8" w:space="0" w:color="auto"/>
            </w:tcBorders>
            <w:vAlign w:val="center"/>
            <w:hideMark/>
          </w:tcPr>
          <w:p w:rsidR="004F57FA" w:rsidRPr="00614407" w:rsidRDefault="004F57FA" w:rsidP="00614407">
            <w:pPr>
              <w:spacing w:after="0" w:line="240" w:lineRule="auto"/>
              <w:rPr>
                <w:rFonts w:ascii="Arial" w:eastAsia="Times New Roman" w:hAnsi="Arial" w:cs="Arial"/>
                <w:color w:val="000000"/>
                <w:sz w:val="18"/>
                <w:szCs w:val="18"/>
              </w:rPr>
            </w:pPr>
          </w:p>
        </w:tc>
        <w:tc>
          <w:tcPr>
            <w:tcW w:w="2445" w:type="dxa"/>
            <w:tcBorders>
              <w:top w:val="nil"/>
              <w:left w:val="nil"/>
              <w:bottom w:val="single" w:sz="8" w:space="0" w:color="auto"/>
              <w:right w:val="single" w:sz="8" w:space="0" w:color="auto"/>
            </w:tcBorders>
            <w:shd w:val="clear" w:color="auto" w:fill="auto"/>
            <w:noWrap/>
            <w:vAlign w:val="center"/>
            <w:hideMark/>
          </w:tcPr>
          <w:p w:rsidR="004F57FA" w:rsidRPr="00614407" w:rsidRDefault="004F57FA" w:rsidP="00614407">
            <w:pPr>
              <w:spacing w:after="0" w:line="240" w:lineRule="auto"/>
              <w:rPr>
                <w:rFonts w:ascii="Arial" w:eastAsia="Times New Roman" w:hAnsi="Arial" w:cs="Arial"/>
                <w:color w:val="000000"/>
                <w:sz w:val="18"/>
                <w:szCs w:val="18"/>
              </w:rPr>
            </w:pPr>
            <w:r w:rsidRPr="00614407">
              <w:rPr>
                <w:rFonts w:ascii="Arial" w:eastAsia="Times New Roman" w:hAnsi="Arial" w:cs="Arial"/>
                <w:color w:val="000000"/>
                <w:sz w:val="18"/>
                <w:szCs w:val="18"/>
              </w:rPr>
              <w:t>October Monthly Peak</w:t>
            </w:r>
          </w:p>
        </w:tc>
        <w:tc>
          <w:tcPr>
            <w:tcW w:w="99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14</w:t>
            </w:r>
          </w:p>
        </w:tc>
        <w:tc>
          <w:tcPr>
            <w:tcW w:w="945"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16</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19</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21</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19</w:t>
            </w:r>
          </w:p>
        </w:tc>
        <w:tc>
          <w:tcPr>
            <w:tcW w:w="1080" w:type="dxa"/>
            <w:tcBorders>
              <w:top w:val="nil"/>
              <w:left w:val="nil"/>
              <w:bottom w:val="single" w:sz="8" w:space="0" w:color="auto"/>
              <w:right w:val="single" w:sz="8" w:space="0" w:color="auto"/>
            </w:tcBorders>
            <w:shd w:val="clear" w:color="auto" w:fill="auto"/>
            <w:noWrap/>
            <w:vAlign w:val="bottom"/>
            <w:hideMark/>
          </w:tcPr>
          <w:p w:rsidR="004F57FA" w:rsidRPr="004F57FA" w:rsidRDefault="004F57FA" w:rsidP="004F57FA">
            <w:pPr>
              <w:pStyle w:val="TableText"/>
              <w:jc w:val="center"/>
            </w:pPr>
            <w:r w:rsidRPr="004F57FA">
              <w:t>18</w:t>
            </w:r>
          </w:p>
        </w:tc>
      </w:tr>
    </w:tbl>
    <w:p w:rsidR="00330954" w:rsidRDefault="00330954" w:rsidP="009F113C"/>
    <w:p w:rsidR="004F57FA" w:rsidRDefault="004F57FA">
      <w:pPr>
        <w:rPr>
          <w:rFonts w:ascii="Arial Bold" w:eastAsia="Times New Roman" w:hAnsi="Arial Bold"/>
          <w:b/>
          <w:color w:val="433B67"/>
          <w:sz w:val="28"/>
          <w:szCs w:val="28"/>
        </w:rPr>
      </w:pPr>
      <w:r>
        <w:br w:type="page"/>
      </w:r>
    </w:p>
    <w:p w:rsidR="00281D27" w:rsidRDefault="00696299" w:rsidP="00330954">
      <w:pPr>
        <w:pStyle w:val="AppendixHeading"/>
      </w:pPr>
      <w:bookmarkStart w:id="24" w:name="_Toc325370153"/>
      <w:r>
        <w:lastRenderedPageBreak/>
        <w:t>Discussion of Modeling Choices</w:t>
      </w:r>
      <w:bookmarkEnd w:id="24"/>
    </w:p>
    <w:p w:rsidR="00986DD2" w:rsidRDefault="00986DD2" w:rsidP="00986DD2">
      <w:pPr>
        <w:pStyle w:val="BodyParagraph"/>
      </w:pPr>
      <w:r>
        <w:t xml:space="preserve">As compared to the two previous years, </w:t>
      </w:r>
      <w:r w:rsidR="00185CE7">
        <w:t>Summer Saver</w:t>
      </w:r>
      <w:r>
        <w:t xml:space="preserve"> events in 2011 did not lend themselves well to modeling by observing loads at non-event times with similar temperatures.  This was true for two reasons.  First, the load research sample for contract settlement was corrupted, leaving only a small sample of customers with unperturbed load on any given event day.  Second, four of the six events were not ideal from a modeling perspective in that they had certain unusual aspects that made them different from all non-event days during 2011.  This is especially true if the goal is to use the 2011 events alone as input into a predictive model of event impact as a function of event day temperatures.  </w:t>
      </w:r>
    </w:p>
    <w:p w:rsidR="00986DD2" w:rsidRDefault="00986DD2" w:rsidP="00986DD2">
      <w:pPr>
        <w:pStyle w:val="BodyParagraph"/>
      </w:pPr>
      <w:r>
        <w:t xml:space="preserve">For these reasons, it was determined that reference load estimation should not be limited to being based on loads observed during similar weather conditions when other sources of reference load may be more accurate.  With this guideline in mind, two different methodologies were used to estimate load impacts for both customer segments – individual customer regression based on weather, as has been used previously, and day-matching based on load shapes and magnitudes.  Each method is described </w:t>
      </w:r>
      <w:r w:rsidR="004406A0">
        <w:t xml:space="preserve">above </w:t>
      </w:r>
      <w:r w:rsidR="002D711F">
        <w:t xml:space="preserve">in section 3 </w:t>
      </w:r>
      <w:r w:rsidR="004406A0">
        <w:t xml:space="preserve">in the context of either residential or commercial customers.  In fact, both methods were used for both customer segments and the results </w:t>
      </w:r>
      <w:r w:rsidR="002D711F">
        <w:t>are</w:t>
      </w:r>
      <w:r w:rsidR="004406A0">
        <w:t xml:space="preserve"> compared</w:t>
      </w:r>
      <w:r w:rsidR="002D711F">
        <w:t xml:space="preserve"> in this Appendix</w:t>
      </w:r>
      <w:r>
        <w:t>.  The main conclusion from using these two methods is that from a practical standpoint, the two methods are each adequate for residential customers.  For commercial customers, only the day-matching method produced reliable estimates.</w:t>
      </w:r>
    </w:p>
    <w:p w:rsidR="004406A0" w:rsidRDefault="00FA1E2A" w:rsidP="004406A0">
      <w:pPr>
        <w:pStyle w:val="BodyParagraph"/>
      </w:pPr>
      <w:r>
        <w:t>The initial reason for looking to alternatives to individual customer regressions came from the fairly poor performance of the method for commercial customers</w:t>
      </w:r>
      <w:r w:rsidRPr="004406A0">
        <w:t xml:space="preserve"> </w:t>
      </w:r>
      <w:r>
        <w:t>on the October 12 and 13 event days</w:t>
      </w:r>
      <w:r>
        <w:rPr>
          <w:rStyle w:val="FootnoteReference"/>
        </w:rPr>
        <w:footnoteReference w:id="20"/>
      </w:r>
      <w:r>
        <w:t xml:space="preserve">.  </w:t>
      </w:r>
      <w:r w:rsidR="004406A0">
        <w:t xml:space="preserve">This is shown in Figures A-1 and A-2, which compare </w:t>
      </w:r>
      <w:r w:rsidR="00011B71">
        <w:t>predicted reference load on those days to actual</w:t>
      </w:r>
      <w:r w:rsidR="00B304F1">
        <w:t> </w:t>
      </w:r>
      <w:r w:rsidR="00011B71">
        <w:t xml:space="preserve">load.  </w:t>
      </w:r>
    </w:p>
    <w:p w:rsidR="00011B71" w:rsidRDefault="00011B71" w:rsidP="004406A0">
      <w:pPr>
        <w:pStyle w:val="BodyParagraph"/>
      </w:pPr>
      <w:r>
        <w:t xml:space="preserve">As shown in Figure </w:t>
      </w:r>
      <w:r w:rsidR="004406A0">
        <w:t>A-1</w:t>
      </w:r>
      <w:r>
        <w:t>, the model under-predicts loads in the time leading up to the event on October 12.  This is due to the lack of other comparable days in the summer that are so hot following a very cool period.  The model then predicts an implausible spike in reference load</w:t>
      </w:r>
      <w:r w:rsidRPr="00DB5C3A">
        <w:t xml:space="preserve"> </w:t>
      </w:r>
      <w:r>
        <w:t>during the 4-5 PM hour because the load and temperature information from the rest of the summer indicate that a day with such a high temperature must have a large event impact.  This spike is not observed during any non-event day; commercial loads tend to peak during the 3-4 PM</w:t>
      </w:r>
      <w:r w:rsidRPr="00013DC8">
        <w:t xml:space="preserve"> </w:t>
      </w:r>
      <w:r>
        <w:t>hour.  This suggests that the spike is an artifact of the model trying to fit a large event impact.  Moreover, examination of the load data itself indicates that it is much more likely that load impacts for that day are simply lower than would be expected on a day with that temperature.  This makes sense given that it was an unusually hot day in mid-October and the days leading up to it were significantly cooler.</w:t>
      </w:r>
    </w:p>
    <w:p w:rsidR="00011B71" w:rsidRDefault="00011B71" w:rsidP="00011B71">
      <w:pPr>
        <w:pStyle w:val="TableFigureCaption"/>
      </w:pPr>
      <w:r>
        <w:lastRenderedPageBreak/>
        <w:t xml:space="preserve">Figure </w:t>
      </w:r>
      <w:r w:rsidR="004406A0">
        <w:t>A-1</w:t>
      </w:r>
      <w:r>
        <w:t>:</w:t>
      </w:r>
      <w:r w:rsidR="00B304F1">
        <w:t xml:space="preserve"> </w:t>
      </w:r>
      <w:r w:rsidRPr="00EB1041">
        <w:t xml:space="preserve">Average </w:t>
      </w:r>
      <w:r>
        <w:t xml:space="preserve">Commercial Actual Load </w:t>
      </w:r>
      <w:r w:rsidRPr="00EB1041">
        <w:t xml:space="preserve">and </w:t>
      </w:r>
      <w:r w:rsidR="00B304F1">
        <w:br/>
      </w:r>
      <w:r w:rsidRPr="00EB1041">
        <w:t xml:space="preserve">Predicted </w:t>
      </w:r>
      <w:r>
        <w:t xml:space="preserve">Reference </w:t>
      </w:r>
      <w:r w:rsidRPr="00EB1041">
        <w:t xml:space="preserve">Load for </w:t>
      </w:r>
      <w:r>
        <w:t>October 12</w:t>
      </w:r>
    </w:p>
    <w:p w:rsidR="00011B71" w:rsidRDefault="00011B71" w:rsidP="00011B71">
      <w:pPr>
        <w:pStyle w:val="BodyParagraph"/>
      </w:pPr>
      <w:r>
        <w:rPr>
          <w:noProof/>
        </w:rPr>
        <w:drawing>
          <wp:inline distT="0" distB="0" distL="0" distR="0">
            <wp:extent cx="5803780" cy="3174521"/>
            <wp:effectExtent l="19050" t="0" r="25520" b="6829"/>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11B71" w:rsidRDefault="00011B71" w:rsidP="00B304F1">
      <w:pPr>
        <w:pStyle w:val="BodyParaAfterTableFigure"/>
      </w:pPr>
      <w:r>
        <w:t xml:space="preserve">Figure </w:t>
      </w:r>
      <w:r w:rsidR="004406A0">
        <w:t>A-2</w:t>
      </w:r>
      <w:r>
        <w:t xml:space="preserve"> shows that the model forces the reference load to be implausibly high on October 13 during the 4-5 PM hour.  Again, it does this because the other information that the model is based on indicates that the event impact should be higher on such a hot day.  That the model, and all other plausible regression models based on weather, produced such clear inaccuracies for 2 out of 6 event days prompted the use of day-matching to estimate commercial ex post load impacts.  As shown in the figures in Appendix B, day-matching produces more plausible reference loads for these October event days.</w:t>
      </w:r>
    </w:p>
    <w:p w:rsidR="00011B71" w:rsidRDefault="00011B71" w:rsidP="00011B71">
      <w:pPr>
        <w:pStyle w:val="BodyParagraph"/>
      </w:pPr>
    </w:p>
    <w:p w:rsidR="00011B71" w:rsidRDefault="00011B71" w:rsidP="00011B71">
      <w:pPr>
        <w:pStyle w:val="TableFigureCaption"/>
      </w:pPr>
      <w:r>
        <w:lastRenderedPageBreak/>
        <w:t xml:space="preserve">Figure </w:t>
      </w:r>
      <w:r w:rsidR="004406A0">
        <w:t>A-2</w:t>
      </w:r>
      <w:r>
        <w:t>:</w:t>
      </w:r>
      <w:r w:rsidR="00B304F1">
        <w:t xml:space="preserve"> </w:t>
      </w:r>
      <w:r w:rsidRPr="00EB1041">
        <w:t xml:space="preserve">Average </w:t>
      </w:r>
      <w:r>
        <w:t xml:space="preserve">Commercial Actual Load </w:t>
      </w:r>
      <w:r w:rsidRPr="00EB1041">
        <w:t xml:space="preserve">and </w:t>
      </w:r>
      <w:r w:rsidR="00B304F1">
        <w:br/>
      </w:r>
      <w:r w:rsidRPr="00EB1041">
        <w:t xml:space="preserve">Predicted </w:t>
      </w:r>
      <w:r>
        <w:t xml:space="preserve">Reference </w:t>
      </w:r>
      <w:r w:rsidRPr="00EB1041">
        <w:t xml:space="preserve">Load for </w:t>
      </w:r>
      <w:r>
        <w:t>October 13</w:t>
      </w:r>
    </w:p>
    <w:p w:rsidR="00011B71" w:rsidRDefault="00011B71" w:rsidP="00281D27">
      <w:pPr>
        <w:pStyle w:val="BodyParagraph"/>
      </w:pPr>
      <w:r>
        <w:rPr>
          <w:noProof/>
        </w:rPr>
        <w:drawing>
          <wp:inline distT="0" distB="0" distL="0" distR="0">
            <wp:extent cx="5734769" cy="3579962"/>
            <wp:effectExtent l="19050" t="0" r="18331" b="1438"/>
            <wp:docPr id="2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406A0" w:rsidRDefault="004406A0" w:rsidP="004406A0">
      <w:pPr>
        <w:pStyle w:val="AppendixHeading2"/>
      </w:pPr>
      <w:bookmarkStart w:id="25" w:name="_Toc325370154"/>
      <w:r>
        <w:t>Day Matching</w:t>
      </w:r>
      <w:bookmarkEnd w:id="25"/>
    </w:p>
    <w:p w:rsidR="00011B71" w:rsidRDefault="00011B71" w:rsidP="00011B71">
      <w:pPr>
        <w:pStyle w:val="BodyParagraph"/>
      </w:pPr>
      <w:r>
        <w:t>Under certain conditions, individual customer regressions do not necessarily provide the most accurate reference load estimates.  This occurs when there is reason to believe that the loads on an event day are not accurately predicted by a simple function of the temperature on that day.  Two factors arose in 2011 that call into question estimates based on individual customer regressions.  First, two of the event days occurred on days of unseasonable warmth in mid-fall</w:t>
      </w:r>
      <w:r w:rsidR="00BE556D">
        <w:t>,</w:t>
      </w:r>
      <w:r>
        <w:t xml:space="preserve"> leading to smaller loads than when similar temperatures occurred earlier in the season.  Second, the only heat wave of the summer took place from September 6-8.  The last two days were both event days and each had higher loads during the pre-event hours than any other day of the summer, including the only other heat wave of the summer.  This means that the only source of reference load is an extrapolation from loads observed during cooler conditions.  In this situation, linear regression has no particular advantage over simpler methods, such as the day-matching method used here.</w:t>
      </w:r>
    </w:p>
    <w:p w:rsidR="00011B71" w:rsidRDefault="00011B71" w:rsidP="00011B71">
      <w:pPr>
        <w:pStyle w:val="BodyParagraph"/>
      </w:pPr>
      <w:r>
        <w:t xml:space="preserve">There were a total of six event days in 2011; two of them occurred in mid-October.  Figure </w:t>
      </w:r>
      <w:r w:rsidR="0084459B">
        <w:t>A-3</w:t>
      </w:r>
      <w:r>
        <w:t xml:space="preserve"> shows that for residential customers the loads on those days were much lower than on the only non-event day with comparable temperature and were similar to loads observed on days with lower temperatures. Figure </w:t>
      </w:r>
      <w:r w:rsidR="0084459B">
        <w:t>A-4</w:t>
      </w:r>
      <w:r>
        <w:t xml:space="preserve"> shows a side by side comparison for each day’s average whole building load and average temperature.</w:t>
      </w:r>
    </w:p>
    <w:p w:rsidR="00011B71" w:rsidRDefault="00011B71" w:rsidP="00011B71">
      <w:pPr>
        <w:pStyle w:val="BodyParagraph"/>
      </w:pPr>
      <w:r>
        <w:t xml:space="preserve"> For residential customers, average temperatures peaked at 95</w:t>
      </w:r>
      <w:r>
        <w:rPr>
          <w:rFonts w:cs="Arial"/>
        </w:rPr>
        <w:t>°</w:t>
      </w:r>
      <w:r>
        <w:t>F on October 12 and 13.  Temperatures peaked at 94</w:t>
      </w:r>
      <w:r>
        <w:rPr>
          <w:rFonts w:cs="Arial"/>
        </w:rPr>
        <w:t>°</w:t>
      </w:r>
      <w:r>
        <w:t>F on September 6 and at 87</w:t>
      </w:r>
      <w:r>
        <w:rPr>
          <w:rFonts w:cs="Arial"/>
        </w:rPr>
        <w:t>°</w:t>
      </w:r>
      <w:r>
        <w:t xml:space="preserve">F on August 25, both non-event days.  As Figure </w:t>
      </w:r>
      <w:r w:rsidR="0084459B">
        <w:t>A-3</w:t>
      </w:r>
      <w:r>
        <w:t xml:space="preserve"> shows, between the two, August 25 provides a much more plausible reference load for the </w:t>
      </w:r>
      <w:r>
        <w:lastRenderedPageBreak/>
        <w:t xml:space="preserve">October event days even though the temperature on September 6, as indicated by Figure </w:t>
      </w:r>
      <w:r w:rsidR="0084459B">
        <w:t>A-4</w:t>
      </w:r>
      <w:r>
        <w:t xml:space="preserve"> is closer to that on the October event days.  There are several other non-event days with higher loads than August 25.  The important point is that those days also have much higher loads than the October event days, despite being substantially cooler.  </w:t>
      </w:r>
      <w:r w:rsidR="00185CE7">
        <w:t xml:space="preserve">In other words, merely warm days in mid-summer tend to have higher loads than hot days in October.  </w:t>
      </w:r>
      <w:r>
        <w:t>This means that a temperature-based model may produce inaccurate estimates for the October event days.</w:t>
      </w:r>
    </w:p>
    <w:p w:rsidR="00011B71" w:rsidRPr="00B304F1" w:rsidRDefault="0084459B" w:rsidP="00B304F1">
      <w:pPr>
        <w:pStyle w:val="TableFigureCaption"/>
      </w:pPr>
      <w:r w:rsidRPr="00B304F1">
        <w:t>Figure A-3</w:t>
      </w:r>
      <w:r w:rsidR="00011B71" w:rsidRPr="00B304F1">
        <w:t>:</w:t>
      </w:r>
      <w:r w:rsidR="00B304F1" w:rsidRPr="00B304F1">
        <w:t xml:space="preserve"> </w:t>
      </w:r>
      <w:r w:rsidR="00011B71" w:rsidRPr="00B304F1">
        <w:t xml:space="preserve">Residential Whole-building Load on </w:t>
      </w:r>
      <w:r w:rsidR="00B304F1" w:rsidRPr="00B304F1">
        <w:br/>
      </w:r>
      <w:r w:rsidR="00011B71" w:rsidRPr="00B304F1">
        <w:t>October Event Days, August 25 and September 6</w:t>
      </w:r>
    </w:p>
    <w:p w:rsidR="0084459B" w:rsidRDefault="00011B71" w:rsidP="00B304F1">
      <w:pPr>
        <w:pStyle w:val="BodyParagraph"/>
      </w:pPr>
      <w:r>
        <w:rPr>
          <w:noProof/>
        </w:rPr>
        <w:drawing>
          <wp:inline distT="0" distB="0" distL="0" distR="0">
            <wp:extent cx="5943600" cy="3881120"/>
            <wp:effectExtent l="19050" t="0" r="19050" b="5080"/>
            <wp:docPr id="3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11B71" w:rsidRDefault="00011B71" w:rsidP="0084459B">
      <w:pPr>
        <w:pStyle w:val="BodyParaAfterTableFigure"/>
      </w:pPr>
      <w:r>
        <w:t xml:space="preserve">Figure </w:t>
      </w:r>
      <w:r w:rsidR="0084459B">
        <w:t>A-3</w:t>
      </w:r>
      <w:r>
        <w:t xml:space="preserve"> </w:t>
      </w:r>
      <w:r w:rsidR="0084459B">
        <w:t>illustrates</w:t>
      </w:r>
      <w:r>
        <w:t xml:space="preserve"> a point made in the 2010 evaluation as well.  Loads vary for many unobservable reasons, which can lead temperature-based estimates to be inaccurate in certain circumstances.  In the 2010 evaluation, however, there was a treatment-control design that automatically provided good reference load estimates during all event hours.  Although such a design was in place for 2011, the design was corrupted and cannot be used for this analysis, as mentioned above.  </w:t>
      </w:r>
    </w:p>
    <w:p w:rsidR="00011B71" w:rsidRPr="00B304F1" w:rsidRDefault="00011B71" w:rsidP="00B304F1">
      <w:pPr>
        <w:pStyle w:val="TableFigureCaption"/>
      </w:pPr>
      <w:r w:rsidRPr="00B304F1">
        <w:lastRenderedPageBreak/>
        <w:t xml:space="preserve">Figure </w:t>
      </w:r>
      <w:r w:rsidR="0084459B" w:rsidRPr="00B304F1">
        <w:t>A-4</w:t>
      </w:r>
      <w:r w:rsidRPr="00B304F1">
        <w:t>:</w:t>
      </w:r>
      <w:r w:rsidR="00B304F1" w:rsidRPr="00B304F1">
        <w:t xml:space="preserve"> </w:t>
      </w:r>
      <w:r w:rsidRPr="00B304F1">
        <w:t>Residential Whole-building Load and Average Temperature on October Event Days, August 25 and September 6</w:t>
      </w:r>
    </w:p>
    <w:p w:rsidR="00011B71" w:rsidRPr="00B304F1" w:rsidRDefault="00011B71" w:rsidP="00B304F1">
      <w:pPr>
        <w:pStyle w:val="BodyParagraph"/>
      </w:pPr>
      <w:r>
        <w:rPr>
          <w:noProof/>
        </w:rPr>
        <w:drawing>
          <wp:inline distT="0" distB="0" distL="0" distR="0">
            <wp:extent cx="5943600" cy="3877056"/>
            <wp:effectExtent l="19050" t="0" r="19050" b="9144"/>
            <wp:docPr id="3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11B71" w:rsidRDefault="00011B71" w:rsidP="00B304F1">
      <w:pPr>
        <w:pStyle w:val="BodyParaAfterTableFigure"/>
      </w:pPr>
      <w:r>
        <w:t xml:space="preserve">For commercial customers the situation is more complex; but the basic conclusion is similar, as is shown in Figure </w:t>
      </w:r>
      <w:r w:rsidR="009B1513">
        <w:t>A-5</w:t>
      </w:r>
      <w:r>
        <w:t xml:space="preserve">.  The two October event days have loads in the pre-event hours that are similar to the only other day of comparable heat, September 6.  However, they also have similar loads during those hours to August 25, a much cooler day.  The September 6 load during the afternoon and evening is significantly higher than that on August 25, which makes sense given the higher temperatures.  The September 6 load remains significantly higher than the October event day loads in the post-event hours.  This suggests that the October event day loads, in the absence of an event, would have behaved more similarly to the load on August 25, which is slightly lower than the October event day loads during the post-event hours.  A regression based on weather, however, does not yield this result, as shown above in Figures </w:t>
      </w:r>
      <w:r w:rsidR="009B1513">
        <w:t>A-1</w:t>
      </w:r>
      <w:r>
        <w:t xml:space="preserve"> and </w:t>
      </w:r>
      <w:r w:rsidR="009B1513">
        <w:t>A-2</w:t>
      </w:r>
      <w:r>
        <w:t>.</w:t>
      </w:r>
    </w:p>
    <w:p w:rsidR="009B1513" w:rsidRPr="009B1513" w:rsidRDefault="009B1513" w:rsidP="009B1513">
      <w:pPr>
        <w:pStyle w:val="BodyParagraph"/>
      </w:pPr>
    </w:p>
    <w:p w:rsidR="009B1513" w:rsidRDefault="009B1513" w:rsidP="00011B71">
      <w:pPr>
        <w:pStyle w:val="BodyParagraph"/>
      </w:pPr>
    </w:p>
    <w:p w:rsidR="00011B71" w:rsidRDefault="00011B71" w:rsidP="00011B71">
      <w:pPr>
        <w:pStyle w:val="TableFigureCaption"/>
      </w:pPr>
      <w:r>
        <w:lastRenderedPageBreak/>
        <w:t xml:space="preserve">Figure </w:t>
      </w:r>
      <w:r w:rsidR="009B1513">
        <w:t>A-5</w:t>
      </w:r>
      <w:r w:rsidR="00B304F1">
        <w:t xml:space="preserve">: </w:t>
      </w:r>
      <w:r>
        <w:t xml:space="preserve">Commercial Whole-building Load on </w:t>
      </w:r>
      <w:r w:rsidR="006A3149">
        <w:br/>
      </w:r>
      <w:r>
        <w:t>October Event Days, August 25 and September 6</w:t>
      </w:r>
    </w:p>
    <w:p w:rsidR="00986DD2" w:rsidRDefault="00011B71" w:rsidP="006A3149">
      <w:pPr>
        <w:pStyle w:val="BodyParagraph"/>
      </w:pPr>
      <w:r>
        <w:rPr>
          <w:noProof/>
        </w:rPr>
        <w:drawing>
          <wp:inline distT="0" distB="0" distL="0" distR="0">
            <wp:extent cx="5943600" cy="3924300"/>
            <wp:effectExtent l="19050" t="0" r="19050" b="0"/>
            <wp:docPr id="3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Start w:id="26" w:name="_Toc320513015"/>
    </w:p>
    <w:p w:rsidR="00324371" w:rsidRDefault="00324371" w:rsidP="00324371">
      <w:pPr>
        <w:pStyle w:val="BodyParaAfterTableFigure"/>
      </w:pPr>
      <w:r>
        <w:t>Given these complications, the day-matching procedure that is described in section 3.2.3 was applied to both commercial and residential customers.  Table A-1 shows the days that were chosen to provide reference load for each ex post event day.  Appendix B shows graphs of the load shapes and adjusted load shapes for each event day load and reference day load.</w:t>
      </w:r>
    </w:p>
    <w:p w:rsidR="00324371" w:rsidRDefault="00324371" w:rsidP="00324371">
      <w:pPr>
        <w:pStyle w:val="TableFigureCaption"/>
      </w:pPr>
      <w:r>
        <w:t>Table A-1:</w:t>
      </w:r>
      <w:r w:rsidR="006A3149">
        <w:t xml:space="preserve"> </w:t>
      </w:r>
      <w:r>
        <w:t>Event Days and Matched Reference Load Days</w:t>
      </w:r>
    </w:p>
    <w:tbl>
      <w:tblPr>
        <w:tblW w:w="3884" w:type="dxa"/>
        <w:jc w:val="center"/>
        <w:tblLook w:val="04A0"/>
      </w:tblPr>
      <w:tblGrid>
        <w:gridCol w:w="1240"/>
        <w:gridCol w:w="1283"/>
        <w:gridCol w:w="1361"/>
      </w:tblGrid>
      <w:tr w:rsidR="00324371" w:rsidRPr="009A533B" w:rsidTr="00270B6D">
        <w:trPr>
          <w:trHeight w:val="300"/>
          <w:jc w:val="center"/>
        </w:trPr>
        <w:tc>
          <w:tcPr>
            <w:tcW w:w="1240" w:type="dxa"/>
            <w:vMerge w:val="restart"/>
            <w:tcBorders>
              <w:top w:val="single" w:sz="4" w:space="0" w:color="auto"/>
              <w:left w:val="single" w:sz="4" w:space="0" w:color="auto"/>
              <w:bottom w:val="single" w:sz="4" w:space="0" w:color="auto"/>
              <w:right w:val="single" w:sz="4" w:space="0" w:color="FFFFFF" w:themeColor="background1"/>
            </w:tcBorders>
            <w:shd w:val="clear" w:color="000000" w:fill="1F497D"/>
            <w:noWrap/>
            <w:vAlign w:val="center"/>
            <w:hideMark/>
          </w:tcPr>
          <w:p w:rsidR="00324371" w:rsidRPr="009A533B" w:rsidRDefault="00324371" w:rsidP="00270B6D">
            <w:pPr>
              <w:pStyle w:val="TableHeader"/>
            </w:pPr>
            <w:r w:rsidRPr="009A533B">
              <w:t>Event Day</w:t>
            </w:r>
          </w:p>
        </w:tc>
        <w:tc>
          <w:tcPr>
            <w:tcW w:w="2644" w:type="dxa"/>
            <w:gridSpan w:val="2"/>
            <w:tcBorders>
              <w:top w:val="single" w:sz="4" w:space="0" w:color="auto"/>
              <w:left w:val="single" w:sz="4" w:space="0" w:color="FFFFFF" w:themeColor="background1"/>
              <w:bottom w:val="single" w:sz="4" w:space="0" w:color="FFFFFF" w:themeColor="background1"/>
              <w:right w:val="single" w:sz="4" w:space="0" w:color="auto"/>
            </w:tcBorders>
            <w:shd w:val="clear" w:color="000000" w:fill="1F497D"/>
            <w:noWrap/>
            <w:vAlign w:val="bottom"/>
            <w:hideMark/>
          </w:tcPr>
          <w:p w:rsidR="00324371" w:rsidRPr="009A533B" w:rsidRDefault="00324371" w:rsidP="00270B6D">
            <w:pPr>
              <w:pStyle w:val="TableHeader"/>
            </w:pPr>
            <w:r w:rsidRPr="009A533B">
              <w:t>Matched Days</w:t>
            </w:r>
          </w:p>
        </w:tc>
      </w:tr>
      <w:tr w:rsidR="00324371" w:rsidRPr="009A533B" w:rsidTr="00270B6D">
        <w:trPr>
          <w:trHeight w:val="300"/>
          <w:jc w:val="center"/>
        </w:trPr>
        <w:tc>
          <w:tcPr>
            <w:tcW w:w="1240" w:type="dxa"/>
            <w:vMerge/>
            <w:tcBorders>
              <w:top w:val="single" w:sz="4" w:space="0" w:color="auto"/>
              <w:left w:val="single" w:sz="4" w:space="0" w:color="auto"/>
              <w:bottom w:val="single" w:sz="4" w:space="0" w:color="auto"/>
              <w:right w:val="single" w:sz="4" w:space="0" w:color="FFFFFF" w:themeColor="background1"/>
            </w:tcBorders>
            <w:vAlign w:val="center"/>
            <w:hideMark/>
          </w:tcPr>
          <w:p w:rsidR="00324371" w:rsidRPr="009A533B" w:rsidRDefault="00324371" w:rsidP="00270B6D">
            <w:pPr>
              <w:pStyle w:val="TableHeader"/>
            </w:pPr>
          </w:p>
        </w:tc>
        <w:tc>
          <w:tcPr>
            <w:tcW w:w="128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noWrap/>
            <w:vAlign w:val="bottom"/>
            <w:hideMark/>
          </w:tcPr>
          <w:p w:rsidR="00324371" w:rsidRPr="009A533B" w:rsidRDefault="00324371" w:rsidP="00270B6D">
            <w:pPr>
              <w:pStyle w:val="TableHeader"/>
            </w:pPr>
            <w:r w:rsidRPr="009A533B">
              <w:t>Residential</w:t>
            </w:r>
          </w:p>
        </w:tc>
        <w:tc>
          <w:tcPr>
            <w:tcW w:w="1361" w:type="dxa"/>
            <w:tcBorders>
              <w:top w:val="single" w:sz="4" w:space="0" w:color="FFFFFF" w:themeColor="background1"/>
              <w:left w:val="single" w:sz="4" w:space="0" w:color="FFFFFF" w:themeColor="background1"/>
              <w:bottom w:val="single" w:sz="4" w:space="0" w:color="auto"/>
              <w:right w:val="single" w:sz="4" w:space="0" w:color="auto"/>
            </w:tcBorders>
            <w:shd w:val="clear" w:color="000000" w:fill="1F497D"/>
            <w:noWrap/>
            <w:vAlign w:val="bottom"/>
            <w:hideMark/>
          </w:tcPr>
          <w:p w:rsidR="00324371" w:rsidRPr="009A533B" w:rsidRDefault="00324371" w:rsidP="00270B6D">
            <w:pPr>
              <w:pStyle w:val="TableHeader"/>
            </w:pPr>
            <w:r w:rsidRPr="009A533B">
              <w:t>Commercial</w:t>
            </w:r>
          </w:p>
        </w:tc>
      </w:tr>
      <w:tr w:rsidR="00324371" w:rsidRPr="009A533B" w:rsidTr="00270B6D">
        <w:trPr>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24371" w:rsidRPr="009A533B" w:rsidRDefault="00324371" w:rsidP="00270B6D">
            <w:pPr>
              <w:pStyle w:val="TableText"/>
              <w:jc w:val="center"/>
            </w:pPr>
            <w:r w:rsidRPr="009A533B">
              <w:t>26-Aug-11</w:t>
            </w:r>
          </w:p>
        </w:tc>
        <w:tc>
          <w:tcPr>
            <w:tcW w:w="1283" w:type="dxa"/>
            <w:tcBorders>
              <w:top w:val="nil"/>
              <w:left w:val="nil"/>
              <w:bottom w:val="single" w:sz="4" w:space="0" w:color="auto"/>
              <w:right w:val="single" w:sz="4" w:space="0" w:color="auto"/>
            </w:tcBorders>
            <w:shd w:val="clear" w:color="auto" w:fill="auto"/>
            <w:noWrap/>
            <w:vAlign w:val="bottom"/>
            <w:hideMark/>
          </w:tcPr>
          <w:p w:rsidR="00324371" w:rsidRPr="009A533B" w:rsidRDefault="00324371" w:rsidP="00270B6D">
            <w:pPr>
              <w:pStyle w:val="TableText"/>
              <w:jc w:val="center"/>
            </w:pPr>
            <w:r w:rsidRPr="009A533B">
              <w:t>29-Aug-11</w:t>
            </w:r>
          </w:p>
        </w:tc>
        <w:tc>
          <w:tcPr>
            <w:tcW w:w="1361" w:type="dxa"/>
            <w:tcBorders>
              <w:top w:val="nil"/>
              <w:left w:val="nil"/>
              <w:bottom w:val="single" w:sz="4" w:space="0" w:color="auto"/>
              <w:right w:val="single" w:sz="4" w:space="0" w:color="auto"/>
            </w:tcBorders>
            <w:shd w:val="clear" w:color="auto" w:fill="auto"/>
            <w:noWrap/>
            <w:vAlign w:val="bottom"/>
            <w:hideMark/>
          </w:tcPr>
          <w:p w:rsidR="00324371" w:rsidRPr="009A533B" w:rsidRDefault="00324371" w:rsidP="00270B6D">
            <w:pPr>
              <w:pStyle w:val="TableText"/>
              <w:jc w:val="center"/>
            </w:pPr>
            <w:r w:rsidRPr="009A533B">
              <w:t>2-Aug-11</w:t>
            </w:r>
          </w:p>
        </w:tc>
      </w:tr>
      <w:tr w:rsidR="00324371" w:rsidRPr="009A533B" w:rsidTr="00270B6D">
        <w:trPr>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24371" w:rsidRPr="009A533B" w:rsidRDefault="00324371" w:rsidP="00270B6D">
            <w:pPr>
              <w:pStyle w:val="TableText"/>
              <w:jc w:val="center"/>
            </w:pPr>
            <w:r w:rsidRPr="009A533B">
              <w:t>7-Sep-11</w:t>
            </w:r>
          </w:p>
        </w:tc>
        <w:tc>
          <w:tcPr>
            <w:tcW w:w="1283" w:type="dxa"/>
            <w:tcBorders>
              <w:top w:val="nil"/>
              <w:left w:val="nil"/>
              <w:bottom w:val="single" w:sz="4" w:space="0" w:color="auto"/>
              <w:right w:val="single" w:sz="4" w:space="0" w:color="auto"/>
            </w:tcBorders>
            <w:shd w:val="clear" w:color="auto" w:fill="auto"/>
            <w:noWrap/>
            <w:vAlign w:val="bottom"/>
            <w:hideMark/>
          </w:tcPr>
          <w:p w:rsidR="00324371" w:rsidRPr="009A533B" w:rsidRDefault="00324371" w:rsidP="00270B6D">
            <w:pPr>
              <w:pStyle w:val="TableText"/>
              <w:jc w:val="center"/>
            </w:pPr>
            <w:r w:rsidRPr="009A533B">
              <w:t>6-Sep-11</w:t>
            </w:r>
          </w:p>
        </w:tc>
        <w:tc>
          <w:tcPr>
            <w:tcW w:w="1361" w:type="dxa"/>
            <w:tcBorders>
              <w:top w:val="nil"/>
              <w:left w:val="nil"/>
              <w:bottom w:val="single" w:sz="4" w:space="0" w:color="auto"/>
              <w:right w:val="single" w:sz="4" w:space="0" w:color="auto"/>
            </w:tcBorders>
            <w:shd w:val="clear" w:color="auto" w:fill="auto"/>
            <w:noWrap/>
            <w:vAlign w:val="bottom"/>
            <w:hideMark/>
          </w:tcPr>
          <w:p w:rsidR="00324371" w:rsidRPr="009A533B" w:rsidRDefault="00324371" w:rsidP="00270B6D">
            <w:pPr>
              <w:pStyle w:val="TableText"/>
              <w:jc w:val="center"/>
            </w:pPr>
            <w:r w:rsidRPr="009A533B">
              <w:t>2-Aug-11</w:t>
            </w:r>
          </w:p>
        </w:tc>
      </w:tr>
      <w:tr w:rsidR="00324371" w:rsidRPr="009A533B" w:rsidTr="00270B6D">
        <w:trPr>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24371" w:rsidRPr="009A533B" w:rsidRDefault="00324371" w:rsidP="00270B6D">
            <w:pPr>
              <w:pStyle w:val="TableText"/>
              <w:jc w:val="center"/>
            </w:pPr>
            <w:r w:rsidRPr="009A533B">
              <w:t>8-Sep-11</w:t>
            </w:r>
          </w:p>
        </w:tc>
        <w:tc>
          <w:tcPr>
            <w:tcW w:w="1283" w:type="dxa"/>
            <w:tcBorders>
              <w:top w:val="nil"/>
              <w:left w:val="nil"/>
              <w:bottom w:val="single" w:sz="4" w:space="0" w:color="auto"/>
              <w:right w:val="single" w:sz="4" w:space="0" w:color="auto"/>
            </w:tcBorders>
            <w:shd w:val="clear" w:color="auto" w:fill="auto"/>
            <w:noWrap/>
            <w:vAlign w:val="bottom"/>
            <w:hideMark/>
          </w:tcPr>
          <w:p w:rsidR="00324371" w:rsidRPr="009A533B" w:rsidRDefault="00324371" w:rsidP="00270B6D">
            <w:pPr>
              <w:pStyle w:val="TableText"/>
              <w:jc w:val="center"/>
            </w:pPr>
            <w:r w:rsidRPr="009A533B">
              <w:t>9-Sep-11</w:t>
            </w:r>
          </w:p>
        </w:tc>
        <w:tc>
          <w:tcPr>
            <w:tcW w:w="1361" w:type="dxa"/>
            <w:tcBorders>
              <w:top w:val="nil"/>
              <w:left w:val="nil"/>
              <w:bottom w:val="single" w:sz="4" w:space="0" w:color="auto"/>
              <w:right w:val="single" w:sz="4" w:space="0" w:color="auto"/>
            </w:tcBorders>
            <w:shd w:val="clear" w:color="auto" w:fill="auto"/>
            <w:noWrap/>
            <w:vAlign w:val="bottom"/>
            <w:hideMark/>
          </w:tcPr>
          <w:p w:rsidR="00324371" w:rsidRPr="009A533B" w:rsidRDefault="00324371" w:rsidP="00270B6D">
            <w:pPr>
              <w:pStyle w:val="TableText"/>
              <w:jc w:val="center"/>
            </w:pPr>
            <w:r w:rsidRPr="009A533B">
              <w:t>2-Aug-11</w:t>
            </w:r>
          </w:p>
        </w:tc>
      </w:tr>
      <w:tr w:rsidR="00324371" w:rsidRPr="009A533B" w:rsidTr="00270B6D">
        <w:trPr>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24371" w:rsidRPr="009A533B" w:rsidRDefault="00324371" w:rsidP="00270B6D">
            <w:pPr>
              <w:pStyle w:val="TableText"/>
              <w:jc w:val="center"/>
            </w:pPr>
            <w:r w:rsidRPr="009A533B">
              <w:t>9-Sep-11</w:t>
            </w:r>
          </w:p>
        </w:tc>
        <w:tc>
          <w:tcPr>
            <w:tcW w:w="1283" w:type="dxa"/>
            <w:tcBorders>
              <w:top w:val="nil"/>
              <w:left w:val="nil"/>
              <w:bottom w:val="single" w:sz="4" w:space="0" w:color="auto"/>
              <w:right w:val="single" w:sz="4" w:space="0" w:color="auto"/>
            </w:tcBorders>
            <w:shd w:val="clear" w:color="auto" w:fill="auto"/>
            <w:noWrap/>
            <w:vAlign w:val="bottom"/>
            <w:hideMark/>
          </w:tcPr>
          <w:p w:rsidR="00324371" w:rsidRPr="009A533B" w:rsidRDefault="00324371" w:rsidP="00270B6D">
            <w:pPr>
              <w:pStyle w:val="TableText"/>
              <w:jc w:val="center"/>
            </w:pPr>
            <w:r w:rsidRPr="009A533B">
              <w:t>31-Aug-11</w:t>
            </w:r>
          </w:p>
        </w:tc>
        <w:tc>
          <w:tcPr>
            <w:tcW w:w="1361" w:type="dxa"/>
            <w:tcBorders>
              <w:top w:val="nil"/>
              <w:left w:val="nil"/>
              <w:bottom w:val="single" w:sz="4" w:space="0" w:color="auto"/>
              <w:right w:val="single" w:sz="4" w:space="0" w:color="auto"/>
            </w:tcBorders>
            <w:shd w:val="clear" w:color="auto" w:fill="auto"/>
            <w:noWrap/>
            <w:vAlign w:val="bottom"/>
            <w:hideMark/>
          </w:tcPr>
          <w:p w:rsidR="00324371" w:rsidRPr="009A533B" w:rsidRDefault="00324371" w:rsidP="00270B6D">
            <w:pPr>
              <w:pStyle w:val="TableText"/>
              <w:jc w:val="center"/>
            </w:pPr>
            <w:r w:rsidRPr="009A533B">
              <w:t>7-Jul-11</w:t>
            </w:r>
          </w:p>
        </w:tc>
      </w:tr>
      <w:tr w:rsidR="00324371" w:rsidRPr="009A533B" w:rsidTr="00270B6D">
        <w:trPr>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24371" w:rsidRPr="009A533B" w:rsidRDefault="00324371" w:rsidP="00270B6D">
            <w:pPr>
              <w:pStyle w:val="TableText"/>
              <w:jc w:val="center"/>
            </w:pPr>
            <w:r w:rsidRPr="009A533B">
              <w:t>12-Oct-11</w:t>
            </w:r>
          </w:p>
        </w:tc>
        <w:tc>
          <w:tcPr>
            <w:tcW w:w="1283" w:type="dxa"/>
            <w:tcBorders>
              <w:top w:val="nil"/>
              <w:left w:val="nil"/>
              <w:bottom w:val="single" w:sz="4" w:space="0" w:color="auto"/>
              <w:right w:val="single" w:sz="4" w:space="0" w:color="auto"/>
            </w:tcBorders>
            <w:shd w:val="clear" w:color="auto" w:fill="auto"/>
            <w:noWrap/>
            <w:vAlign w:val="bottom"/>
            <w:hideMark/>
          </w:tcPr>
          <w:p w:rsidR="00324371" w:rsidRPr="009A533B" w:rsidRDefault="00324371" w:rsidP="00270B6D">
            <w:pPr>
              <w:pStyle w:val="TableText"/>
              <w:jc w:val="center"/>
            </w:pPr>
            <w:r w:rsidRPr="009A533B">
              <w:t>24-Aug-11</w:t>
            </w:r>
          </w:p>
        </w:tc>
        <w:tc>
          <w:tcPr>
            <w:tcW w:w="1361" w:type="dxa"/>
            <w:tcBorders>
              <w:top w:val="nil"/>
              <w:left w:val="nil"/>
              <w:bottom w:val="single" w:sz="4" w:space="0" w:color="auto"/>
              <w:right w:val="single" w:sz="4" w:space="0" w:color="auto"/>
            </w:tcBorders>
            <w:shd w:val="clear" w:color="auto" w:fill="auto"/>
            <w:noWrap/>
            <w:vAlign w:val="bottom"/>
            <w:hideMark/>
          </w:tcPr>
          <w:p w:rsidR="00324371" w:rsidRPr="009A533B" w:rsidRDefault="00324371" w:rsidP="00270B6D">
            <w:pPr>
              <w:pStyle w:val="TableText"/>
              <w:jc w:val="center"/>
            </w:pPr>
            <w:r w:rsidRPr="009A533B">
              <w:t>6-Sep-11</w:t>
            </w:r>
          </w:p>
        </w:tc>
      </w:tr>
      <w:tr w:rsidR="00324371" w:rsidRPr="009A533B" w:rsidTr="00270B6D">
        <w:trPr>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24371" w:rsidRPr="009A533B" w:rsidRDefault="00324371" w:rsidP="00270B6D">
            <w:pPr>
              <w:pStyle w:val="TableText"/>
              <w:jc w:val="center"/>
            </w:pPr>
            <w:r w:rsidRPr="009A533B">
              <w:t>13-Oct-11</w:t>
            </w:r>
          </w:p>
        </w:tc>
        <w:tc>
          <w:tcPr>
            <w:tcW w:w="1283" w:type="dxa"/>
            <w:tcBorders>
              <w:top w:val="nil"/>
              <w:left w:val="nil"/>
              <w:bottom w:val="single" w:sz="4" w:space="0" w:color="auto"/>
              <w:right w:val="single" w:sz="4" w:space="0" w:color="auto"/>
            </w:tcBorders>
            <w:shd w:val="clear" w:color="auto" w:fill="auto"/>
            <w:noWrap/>
            <w:vAlign w:val="bottom"/>
            <w:hideMark/>
          </w:tcPr>
          <w:p w:rsidR="00324371" w:rsidRPr="009A533B" w:rsidRDefault="00324371" w:rsidP="00270B6D">
            <w:pPr>
              <w:pStyle w:val="TableText"/>
              <w:jc w:val="center"/>
            </w:pPr>
            <w:r w:rsidRPr="009A533B">
              <w:t>25-Aug-11</w:t>
            </w:r>
          </w:p>
        </w:tc>
        <w:tc>
          <w:tcPr>
            <w:tcW w:w="1361" w:type="dxa"/>
            <w:tcBorders>
              <w:top w:val="nil"/>
              <w:left w:val="nil"/>
              <w:bottom w:val="single" w:sz="4" w:space="0" w:color="auto"/>
              <w:right w:val="single" w:sz="4" w:space="0" w:color="auto"/>
            </w:tcBorders>
            <w:shd w:val="clear" w:color="auto" w:fill="auto"/>
            <w:noWrap/>
            <w:vAlign w:val="bottom"/>
            <w:hideMark/>
          </w:tcPr>
          <w:p w:rsidR="00324371" w:rsidRPr="009A533B" w:rsidRDefault="00324371" w:rsidP="00270B6D">
            <w:pPr>
              <w:pStyle w:val="TableText"/>
              <w:jc w:val="center"/>
            </w:pPr>
            <w:r w:rsidRPr="009A533B">
              <w:t>25-Aug-11</w:t>
            </w:r>
          </w:p>
        </w:tc>
      </w:tr>
    </w:tbl>
    <w:p w:rsidR="00324371" w:rsidRDefault="00324371" w:rsidP="00324371">
      <w:pPr>
        <w:pStyle w:val="BodyParaAfterTableFigure"/>
      </w:pPr>
      <w:r>
        <w:lastRenderedPageBreak/>
        <w:t xml:space="preserve">Based on the figures in Appendix B, the day-matching reference loads for commercial customers appear quite plausible.  The day-matching reference loads for residential customers appear less accurate, but still fairly plausible in most cases.  </w:t>
      </w:r>
    </w:p>
    <w:p w:rsidR="00986DD2" w:rsidRDefault="00324371" w:rsidP="00324371">
      <w:pPr>
        <w:pStyle w:val="BodyParaAfterTableFigure"/>
      </w:pPr>
      <w:r>
        <w:t xml:space="preserve">Having identified matched days, load impacts for each cycling option within each customer segment were estimated by subtracting average hourly load during each event from average hourly load during the same hours of the matched reference day.  Standard errors were calculated at an hourly level as the square root of the sum of squared standard errors of each hourly average load.  </w:t>
      </w:r>
    </w:p>
    <w:p w:rsidR="00986DD2" w:rsidRDefault="00986DD2" w:rsidP="009B1513">
      <w:pPr>
        <w:pStyle w:val="AppendixHeading2"/>
      </w:pPr>
      <w:r w:rsidRPr="00986DD2">
        <w:t xml:space="preserve"> </w:t>
      </w:r>
      <w:bookmarkStart w:id="27" w:name="_Toc325370155"/>
      <w:r>
        <w:t>Results Comparison</w:t>
      </w:r>
      <w:bookmarkEnd w:id="26"/>
      <w:bookmarkEnd w:id="27"/>
    </w:p>
    <w:p w:rsidR="00986DD2" w:rsidRDefault="00986DD2" w:rsidP="00986DD2">
      <w:pPr>
        <w:pStyle w:val="BodyParagraph"/>
      </w:pPr>
      <w:r>
        <w:t xml:space="preserve">Table </w:t>
      </w:r>
      <w:r w:rsidR="009B1513">
        <w:t>A-2</w:t>
      </w:r>
      <w:r>
        <w:t xml:space="preserve"> shows a comparison of residential ex post estimates developed using day matching and individual customer regressions.  The table shows values for each residential cycling option separately and for all customers.  The average estimates from day-matching are lower, due primarily to the October event days where the regression function produces a larger impact based on the high temperatures on those days.  </w:t>
      </w:r>
    </w:p>
    <w:p w:rsidR="00986DD2" w:rsidRDefault="00986DD2" w:rsidP="00986DD2">
      <w:pPr>
        <w:pStyle w:val="TableFigureCaption"/>
      </w:pPr>
      <w:r>
        <w:t xml:space="preserve">Table </w:t>
      </w:r>
      <w:r w:rsidR="009B1513">
        <w:t>A-2</w:t>
      </w:r>
      <w:r>
        <w:t>:</w:t>
      </w:r>
      <w:r w:rsidR="006A3149">
        <w:t xml:space="preserve"> </w:t>
      </w:r>
      <w:r>
        <w:t xml:space="preserve">Ex Post Load Impact Estimates for Residential Customers </w:t>
      </w:r>
      <w:r>
        <w:br/>
        <w:t>Developed Using Two Methods (kW/CAC unit)</w:t>
      </w:r>
    </w:p>
    <w:tbl>
      <w:tblPr>
        <w:tblW w:w="8580" w:type="dxa"/>
        <w:jc w:val="center"/>
        <w:tblLook w:val="04A0"/>
      </w:tblPr>
      <w:tblGrid>
        <w:gridCol w:w="1260"/>
        <w:gridCol w:w="1220"/>
        <w:gridCol w:w="1220"/>
        <w:gridCol w:w="1220"/>
        <w:gridCol w:w="1220"/>
        <w:gridCol w:w="1220"/>
        <w:gridCol w:w="1220"/>
      </w:tblGrid>
      <w:tr w:rsidR="00986DD2" w:rsidRPr="00A52F5D" w:rsidTr="00986DD2">
        <w:trPr>
          <w:trHeight w:val="315"/>
          <w:jc w:val="center"/>
        </w:trPr>
        <w:tc>
          <w:tcPr>
            <w:tcW w:w="1260" w:type="dxa"/>
            <w:vMerge w:val="restart"/>
            <w:tcBorders>
              <w:top w:val="single" w:sz="4" w:space="0" w:color="auto"/>
              <w:left w:val="single" w:sz="4" w:space="0" w:color="auto"/>
              <w:bottom w:val="single" w:sz="4" w:space="0" w:color="auto"/>
              <w:right w:val="single" w:sz="4" w:space="0" w:color="FFFFFF" w:themeColor="background1"/>
            </w:tcBorders>
            <w:shd w:val="clear" w:color="000000" w:fill="1F497D"/>
            <w:noWrap/>
            <w:vAlign w:val="center"/>
            <w:hideMark/>
          </w:tcPr>
          <w:p w:rsidR="00986DD2" w:rsidRPr="00FF0364" w:rsidRDefault="00986DD2" w:rsidP="00986DD2">
            <w:pPr>
              <w:pStyle w:val="TableHeader"/>
              <w:keepNext/>
              <w:rPr>
                <w:rFonts w:cs="Arial"/>
                <w:sz w:val="18"/>
                <w:szCs w:val="18"/>
              </w:rPr>
            </w:pPr>
            <w:r w:rsidRPr="00FF0364">
              <w:rPr>
                <w:rFonts w:cs="Arial"/>
                <w:sz w:val="18"/>
                <w:szCs w:val="18"/>
              </w:rPr>
              <w:t>Date</w:t>
            </w:r>
          </w:p>
        </w:tc>
        <w:tc>
          <w:tcPr>
            <w:tcW w:w="244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1F497D"/>
            <w:noWrap/>
            <w:vAlign w:val="bottom"/>
            <w:hideMark/>
          </w:tcPr>
          <w:p w:rsidR="00986DD2" w:rsidRPr="00FF0364" w:rsidRDefault="00986DD2" w:rsidP="00986DD2">
            <w:pPr>
              <w:pStyle w:val="TableHeader"/>
              <w:keepNext/>
              <w:rPr>
                <w:rFonts w:cs="Arial"/>
                <w:sz w:val="18"/>
                <w:szCs w:val="18"/>
              </w:rPr>
            </w:pPr>
            <w:r w:rsidRPr="00FF0364">
              <w:rPr>
                <w:rFonts w:cs="Arial"/>
                <w:sz w:val="18"/>
                <w:szCs w:val="18"/>
              </w:rPr>
              <w:t>50</w:t>
            </w:r>
          </w:p>
        </w:tc>
        <w:tc>
          <w:tcPr>
            <w:tcW w:w="244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1F497D"/>
            <w:noWrap/>
            <w:vAlign w:val="bottom"/>
            <w:hideMark/>
          </w:tcPr>
          <w:p w:rsidR="00986DD2" w:rsidRPr="00FF0364" w:rsidRDefault="00986DD2" w:rsidP="00986DD2">
            <w:pPr>
              <w:pStyle w:val="TableHeader"/>
              <w:keepNext/>
              <w:rPr>
                <w:rFonts w:cs="Arial"/>
                <w:sz w:val="18"/>
                <w:szCs w:val="18"/>
              </w:rPr>
            </w:pPr>
            <w:r w:rsidRPr="00FF0364">
              <w:rPr>
                <w:rFonts w:cs="Arial"/>
                <w:sz w:val="18"/>
                <w:szCs w:val="18"/>
              </w:rPr>
              <w:t>100</w:t>
            </w:r>
          </w:p>
        </w:tc>
        <w:tc>
          <w:tcPr>
            <w:tcW w:w="2440" w:type="dxa"/>
            <w:gridSpan w:val="2"/>
            <w:tcBorders>
              <w:top w:val="single" w:sz="4" w:space="0" w:color="auto"/>
              <w:left w:val="single" w:sz="4" w:space="0" w:color="FFFFFF" w:themeColor="background1"/>
              <w:bottom w:val="single" w:sz="4" w:space="0" w:color="FFFFFF" w:themeColor="background1"/>
              <w:right w:val="single" w:sz="4" w:space="0" w:color="auto"/>
            </w:tcBorders>
            <w:shd w:val="clear" w:color="000000" w:fill="1F497D"/>
            <w:noWrap/>
            <w:vAlign w:val="bottom"/>
            <w:hideMark/>
          </w:tcPr>
          <w:p w:rsidR="00986DD2" w:rsidRPr="00FF0364" w:rsidRDefault="00986DD2" w:rsidP="00986DD2">
            <w:pPr>
              <w:pStyle w:val="TableHeader"/>
              <w:keepNext/>
              <w:rPr>
                <w:rFonts w:cs="Arial"/>
                <w:sz w:val="18"/>
                <w:szCs w:val="18"/>
              </w:rPr>
            </w:pPr>
            <w:r w:rsidRPr="00FF0364">
              <w:rPr>
                <w:rFonts w:cs="Arial"/>
                <w:sz w:val="18"/>
                <w:szCs w:val="18"/>
              </w:rPr>
              <w:t>All</w:t>
            </w:r>
          </w:p>
        </w:tc>
      </w:tr>
      <w:tr w:rsidR="00986DD2" w:rsidRPr="00A52F5D" w:rsidTr="00986DD2">
        <w:trPr>
          <w:trHeight w:val="630"/>
          <w:jc w:val="center"/>
        </w:trPr>
        <w:tc>
          <w:tcPr>
            <w:tcW w:w="1260" w:type="dxa"/>
            <w:vMerge/>
            <w:tcBorders>
              <w:top w:val="single" w:sz="4" w:space="0" w:color="auto"/>
              <w:left w:val="single" w:sz="4" w:space="0" w:color="auto"/>
              <w:bottom w:val="single" w:sz="4" w:space="0" w:color="auto"/>
              <w:right w:val="single" w:sz="4" w:space="0" w:color="FFFFFF" w:themeColor="background1"/>
            </w:tcBorders>
            <w:vAlign w:val="center"/>
            <w:hideMark/>
          </w:tcPr>
          <w:p w:rsidR="00986DD2" w:rsidRPr="00FF0364" w:rsidRDefault="00986DD2" w:rsidP="00986DD2">
            <w:pPr>
              <w:pStyle w:val="TableHeader"/>
              <w:keepNext/>
              <w:rPr>
                <w:rFonts w:cs="Arial"/>
                <w:sz w:val="18"/>
                <w:szCs w:val="18"/>
              </w:rPr>
            </w:pPr>
          </w:p>
        </w:tc>
        <w:tc>
          <w:tcPr>
            <w:tcW w:w="122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986DD2" w:rsidRPr="00FF0364" w:rsidRDefault="00986DD2" w:rsidP="00986DD2">
            <w:pPr>
              <w:pStyle w:val="TableHeader"/>
              <w:keepNext/>
              <w:rPr>
                <w:rFonts w:cs="Arial"/>
                <w:sz w:val="18"/>
                <w:szCs w:val="18"/>
              </w:rPr>
            </w:pPr>
            <w:r w:rsidRPr="00FF0364">
              <w:rPr>
                <w:rFonts w:cs="Arial"/>
                <w:sz w:val="18"/>
                <w:szCs w:val="18"/>
              </w:rPr>
              <w:t>Day Matching</w:t>
            </w:r>
          </w:p>
        </w:tc>
        <w:tc>
          <w:tcPr>
            <w:tcW w:w="122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986DD2" w:rsidRPr="00FF0364" w:rsidRDefault="00986DD2" w:rsidP="00986DD2">
            <w:pPr>
              <w:pStyle w:val="TableHeader"/>
              <w:keepNext/>
              <w:rPr>
                <w:rFonts w:cs="Arial"/>
                <w:sz w:val="18"/>
                <w:szCs w:val="18"/>
              </w:rPr>
            </w:pPr>
            <w:r w:rsidRPr="00FF0364">
              <w:rPr>
                <w:rFonts w:cs="Arial"/>
                <w:sz w:val="18"/>
                <w:szCs w:val="18"/>
              </w:rPr>
              <w:t>Regression</w:t>
            </w:r>
          </w:p>
        </w:tc>
        <w:tc>
          <w:tcPr>
            <w:tcW w:w="122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986DD2" w:rsidRPr="00FF0364" w:rsidRDefault="00986DD2" w:rsidP="00986DD2">
            <w:pPr>
              <w:pStyle w:val="TableHeader"/>
              <w:keepNext/>
              <w:rPr>
                <w:rFonts w:cs="Arial"/>
                <w:sz w:val="18"/>
                <w:szCs w:val="18"/>
              </w:rPr>
            </w:pPr>
            <w:r w:rsidRPr="00FF0364">
              <w:rPr>
                <w:rFonts w:cs="Arial"/>
                <w:sz w:val="18"/>
                <w:szCs w:val="18"/>
              </w:rPr>
              <w:t>Day Matching</w:t>
            </w:r>
          </w:p>
        </w:tc>
        <w:tc>
          <w:tcPr>
            <w:tcW w:w="122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986DD2" w:rsidRPr="00FF0364" w:rsidRDefault="00986DD2" w:rsidP="00986DD2">
            <w:pPr>
              <w:pStyle w:val="TableHeader"/>
              <w:keepNext/>
              <w:rPr>
                <w:rFonts w:cs="Arial"/>
                <w:sz w:val="18"/>
                <w:szCs w:val="18"/>
              </w:rPr>
            </w:pPr>
            <w:r w:rsidRPr="00FF0364">
              <w:rPr>
                <w:rFonts w:cs="Arial"/>
                <w:sz w:val="18"/>
                <w:szCs w:val="18"/>
              </w:rPr>
              <w:t>Regression</w:t>
            </w:r>
          </w:p>
        </w:tc>
        <w:tc>
          <w:tcPr>
            <w:tcW w:w="122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986DD2" w:rsidRPr="00FF0364" w:rsidRDefault="00986DD2" w:rsidP="00986DD2">
            <w:pPr>
              <w:pStyle w:val="TableHeader"/>
              <w:keepNext/>
              <w:rPr>
                <w:rFonts w:cs="Arial"/>
                <w:sz w:val="18"/>
                <w:szCs w:val="18"/>
              </w:rPr>
            </w:pPr>
            <w:r w:rsidRPr="00FF0364">
              <w:rPr>
                <w:rFonts w:cs="Arial"/>
                <w:sz w:val="18"/>
                <w:szCs w:val="18"/>
              </w:rPr>
              <w:t>Day Matching</w:t>
            </w:r>
          </w:p>
        </w:tc>
        <w:tc>
          <w:tcPr>
            <w:tcW w:w="1220" w:type="dxa"/>
            <w:tcBorders>
              <w:top w:val="single" w:sz="4" w:space="0" w:color="FFFFFF" w:themeColor="background1"/>
              <w:left w:val="single" w:sz="4" w:space="0" w:color="FFFFFF" w:themeColor="background1"/>
              <w:bottom w:val="single" w:sz="4" w:space="0" w:color="auto"/>
              <w:right w:val="single" w:sz="4" w:space="0" w:color="auto"/>
            </w:tcBorders>
            <w:shd w:val="clear" w:color="000000" w:fill="1F497D"/>
            <w:vAlign w:val="center"/>
            <w:hideMark/>
          </w:tcPr>
          <w:p w:rsidR="00986DD2" w:rsidRPr="00FF0364" w:rsidRDefault="00986DD2" w:rsidP="00986DD2">
            <w:pPr>
              <w:pStyle w:val="TableHeader"/>
              <w:keepNext/>
              <w:rPr>
                <w:rFonts w:cs="Arial"/>
                <w:sz w:val="18"/>
                <w:szCs w:val="18"/>
              </w:rPr>
            </w:pPr>
            <w:r w:rsidRPr="00FF0364">
              <w:rPr>
                <w:rFonts w:cs="Arial"/>
                <w:sz w:val="18"/>
                <w:szCs w:val="18"/>
              </w:rPr>
              <w:t>Regression</w:t>
            </w:r>
          </w:p>
        </w:tc>
      </w:tr>
      <w:tr w:rsidR="00986DD2" w:rsidRPr="00A52F5D" w:rsidTr="00986DD2">
        <w:trPr>
          <w:trHeight w:val="315"/>
          <w:jc w:val="center"/>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26-Aug-11</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0.42</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0.44</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0.31</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0.38</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0.36</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0.41</w:t>
            </w:r>
          </w:p>
        </w:tc>
      </w:tr>
      <w:tr w:rsidR="00986DD2" w:rsidRPr="00A52F5D" w:rsidTr="00986DD2">
        <w:trPr>
          <w:trHeight w:val="315"/>
          <w:jc w:val="center"/>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7-Sep-11</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0.94</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0.80</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1.00</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0.74</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0.97</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0.77</w:t>
            </w:r>
          </w:p>
        </w:tc>
      </w:tr>
      <w:tr w:rsidR="00986DD2" w:rsidRPr="00A52F5D" w:rsidTr="00986DD2">
        <w:trPr>
          <w:trHeight w:val="315"/>
          <w:jc w:val="center"/>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8-Sep-11</w:t>
            </w:r>
            <w:r>
              <w:rPr>
                <w:rStyle w:val="FootnoteReference"/>
                <w:rFonts w:cs="Arial"/>
                <w:szCs w:val="18"/>
              </w:rPr>
              <w:footnoteReference w:id="21"/>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0.64</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0.77</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0.48</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0.81</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0.55</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0.79</w:t>
            </w:r>
          </w:p>
        </w:tc>
      </w:tr>
      <w:tr w:rsidR="00986DD2" w:rsidRPr="00A52F5D" w:rsidTr="00986DD2">
        <w:trPr>
          <w:trHeight w:val="315"/>
          <w:jc w:val="center"/>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9-Sep-11</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0.18</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0.24</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0.08</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0.24</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0.13</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0.24</w:t>
            </w:r>
          </w:p>
        </w:tc>
      </w:tr>
      <w:tr w:rsidR="00986DD2" w:rsidRPr="00A52F5D" w:rsidTr="00986DD2">
        <w:trPr>
          <w:trHeight w:val="315"/>
          <w:jc w:val="center"/>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12-Oct-11</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0.16</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0.50</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0.25</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0.48</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0.21</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0.49</w:t>
            </w:r>
          </w:p>
        </w:tc>
      </w:tr>
      <w:tr w:rsidR="00986DD2" w:rsidRPr="00A52F5D" w:rsidTr="00986DD2">
        <w:trPr>
          <w:trHeight w:val="315"/>
          <w:jc w:val="center"/>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13-Oct-11</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0.45</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0.73</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0.36</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0.76</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0.40</w:t>
            </w:r>
          </w:p>
        </w:tc>
        <w:tc>
          <w:tcPr>
            <w:tcW w:w="1220" w:type="dxa"/>
            <w:tcBorders>
              <w:top w:val="nil"/>
              <w:left w:val="nil"/>
              <w:bottom w:val="single" w:sz="4" w:space="0" w:color="auto"/>
              <w:right w:val="single" w:sz="4" w:space="0" w:color="auto"/>
            </w:tcBorders>
            <w:shd w:val="clear" w:color="auto" w:fill="auto"/>
            <w:noWrap/>
            <w:vAlign w:val="bottom"/>
            <w:hideMark/>
          </w:tcPr>
          <w:p w:rsidR="00986DD2" w:rsidRPr="00FF0364" w:rsidRDefault="00986DD2" w:rsidP="00986DD2">
            <w:pPr>
              <w:pStyle w:val="TableText"/>
              <w:keepNext/>
              <w:jc w:val="center"/>
              <w:rPr>
                <w:rFonts w:cs="Arial"/>
                <w:szCs w:val="18"/>
              </w:rPr>
            </w:pPr>
            <w:r w:rsidRPr="00FF0364">
              <w:rPr>
                <w:rFonts w:cs="Arial"/>
                <w:szCs w:val="18"/>
              </w:rPr>
              <w:t>0.74</w:t>
            </w:r>
          </w:p>
        </w:tc>
      </w:tr>
      <w:tr w:rsidR="00986DD2" w:rsidRPr="00A52F5D" w:rsidTr="00986DD2">
        <w:trPr>
          <w:trHeight w:val="315"/>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986DD2" w:rsidRPr="00FF0364" w:rsidRDefault="00986DD2" w:rsidP="00986DD2">
            <w:pPr>
              <w:pStyle w:val="TableText"/>
              <w:jc w:val="center"/>
              <w:rPr>
                <w:rFonts w:cs="Arial"/>
                <w:szCs w:val="18"/>
              </w:rPr>
            </w:pPr>
            <w:r w:rsidRPr="00FF0364">
              <w:rPr>
                <w:rFonts w:cs="Arial"/>
                <w:szCs w:val="18"/>
              </w:rPr>
              <w:t>Average</w:t>
            </w:r>
          </w:p>
        </w:tc>
        <w:tc>
          <w:tcPr>
            <w:tcW w:w="12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pStyle w:val="TableText"/>
              <w:jc w:val="center"/>
              <w:rPr>
                <w:rFonts w:cs="Arial"/>
                <w:szCs w:val="18"/>
              </w:rPr>
            </w:pPr>
            <w:r w:rsidRPr="00FF0364">
              <w:rPr>
                <w:rFonts w:cs="Arial"/>
                <w:szCs w:val="18"/>
              </w:rPr>
              <w:t>0.47</w:t>
            </w:r>
          </w:p>
        </w:tc>
        <w:tc>
          <w:tcPr>
            <w:tcW w:w="12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pStyle w:val="TableText"/>
              <w:jc w:val="center"/>
              <w:rPr>
                <w:rFonts w:cs="Arial"/>
                <w:szCs w:val="18"/>
              </w:rPr>
            </w:pPr>
            <w:r w:rsidRPr="00FF0364">
              <w:rPr>
                <w:rFonts w:cs="Arial"/>
                <w:szCs w:val="18"/>
              </w:rPr>
              <w:t>0.58</w:t>
            </w:r>
          </w:p>
        </w:tc>
        <w:tc>
          <w:tcPr>
            <w:tcW w:w="12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pStyle w:val="TableText"/>
              <w:jc w:val="center"/>
              <w:rPr>
                <w:rFonts w:cs="Arial"/>
                <w:szCs w:val="18"/>
              </w:rPr>
            </w:pPr>
            <w:r w:rsidRPr="00FF0364">
              <w:rPr>
                <w:rFonts w:cs="Arial"/>
                <w:szCs w:val="18"/>
              </w:rPr>
              <w:t>0.41</w:t>
            </w:r>
          </w:p>
        </w:tc>
        <w:tc>
          <w:tcPr>
            <w:tcW w:w="12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pStyle w:val="TableText"/>
              <w:jc w:val="center"/>
              <w:rPr>
                <w:rFonts w:cs="Arial"/>
                <w:szCs w:val="18"/>
              </w:rPr>
            </w:pPr>
            <w:r w:rsidRPr="00FF0364">
              <w:rPr>
                <w:rFonts w:cs="Arial"/>
                <w:szCs w:val="18"/>
              </w:rPr>
              <w:t>0.57</w:t>
            </w:r>
          </w:p>
        </w:tc>
        <w:tc>
          <w:tcPr>
            <w:tcW w:w="12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pStyle w:val="TableText"/>
              <w:jc w:val="center"/>
              <w:rPr>
                <w:rFonts w:cs="Arial"/>
                <w:szCs w:val="18"/>
              </w:rPr>
            </w:pPr>
            <w:r w:rsidRPr="00FF0364">
              <w:rPr>
                <w:rFonts w:cs="Arial"/>
                <w:szCs w:val="18"/>
              </w:rPr>
              <w:t>0.44</w:t>
            </w:r>
          </w:p>
        </w:tc>
        <w:tc>
          <w:tcPr>
            <w:tcW w:w="12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pStyle w:val="TableText"/>
              <w:jc w:val="center"/>
              <w:rPr>
                <w:rFonts w:cs="Arial"/>
                <w:szCs w:val="18"/>
              </w:rPr>
            </w:pPr>
            <w:r w:rsidRPr="00FF0364">
              <w:rPr>
                <w:rFonts w:cs="Arial"/>
                <w:szCs w:val="18"/>
              </w:rPr>
              <w:t>0.57</w:t>
            </w:r>
          </w:p>
        </w:tc>
      </w:tr>
    </w:tbl>
    <w:p w:rsidR="00986DD2" w:rsidRDefault="00986DD2" w:rsidP="00986DD2">
      <w:pPr>
        <w:pStyle w:val="BodyParaAfterTableFigure"/>
      </w:pPr>
      <w:r>
        <w:t>While there are some appreciable differences in the estimates developed using each method for residential customers, these differences are of secondary importance to the issue of whether either set of estimates leads to different conclusions about expected future program performance.  To this end, both set</w:t>
      </w:r>
      <w:r w:rsidR="00BE556D">
        <w:t>s</w:t>
      </w:r>
      <w:r>
        <w:t xml:space="preserve"> of estimates are consistent with the ex ante estimates developed in 2010, and either set of ex post estimates leads to nearly identical ex ante estimates for 2012 and beyond.  This will be documented in </w:t>
      </w:r>
      <w:r w:rsidR="00BE556D">
        <w:t xml:space="preserve">the </w:t>
      </w:r>
      <w:r>
        <w:t>ex ante report to follow.</w:t>
      </w:r>
      <w:r w:rsidR="00185CE7" w:rsidRPr="00185CE7">
        <w:t xml:space="preserve"> </w:t>
      </w:r>
      <w:r w:rsidR="00185CE7">
        <w:t xml:space="preserve"> In the end the regression model was chosen on pragmatic grounds.  Both the ex post and ex ante regression models were already fully built and their output documented by the time the day-matching results were being produced.  It took substantially less work to verify that using the day-matching model would not materially change ex ante results than it would take to fully produce and document those results.</w:t>
      </w:r>
    </w:p>
    <w:p w:rsidR="00986DD2" w:rsidRDefault="00986DD2" w:rsidP="00986DD2">
      <w:pPr>
        <w:pStyle w:val="BodyParagraph"/>
      </w:pPr>
      <w:r>
        <w:lastRenderedPageBreak/>
        <w:t xml:space="preserve">Table </w:t>
      </w:r>
      <w:r w:rsidR="004E6EE3">
        <w:t>A-3</w:t>
      </w:r>
      <w:r>
        <w:t xml:space="preserve"> shows a comparison of ex post estimates for commercial customers developed using day matching and individual customer regressions.  The table shows values for each commercial cycling option separately and for all commercial customers together.  The estimates vary across methods substantially.  In one case the estimated event impact is negative for customers on 30% cycling.  This case is less important than it appears because it takes place under unusually cool event conditions.  In this case, the model fits a general trend to event impact as a function of temperature and the best fit happens to be negative at such a low temperature.  This would not occur if there were many observable events at temperatures in the mid-70s.  Moreover, if the regression results were being used as the final commercial ex ante estimates, then that day could have been modeled separately, leading to a more reasonable, but still quite low impact estimate.</w:t>
      </w:r>
    </w:p>
    <w:p w:rsidR="00986DD2" w:rsidRDefault="00986DD2" w:rsidP="00986DD2">
      <w:pPr>
        <w:pStyle w:val="BodyParagraph"/>
      </w:pPr>
      <w:r>
        <w:t xml:space="preserve">More important is the general implausibility of the regression results, as displayed in Figures </w:t>
      </w:r>
      <w:r w:rsidR="004E6EE3">
        <w:t>A-1</w:t>
      </w:r>
      <w:r>
        <w:t xml:space="preserve"> and </w:t>
      </w:r>
      <w:r w:rsidR="004E6EE3">
        <w:t>A-2</w:t>
      </w:r>
      <w:r>
        <w:t xml:space="preserve">.  The figures in Appendix </w:t>
      </w:r>
      <w:r w:rsidR="004E6EE3">
        <w:t>B</w:t>
      </w:r>
      <w:r>
        <w:t xml:space="preserve"> show that, at the least, the day-matching procedure produces plausible reference loads in almost all cases.  This is not true for the regression model.  Additionally, unlike in the residential case, the regression model produces ex ante results different enough from previous results to be questionable given the amount of useful information they are based on.  </w:t>
      </w:r>
      <w:r w:rsidR="00185CE7">
        <w:t>For these reasons, it was decided to use the day-matching results to produce the commercial ex post results.  Additionally, it was decided to use the day-matching ex post results in conjunction with 2010 ex post results to develop an ex ante model for commercial customers.  This will be documented in the ex ante report to follow.</w:t>
      </w:r>
    </w:p>
    <w:p w:rsidR="00986DD2" w:rsidRDefault="00986DD2" w:rsidP="00986DD2">
      <w:pPr>
        <w:pStyle w:val="TableFigureCaption"/>
      </w:pPr>
      <w:r>
        <w:t xml:space="preserve">Table </w:t>
      </w:r>
      <w:r w:rsidR="004E6EE3">
        <w:t>A-3</w:t>
      </w:r>
      <w:r>
        <w:t>:</w:t>
      </w:r>
      <w:r w:rsidR="006A3149">
        <w:t xml:space="preserve"> </w:t>
      </w:r>
      <w:r>
        <w:t xml:space="preserve">Ex Post Load Impact Estimates for Commercial Customers </w:t>
      </w:r>
      <w:r>
        <w:br/>
        <w:t>Developed Using Two Methods (kW/CAC unit)</w:t>
      </w:r>
    </w:p>
    <w:tbl>
      <w:tblPr>
        <w:tblW w:w="8460" w:type="dxa"/>
        <w:jc w:val="center"/>
        <w:tblLook w:val="04A0"/>
      </w:tblPr>
      <w:tblGrid>
        <w:gridCol w:w="1180"/>
        <w:gridCol w:w="1120"/>
        <w:gridCol w:w="1240"/>
        <w:gridCol w:w="1320"/>
        <w:gridCol w:w="1300"/>
        <w:gridCol w:w="1020"/>
        <w:gridCol w:w="1280"/>
      </w:tblGrid>
      <w:tr w:rsidR="00986DD2" w:rsidRPr="000F1301" w:rsidTr="006A3149">
        <w:trPr>
          <w:trHeight w:val="300"/>
          <w:jc w:val="center"/>
        </w:trPr>
        <w:tc>
          <w:tcPr>
            <w:tcW w:w="1180" w:type="dxa"/>
            <w:vMerge w:val="restart"/>
            <w:tcBorders>
              <w:top w:val="single" w:sz="4" w:space="0" w:color="auto"/>
              <w:left w:val="single" w:sz="4" w:space="0" w:color="auto"/>
              <w:bottom w:val="single" w:sz="4" w:space="0" w:color="auto"/>
              <w:right w:val="single" w:sz="4" w:space="0" w:color="FFFFFF" w:themeColor="background1"/>
            </w:tcBorders>
            <w:shd w:val="clear" w:color="000000" w:fill="1F497D"/>
            <w:noWrap/>
            <w:vAlign w:val="center"/>
            <w:hideMark/>
          </w:tcPr>
          <w:p w:rsidR="00986DD2" w:rsidRPr="00FF0364" w:rsidRDefault="00986DD2" w:rsidP="00986DD2">
            <w:pPr>
              <w:pStyle w:val="TableHeader"/>
              <w:keepNext/>
              <w:rPr>
                <w:rFonts w:cs="Arial"/>
                <w:sz w:val="18"/>
                <w:szCs w:val="18"/>
              </w:rPr>
            </w:pPr>
            <w:r w:rsidRPr="00FF0364">
              <w:rPr>
                <w:rFonts w:cs="Arial"/>
                <w:sz w:val="18"/>
                <w:szCs w:val="18"/>
              </w:rPr>
              <w:t>Date</w:t>
            </w:r>
          </w:p>
        </w:tc>
        <w:tc>
          <w:tcPr>
            <w:tcW w:w="236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1F497D"/>
            <w:noWrap/>
            <w:vAlign w:val="bottom"/>
            <w:hideMark/>
          </w:tcPr>
          <w:p w:rsidR="00986DD2" w:rsidRPr="00FF0364" w:rsidRDefault="00986DD2" w:rsidP="00986DD2">
            <w:pPr>
              <w:pStyle w:val="TableHeader"/>
              <w:keepNext/>
              <w:rPr>
                <w:rFonts w:cs="Arial"/>
                <w:sz w:val="18"/>
                <w:szCs w:val="18"/>
              </w:rPr>
            </w:pPr>
            <w:r w:rsidRPr="00FF0364">
              <w:rPr>
                <w:rFonts w:cs="Arial"/>
                <w:sz w:val="18"/>
                <w:szCs w:val="18"/>
              </w:rPr>
              <w:t>30</w:t>
            </w:r>
          </w:p>
        </w:tc>
        <w:tc>
          <w:tcPr>
            <w:tcW w:w="262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1F497D"/>
            <w:noWrap/>
            <w:vAlign w:val="bottom"/>
            <w:hideMark/>
          </w:tcPr>
          <w:p w:rsidR="00986DD2" w:rsidRPr="00FF0364" w:rsidRDefault="00986DD2" w:rsidP="00986DD2">
            <w:pPr>
              <w:pStyle w:val="TableHeader"/>
              <w:keepNext/>
              <w:rPr>
                <w:rFonts w:cs="Arial"/>
                <w:sz w:val="18"/>
                <w:szCs w:val="18"/>
              </w:rPr>
            </w:pPr>
            <w:r w:rsidRPr="00FF0364">
              <w:rPr>
                <w:rFonts w:cs="Arial"/>
                <w:sz w:val="18"/>
                <w:szCs w:val="18"/>
              </w:rPr>
              <w:t>50</w:t>
            </w:r>
          </w:p>
        </w:tc>
        <w:tc>
          <w:tcPr>
            <w:tcW w:w="2300" w:type="dxa"/>
            <w:gridSpan w:val="2"/>
            <w:tcBorders>
              <w:top w:val="single" w:sz="4" w:space="0" w:color="auto"/>
              <w:left w:val="single" w:sz="4" w:space="0" w:color="FFFFFF" w:themeColor="background1"/>
              <w:bottom w:val="single" w:sz="4" w:space="0" w:color="FFFFFF" w:themeColor="background1"/>
              <w:right w:val="single" w:sz="4" w:space="0" w:color="auto"/>
            </w:tcBorders>
            <w:shd w:val="clear" w:color="000000" w:fill="1F497D"/>
            <w:noWrap/>
            <w:vAlign w:val="bottom"/>
            <w:hideMark/>
          </w:tcPr>
          <w:p w:rsidR="00986DD2" w:rsidRPr="00FF0364" w:rsidRDefault="00986DD2" w:rsidP="00986DD2">
            <w:pPr>
              <w:pStyle w:val="TableHeader"/>
              <w:keepNext/>
              <w:rPr>
                <w:rFonts w:cs="Arial"/>
                <w:sz w:val="18"/>
                <w:szCs w:val="18"/>
              </w:rPr>
            </w:pPr>
            <w:r w:rsidRPr="00FF0364">
              <w:rPr>
                <w:rFonts w:cs="Arial"/>
                <w:sz w:val="18"/>
                <w:szCs w:val="18"/>
              </w:rPr>
              <w:t>All</w:t>
            </w:r>
          </w:p>
        </w:tc>
      </w:tr>
      <w:tr w:rsidR="00986DD2" w:rsidRPr="000F1301" w:rsidTr="006A3149">
        <w:trPr>
          <w:trHeight w:val="600"/>
          <w:jc w:val="center"/>
        </w:trPr>
        <w:tc>
          <w:tcPr>
            <w:tcW w:w="1180" w:type="dxa"/>
            <w:vMerge/>
            <w:tcBorders>
              <w:top w:val="single" w:sz="4" w:space="0" w:color="auto"/>
              <w:left w:val="single" w:sz="4" w:space="0" w:color="auto"/>
              <w:bottom w:val="single" w:sz="4" w:space="0" w:color="auto"/>
              <w:right w:val="single" w:sz="4" w:space="0" w:color="FFFFFF" w:themeColor="background1"/>
            </w:tcBorders>
            <w:vAlign w:val="center"/>
            <w:hideMark/>
          </w:tcPr>
          <w:p w:rsidR="00986DD2" w:rsidRPr="00FF0364" w:rsidRDefault="00986DD2" w:rsidP="00986DD2">
            <w:pPr>
              <w:pStyle w:val="TableHeader"/>
              <w:keepNext/>
              <w:rPr>
                <w:rFonts w:cs="Arial"/>
                <w:sz w:val="18"/>
                <w:szCs w:val="18"/>
              </w:rPr>
            </w:pPr>
          </w:p>
        </w:tc>
        <w:tc>
          <w:tcPr>
            <w:tcW w:w="112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986DD2" w:rsidRPr="00FF0364" w:rsidRDefault="00986DD2" w:rsidP="00986DD2">
            <w:pPr>
              <w:pStyle w:val="TableHeader"/>
              <w:keepNext/>
              <w:rPr>
                <w:rFonts w:cs="Arial"/>
                <w:sz w:val="18"/>
                <w:szCs w:val="18"/>
              </w:rPr>
            </w:pPr>
            <w:r w:rsidRPr="00FF0364">
              <w:rPr>
                <w:rFonts w:cs="Arial"/>
                <w:sz w:val="18"/>
                <w:szCs w:val="18"/>
              </w:rPr>
              <w:t>Day Matching</w:t>
            </w:r>
          </w:p>
        </w:tc>
        <w:tc>
          <w:tcPr>
            <w:tcW w:w="124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986DD2" w:rsidRPr="00FF0364" w:rsidRDefault="00986DD2" w:rsidP="00986DD2">
            <w:pPr>
              <w:pStyle w:val="TableHeader"/>
              <w:keepNext/>
              <w:rPr>
                <w:rFonts w:cs="Arial"/>
                <w:sz w:val="18"/>
                <w:szCs w:val="18"/>
              </w:rPr>
            </w:pPr>
            <w:r w:rsidRPr="00FF0364">
              <w:rPr>
                <w:rFonts w:cs="Arial"/>
                <w:sz w:val="18"/>
                <w:szCs w:val="18"/>
              </w:rPr>
              <w:t>Regression</w:t>
            </w:r>
          </w:p>
        </w:tc>
        <w:tc>
          <w:tcPr>
            <w:tcW w:w="132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986DD2" w:rsidRPr="00FF0364" w:rsidRDefault="00986DD2" w:rsidP="00986DD2">
            <w:pPr>
              <w:pStyle w:val="TableHeader"/>
              <w:keepNext/>
              <w:rPr>
                <w:rFonts w:cs="Arial"/>
                <w:sz w:val="18"/>
                <w:szCs w:val="18"/>
              </w:rPr>
            </w:pPr>
            <w:r w:rsidRPr="00FF0364">
              <w:rPr>
                <w:rFonts w:cs="Arial"/>
                <w:sz w:val="18"/>
                <w:szCs w:val="18"/>
              </w:rPr>
              <w:t>Day Matching</w:t>
            </w:r>
          </w:p>
        </w:tc>
        <w:tc>
          <w:tcPr>
            <w:tcW w:w="130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986DD2" w:rsidRPr="00FF0364" w:rsidRDefault="00986DD2" w:rsidP="00986DD2">
            <w:pPr>
              <w:pStyle w:val="TableHeader"/>
              <w:keepNext/>
              <w:rPr>
                <w:rFonts w:cs="Arial"/>
                <w:sz w:val="18"/>
                <w:szCs w:val="18"/>
              </w:rPr>
            </w:pPr>
            <w:r w:rsidRPr="00FF0364">
              <w:rPr>
                <w:rFonts w:cs="Arial"/>
                <w:sz w:val="18"/>
                <w:szCs w:val="18"/>
              </w:rPr>
              <w:t>Regression</w:t>
            </w:r>
          </w:p>
        </w:tc>
        <w:tc>
          <w:tcPr>
            <w:tcW w:w="102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986DD2" w:rsidRPr="00FF0364" w:rsidRDefault="00986DD2" w:rsidP="00986DD2">
            <w:pPr>
              <w:pStyle w:val="TableHeader"/>
              <w:keepNext/>
              <w:rPr>
                <w:rFonts w:cs="Arial"/>
                <w:sz w:val="18"/>
                <w:szCs w:val="18"/>
              </w:rPr>
            </w:pPr>
            <w:r w:rsidRPr="00FF0364">
              <w:rPr>
                <w:rFonts w:cs="Arial"/>
                <w:sz w:val="18"/>
                <w:szCs w:val="18"/>
              </w:rPr>
              <w:t>Day Matching</w:t>
            </w:r>
          </w:p>
        </w:tc>
        <w:tc>
          <w:tcPr>
            <w:tcW w:w="1280" w:type="dxa"/>
            <w:tcBorders>
              <w:top w:val="single" w:sz="4" w:space="0" w:color="FFFFFF" w:themeColor="background1"/>
              <w:left w:val="single" w:sz="4" w:space="0" w:color="FFFFFF" w:themeColor="background1"/>
              <w:bottom w:val="single" w:sz="4" w:space="0" w:color="auto"/>
              <w:right w:val="single" w:sz="4" w:space="0" w:color="auto"/>
            </w:tcBorders>
            <w:shd w:val="clear" w:color="000000" w:fill="1F497D"/>
            <w:vAlign w:val="center"/>
            <w:hideMark/>
          </w:tcPr>
          <w:p w:rsidR="00986DD2" w:rsidRPr="00FF0364" w:rsidRDefault="00986DD2" w:rsidP="00986DD2">
            <w:pPr>
              <w:pStyle w:val="TableHeader"/>
              <w:keepNext/>
              <w:rPr>
                <w:rFonts w:cs="Arial"/>
                <w:sz w:val="18"/>
                <w:szCs w:val="18"/>
              </w:rPr>
            </w:pPr>
            <w:r w:rsidRPr="00FF0364">
              <w:rPr>
                <w:rFonts w:cs="Arial"/>
                <w:sz w:val="18"/>
                <w:szCs w:val="18"/>
              </w:rPr>
              <w:t>Regression</w:t>
            </w:r>
          </w:p>
        </w:tc>
      </w:tr>
      <w:tr w:rsidR="00986DD2" w:rsidRPr="000F1301" w:rsidTr="00986DD2">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26-Aug-11</w:t>
            </w:r>
          </w:p>
        </w:tc>
        <w:tc>
          <w:tcPr>
            <w:tcW w:w="11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0.35</w:t>
            </w:r>
          </w:p>
        </w:tc>
        <w:tc>
          <w:tcPr>
            <w:tcW w:w="124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0.28</w:t>
            </w:r>
          </w:p>
        </w:tc>
        <w:tc>
          <w:tcPr>
            <w:tcW w:w="13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0.34</w:t>
            </w:r>
          </w:p>
        </w:tc>
        <w:tc>
          <w:tcPr>
            <w:tcW w:w="130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0.28</w:t>
            </w:r>
          </w:p>
        </w:tc>
        <w:tc>
          <w:tcPr>
            <w:tcW w:w="10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0.34</w:t>
            </w:r>
          </w:p>
        </w:tc>
        <w:tc>
          <w:tcPr>
            <w:tcW w:w="128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0.28</w:t>
            </w:r>
          </w:p>
        </w:tc>
      </w:tr>
      <w:tr w:rsidR="00986DD2" w:rsidRPr="000F1301" w:rsidTr="00986DD2">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7-Sep-11</w:t>
            </w:r>
          </w:p>
        </w:tc>
        <w:tc>
          <w:tcPr>
            <w:tcW w:w="11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0.30</w:t>
            </w:r>
          </w:p>
        </w:tc>
        <w:tc>
          <w:tcPr>
            <w:tcW w:w="124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0.63</w:t>
            </w:r>
          </w:p>
        </w:tc>
        <w:tc>
          <w:tcPr>
            <w:tcW w:w="13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0.31</w:t>
            </w:r>
          </w:p>
        </w:tc>
        <w:tc>
          <w:tcPr>
            <w:tcW w:w="130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0.57</w:t>
            </w:r>
          </w:p>
        </w:tc>
        <w:tc>
          <w:tcPr>
            <w:tcW w:w="10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0.31</w:t>
            </w:r>
          </w:p>
        </w:tc>
        <w:tc>
          <w:tcPr>
            <w:tcW w:w="128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0.59</w:t>
            </w:r>
          </w:p>
        </w:tc>
      </w:tr>
      <w:tr w:rsidR="00986DD2" w:rsidRPr="000F1301" w:rsidTr="00986DD2">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8-Sep-11</w:t>
            </w:r>
            <w:r>
              <w:rPr>
                <w:rStyle w:val="FootnoteReference"/>
                <w:rFonts w:ascii="Arial" w:eastAsia="Times New Roman" w:hAnsi="Arial" w:cs="Arial"/>
                <w:color w:val="000000"/>
                <w:sz w:val="18"/>
                <w:szCs w:val="18"/>
              </w:rPr>
              <w:footnoteReference w:id="22"/>
            </w:r>
          </w:p>
        </w:tc>
        <w:tc>
          <w:tcPr>
            <w:tcW w:w="11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0.32</w:t>
            </w:r>
          </w:p>
        </w:tc>
        <w:tc>
          <w:tcPr>
            <w:tcW w:w="124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0.58</w:t>
            </w:r>
          </w:p>
        </w:tc>
        <w:tc>
          <w:tcPr>
            <w:tcW w:w="13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0.41</w:t>
            </w:r>
          </w:p>
        </w:tc>
        <w:tc>
          <w:tcPr>
            <w:tcW w:w="130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0.75</w:t>
            </w:r>
          </w:p>
        </w:tc>
        <w:tc>
          <w:tcPr>
            <w:tcW w:w="10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0.38</w:t>
            </w:r>
          </w:p>
        </w:tc>
        <w:tc>
          <w:tcPr>
            <w:tcW w:w="128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0.67</w:t>
            </w:r>
          </w:p>
        </w:tc>
      </w:tr>
      <w:tr w:rsidR="00986DD2" w:rsidRPr="000F1301" w:rsidTr="00986DD2">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9-Sep-11</w:t>
            </w:r>
          </w:p>
        </w:tc>
        <w:tc>
          <w:tcPr>
            <w:tcW w:w="11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0.13</w:t>
            </w:r>
          </w:p>
        </w:tc>
        <w:tc>
          <w:tcPr>
            <w:tcW w:w="124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-0.24</w:t>
            </w:r>
          </w:p>
        </w:tc>
        <w:tc>
          <w:tcPr>
            <w:tcW w:w="13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0.18</w:t>
            </w:r>
          </w:p>
        </w:tc>
        <w:tc>
          <w:tcPr>
            <w:tcW w:w="130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0.16</w:t>
            </w:r>
          </w:p>
        </w:tc>
        <w:tc>
          <w:tcPr>
            <w:tcW w:w="10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0.16</w:t>
            </w:r>
          </w:p>
        </w:tc>
        <w:tc>
          <w:tcPr>
            <w:tcW w:w="128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0.01</w:t>
            </w:r>
          </w:p>
        </w:tc>
      </w:tr>
      <w:tr w:rsidR="00986DD2" w:rsidRPr="000F1301" w:rsidTr="00986DD2">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12-Oct-11</w:t>
            </w:r>
          </w:p>
        </w:tc>
        <w:tc>
          <w:tcPr>
            <w:tcW w:w="11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0.33</w:t>
            </w:r>
          </w:p>
        </w:tc>
        <w:tc>
          <w:tcPr>
            <w:tcW w:w="124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0.45</w:t>
            </w:r>
          </w:p>
        </w:tc>
        <w:tc>
          <w:tcPr>
            <w:tcW w:w="13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0.27</w:t>
            </w:r>
          </w:p>
        </w:tc>
        <w:tc>
          <w:tcPr>
            <w:tcW w:w="130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0.26</w:t>
            </w:r>
          </w:p>
        </w:tc>
        <w:tc>
          <w:tcPr>
            <w:tcW w:w="10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0.29</w:t>
            </w:r>
          </w:p>
        </w:tc>
        <w:tc>
          <w:tcPr>
            <w:tcW w:w="128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0.34</w:t>
            </w:r>
          </w:p>
        </w:tc>
      </w:tr>
      <w:tr w:rsidR="00986DD2" w:rsidRPr="000F1301" w:rsidTr="00986DD2">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13-Oct-11</w:t>
            </w:r>
          </w:p>
        </w:tc>
        <w:tc>
          <w:tcPr>
            <w:tcW w:w="11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0.24</w:t>
            </w:r>
          </w:p>
        </w:tc>
        <w:tc>
          <w:tcPr>
            <w:tcW w:w="124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0.61</w:t>
            </w:r>
          </w:p>
        </w:tc>
        <w:tc>
          <w:tcPr>
            <w:tcW w:w="13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0.27</w:t>
            </w:r>
          </w:p>
        </w:tc>
        <w:tc>
          <w:tcPr>
            <w:tcW w:w="130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0.45</w:t>
            </w:r>
          </w:p>
        </w:tc>
        <w:tc>
          <w:tcPr>
            <w:tcW w:w="10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0.26</w:t>
            </w:r>
          </w:p>
        </w:tc>
        <w:tc>
          <w:tcPr>
            <w:tcW w:w="128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keepNext/>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0.52</w:t>
            </w:r>
          </w:p>
        </w:tc>
      </w:tr>
      <w:tr w:rsidR="00986DD2" w:rsidRPr="000F1301" w:rsidTr="00986DD2">
        <w:trPr>
          <w:trHeight w:val="300"/>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986DD2" w:rsidRPr="00FF0364" w:rsidRDefault="00986DD2" w:rsidP="00986DD2">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Average</w:t>
            </w:r>
          </w:p>
        </w:tc>
        <w:tc>
          <w:tcPr>
            <w:tcW w:w="11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0.28</w:t>
            </w:r>
          </w:p>
        </w:tc>
        <w:tc>
          <w:tcPr>
            <w:tcW w:w="124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0.39</w:t>
            </w:r>
          </w:p>
        </w:tc>
        <w:tc>
          <w:tcPr>
            <w:tcW w:w="13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0.30</w:t>
            </w:r>
          </w:p>
        </w:tc>
        <w:tc>
          <w:tcPr>
            <w:tcW w:w="130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0.41</w:t>
            </w:r>
          </w:p>
        </w:tc>
        <w:tc>
          <w:tcPr>
            <w:tcW w:w="102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0.29</w:t>
            </w:r>
          </w:p>
        </w:tc>
        <w:tc>
          <w:tcPr>
            <w:tcW w:w="1280" w:type="dxa"/>
            <w:tcBorders>
              <w:top w:val="nil"/>
              <w:left w:val="nil"/>
              <w:bottom w:val="single" w:sz="4" w:space="0" w:color="auto"/>
              <w:right w:val="single" w:sz="4" w:space="0" w:color="auto"/>
            </w:tcBorders>
            <w:shd w:val="clear" w:color="auto" w:fill="auto"/>
            <w:noWrap/>
            <w:vAlign w:val="center"/>
            <w:hideMark/>
          </w:tcPr>
          <w:p w:rsidR="00986DD2" w:rsidRPr="00FF0364" w:rsidRDefault="00986DD2" w:rsidP="00986DD2">
            <w:pPr>
              <w:spacing w:after="0" w:line="240" w:lineRule="auto"/>
              <w:jc w:val="center"/>
              <w:rPr>
                <w:rFonts w:ascii="Arial" w:eastAsia="Times New Roman" w:hAnsi="Arial" w:cs="Arial"/>
                <w:color w:val="000000"/>
                <w:sz w:val="18"/>
                <w:szCs w:val="18"/>
              </w:rPr>
            </w:pPr>
            <w:r w:rsidRPr="00FF0364">
              <w:rPr>
                <w:rFonts w:ascii="Arial" w:eastAsia="Times New Roman" w:hAnsi="Arial" w:cs="Arial"/>
                <w:color w:val="000000"/>
                <w:sz w:val="18"/>
                <w:szCs w:val="18"/>
              </w:rPr>
              <w:t>0.40</w:t>
            </w:r>
          </w:p>
        </w:tc>
      </w:tr>
    </w:tbl>
    <w:p w:rsidR="00011B71" w:rsidRPr="00281D27" w:rsidRDefault="00011B71" w:rsidP="00011B71">
      <w:pPr>
        <w:pStyle w:val="BodyParagraph"/>
      </w:pPr>
    </w:p>
    <w:p w:rsidR="00626E5A" w:rsidRDefault="00626E5A">
      <w:pPr>
        <w:rPr>
          <w:rFonts w:ascii="Arial Bold" w:eastAsia="Times New Roman" w:hAnsi="Arial Bold"/>
          <w:b/>
          <w:color w:val="433B67"/>
          <w:sz w:val="28"/>
          <w:szCs w:val="28"/>
        </w:rPr>
      </w:pPr>
      <w:r>
        <w:br w:type="page"/>
      </w:r>
    </w:p>
    <w:p w:rsidR="00A57221" w:rsidRDefault="00330954" w:rsidP="00330954">
      <w:pPr>
        <w:pStyle w:val="AppendixHeading"/>
      </w:pPr>
      <w:bookmarkStart w:id="28" w:name="_Toc325370156"/>
      <w:r>
        <w:lastRenderedPageBreak/>
        <w:t>Day-</w:t>
      </w:r>
      <w:r w:rsidR="006A3149">
        <w:t>m</w:t>
      </w:r>
      <w:r>
        <w:t>atching Load Shapes</w:t>
      </w:r>
      <w:bookmarkEnd w:id="28"/>
    </w:p>
    <w:p w:rsidR="00330954" w:rsidRDefault="00330954" w:rsidP="00330954">
      <w:pPr>
        <w:pStyle w:val="BodyBeforeBullet"/>
      </w:pPr>
      <w:r>
        <w:t>This appendix provide</w:t>
      </w:r>
      <w:r w:rsidR="00016D85">
        <w:t>s</w:t>
      </w:r>
      <w:r>
        <w:t xml:space="preserve"> information on the plausibility of the reference loads obtained through day-matching.  Table A-1</w:t>
      </w:r>
      <w:r w:rsidR="00324371">
        <w:t>, above,</w:t>
      </w:r>
      <w:r>
        <w:t xml:space="preserve"> shows the list of days used as matches for each even</w:t>
      </w:r>
      <w:r w:rsidR="00626E5A">
        <w:t>t day for each customer segment.</w:t>
      </w:r>
      <w:r>
        <w:t xml:space="preserve">  The two sections that follow show the whole-building load of each event day for each cycling option within each customer segment as compared to the whole-building load on the matched reference day.  The adjusted reference day load is also shown.</w:t>
      </w:r>
    </w:p>
    <w:p w:rsidR="00C36F09" w:rsidRDefault="00C36F09">
      <w:pPr>
        <w:rPr>
          <w:rFonts w:ascii="Arial Bold" w:hAnsi="Arial Bold"/>
          <w:b/>
          <w:color w:val="5F497A" w:themeColor="accent4" w:themeShade="BF"/>
          <w:sz w:val="26"/>
        </w:rPr>
      </w:pPr>
      <w:bookmarkStart w:id="29" w:name="_Toc320513023"/>
      <w:r>
        <w:br w:type="page"/>
      </w:r>
    </w:p>
    <w:p w:rsidR="00330954" w:rsidRDefault="00330954" w:rsidP="006A3149">
      <w:pPr>
        <w:pStyle w:val="AppendixHeading2"/>
      </w:pPr>
      <w:bookmarkStart w:id="30" w:name="_Toc325370157"/>
      <w:r w:rsidRPr="006A3149">
        <w:lastRenderedPageBreak/>
        <w:t>Residential</w:t>
      </w:r>
      <w:r>
        <w:t xml:space="preserve"> Day-Matching Figures</w:t>
      </w:r>
      <w:r w:rsidR="00AB0801">
        <w:t xml:space="preserve"> (Event Window Shaded)</w:t>
      </w:r>
      <w:bookmarkEnd w:id="29"/>
      <w:bookmarkEnd w:id="30"/>
    </w:p>
    <w:p w:rsidR="006A3149" w:rsidRDefault="006A3149" w:rsidP="006A3149">
      <w:pPr>
        <w:pStyle w:val="TableFigureCaption"/>
      </w:pPr>
    </w:p>
    <w:p w:rsidR="00330954" w:rsidRPr="000D35E4" w:rsidRDefault="00330954" w:rsidP="006A3149">
      <w:pPr>
        <w:pStyle w:val="TableFigureCaption"/>
        <w:rPr>
          <w:rFonts w:eastAsiaTheme="minorHAnsi"/>
        </w:rPr>
      </w:pPr>
      <w:r w:rsidRPr="000D35E4">
        <w:t xml:space="preserve">Figure </w:t>
      </w:r>
      <w:r w:rsidR="00324371">
        <w:t>B-</w:t>
      </w:r>
      <w:r w:rsidRPr="000D35E4">
        <w:t>1:</w:t>
      </w:r>
      <w:r w:rsidR="006A3149">
        <w:t xml:space="preserve"> </w:t>
      </w:r>
      <w:r w:rsidRPr="000D35E4">
        <w:t xml:space="preserve">Residential </w:t>
      </w:r>
      <w:r w:rsidR="006A3149">
        <w:t>L</w:t>
      </w:r>
      <w:r w:rsidRPr="000D35E4">
        <w:t>oad on August 26 and Matched Unadjusted Reference Load</w:t>
      </w:r>
    </w:p>
    <w:p w:rsidR="000D35E4" w:rsidRPr="006A3149" w:rsidRDefault="00A36EA8" w:rsidP="006A3149">
      <w:pPr>
        <w:pStyle w:val="BodyParagraph"/>
        <w:jc w:val="center"/>
      </w:pPr>
      <w:r>
        <w:rPr>
          <w:noProof/>
        </w:rPr>
        <w:pict>
          <v:rect id="_x0000_s1026" style="position:absolute;left:0;text-align:left;margin-left:263.25pt;margin-top:10.45pt;width:58.5pt;height:190.5pt;z-index:251667456" fillcolor="#4f81bd [3204]" strokecolor="#4f81bd [3204]" strokeweight=".25pt">
            <v:fill opacity="13107f"/>
            <v:stroke dashstyle="1 1" endcap="round"/>
          </v:rect>
        </w:pict>
      </w:r>
      <w:r w:rsidR="00696299">
        <w:rPr>
          <w:noProof/>
        </w:rPr>
        <w:drawing>
          <wp:inline distT="0" distB="0" distL="0" distR="0">
            <wp:extent cx="5314950" cy="3505059"/>
            <wp:effectExtent l="19050" t="0" r="0" b="0"/>
            <wp:docPr id="3" name="Picture 2" descr="Aug 26 Res un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g 26 Res unadjusted.wmf"/>
                    <pic:cNvPicPr/>
                  </pic:nvPicPr>
                  <pic:blipFill>
                    <a:blip r:embed="rId22" cstate="print"/>
                    <a:stretch>
                      <a:fillRect/>
                    </a:stretch>
                  </pic:blipFill>
                  <pic:spPr>
                    <a:xfrm>
                      <a:off x="0" y="0"/>
                      <a:ext cx="5315164" cy="3505200"/>
                    </a:xfrm>
                    <a:prstGeom prst="rect">
                      <a:avLst/>
                    </a:prstGeom>
                  </pic:spPr>
                </pic:pic>
              </a:graphicData>
            </a:graphic>
          </wp:inline>
        </w:drawing>
      </w:r>
    </w:p>
    <w:p w:rsidR="00330954" w:rsidRPr="000D35E4" w:rsidRDefault="00330954" w:rsidP="006A3149">
      <w:pPr>
        <w:pStyle w:val="TableFigureCaption"/>
      </w:pPr>
      <w:r>
        <w:t>Figure</w:t>
      </w:r>
      <w:r w:rsidRPr="00330954">
        <w:t xml:space="preserve"> </w:t>
      </w:r>
      <w:r w:rsidR="00324371">
        <w:t>B-</w:t>
      </w:r>
      <w:r>
        <w:t>2</w:t>
      </w:r>
      <w:r w:rsidRPr="00330954">
        <w:t>:</w:t>
      </w:r>
      <w:r w:rsidR="006A3149">
        <w:t xml:space="preserve"> Residential L</w:t>
      </w:r>
      <w:r>
        <w:t>oad on August 26 and Matched Adjusted Reference Load</w:t>
      </w:r>
    </w:p>
    <w:p w:rsidR="00330954" w:rsidRPr="00330954" w:rsidRDefault="00A36EA8" w:rsidP="000D35E4">
      <w:pPr>
        <w:pStyle w:val="BodyParagraph"/>
        <w:jc w:val="center"/>
      </w:pPr>
      <w:r>
        <w:rPr>
          <w:noProof/>
        </w:rPr>
        <w:pict>
          <v:rect id="_x0000_s1027" style="position:absolute;left:0;text-align:left;margin-left:259.5pt;margin-top:8.35pt;width:54.75pt;height:174pt;z-index:251668480" fillcolor="#4f81bd [3204]" strokecolor="#4f81bd [3204]" strokeweight=".25pt">
            <v:fill opacity="13107f"/>
            <v:stroke dashstyle="1 1" endcap="round"/>
          </v:rect>
        </w:pict>
      </w:r>
      <w:r w:rsidR="00696299">
        <w:rPr>
          <w:noProof/>
        </w:rPr>
        <w:drawing>
          <wp:inline distT="0" distB="0" distL="0" distR="0">
            <wp:extent cx="4862688" cy="3162300"/>
            <wp:effectExtent l="19050" t="0" r="0" b="0"/>
            <wp:docPr id="15" name="Picture 14" descr="Aug 26 Res 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g 26 Res adjusted.wmf"/>
                    <pic:cNvPicPr/>
                  </pic:nvPicPr>
                  <pic:blipFill>
                    <a:blip r:embed="rId23" cstate="print"/>
                    <a:stretch>
                      <a:fillRect/>
                    </a:stretch>
                  </pic:blipFill>
                  <pic:spPr>
                    <a:xfrm>
                      <a:off x="0" y="0"/>
                      <a:ext cx="4871787" cy="3168217"/>
                    </a:xfrm>
                    <a:prstGeom prst="rect">
                      <a:avLst/>
                    </a:prstGeom>
                  </pic:spPr>
                </pic:pic>
              </a:graphicData>
            </a:graphic>
          </wp:inline>
        </w:drawing>
      </w:r>
    </w:p>
    <w:p w:rsidR="00330954" w:rsidRDefault="00330954" w:rsidP="006A3149">
      <w:pPr>
        <w:pStyle w:val="TableFigureCaption"/>
      </w:pPr>
      <w:r>
        <w:lastRenderedPageBreak/>
        <w:t>Figure</w:t>
      </w:r>
      <w:r w:rsidRPr="00330954">
        <w:t xml:space="preserve"> </w:t>
      </w:r>
      <w:r w:rsidR="00324371">
        <w:t>B-</w:t>
      </w:r>
      <w:r>
        <w:t>3</w:t>
      </w:r>
      <w:r w:rsidRPr="00330954">
        <w:t>:</w:t>
      </w:r>
      <w:r w:rsidR="006A3149">
        <w:t xml:space="preserve"> Residential L</w:t>
      </w:r>
      <w:r>
        <w:t>oad on September 7 and Matched Unadjusted Reference Load</w:t>
      </w:r>
    </w:p>
    <w:p w:rsidR="00330954" w:rsidRPr="006A3149" w:rsidRDefault="00A36EA8" w:rsidP="006A3149">
      <w:pPr>
        <w:pStyle w:val="BodyParagraph"/>
        <w:jc w:val="center"/>
      </w:pPr>
      <w:r>
        <w:rPr>
          <w:noProof/>
        </w:rPr>
        <w:pict>
          <v:rect id="_x0000_s1028" style="position:absolute;left:0;text-align:left;margin-left:258.75pt;margin-top:9.1pt;width:56.25pt;height:175.5pt;z-index:251669504" fillcolor="#4f81bd [3204]" strokecolor="#4f81bd [3204]" strokeweight=".25pt">
            <v:fill opacity="13107f"/>
            <v:stroke dashstyle="1 1" endcap="round"/>
          </v:rect>
        </w:pict>
      </w:r>
      <w:r w:rsidR="00696299">
        <w:rPr>
          <w:noProof/>
        </w:rPr>
        <w:drawing>
          <wp:inline distT="0" distB="0" distL="0" distR="0">
            <wp:extent cx="4867275" cy="3227980"/>
            <wp:effectExtent l="19050" t="0" r="9525" b="0"/>
            <wp:docPr id="19" name="Picture 18" descr="Sep 7 Res un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 7 Res unadjusted.wmf"/>
                    <pic:cNvPicPr/>
                  </pic:nvPicPr>
                  <pic:blipFill>
                    <a:blip r:embed="rId24" cstate="print"/>
                    <a:stretch>
                      <a:fillRect/>
                    </a:stretch>
                  </pic:blipFill>
                  <pic:spPr>
                    <a:xfrm>
                      <a:off x="0" y="0"/>
                      <a:ext cx="4877527" cy="3234779"/>
                    </a:xfrm>
                    <a:prstGeom prst="rect">
                      <a:avLst/>
                    </a:prstGeom>
                  </pic:spPr>
                </pic:pic>
              </a:graphicData>
            </a:graphic>
          </wp:inline>
        </w:drawing>
      </w:r>
    </w:p>
    <w:p w:rsidR="00330954" w:rsidRDefault="00330954" w:rsidP="006A3149">
      <w:pPr>
        <w:pStyle w:val="TableFigureCaption"/>
      </w:pPr>
      <w:r>
        <w:t>Figure</w:t>
      </w:r>
      <w:r w:rsidRPr="00330954">
        <w:t xml:space="preserve"> </w:t>
      </w:r>
      <w:r w:rsidR="00324371">
        <w:t>B-</w:t>
      </w:r>
      <w:r>
        <w:t>4</w:t>
      </w:r>
      <w:r w:rsidRPr="00330954">
        <w:t>:</w:t>
      </w:r>
      <w:r w:rsidR="006A3149">
        <w:t xml:space="preserve"> </w:t>
      </w:r>
      <w:r>
        <w:t xml:space="preserve">Residential </w:t>
      </w:r>
      <w:r w:rsidR="006A3149">
        <w:t>L</w:t>
      </w:r>
      <w:r>
        <w:t>oad on September 7 and Matched Adjusted Reference Load</w:t>
      </w:r>
    </w:p>
    <w:p w:rsidR="00330954" w:rsidRDefault="00A36EA8" w:rsidP="000D35E4">
      <w:pPr>
        <w:pStyle w:val="BodyParagraph"/>
        <w:jc w:val="center"/>
      </w:pPr>
      <w:r>
        <w:rPr>
          <w:noProof/>
        </w:rPr>
        <w:pict>
          <v:rect id="_x0000_s1029" style="position:absolute;left:0;text-align:left;margin-left:258.75pt;margin-top:10.4pt;width:56.25pt;height:180.75pt;z-index:251670528" fillcolor="#4f81bd [3204]" strokecolor="#4f81bd [3204]" strokeweight=".25pt">
            <v:fill opacity="13107f"/>
            <v:stroke dashstyle="1 1" endcap="round"/>
          </v:rect>
        </w:pict>
      </w:r>
      <w:r w:rsidR="00696299">
        <w:rPr>
          <w:noProof/>
        </w:rPr>
        <w:drawing>
          <wp:inline distT="0" distB="0" distL="0" distR="0">
            <wp:extent cx="4949612" cy="3343275"/>
            <wp:effectExtent l="19050" t="0" r="3388" b="0"/>
            <wp:docPr id="20" name="Picture 19" descr="Sep 7 Res 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 7 Res adjusted.wmf"/>
                    <pic:cNvPicPr/>
                  </pic:nvPicPr>
                  <pic:blipFill>
                    <a:blip r:embed="rId25" cstate="print"/>
                    <a:stretch>
                      <a:fillRect/>
                    </a:stretch>
                  </pic:blipFill>
                  <pic:spPr>
                    <a:xfrm>
                      <a:off x="0" y="0"/>
                      <a:ext cx="4953260" cy="3345739"/>
                    </a:xfrm>
                    <a:prstGeom prst="rect">
                      <a:avLst/>
                    </a:prstGeom>
                  </pic:spPr>
                </pic:pic>
              </a:graphicData>
            </a:graphic>
          </wp:inline>
        </w:drawing>
      </w:r>
    </w:p>
    <w:p w:rsidR="00330954" w:rsidRDefault="00330954" w:rsidP="006A3149">
      <w:pPr>
        <w:pStyle w:val="TableFigureCaption"/>
      </w:pPr>
      <w:r>
        <w:lastRenderedPageBreak/>
        <w:t>Figure</w:t>
      </w:r>
      <w:r w:rsidRPr="00330954">
        <w:t xml:space="preserve"> </w:t>
      </w:r>
      <w:r w:rsidR="00324371">
        <w:t>B-</w:t>
      </w:r>
      <w:r>
        <w:t>5</w:t>
      </w:r>
      <w:r w:rsidRPr="00330954">
        <w:t>:</w:t>
      </w:r>
      <w:r w:rsidR="006A3149">
        <w:t xml:space="preserve"> Residential L</w:t>
      </w:r>
      <w:r>
        <w:t>oad on September 8 and Matched Unadjusted Reference Load</w:t>
      </w:r>
    </w:p>
    <w:p w:rsidR="00330954" w:rsidRDefault="00A36EA8" w:rsidP="000D35E4">
      <w:pPr>
        <w:pStyle w:val="BodyParagraph"/>
        <w:jc w:val="center"/>
      </w:pPr>
      <w:r>
        <w:rPr>
          <w:noProof/>
        </w:rPr>
        <w:pict>
          <v:rect id="_x0000_s1030" style="position:absolute;left:0;text-align:left;margin-left:248.25pt;margin-top:7.6pt;width:54pt;height:180pt;z-index:251671552" fillcolor="#4f81bd [3204]" strokecolor="#4f81bd [3204]" strokeweight=".25pt">
            <v:fill opacity="13107f"/>
            <v:stroke dashstyle="1 1" endcap="round"/>
          </v:rect>
        </w:pict>
      </w:r>
      <w:r w:rsidR="00696299">
        <w:rPr>
          <w:noProof/>
        </w:rPr>
        <w:drawing>
          <wp:inline distT="0" distB="0" distL="0" distR="0">
            <wp:extent cx="4873408" cy="3267075"/>
            <wp:effectExtent l="19050" t="0" r="3392" b="0"/>
            <wp:docPr id="21" name="Picture 20" descr="Sep 8 Res un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 8 Res unadjusted.wmf"/>
                    <pic:cNvPicPr/>
                  </pic:nvPicPr>
                  <pic:blipFill>
                    <a:blip r:embed="rId26" cstate="print"/>
                    <a:stretch>
                      <a:fillRect/>
                    </a:stretch>
                  </pic:blipFill>
                  <pic:spPr>
                    <a:xfrm>
                      <a:off x="0" y="0"/>
                      <a:ext cx="4877088" cy="3269542"/>
                    </a:xfrm>
                    <a:prstGeom prst="rect">
                      <a:avLst/>
                    </a:prstGeom>
                  </pic:spPr>
                </pic:pic>
              </a:graphicData>
            </a:graphic>
          </wp:inline>
        </w:drawing>
      </w:r>
    </w:p>
    <w:p w:rsidR="00330954" w:rsidRDefault="00330954" w:rsidP="006A3149">
      <w:pPr>
        <w:pStyle w:val="TableFigureCaption"/>
      </w:pPr>
      <w:r>
        <w:t>Figure</w:t>
      </w:r>
      <w:r w:rsidRPr="00330954">
        <w:t xml:space="preserve"> </w:t>
      </w:r>
      <w:r w:rsidR="00324371">
        <w:t>B-</w:t>
      </w:r>
      <w:r>
        <w:t>6</w:t>
      </w:r>
      <w:r w:rsidRPr="00330954">
        <w:t>:</w:t>
      </w:r>
      <w:r w:rsidR="006A3149">
        <w:t xml:space="preserve"> </w:t>
      </w:r>
      <w:r>
        <w:t xml:space="preserve">Residential </w:t>
      </w:r>
      <w:r w:rsidR="006A3149">
        <w:t>L</w:t>
      </w:r>
      <w:r>
        <w:t>oad on September 8 and Matched Adjusted Reference Load</w:t>
      </w:r>
    </w:p>
    <w:p w:rsidR="00330954" w:rsidRPr="00330954" w:rsidRDefault="00A36EA8" w:rsidP="000D35E4">
      <w:pPr>
        <w:pStyle w:val="BodyParagraph"/>
        <w:jc w:val="center"/>
      </w:pPr>
      <w:r>
        <w:rPr>
          <w:noProof/>
        </w:rPr>
        <w:pict>
          <v:rect id="_x0000_s1031" style="position:absolute;left:0;text-align:left;margin-left:248.25pt;margin-top:7.3pt;width:50.25pt;height:180pt;z-index:251672576" fillcolor="#4f81bd [3204]" strokecolor="#4f81bd [3204]" strokeweight=".25pt">
            <v:fill opacity="13107f"/>
            <v:stroke dashstyle="1 1" endcap="round"/>
          </v:rect>
        </w:pict>
      </w:r>
      <w:r w:rsidR="00696299">
        <w:rPr>
          <w:noProof/>
        </w:rPr>
        <w:drawing>
          <wp:inline distT="0" distB="0" distL="0" distR="0">
            <wp:extent cx="4829175" cy="3276469"/>
            <wp:effectExtent l="19050" t="0" r="9525" b="0"/>
            <wp:docPr id="22" name="Picture 21" descr="Sep 8 Res 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 8 Res adjusted.wmf"/>
                    <pic:cNvPicPr/>
                  </pic:nvPicPr>
                  <pic:blipFill>
                    <a:blip r:embed="rId27" cstate="print"/>
                    <a:stretch>
                      <a:fillRect/>
                    </a:stretch>
                  </pic:blipFill>
                  <pic:spPr>
                    <a:xfrm>
                      <a:off x="0" y="0"/>
                      <a:ext cx="4829175" cy="3276469"/>
                    </a:xfrm>
                    <a:prstGeom prst="rect">
                      <a:avLst/>
                    </a:prstGeom>
                  </pic:spPr>
                </pic:pic>
              </a:graphicData>
            </a:graphic>
          </wp:inline>
        </w:drawing>
      </w:r>
    </w:p>
    <w:p w:rsidR="00330954" w:rsidRDefault="00330954" w:rsidP="006A3149">
      <w:pPr>
        <w:pStyle w:val="TableFigureCaption"/>
      </w:pPr>
      <w:r>
        <w:lastRenderedPageBreak/>
        <w:t>Figure</w:t>
      </w:r>
      <w:r w:rsidRPr="00330954">
        <w:t xml:space="preserve"> </w:t>
      </w:r>
      <w:r w:rsidR="00324371">
        <w:t>B-</w:t>
      </w:r>
      <w:r>
        <w:t>7</w:t>
      </w:r>
      <w:r w:rsidRPr="00330954">
        <w:t>:</w:t>
      </w:r>
      <w:r w:rsidR="006A3149">
        <w:t xml:space="preserve"> </w:t>
      </w:r>
      <w:r>
        <w:t xml:space="preserve">Residential </w:t>
      </w:r>
      <w:r w:rsidR="006A3149">
        <w:t>L</w:t>
      </w:r>
      <w:r>
        <w:t>oad on September 9 and Matched Unadjusted Reference Load</w:t>
      </w:r>
    </w:p>
    <w:p w:rsidR="00330954" w:rsidRDefault="00A36EA8" w:rsidP="000D35E4">
      <w:pPr>
        <w:pStyle w:val="BodyParagraph"/>
        <w:jc w:val="center"/>
      </w:pPr>
      <w:r>
        <w:rPr>
          <w:noProof/>
        </w:rPr>
        <w:pict>
          <v:rect id="_x0000_s1032" style="position:absolute;left:0;text-align:left;margin-left:263.25pt;margin-top:8.35pt;width:57pt;height:183pt;z-index:251673600" fillcolor="#4f81bd [3204]" strokecolor="#4f81bd [3204]" strokeweight=".25pt">
            <v:fill opacity="13107f"/>
            <v:stroke dashstyle="1 1" endcap="round"/>
          </v:rect>
        </w:pict>
      </w:r>
      <w:r w:rsidR="00696299">
        <w:rPr>
          <w:noProof/>
        </w:rPr>
        <w:drawing>
          <wp:inline distT="0" distB="0" distL="0" distR="0">
            <wp:extent cx="5162550" cy="3352666"/>
            <wp:effectExtent l="19050" t="0" r="0" b="0"/>
            <wp:docPr id="23" name="Picture 22" descr="Sep 9 Res un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 9 Res unadjusted.wmf"/>
                    <pic:cNvPicPr/>
                  </pic:nvPicPr>
                  <pic:blipFill>
                    <a:blip r:embed="rId28" cstate="print"/>
                    <a:stretch>
                      <a:fillRect/>
                    </a:stretch>
                  </pic:blipFill>
                  <pic:spPr>
                    <a:xfrm>
                      <a:off x="0" y="0"/>
                      <a:ext cx="5163995" cy="3353604"/>
                    </a:xfrm>
                    <a:prstGeom prst="rect">
                      <a:avLst/>
                    </a:prstGeom>
                  </pic:spPr>
                </pic:pic>
              </a:graphicData>
            </a:graphic>
          </wp:inline>
        </w:drawing>
      </w:r>
    </w:p>
    <w:p w:rsidR="00330954" w:rsidRDefault="00330954" w:rsidP="006A3149">
      <w:pPr>
        <w:pStyle w:val="TableFigureCaption"/>
      </w:pPr>
      <w:r>
        <w:t>Figure</w:t>
      </w:r>
      <w:r w:rsidRPr="00330954">
        <w:t xml:space="preserve"> </w:t>
      </w:r>
      <w:r w:rsidR="00324371">
        <w:t>B-</w:t>
      </w:r>
      <w:r>
        <w:t>8</w:t>
      </w:r>
      <w:r w:rsidRPr="00330954">
        <w:t>:</w:t>
      </w:r>
      <w:r w:rsidR="006A3149">
        <w:t xml:space="preserve"> </w:t>
      </w:r>
      <w:r>
        <w:t xml:space="preserve">Residential </w:t>
      </w:r>
      <w:r w:rsidR="006A3149">
        <w:t>L</w:t>
      </w:r>
      <w:r>
        <w:t>oad on September 9 and Matched Adjusted Reference Load</w:t>
      </w:r>
    </w:p>
    <w:p w:rsidR="00330954" w:rsidRPr="00330954" w:rsidRDefault="00A36EA8" w:rsidP="000D35E4">
      <w:pPr>
        <w:pStyle w:val="BodyParagraph"/>
        <w:jc w:val="center"/>
      </w:pPr>
      <w:r>
        <w:rPr>
          <w:noProof/>
        </w:rPr>
        <w:pict>
          <v:rect id="_x0000_s1033" style="position:absolute;left:0;text-align:left;margin-left:263.25pt;margin-top:8.85pt;width:53.25pt;height:181.5pt;z-index:251674624" fillcolor="#4f81bd [3204]" strokecolor="#4f81bd [3204]" strokeweight=".25pt">
            <v:fill opacity="13107f"/>
            <v:stroke dashstyle="1 1" endcap="round"/>
          </v:rect>
        </w:pict>
      </w:r>
      <w:r w:rsidR="00696299">
        <w:rPr>
          <w:noProof/>
        </w:rPr>
        <w:drawing>
          <wp:inline distT="0" distB="0" distL="0" distR="0">
            <wp:extent cx="5006761" cy="3343275"/>
            <wp:effectExtent l="19050" t="0" r="3389" b="0"/>
            <wp:docPr id="24" name="Picture 23" descr="Sep 9 Res 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 9 Res adjusted.wmf"/>
                    <pic:cNvPicPr/>
                  </pic:nvPicPr>
                  <pic:blipFill>
                    <a:blip r:embed="rId29" cstate="print"/>
                    <a:stretch>
                      <a:fillRect/>
                    </a:stretch>
                  </pic:blipFill>
                  <pic:spPr>
                    <a:xfrm>
                      <a:off x="0" y="0"/>
                      <a:ext cx="5008446" cy="3344400"/>
                    </a:xfrm>
                    <a:prstGeom prst="rect">
                      <a:avLst/>
                    </a:prstGeom>
                  </pic:spPr>
                </pic:pic>
              </a:graphicData>
            </a:graphic>
          </wp:inline>
        </w:drawing>
      </w:r>
    </w:p>
    <w:p w:rsidR="00330954" w:rsidRDefault="00330954" w:rsidP="006A3149">
      <w:pPr>
        <w:pStyle w:val="TableFigureCaption"/>
      </w:pPr>
      <w:r>
        <w:lastRenderedPageBreak/>
        <w:t>Figure</w:t>
      </w:r>
      <w:r w:rsidRPr="00330954">
        <w:t xml:space="preserve"> </w:t>
      </w:r>
      <w:r w:rsidR="00324371">
        <w:t>B-</w:t>
      </w:r>
      <w:r>
        <w:t>9</w:t>
      </w:r>
      <w:r w:rsidRPr="00330954">
        <w:t>:</w:t>
      </w:r>
      <w:r w:rsidR="006A3149">
        <w:t xml:space="preserve"> </w:t>
      </w:r>
      <w:r>
        <w:t xml:space="preserve">Residential </w:t>
      </w:r>
      <w:r w:rsidR="006A3149">
        <w:t>L</w:t>
      </w:r>
      <w:r>
        <w:t xml:space="preserve">oad on October 12 and Matched </w:t>
      </w:r>
      <w:r w:rsidR="00700395">
        <w:t>Una</w:t>
      </w:r>
      <w:r>
        <w:t>djusted Reference Load</w:t>
      </w:r>
    </w:p>
    <w:p w:rsidR="00330954" w:rsidRPr="00330954" w:rsidRDefault="00A36EA8" w:rsidP="000D35E4">
      <w:pPr>
        <w:pStyle w:val="BodyParagraph"/>
        <w:jc w:val="center"/>
      </w:pPr>
      <w:r>
        <w:rPr>
          <w:noProof/>
        </w:rPr>
        <w:pict>
          <v:rect id="_x0000_s1034" style="position:absolute;left:0;text-align:left;margin-left:249pt;margin-top:9.85pt;width:57.75pt;height:194.25pt;z-index:251675648" fillcolor="#4f81bd [3204]" strokecolor="#4f81bd [3204]" strokeweight=".25pt">
            <v:fill opacity="13107f"/>
            <v:stroke dashstyle="1 1" endcap="round"/>
          </v:rect>
        </w:pict>
      </w:r>
      <w:r w:rsidR="00696299">
        <w:rPr>
          <w:noProof/>
        </w:rPr>
        <w:drawing>
          <wp:inline distT="0" distB="0" distL="0" distR="0">
            <wp:extent cx="5267325" cy="3560476"/>
            <wp:effectExtent l="19050" t="0" r="0" b="0"/>
            <wp:docPr id="25" name="Picture 24" descr="Oct 12 Res 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 12 Res adjusted.wmf"/>
                    <pic:cNvPicPr/>
                  </pic:nvPicPr>
                  <pic:blipFill>
                    <a:blip r:embed="rId30" cstate="print"/>
                    <a:stretch>
                      <a:fillRect/>
                    </a:stretch>
                  </pic:blipFill>
                  <pic:spPr>
                    <a:xfrm>
                      <a:off x="0" y="0"/>
                      <a:ext cx="5278050" cy="3567726"/>
                    </a:xfrm>
                    <a:prstGeom prst="rect">
                      <a:avLst/>
                    </a:prstGeom>
                  </pic:spPr>
                </pic:pic>
              </a:graphicData>
            </a:graphic>
          </wp:inline>
        </w:drawing>
      </w:r>
    </w:p>
    <w:p w:rsidR="00330954" w:rsidRDefault="00330954" w:rsidP="006A3149">
      <w:pPr>
        <w:pStyle w:val="TableFigureCaption"/>
      </w:pPr>
      <w:r>
        <w:t>Figure</w:t>
      </w:r>
      <w:r w:rsidRPr="00330954">
        <w:t xml:space="preserve"> </w:t>
      </w:r>
      <w:r w:rsidR="00324371">
        <w:t>B-</w:t>
      </w:r>
      <w:r w:rsidRPr="00330954">
        <w:t>1</w:t>
      </w:r>
      <w:r>
        <w:t>0</w:t>
      </w:r>
      <w:r w:rsidRPr="00330954">
        <w:t>:</w:t>
      </w:r>
      <w:r w:rsidR="006A3149">
        <w:t xml:space="preserve"> </w:t>
      </w:r>
      <w:r>
        <w:t xml:space="preserve">Residential </w:t>
      </w:r>
      <w:r w:rsidR="006A3149">
        <w:t>L</w:t>
      </w:r>
      <w:r>
        <w:t>oad on October 1</w:t>
      </w:r>
      <w:r w:rsidR="00700395">
        <w:t>2</w:t>
      </w:r>
      <w:r>
        <w:t xml:space="preserve"> and Matched </w:t>
      </w:r>
      <w:r w:rsidR="00700395">
        <w:t>A</w:t>
      </w:r>
      <w:r>
        <w:t>djusted Reference Load</w:t>
      </w:r>
    </w:p>
    <w:p w:rsidR="00330954" w:rsidRPr="00330954" w:rsidRDefault="00A36EA8" w:rsidP="000D35E4">
      <w:pPr>
        <w:pStyle w:val="BodyParagraph"/>
        <w:jc w:val="center"/>
      </w:pPr>
      <w:r>
        <w:rPr>
          <w:noProof/>
        </w:rPr>
        <w:pict>
          <v:rect id="_x0000_s1036" style="position:absolute;left:0;text-align:left;margin-left:249pt;margin-top:8.2pt;width:54pt;height:178.5pt;z-index:251677696" fillcolor="#4f81bd [3204]" strokecolor="#4f81bd [3204]" strokeweight=".25pt">
            <v:fill opacity="13107f"/>
            <v:stroke dashstyle="1 1" endcap="round"/>
          </v:rect>
        </w:pict>
      </w:r>
      <w:r w:rsidR="00696299">
        <w:rPr>
          <w:noProof/>
        </w:rPr>
        <w:drawing>
          <wp:inline distT="0" distB="0" distL="0" distR="0">
            <wp:extent cx="4999613" cy="3248025"/>
            <wp:effectExtent l="19050" t="0" r="0" b="0"/>
            <wp:docPr id="27" name="Picture 26" descr="Oct 12 Res 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 12 Res adjusted.wmf"/>
                    <pic:cNvPicPr/>
                  </pic:nvPicPr>
                  <pic:blipFill>
                    <a:blip r:embed="rId30" cstate="print"/>
                    <a:stretch>
                      <a:fillRect/>
                    </a:stretch>
                  </pic:blipFill>
                  <pic:spPr>
                    <a:xfrm>
                      <a:off x="0" y="0"/>
                      <a:ext cx="4999613" cy="3248025"/>
                    </a:xfrm>
                    <a:prstGeom prst="rect">
                      <a:avLst/>
                    </a:prstGeom>
                  </pic:spPr>
                </pic:pic>
              </a:graphicData>
            </a:graphic>
          </wp:inline>
        </w:drawing>
      </w:r>
    </w:p>
    <w:p w:rsidR="00700395" w:rsidRDefault="00700395" w:rsidP="006A3149">
      <w:pPr>
        <w:pStyle w:val="TableFigureCaption"/>
      </w:pPr>
      <w:r>
        <w:lastRenderedPageBreak/>
        <w:t>Figure</w:t>
      </w:r>
      <w:r w:rsidRPr="00330954">
        <w:t xml:space="preserve"> </w:t>
      </w:r>
      <w:r w:rsidR="00324371">
        <w:t>B-</w:t>
      </w:r>
      <w:r w:rsidRPr="00330954">
        <w:t>1</w:t>
      </w:r>
      <w:r>
        <w:t>1</w:t>
      </w:r>
      <w:r w:rsidRPr="00330954">
        <w:t>:</w:t>
      </w:r>
      <w:r w:rsidR="006A3149">
        <w:t xml:space="preserve"> </w:t>
      </w:r>
      <w:r>
        <w:t xml:space="preserve">Residential </w:t>
      </w:r>
      <w:r w:rsidR="006A3149">
        <w:t>L</w:t>
      </w:r>
      <w:r>
        <w:t>oad on October 13 and Matched Unadjusted Reference Load</w:t>
      </w:r>
    </w:p>
    <w:p w:rsidR="00330954" w:rsidRDefault="00A36EA8" w:rsidP="000D35E4">
      <w:pPr>
        <w:pStyle w:val="BodyParagraph"/>
        <w:jc w:val="center"/>
      </w:pPr>
      <w:r>
        <w:rPr>
          <w:noProof/>
        </w:rPr>
        <w:pict>
          <v:rect id="_x0000_s1035" style="position:absolute;left:0;text-align:left;margin-left:246.75pt;margin-top:9.85pt;width:51pt;height:183.75pt;z-index:251676672" fillcolor="#4f81bd [3204]" strokecolor="#4f81bd [3204]" strokeweight=".25pt">
            <v:fill opacity="13107f"/>
            <v:stroke dashstyle="1 1" endcap="round"/>
          </v:rect>
        </w:pict>
      </w:r>
      <w:r w:rsidR="00696299">
        <w:rPr>
          <w:noProof/>
        </w:rPr>
        <w:drawing>
          <wp:inline distT="0" distB="0" distL="0" distR="0">
            <wp:extent cx="4649577" cy="3381375"/>
            <wp:effectExtent l="19050" t="0" r="0" b="0"/>
            <wp:docPr id="28" name="Picture 27" descr="Oct 13 Res un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 13 Res unadjusted.wmf"/>
                    <pic:cNvPicPr/>
                  </pic:nvPicPr>
                  <pic:blipFill>
                    <a:blip r:embed="rId31" cstate="print"/>
                    <a:stretch>
                      <a:fillRect/>
                    </a:stretch>
                  </pic:blipFill>
                  <pic:spPr>
                    <a:xfrm>
                      <a:off x="0" y="0"/>
                      <a:ext cx="4649577" cy="3381375"/>
                    </a:xfrm>
                    <a:prstGeom prst="rect">
                      <a:avLst/>
                    </a:prstGeom>
                  </pic:spPr>
                </pic:pic>
              </a:graphicData>
            </a:graphic>
          </wp:inline>
        </w:drawing>
      </w:r>
    </w:p>
    <w:p w:rsidR="00700395" w:rsidRDefault="00700395" w:rsidP="006A3149">
      <w:pPr>
        <w:pStyle w:val="TableFigureCaption"/>
      </w:pPr>
      <w:r>
        <w:t>Figure</w:t>
      </w:r>
      <w:r w:rsidRPr="00330954">
        <w:t xml:space="preserve"> </w:t>
      </w:r>
      <w:r w:rsidR="00324371">
        <w:t>B-</w:t>
      </w:r>
      <w:r w:rsidRPr="00330954">
        <w:t>1</w:t>
      </w:r>
      <w:r>
        <w:t>2</w:t>
      </w:r>
      <w:r w:rsidRPr="00330954">
        <w:t>:</w:t>
      </w:r>
      <w:r w:rsidR="006A3149">
        <w:t xml:space="preserve"> </w:t>
      </w:r>
      <w:r>
        <w:t xml:space="preserve">Residential </w:t>
      </w:r>
      <w:r w:rsidR="006A3149">
        <w:t>L</w:t>
      </w:r>
      <w:r>
        <w:t>oad on October 13 and Matched Adjusted Reference Load</w:t>
      </w:r>
    </w:p>
    <w:p w:rsidR="00700395" w:rsidRPr="00700395" w:rsidRDefault="00A36EA8" w:rsidP="000D35E4">
      <w:pPr>
        <w:pStyle w:val="BodyParagraph"/>
        <w:jc w:val="center"/>
      </w:pPr>
      <w:r>
        <w:rPr>
          <w:noProof/>
        </w:rPr>
        <w:pict>
          <v:rect id="_x0000_s1037" style="position:absolute;left:0;text-align:left;margin-left:246.75pt;margin-top:8.8pt;width:51pt;height:182.25pt;z-index:251678720" fillcolor="#4f81bd [3204]" strokecolor="#4f81bd [3204]" strokeweight=".25pt">
            <v:fill opacity="13107f"/>
            <v:stroke dashstyle="1 1" endcap="round"/>
          </v:rect>
        </w:pict>
      </w:r>
      <w:r w:rsidR="00696299">
        <w:rPr>
          <w:noProof/>
        </w:rPr>
        <w:drawing>
          <wp:inline distT="0" distB="0" distL="0" distR="0">
            <wp:extent cx="4598383" cy="3344145"/>
            <wp:effectExtent l="19050" t="0" r="0" b="0"/>
            <wp:docPr id="29" name="Picture 28" descr="Oct 13 Res 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 13 Res adjusted.wmf"/>
                    <pic:cNvPicPr/>
                  </pic:nvPicPr>
                  <pic:blipFill>
                    <a:blip r:embed="rId32" cstate="print"/>
                    <a:stretch>
                      <a:fillRect/>
                    </a:stretch>
                  </pic:blipFill>
                  <pic:spPr>
                    <a:xfrm>
                      <a:off x="0" y="0"/>
                      <a:ext cx="4600509" cy="3345691"/>
                    </a:xfrm>
                    <a:prstGeom prst="rect">
                      <a:avLst/>
                    </a:prstGeom>
                  </pic:spPr>
                </pic:pic>
              </a:graphicData>
            </a:graphic>
          </wp:inline>
        </w:drawing>
      </w:r>
    </w:p>
    <w:p w:rsidR="000D35E4" w:rsidRDefault="000D35E4" w:rsidP="000D35E4">
      <w:pPr>
        <w:pStyle w:val="AppendixHeading2"/>
      </w:pPr>
      <w:bookmarkStart w:id="31" w:name="_Toc320513024"/>
      <w:bookmarkStart w:id="32" w:name="_Toc325370158"/>
      <w:r>
        <w:t>Commercial Day-Matching Figures</w:t>
      </w:r>
      <w:r w:rsidR="00FF4476">
        <w:t xml:space="preserve"> (Event Window Shaded)</w:t>
      </w:r>
      <w:bookmarkEnd w:id="31"/>
      <w:bookmarkEnd w:id="32"/>
    </w:p>
    <w:p w:rsidR="006A3149" w:rsidRDefault="006A3149" w:rsidP="006A3149">
      <w:pPr>
        <w:pStyle w:val="TableFigureCaption"/>
      </w:pPr>
    </w:p>
    <w:p w:rsidR="000D35E4" w:rsidRPr="000D35E4" w:rsidRDefault="000D35E4" w:rsidP="006A3149">
      <w:pPr>
        <w:pStyle w:val="TableFigureCaption"/>
        <w:rPr>
          <w:rFonts w:eastAsiaTheme="minorHAnsi"/>
        </w:rPr>
      </w:pPr>
      <w:r w:rsidRPr="000D35E4">
        <w:t xml:space="preserve">Figure </w:t>
      </w:r>
      <w:r w:rsidR="00324371">
        <w:t>B-</w:t>
      </w:r>
      <w:r w:rsidRPr="000D35E4">
        <w:t>1</w:t>
      </w:r>
      <w:r w:rsidR="00FC7BF9">
        <w:t>3</w:t>
      </w:r>
      <w:r w:rsidRPr="000D35E4">
        <w:t>:</w:t>
      </w:r>
      <w:r w:rsidR="006A3149">
        <w:t xml:space="preserve"> </w:t>
      </w:r>
      <w:r>
        <w:t>Commerc</w:t>
      </w:r>
      <w:r w:rsidR="006A3149">
        <w:t>ial L</w:t>
      </w:r>
      <w:r w:rsidRPr="000D35E4">
        <w:t>oad on August 26 and Matched Unadjusted Reference Load</w:t>
      </w:r>
    </w:p>
    <w:p w:rsidR="000D35E4" w:rsidRDefault="00A36EA8" w:rsidP="000D35E4">
      <w:pPr>
        <w:pStyle w:val="BodyParagraph"/>
        <w:jc w:val="center"/>
        <w:rPr>
          <w:b/>
          <w:sz w:val="22"/>
        </w:rPr>
      </w:pPr>
      <w:r>
        <w:rPr>
          <w:b/>
          <w:noProof/>
          <w:sz w:val="22"/>
        </w:rPr>
        <w:pict>
          <v:rect id="_x0000_s1038" style="position:absolute;left:0;text-align:left;margin-left:261.75pt;margin-top:8.2pt;width:56.25pt;height:189pt;z-index:251679744" fillcolor="#4f81bd [3204]" strokecolor="#4f81bd [3204]" strokeweight=".25pt">
            <v:fill opacity="13107f"/>
            <v:stroke dashstyle="1 1" endcap="round"/>
          </v:rect>
        </w:pict>
      </w:r>
      <w:r w:rsidR="00E2100D">
        <w:rPr>
          <w:b/>
          <w:noProof/>
          <w:sz w:val="22"/>
        </w:rPr>
        <w:drawing>
          <wp:inline distT="0" distB="0" distL="0" distR="0">
            <wp:extent cx="5137736" cy="3438525"/>
            <wp:effectExtent l="19050" t="0" r="5764" b="0"/>
            <wp:docPr id="42" name="Picture 41" descr="Aug 26 SMB un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g 26 SMB unadjusted.wmf"/>
                    <pic:cNvPicPr/>
                  </pic:nvPicPr>
                  <pic:blipFill>
                    <a:blip r:embed="rId33" cstate="print"/>
                    <a:stretch>
                      <a:fillRect/>
                    </a:stretch>
                  </pic:blipFill>
                  <pic:spPr>
                    <a:xfrm>
                      <a:off x="0" y="0"/>
                      <a:ext cx="5144000" cy="3442717"/>
                    </a:xfrm>
                    <a:prstGeom prst="rect">
                      <a:avLst/>
                    </a:prstGeom>
                  </pic:spPr>
                </pic:pic>
              </a:graphicData>
            </a:graphic>
          </wp:inline>
        </w:drawing>
      </w:r>
    </w:p>
    <w:p w:rsidR="000D35E4" w:rsidRPr="000D35E4" w:rsidRDefault="000D35E4" w:rsidP="006A3149">
      <w:pPr>
        <w:pStyle w:val="TableFigureCaption"/>
      </w:pPr>
      <w:r>
        <w:t>Figure</w:t>
      </w:r>
      <w:r w:rsidRPr="00330954">
        <w:t xml:space="preserve"> </w:t>
      </w:r>
      <w:r w:rsidR="00324371">
        <w:t>B-</w:t>
      </w:r>
      <w:r w:rsidR="00FC7BF9">
        <w:t>14</w:t>
      </w:r>
      <w:r w:rsidRPr="00330954">
        <w:t>:</w:t>
      </w:r>
      <w:r w:rsidR="006A3149">
        <w:t xml:space="preserve"> Commercial L</w:t>
      </w:r>
      <w:r>
        <w:t>oad on August 26 and Matched Adjusted Reference Load</w:t>
      </w:r>
    </w:p>
    <w:p w:rsidR="000D35E4" w:rsidRPr="00330954" w:rsidRDefault="00A36EA8" w:rsidP="000D35E4">
      <w:pPr>
        <w:pStyle w:val="BodyParagraph"/>
        <w:jc w:val="center"/>
      </w:pPr>
      <w:r>
        <w:rPr>
          <w:noProof/>
        </w:rPr>
        <w:pict>
          <v:rect id="_x0000_s1039" style="position:absolute;left:0;text-align:left;margin-left:268.5pt;margin-top:9.05pt;width:55.5pt;height:174pt;z-index:251680768" fillcolor="#4f81bd [3204]" strokecolor="#4f81bd [3204]" strokeweight=".25pt">
            <v:fill opacity="13107f"/>
            <v:stroke dashstyle="1 1" endcap="round"/>
          </v:rect>
        </w:pict>
      </w:r>
      <w:r w:rsidR="00E2100D">
        <w:rPr>
          <w:noProof/>
        </w:rPr>
        <w:drawing>
          <wp:inline distT="0" distB="0" distL="0" distR="0">
            <wp:extent cx="5124450" cy="3200272"/>
            <wp:effectExtent l="19050" t="0" r="0" b="0"/>
            <wp:docPr id="43" name="Picture 42" descr="Aug 26 SMB 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g 26 SMB adjusted.wmf"/>
                    <pic:cNvPicPr/>
                  </pic:nvPicPr>
                  <pic:blipFill>
                    <a:blip r:embed="rId34" cstate="print"/>
                    <a:stretch>
                      <a:fillRect/>
                    </a:stretch>
                  </pic:blipFill>
                  <pic:spPr>
                    <a:xfrm>
                      <a:off x="0" y="0"/>
                      <a:ext cx="5124655" cy="3200400"/>
                    </a:xfrm>
                    <a:prstGeom prst="rect">
                      <a:avLst/>
                    </a:prstGeom>
                  </pic:spPr>
                </pic:pic>
              </a:graphicData>
            </a:graphic>
          </wp:inline>
        </w:drawing>
      </w:r>
    </w:p>
    <w:p w:rsidR="000D35E4" w:rsidRDefault="000D35E4" w:rsidP="006A3149">
      <w:pPr>
        <w:pStyle w:val="TableFigureCaption"/>
      </w:pPr>
      <w:r>
        <w:lastRenderedPageBreak/>
        <w:t>Figure</w:t>
      </w:r>
      <w:r w:rsidRPr="00330954">
        <w:t xml:space="preserve"> </w:t>
      </w:r>
      <w:r w:rsidR="00324371">
        <w:t>B-</w:t>
      </w:r>
      <w:r w:rsidR="00FC7BF9">
        <w:t>15</w:t>
      </w:r>
      <w:r w:rsidRPr="00330954">
        <w:t>:</w:t>
      </w:r>
      <w:r w:rsidR="006A3149">
        <w:t xml:space="preserve"> </w:t>
      </w:r>
      <w:r>
        <w:t xml:space="preserve">Commercial </w:t>
      </w:r>
      <w:r w:rsidR="006A3149">
        <w:t>L</w:t>
      </w:r>
      <w:r>
        <w:t>oad on September 7 and Matched Unadjusted Reference Load</w:t>
      </w:r>
    </w:p>
    <w:p w:rsidR="000D35E4" w:rsidRPr="00330954" w:rsidRDefault="00A36EA8" w:rsidP="000D35E4">
      <w:pPr>
        <w:pStyle w:val="BodyParagraph"/>
        <w:jc w:val="center"/>
      </w:pPr>
      <w:r>
        <w:rPr>
          <w:noProof/>
        </w:rPr>
        <w:pict>
          <v:rect id="_x0000_s1040" style="position:absolute;left:0;text-align:left;margin-left:261pt;margin-top:9.1pt;width:57.75pt;height:181.5pt;z-index:251681792" fillcolor="#4f81bd [3204]" strokecolor="#4f81bd [3204]" strokeweight=".25pt">
            <v:fill opacity="13107f"/>
            <v:stroke dashstyle="1 1" endcap="round"/>
          </v:rect>
        </w:pict>
      </w:r>
      <w:r w:rsidR="00E2100D">
        <w:rPr>
          <w:noProof/>
        </w:rPr>
        <w:drawing>
          <wp:inline distT="0" distB="0" distL="0" distR="0">
            <wp:extent cx="5119870" cy="3314700"/>
            <wp:effectExtent l="19050" t="0" r="4580" b="0"/>
            <wp:docPr id="44" name="Picture 43" descr="Sep 7 SMB un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 7 SMB unadjusted.wmf"/>
                    <pic:cNvPicPr/>
                  </pic:nvPicPr>
                  <pic:blipFill>
                    <a:blip r:embed="rId35" cstate="print"/>
                    <a:stretch>
                      <a:fillRect/>
                    </a:stretch>
                  </pic:blipFill>
                  <pic:spPr>
                    <a:xfrm>
                      <a:off x="0" y="0"/>
                      <a:ext cx="5119870" cy="3314700"/>
                    </a:xfrm>
                    <a:prstGeom prst="rect">
                      <a:avLst/>
                    </a:prstGeom>
                  </pic:spPr>
                </pic:pic>
              </a:graphicData>
            </a:graphic>
          </wp:inline>
        </w:drawing>
      </w:r>
    </w:p>
    <w:p w:rsidR="000D35E4" w:rsidRDefault="000D35E4" w:rsidP="006A3149">
      <w:pPr>
        <w:pStyle w:val="TableFigureCaption"/>
      </w:pPr>
      <w:r>
        <w:t>Figure</w:t>
      </w:r>
      <w:r w:rsidRPr="00330954">
        <w:t xml:space="preserve"> </w:t>
      </w:r>
      <w:r w:rsidR="00324371">
        <w:t>B-</w:t>
      </w:r>
      <w:r w:rsidR="00FC7BF9">
        <w:t>16</w:t>
      </w:r>
      <w:r w:rsidRPr="00330954">
        <w:t>:</w:t>
      </w:r>
      <w:r w:rsidR="006A3149">
        <w:t xml:space="preserve"> </w:t>
      </w:r>
      <w:r>
        <w:t xml:space="preserve">Commercial </w:t>
      </w:r>
      <w:r w:rsidR="006A3149">
        <w:t>L</w:t>
      </w:r>
      <w:r>
        <w:t>oad on September 7 and Matched Adjusted Reference Load</w:t>
      </w:r>
    </w:p>
    <w:p w:rsidR="000D35E4" w:rsidRDefault="00A36EA8" w:rsidP="000D35E4">
      <w:pPr>
        <w:pStyle w:val="BodyParagraph"/>
        <w:jc w:val="center"/>
      </w:pPr>
      <w:r>
        <w:rPr>
          <w:noProof/>
        </w:rPr>
        <w:pict>
          <v:rect id="_x0000_s1041" style="position:absolute;left:0;text-align:left;margin-left:270pt;margin-top:8.8pt;width:52.5pt;height:187.5pt;z-index:251682816" fillcolor="#4f81bd [3204]" strokecolor="#4f81bd [3204]" strokeweight=".25pt">
            <v:fill opacity="13107f"/>
            <v:stroke dashstyle="1 1" endcap="round"/>
          </v:rect>
        </w:pict>
      </w:r>
      <w:r w:rsidR="00E2100D">
        <w:rPr>
          <w:noProof/>
        </w:rPr>
        <w:drawing>
          <wp:inline distT="0" distB="0" distL="0" distR="0">
            <wp:extent cx="5124450" cy="3428863"/>
            <wp:effectExtent l="19050" t="0" r="0" b="0"/>
            <wp:docPr id="45" name="Picture 44" descr="Sep 7 SMB 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 7 SMB adjusted.wmf"/>
                    <pic:cNvPicPr/>
                  </pic:nvPicPr>
                  <pic:blipFill>
                    <a:blip r:embed="rId36" cstate="print"/>
                    <a:stretch>
                      <a:fillRect/>
                    </a:stretch>
                  </pic:blipFill>
                  <pic:spPr>
                    <a:xfrm>
                      <a:off x="0" y="0"/>
                      <a:ext cx="5124450" cy="3428863"/>
                    </a:xfrm>
                    <a:prstGeom prst="rect">
                      <a:avLst/>
                    </a:prstGeom>
                  </pic:spPr>
                </pic:pic>
              </a:graphicData>
            </a:graphic>
          </wp:inline>
        </w:drawing>
      </w:r>
    </w:p>
    <w:p w:rsidR="000D35E4" w:rsidRDefault="000D35E4" w:rsidP="006A3149">
      <w:pPr>
        <w:pStyle w:val="TableFigureCaption"/>
      </w:pPr>
      <w:r>
        <w:lastRenderedPageBreak/>
        <w:t>Figure</w:t>
      </w:r>
      <w:r w:rsidRPr="00330954">
        <w:t xml:space="preserve"> </w:t>
      </w:r>
      <w:r w:rsidR="00324371">
        <w:t>B-</w:t>
      </w:r>
      <w:r w:rsidR="00FC7BF9">
        <w:t>17</w:t>
      </w:r>
      <w:r w:rsidRPr="00330954">
        <w:t>:</w:t>
      </w:r>
      <w:r w:rsidR="006A3149">
        <w:t xml:space="preserve"> Commercial L</w:t>
      </w:r>
      <w:r>
        <w:t>oad on September 8 and Matched Unadjusted Reference Load</w:t>
      </w:r>
    </w:p>
    <w:p w:rsidR="000D35E4" w:rsidRDefault="00A36EA8" w:rsidP="000D35E4">
      <w:pPr>
        <w:pStyle w:val="BodyParagraph"/>
        <w:jc w:val="center"/>
      </w:pPr>
      <w:r>
        <w:rPr>
          <w:noProof/>
        </w:rPr>
        <w:pict>
          <v:rect id="_x0000_s1042" style="position:absolute;left:0;text-align:left;margin-left:248.25pt;margin-top:8.35pt;width:60pt;height:189.75pt;z-index:251683840" fillcolor="#4f81bd [3204]" strokecolor="#4f81bd [3204]" strokeweight=".25pt">
            <v:fill opacity="13107f"/>
            <v:stroke dashstyle="1 1" endcap="round"/>
          </v:rect>
        </w:pict>
      </w:r>
      <w:r w:rsidR="00E2100D">
        <w:rPr>
          <w:noProof/>
        </w:rPr>
        <w:drawing>
          <wp:inline distT="0" distB="0" distL="0" distR="0">
            <wp:extent cx="5362575" cy="3456571"/>
            <wp:effectExtent l="19050" t="0" r="9525" b="0"/>
            <wp:docPr id="46" name="Picture 45" descr="Sep 8 SMB un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 8 SMB unadjusted.wmf"/>
                    <pic:cNvPicPr/>
                  </pic:nvPicPr>
                  <pic:blipFill>
                    <a:blip r:embed="rId37" cstate="print"/>
                    <a:stretch>
                      <a:fillRect/>
                    </a:stretch>
                  </pic:blipFill>
                  <pic:spPr>
                    <a:xfrm>
                      <a:off x="0" y="0"/>
                      <a:ext cx="5362575" cy="3456571"/>
                    </a:xfrm>
                    <a:prstGeom prst="rect">
                      <a:avLst/>
                    </a:prstGeom>
                  </pic:spPr>
                </pic:pic>
              </a:graphicData>
            </a:graphic>
          </wp:inline>
        </w:drawing>
      </w:r>
    </w:p>
    <w:p w:rsidR="000D35E4" w:rsidRDefault="000D35E4" w:rsidP="006A3149">
      <w:pPr>
        <w:pStyle w:val="TableFigureCaption"/>
      </w:pPr>
      <w:r>
        <w:t>Figure</w:t>
      </w:r>
      <w:r w:rsidRPr="00330954">
        <w:t xml:space="preserve"> </w:t>
      </w:r>
      <w:r w:rsidR="00324371">
        <w:t>B-</w:t>
      </w:r>
      <w:r w:rsidR="00FC7BF9">
        <w:t>18</w:t>
      </w:r>
      <w:r w:rsidRPr="00330954">
        <w:t>:</w:t>
      </w:r>
      <w:r w:rsidR="006A3149">
        <w:t xml:space="preserve"> </w:t>
      </w:r>
      <w:r>
        <w:t>Com</w:t>
      </w:r>
      <w:r w:rsidR="006A3149">
        <w:t>mercial L</w:t>
      </w:r>
      <w:r>
        <w:t>oad on September 8 and Matched Adjusted Reference Load</w:t>
      </w:r>
    </w:p>
    <w:p w:rsidR="000D35E4" w:rsidRPr="00330954" w:rsidRDefault="00A36EA8" w:rsidP="000D35E4">
      <w:pPr>
        <w:pStyle w:val="BodyParagraph"/>
        <w:jc w:val="center"/>
      </w:pPr>
      <w:r>
        <w:rPr>
          <w:noProof/>
        </w:rPr>
        <w:pict>
          <v:rect id="_x0000_s1043" style="position:absolute;left:0;text-align:left;margin-left:256.5pt;margin-top:7.4pt;width:56.25pt;height:180.75pt;z-index:251684864" fillcolor="#4f81bd [3204]" strokecolor="#4f81bd [3204]" strokeweight=".25pt">
            <v:fill opacity="13107f"/>
            <v:stroke dashstyle="1 1" endcap="round"/>
          </v:rect>
        </w:pict>
      </w:r>
      <w:r w:rsidR="00E2100D">
        <w:rPr>
          <w:noProof/>
        </w:rPr>
        <w:drawing>
          <wp:inline distT="0" distB="0" distL="0" distR="0">
            <wp:extent cx="5331800" cy="3295650"/>
            <wp:effectExtent l="19050" t="0" r="2200" b="0"/>
            <wp:docPr id="47" name="Picture 46" descr="Sep 8 SMB 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 8 SMB adjusted.wmf"/>
                    <pic:cNvPicPr/>
                  </pic:nvPicPr>
                  <pic:blipFill>
                    <a:blip r:embed="rId38" cstate="print"/>
                    <a:stretch>
                      <a:fillRect/>
                    </a:stretch>
                  </pic:blipFill>
                  <pic:spPr>
                    <a:xfrm>
                      <a:off x="0" y="0"/>
                      <a:ext cx="5331800" cy="3295650"/>
                    </a:xfrm>
                    <a:prstGeom prst="rect">
                      <a:avLst/>
                    </a:prstGeom>
                  </pic:spPr>
                </pic:pic>
              </a:graphicData>
            </a:graphic>
          </wp:inline>
        </w:drawing>
      </w:r>
    </w:p>
    <w:p w:rsidR="000D35E4" w:rsidRDefault="000D35E4" w:rsidP="006A3149">
      <w:pPr>
        <w:pStyle w:val="TableFigureCaption"/>
      </w:pPr>
      <w:r>
        <w:lastRenderedPageBreak/>
        <w:t>Figure</w:t>
      </w:r>
      <w:r w:rsidRPr="00330954">
        <w:t xml:space="preserve"> </w:t>
      </w:r>
      <w:r w:rsidR="00324371">
        <w:t>B-</w:t>
      </w:r>
      <w:r w:rsidR="00FC7BF9">
        <w:t>19</w:t>
      </w:r>
      <w:r w:rsidRPr="00330954">
        <w:t>:</w:t>
      </w:r>
      <w:r w:rsidR="006A3149">
        <w:t xml:space="preserve"> </w:t>
      </w:r>
      <w:r>
        <w:t xml:space="preserve">Commercial </w:t>
      </w:r>
      <w:r w:rsidR="006A3149">
        <w:t>L</w:t>
      </w:r>
      <w:r>
        <w:t>oad on September 9 and Matched Unadjusted Reference Load</w:t>
      </w:r>
    </w:p>
    <w:p w:rsidR="000D35E4" w:rsidRDefault="00A36EA8" w:rsidP="000D35E4">
      <w:pPr>
        <w:pStyle w:val="BodyParagraph"/>
        <w:jc w:val="center"/>
      </w:pPr>
      <w:r>
        <w:rPr>
          <w:noProof/>
        </w:rPr>
        <w:pict>
          <v:rect id="_x0000_s1044" style="position:absolute;left:0;text-align:left;margin-left:263.25pt;margin-top:7.6pt;width:56.25pt;height:172.5pt;z-index:251685888" fillcolor="#4f81bd [3204]" strokecolor="#4f81bd [3204]" strokeweight=".25pt">
            <v:fill opacity="13107f"/>
            <v:stroke dashstyle="1 1" endcap="round"/>
          </v:rect>
        </w:pict>
      </w:r>
      <w:r w:rsidR="00E2100D">
        <w:rPr>
          <w:noProof/>
        </w:rPr>
        <w:drawing>
          <wp:inline distT="0" distB="0" distL="0" distR="0">
            <wp:extent cx="5200650" cy="3151783"/>
            <wp:effectExtent l="19050" t="0" r="0" b="0"/>
            <wp:docPr id="48" name="Picture 47" descr="Sep 9 SMB un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 9 SMB unadjusted.wmf"/>
                    <pic:cNvPicPr/>
                  </pic:nvPicPr>
                  <pic:blipFill>
                    <a:blip r:embed="rId39" cstate="print"/>
                    <a:stretch>
                      <a:fillRect/>
                    </a:stretch>
                  </pic:blipFill>
                  <pic:spPr>
                    <a:xfrm>
                      <a:off x="0" y="0"/>
                      <a:ext cx="5200650" cy="3151783"/>
                    </a:xfrm>
                    <a:prstGeom prst="rect">
                      <a:avLst/>
                    </a:prstGeom>
                  </pic:spPr>
                </pic:pic>
              </a:graphicData>
            </a:graphic>
          </wp:inline>
        </w:drawing>
      </w:r>
    </w:p>
    <w:p w:rsidR="000D35E4" w:rsidRDefault="000D35E4" w:rsidP="006A3149">
      <w:pPr>
        <w:pStyle w:val="TableFigureCaption"/>
      </w:pPr>
      <w:r>
        <w:t>Figure</w:t>
      </w:r>
      <w:r w:rsidRPr="00330954">
        <w:t xml:space="preserve"> </w:t>
      </w:r>
      <w:r w:rsidR="00324371">
        <w:t>B-</w:t>
      </w:r>
      <w:r w:rsidR="00FC7BF9">
        <w:t>20</w:t>
      </w:r>
      <w:r w:rsidRPr="00330954">
        <w:t>:</w:t>
      </w:r>
      <w:r w:rsidR="006A3149">
        <w:t xml:space="preserve"> </w:t>
      </w:r>
      <w:r>
        <w:t xml:space="preserve">Commercial </w:t>
      </w:r>
      <w:r w:rsidR="006A3149">
        <w:t>L</w:t>
      </w:r>
      <w:r>
        <w:t>oad on September 9 and Matched Adjusted Reference Load</w:t>
      </w:r>
    </w:p>
    <w:p w:rsidR="000D35E4" w:rsidRPr="00330954" w:rsidRDefault="00A36EA8" w:rsidP="000D35E4">
      <w:pPr>
        <w:pStyle w:val="BodyParagraph"/>
        <w:jc w:val="center"/>
      </w:pPr>
      <w:r>
        <w:rPr>
          <w:noProof/>
        </w:rPr>
        <w:pict>
          <v:rect id="_x0000_s1045" style="position:absolute;left:0;text-align:left;margin-left:268.5pt;margin-top:10.4pt;width:57pt;height:194.25pt;z-index:251686912" fillcolor="#4f81bd [3204]" strokecolor="#4f81bd [3204]" strokeweight=".25pt">
            <v:fill opacity="13107f"/>
            <v:stroke dashstyle="1 1" endcap="round"/>
          </v:rect>
        </w:pict>
      </w:r>
      <w:r w:rsidR="00E2100D">
        <w:rPr>
          <w:noProof/>
        </w:rPr>
        <w:drawing>
          <wp:inline distT="0" distB="0" distL="0" distR="0">
            <wp:extent cx="5267325" cy="3588183"/>
            <wp:effectExtent l="19050" t="0" r="9525" b="0"/>
            <wp:docPr id="49" name="Picture 48" descr="Sep 9 SMB 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 9 SMB adjusted.wmf"/>
                    <pic:cNvPicPr/>
                  </pic:nvPicPr>
                  <pic:blipFill>
                    <a:blip r:embed="rId40" cstate="print"/>
                    <a:stretch>
                      <a:fillRect/>
                    </a:stretch>
                  </pic:blipFill>
                  <pic:spPr>
                    <a:xfrm>
                      <a:off x="0" y="0"/>
                      <a:ext cx="5271350" cy="3590925"/>
                    </a:xfrm>
                    <a:prstGeom prst="rect">
                      <a:avLst/>
                    </a:prstGeom>
                  </pic:spPr>
                </pic:pic>
              </a:graphicData>
            </a:graphic>
          </wp:inline>
        </w:drawing>
      </w:r>
    </w:p>
    <w:p w:rsidR="000D35E4" w:rsidRDefault="000D35E4" w:rsidP="006A3149">
      <w:pPr>
        <w:pStyle w:val="TableFigureCaption"/>
      </w:pPr>
      <w:r>
        <w:lastRenderedPageBreak/>
        <w:t>Figure</w:t>
      </w:r>
      <w:r w:rsidRPr="00330954">
        <w:t xml:space="preserve"> </w:t>
      </w:r>
      <w:r w:rsidR="00324371">
        <w:t>B-</w:t>
      </w:r>
      <w:r w:rsidR="00FC7BF9">
        <w:t>21</w:t>
      </w:r>
      <w:r w:rsidRPr="00330954">
        <w:t>:</w:t>
      </w:r>
      <w:r w:rsidR="006A3149">
        <w:t xml:space="preserve"> C</w:t>
      </w:r>
      <w:r>
        <w:t xml:space="preserve">ommercial </w:t>
      </w:r>
      <w:r w:rsidR="006A3149">
        <w:t>L</w:t>
      </w:r>
      <w:r>
        <w:t>oad on October 12 and Matched Unadjusted Reference Load</w:t>
      </w:r>
    </w:p>
    <w:p w:rsidR="000D35E4" w:rsidRPr="00330954" w:rsidRDefault="00A36EA8" w:rsidP="000D35E4">
      <w:pPr>
        <w:pStyle w:val="BodyParagraph"/>
        <w:jc w:val="center"/>
      </w:pPr>
      <w:r>
        <w:rPr>
          <w:noProof/>
        </w:rPr>
        <w:pict>
          <v:rect id="_x0000_s1046" style="position:absolute;left:0;text-align:left;margin-left:249pt;margin-top:7.6pt;width:59.25pt;height:174pt;z-index:251687936" fillcolor="#4f81bd [3204]" strokecolor="#4f81bd [3204]" strokeweight=".25pt">
            <v:fill opacity="13107f"/>
            <v:stroke dashstyle="1 1" endcap="round"/>
          </v:rect>
        </w:pict>
      </w:r>
      <w:r w:rsidR="00E2100D">
        <w:rPr>
          <w:noProof/>
        </w:rPr>
        <w:drawing>
          <wp:inline distT="0" distB="0" distL="0" distR="0">
            <wp:extent cx="5434186" cy="3162300"/>
            <wp:effectExtent l="19050" t="0" r="0" b="0"/>
            <wp:docPr id="50" name="Picture 49" descr="Oct 12 SMB un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 12 SMB unadjusted.wmf"/>
                    <pic:cNvPicPr/>
                  </pic:nvPicPr>
                  <pic:blipFill>
                    <a:blip r:embed="rId41" cstate="print"/>
                    <a:stretch>
                      <a:fillRect/>
                    </a:stretch>
                  </pic:blipFill>
                  <pic:spPr>
                    <a:xfrm>
                      <a:off x="0" y="0"/>
                      <a:ext cx="5439920" cy="3165637"/>
                    </a:xfrm>
                    <a:prstGeom prst="rect">
                      <a:avLst/>
                    </a:prstGeom>
                  </pic:spPr>
                </pic:pic>
              </a:graphicData>
            </a:graphic>
          </wp:inline>
        </w:drawing>
      </w:r>
    </w:p>
    <w:p w:rsidR="000D35E4" w:rsidRDefault="000D35E4" w:rsidP="006A3149">
      <w:pPr>
        <w:pStyle w:val="TableFigureCaption"/>
      </w:pPr>
      <w:r>
        <w:t>Figure</w:t>
      </w:r>
      <w:r w:rsidRPr="00330954">
        <w:t xml:space="preserve"> </w:t>
      </w:r>
      <w:r w:rsidR="00324371">
        <w:t>B-</w:t>
      </w:r>
      <w:r w:rsidR="00FC7BF9">
        <w:t>22</w:t>
      </w:r>
      <w:r w:rsidRPr="00330954">
        <w:t>:</w:t>
      </w:r>
      <w:r w:rsidR="006A3149">
        <w:t xml:space="preserve"> </w:t>
      </w:r>
      <w:r>
        <w:t xml:space="preserve">Commercial </w:t>
      </w:r>
      <w:r w:rsidR="006A3149">
        <w:t>L</w:t>
      </w:r>
      <w:r>
        <w:t>oad on October 12 and Matched Adjusted Reference Load</w:t>
      </w:r>
    </w:p>
    <w:p w:rsidR="000D35E4" w:rsidRPr="00330954" w:rsidRDefault="00A36EA8" w:rsidP="000D35E4">
      <w:pPr>
        <w:pStyle w:val="BodyParagraph"/>
        <w:jc w:val="center"/>
      </w:pPr>
      <w:r>
        <w:rPr>
          <w:noProof/>
        </w:rPr>
        <w:pict>
          <v:rect id="_x0000_s1047" style="position:absolute;left:0;text-align:left;margin-left:255.75pt;margin-top:9.55pt;width:57pt;height:185.25pt;z-index:251688960" fillcolor="#4f81bd [3204]" strokecolor="#4f81bd [3204]" strokeweight=".25pt">
            <v:fill opacity="13107f"/>
            <v:stroke dashstyle="1 1" endcap="round"/>
          </v:rect>
        </w:pict>
      </w:r>
      <w:r w:rsidR="00E2100D">
        <w:rPr>
          <w:noProof/>
        </w:rPr>
        <w:drawing>
          <wp:inline distT="0" distB="0" distL="0" distR="0">
            <wp:extent cx="5338950" cy="3390900"/>
            <wp:effectExtent l="19050" t="0" r="0" b="0"/>
            <wp:docPr id="51" name="Picture 50" descr="Oct 12 SMB 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 12 SMB adjusted.wmf"/>
                    <pic:cNvPicPr/>
                  </pic:nvPicPr>
                  <pic:blipFill>
                    <a:blip r:embed="rId42" cstate="print"/>
                    <a:stretch>
                      <a:fillRect/>
                    </a:stretch>
                  </pic:blipFill>
                  <pic:spPr>
                    <a:xfrm>
                      <a:off x="0" y="0"/>
                      <a:ext cx="5342386" cy="3393082"/>
                    </a:xfrm>
                    <a:prstGeom prst="rect">
                      <a:avLst/>
                    </a:prstGeom>
                  </pic:spPr>
                </pic:pic>
              </a:graphicData>
            </a:graphic>
          </wp:inline>
        </w:drawing>
      </w:r>
    </w:p>
    <w:p w:rsidR="000D35E4" w:rsidRDefault="000D35E4" w:rsidP="006A3149">
      <w:pPr>
        <w:pStyle w:val="TableFigureCaption"/>
      </w:pPr>
      <w:r>
        <w:lastRenderedPageBreak/>
        <w:t>Figure</w:t>
      </w:r>
      <w:r w:rsidRPr="00330954">
        <w:t xml:space="preserve"> </w:t>
      </w:r>
      <w:r w:rsidR="00324371">
        <w:t>B-</w:t>
      </w:r>
      <w:r w:rsidR="00FC7BF9">
        <w:t>23</w:t>
      </w:r>
      <w:r w:rsidRPr="00330954">
        <w:t>:</w:t>
      </w:r>
      <w:r w:rsidR="006A3149">
        <w:t xml:space="preserve"> </w:t>
      </w:r>
      <w:r>
        <w:t xml:space="preserve">Commercial </w:t>
      </w:r>
      <w:r w:rsidR="006A3149">
        <w:t>L</w:t>
      </w:r>
      <w:r>
        <w:t>oad on October 13 and Matched Unadjusted Reference Load</w:t>
      </w:r>
    </w:p>
    <w:p w:rsidR="000D35E4" w:rsidRDefault="00A36EA8" w:rsidP="000D35E4">
      <w:pPr>
        <w:pStyle w:val="BodyParagraph"/>
        <w:jc w:val="center"/>
      </w:pPr>
      <w:r>
        <w:rPr>
          <w:noProof/>
        </w:rPr>
        <w:pict>
          <v:rect id="_x0000_s1048" style="position:absolute;left:0;text-align:left;margin-left:246.75pt;margin-top:7.6pt;width:60.75pt;height:179.25pt;z-index:251689984" fillcolor="#4f81bd [3204]" strokecolor="#4f81bd [3204]" strokeweight=".25pt">
            <v:fill opacity="13107f"/>
            <v:stroke dashstyle="1 1" endcap="round"/>
          </v:rect>
        </w:pict>
      </w:r>
      <w:r w:rsidR="00E2100D">
        <w:rPr>
          <w:noProof/>
        </w:rPr>
        <w:drawing>
          <wp:inline distT="0" distB="0" distL="0" distR="0">
            <wp:extent cx="5343525" cy="3262615"/>
            <wp:effectExtent l="19050" t="0" r="9525" b="0"/>
            <wp:docPr id="52" name="Picture 51" descr="Oct 13 SMB un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 13 SMB unadjusted.wmf"/>
                    <pic:cNvPicPr/>
                  </pic:nvPicPr>
                  <pic:blipFill>
                    <a:blip r:embed="rId43" cstate="print"/>
                    <a:stretch>
                      <a:fillRect/>
                    </a:stretch>
                  </pic:blipFill>
                  <pic:spPr>
                    <a:xfrm>
                      <a:off x="0" y="0"/>
                      <a:ext cx="5343525" cy="3262615"/>
                    </a:xfrm>
                    <a:prstGeom prst="rect">
                      <a:avLst/>
                    </a:prstGeom>
                  </pic:spPr>
                </pic:pic>
              </a:graphicData>
            </a:graphic>
          </wp:inline>
        </w:drawing>
      </w:r>
    </w:p>
    <w:p w:rsidR="000D35E4" w:rsidRDefault="000D35E4" w:rsidP="006A3149">
      <w:pPr>
        <w:pStyle w:val="TableFigureCaption"/>
      </w:pPr>
      <w:r>
        <w:t>Figure</w:t>
      </w:r>
      <w:r w:rsidRPr="00330954">
        <w:t xml:space="preserve"> </w:t>
      </w:r>
      <w:r w:rsidR="00324371">
        <w:t>B-</w:t>
      </w:r>
      <w:r w:rsidR="00FC7BF9">
        <w:t>24</w:t>
      </w:r>
      <w:r w:rsidRPr="00330954">
        <w:t>:</w:t>
      </w:r>
      <w:r w:rsidR="006A3149">
        <w:t xml:space="preserve"> </w:t>
      </w:r>
      <w:r>
        <w:t xml:space="preserve">Commercial </w:t>
      </w:r>
      <w:r w:rsidR="006A3149">
        <w:t>L</w:t>
      </w:r>
      <w:r>
        <w:t>oad on October 13 and Matched Adjusted Reference Load</w:t>
      </w:r>
    </w:p>
    <w:p w:rsidR="006A3149" w:rsidRDefault="00A36EA8" w:rsidP="00606351">
      <w:pPr>
        <w:pStyle w:val="BodyParagraph"/>
        <w:jc w:val="center"/>
      </w:pPr>
      <w:r>
        <w:rPr>
          <w:noProof/>
        </w:rPr>
        <w:pict>
          <v:rect id="_x0000_s1049" style="position:absolute;left:0;text-align:left;margin-left:255pt;margin-top:9.2pt;width:58.5pt;height:189.75pt;z-index:251691008" fillcolor="#4f81bd [3204]" strokecolor="#4f81bd [3204]" strokeweight=".25pt">
            <v:fill opacity="13107f"/>
            <v:stroke dashstyle="1 1" endcap="round"/>
          </v:rect>
        </w:pict>
      </w:r>
      <w:r w:rsidR="00E2100D">
        <w:rPr>
          <w:noProof/>
        </w:rPr>
        <w:drawing>
          <wp:inline distT="0" distB="0" distL="0" distR="0">
            <wp:extent cx="5403248" cy="3486150"/>
            <wp:effectExtent l="19050" t="0" r="6952" b="0"/>
            <wp:docPr id="53" name="Picture 52" descr="Oct 13 SMB adjust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 13 SMB adjusted.wmf"/>
                    <pic:cNvPicPr/>
                  </pic:nvPicPr>
                  <pic:blipFill>
                    <a:blip r:embed="rId44" cstate="print"/>
                    <a:stretch>
                      <a:fillRect/>
                    </a:stretch>
                  </pic:blipFill>
                  <pic:spPr>
                    <a:xfrm>
                      <a:off x="0" y="0"/>
                      <a:ext cx="5403248" cy="3486150"/>
                    </a:xfrm>
                    <a:prstGeom prst="rect">
                      <a:avLst/>
                    </a:prstGeom>
                  </pic:spPr>
                </pic:pic>
              </a:graphicData>
            </a:graphic>
          </wp:inline>
        </w:drawing>
      </w:r>
    </w:p>
    <w:p w:rsidR="006A3149" w:rsidRDefault="006A3149">
      <w:pPr>
        <w:rPr>
          <w:rFonts w:ascii="Verdana" w:eastAsiaTheme="minorHAnsi" w:hAnsi="Verdana" w:cstheme="minorBidi"/>
          <w:sz w:val="18"/>
        </w:rPr>
      </w:pPr>
      <w:r>
        <w:br w:type="page"/>
      </w:r>
    </w:p>
    <w:p w:rsidR="00A75B17" w:rsidRDefault="00A75B17" w:rsidP="00A75B17">
      <w:pPr>
        <w:pStyle w:val="AppendixHeading"/>
      </w:pPr>
      <w:bookmarkStart w:id="33" w:name="_Toc325370159"/>
      <w:r>
        <w:lastRenderedPageBreak/>
        <w:t>Revised 2010 Ex Post Values</w:t>
      </w:r>
      <w:bookmarkEnd w:id="33"/>
    </w:p>
    <w:p w:rsidR="00A75B17" w:rsidRDefault="00A75B17" w:rsidP="00A75B17">
      <w:pPr>
        <w:pStyle w:val="BodyParagraph"/>
      </w:pPr>
      <w:r>
        <w:t xml:space="preserve">Two data processing errors were discovered that affect the aggregate residential and commercial ex post values from 2010.  Table </w:t>
      </w:r>
      <w:r w:rsidR="00270B6D">
        <w:t>C</w:t>
      </w:r>
      <w:r>
        <w:t>-1 shows the originally reported and revised values for each customer segment and for all customers.  The largest change is for the system peak day, September 27, 2010, where the revised value is 4 MW above the originally reported value.  The other changes range from 0 to 2 MW, all in the positive direction.  All values in each column are reported to two significant digits, as was done for the 2010 evaluation.  This leads some of the values in the “All” columns to appear too large or too small due to rounding, although they are not.</w:t>
      </w:r>
    </w:p>
    <w:p w:rsidR="00A75B17" w:rsidRPr="00040010" w:rsidRDefault="00A75B17" w:rsidP="006A3149">
      <w:pPr>
        <w:pStyle w:val="TableFigureCaption"/>
      </w:pPr>
      <w:r w:rsidRPr="00040010">
        <w:t xml:space="preserve">Table </w:t>
      </w:r>
      <w:r w:rsidR="00270B6D">
        <w:t>C</w:t>
      </w:r>
      <w:r w:rsidRPr="00040010">
        <w:t xml:space="preserve">-1: Originally Reported and Revised </w:t>
      </w:r>
      <w:r w:rsidR="006A3149">
        <w:br/>
      </w:r>
      <w:r w:rsidRPr="00040010">
        <w:t>2010 Ex Post Aggregate Impact Estimates (MW)</w:t>
      </w:r>
    </w:p>
    <w:tbl>
      <w:tblPr>
        <w:tblW w:w="8145" w:type="dxa"/>
        <w:jc w:val="center"/>
        <w:tblInd w:w="93" w:type="dxa"/>
        <w:tblLayout w:type="fixed"/>
        <w:tblLook w:val="04A0"/>
      </w:tblPr>
      <w:tblGrid>
        <w:gridCol w:w="1125"/>
        <w:gridCol w:w="1170"/>
        <w:gridCol w:w="1170"/>
        <w:gridCol w:w="1170"/>
        <w:gridCol w:w="1170"/>
        <w:gridCol w:w="1170"/>
        <w:gridCol w:w="1170"/>
      </w:tblGrid>
      <w:tr w:rsidR="006D63AC" w:rsidRPr="0061402E" w:rsidTr="006A3149">
        <w:trPr>
          <w:trHeight w:val="315"/>
          <w:jc w:val="center"/>
        </w:trPr>
        <w:tc>
          <w:tcPr>
            <w:tcW w:w="1125" w:type="dxa"/>
            <w:vMerge w:val="restart"/>
            <w:tcBorders>
              <w:top w:val="single" w:sz="4" w:space="0" w:color="auto"/>
              <w:left w:val="single" w:sz="4" w:space="0" w:color="auto"/>
              <w:bottom w:val="single" w:sz="4" w:space="0" w:color="auto"/>
              <w:right w:val="single" w:sz="4" w:space="0" w:color="FFFFFF" w:themeColor="background1"/>
            </w:tcBorders>
            <w:shd w:val="clear" w:color="000000" w:fill="1F497D"/>
            <w:noWrap/>
            <w:vAlign w:val="center"/>
            <w:hideMark/>
          </w:tcPr>
          <w:p w:rsidR="006D63AC" w:rsidRPr="0061402E" w:rsidRDefault="006D63AC" w:rsidP="002B7BC9">
            <w:pPr>
              <w:spacing w:after="0" w:line="240" w:lineRule="auto"/>
              <w:jc w:val="center"/>
              <w:rPr>
                <w:rFonts w:ascii="Arial" w:eastAsia="Times New Roman" w:hAnsi="Arial" w:cs="Arial"/>
                <w:b/>
                <w:bCs/>
                <w:color w:val="FFFFFF"/>
                <w:sz w:val="20"/>
                <w:szCs w:val="20"/>
              </w:rPr>
            </w:pPr>
            <w:r w:rsidRPr="0061402E">
              <w:rPr>
                <w:rFonts w:ascii="Arial" w:eastAsia="Times New Roman" w:hAnsi="Arial" w:cs="Arial"/>
                <w:b/>
                <w:bCs/>
                <w:color w:val="FFFFFF"/>
                <w:sz w:val="20"/>
                <w:szCs w:val="20"/>
              </w:rPr>
              <w:t>Date</w:t>
            </w:r>
          </w:p>
        </w:tc>
        <w:tc>
          <w:tcPr>
            <w:tcW w:w="234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1F497D"/>
            <w:noWrap/>
            <w:vAlign w:val="center"/>
            <w:hideMark/>
          </w:tcPr>
          <w:p w:rsidR="006D63AC" w:rsidRPr="0061402E" w:rsidRDefault="006D63AC" w:rsidP="002B7BC9">
            <w:pPr>
              <w:spacing w:after="0" w:line="240" w:lineRule="auto"/>
              <w:jc w:val="center"/>
              <w:rPr>
                <w:rFonts w:ascii="Arial" w:eastAsia="Times New Roman" w:hAnsi="Arial" w:cs="Arial"/>
                <w:b/>
                <w:bCs/>
                <w:color w:val="FFFFFF"/>
                <w:sz w:val="20"/>
                <w:szCs w:val="20"/>
              </w:rPr>
            </w:pPr>
            <w:r w:rsidRPr="0061402E">
              <w:rPr>
                <w:rFonts w:ascii="Arial" w:eastAsia="Times New Roman" w:hAnsi="Arial" w:cs="Arial"/>
                <w:b/>
                <w:bCs/>
                <w:color w:val="FFFFFF"/>
                <w:sz w:val="20"/>
                <w:szCs w:val="20"/>
              </w:rPr>
              <w:t>Residential</w:t>
            </w:r>
          </w:p>
        </w:tc>
        <w:tc>
          <w:tcPr>
            <w:tcW w:w="234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1F497D"/>
            <w:noWrap/>
            <w:vAlign w:val="center"/>
            <w:hideMark/>
          </w:tcPr>
          <w:p w:rsidR="006D63AC" w:rsidRPr="0061402E" w:rsidRDefault="006D63AC" w:rsidP="002B7BC9">
            <w:pPr>
              <w:spacing w:after="0" w:line="240" w:lineRule="auto"/>
              <w:jc w:val="center"/>
              <w:rPr>
                <w:rFonts w:ascii="Arial" w:eastAsia="Times New Roman" w:hAnsi="Arial" w:cs="Arial"/>
                <w:b/>
                <w:bCs/>
                <w:color w:val="FFFFFF"/>
                <w:sz w:val="20"/>
                <w:szCs w:val="20"/>
              </w:rPr>
            </w:pPr>
            <w:r w:rsidRPr="0061402E">
              <w:rPr>
                <w:rFonts w:ascii="Arial" w:eastAsia="Times New Roman" w:hAnsi="Arial" w:cs="Arial"/>
                <w:b/>
                <w:bCs/>
                <w:color w:val="FFFFFF"/>
                <w:sz w:val="20"/>
                <w:szCs w:val="20"/>
              </w:rPr>
              <w:t>Commercial</w:t>
            </w:r>
          </w:p>
        </w:tc>
        <w:tc>
          <w:tcPr>
            <w:tcW w:w="2340" w:type="dxa"/>
            <w:gridSpan w:val="2"/>
            <w:tcBorders>
              <w:top w:val="single" w:sz="4" w:space="0" w:color="auto"/>
              <w:left w:val="single" w:sz="4" w:space="0" w:color="FFFFFF" w:themeColor="background1"/>
              <w:bottom w:val="single" w:sz="4" w:space="0" w:color="FFFFFF" w:themeColor="background1"/>
              <w:right w:val="single" w:sz="4" w:space="0" w:color="auto"/>
            </w:tcBorders>
            <w:shd w:val="clear" w:color="000000" w:fill="1F497D"/>
            <w:noWrap/>
            <w:vAlign w:val="center"/>
            <w:hideMark/>
          </w:tcPr>
          <w:p w:rsidR="006D63AC" w:rsidRPr="0061402E" w:rsidRDefault="006D63AC" w:rsidP="002B7BC9">
            <w:pPr>
              <w:spacing w:after="0" w:line="240" w:lineRule="auto"/>
              <w:jc w:val="center"/>
              <w:rPr>
                <w:rFonts w:ascii="Arial" w:eastAsia="Times New Roman" w:hAnsi="Arial" w:cs="Arial"/>
                <w:b/>
                <w:bCs/>
                <w:color w:val="FFFFFF"/>
                <w:sz w:val="20"/>
                <w:szCs w:val="20"/>
              </w:rPr>
            </w:pPr>
            <w:r w:rsidRPr="0061402E">
              <w:rPr>
                <w:rFonts w:ascii="Arial" w:eastAsia="Times New Roman" w:hAnsi="Arial" w:cs="Arial"/>
                <w:b/>
                <w:bCs/>
                <w:color w:val="FFFFFF"/>
                <w:sz w:val="20"/>
                <w:szCs w:val="20"/>
              </w:rPr>
              <w:t>All</w:t>
            </w:r>
          </w:p>
        </w:tc>
      </w:tr>
      <w:tr w:rsidR="006D63AC" w:rsidRPr="0061402E" w:rsidTr="006A3149">
        <w:trPr>
          <w:trHeight w:val="795"/>
          <w:jc w:val="center"/>
        </w:trPr>
        <w:tc>
          <w:tcPr>
            <w:tcW w:w="1125" w:type="dxa"/>
            <w:vMerge/>
            <w:tcBorders>
              <w:top w:val="single" w:sz="4" w:space="0" w:color="auto"/>
              <w:left w:val="single" w:sz="4" w:space="0" w:color="auto"/>
              <w:bottom w:val="single" w:sz="4" w:space="0" w:color="auto"/>
              <w:right w:val="single" w:sz="4" w:space="0" w:color="FFFFFF" w:themeColor="background1"/>
            </w:tcBorders>
            <w:vAlign w:val="center"/>
            <w:hideMark/>
          </w:tcPr>
          <w:p w:rsidR="006D63AC" w:rsidRPr="0061402E" w:rsidRDefault="006D63AC" w:rsidP="002B7BC9">
            <w:pPr>
              <w:spacing w:after="0" w:line="240" w:lineRule="auto"/>
              <w:jc w:val="center"/>
              <w:rPr>
                <w:rFonts w:ascii="Arial" w:eastAsia="Times New Roman" w:hAnsi="Arial" w:cs="Arial"/>
                <w:b/>
                <w:bCs/>
                <w:color w:val="FFFFFF"/>
                <w:sz w:val="20"/>
                <w:szCs w:val="20"/>
              </w:rPr>
            </w:pPr>
          </w:p>
        </w:tc>
        <w:tc>
          <w:tcPr>
            <w:tcW w:w="117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6D63AC" w:rsidRPr="0061402E" w:rsidRDefault="006D63AC" w:rsidP="002B7BC9">
            <w:pPr>
              <w:spacing w:after="0" w:line="240" w:lineRule="auto"/>
              <w:jc w:val="center"/>
              <w:rPr>
                <w:rFonts w:ascii="Arial" w:eastAsia="Times New Roman" w:hAnsi="Arial" w:cs="Arial"/>
                <w:b/>
                <w:bCs/>
                <w:color w:val="FFFFFF"/>
                <w:sz w:val="20"/>
                <w:szCs w:val="20"/>
              </w:rPr>
            </w:pPr>
            <w:r w:rsidRPr="0061402E">
              <w:rPr>
                <w:rFonts w:ascii="Arial" w:eastAsia="Times New Roman" w:hAnsi="Arial" w:cs="Arial"/>
                <w:b/>
                <w:bCs/>
                <w:color w:val="FFFFFF"/>
                <w:sz w:val="20"/>
                <w:szCs w:val="20"/>
              </w:rPr>
              <w:t>Originally Reported</w:t>
            </w:r>
          </w:p>
        </w:tc>
        <w:tc>
          <w:tcPr>
            <w:tcW w:w="117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6D63AC" w:rsidRPr="0061402E" w:rsidRDefault="006D63AC" w:rsidP="002B7BC9">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Revised</w:t>
            </w:r>
          </w:p>
        </w:tc>
        <w:tc>
          <w:tcPr>
            <w:tcW w:w="117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6D63AC" w:rsidRPr="0061402E" w:rsidRDefault="006D63AC" w:rsidP="002B7BC9">
            <w:pPr>
              <w:spacing w:after="0" w:line="240" w:lineRule="auto"/>
              <w:jc w:val="center"/>
              <w:rPr>
                <w:rFonts w:ascii="Arial" w:eastAsia="Times New Roman" w:hAnsi="Arial" w:cs="Arial"/>
                <w:b/>
                <w:bCs/>
                <w:color w:val="FFFFFF"/>
                <w:sz w:val="20"/>
                <w:szCs w:val="20"/>
              </w:rPr>
            </w:pPr>
            <w:r w:rsidRPr="0061402E">
              <w:rPr>
                <w:rFonts w:ascii="Arial" w:eastAsia="Times New Roman" w:hAnsi="Arial" w:cs="Arial"/>
                <w:b/>
                <w:bCs/>
                <w:color w:val="FFFFFF"/>
                <w:sz w:val="20"/>
                <w:szCs w:val="20"/>
              </w:rPr>
              <w:t>Originally Reported</w:t>
            </w:r>
          </w:p>
        </w:tc>
        <w:tc>
          <w:tcPr>
            <w:tcW w:w="117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6D63AC" w:rsidRPr="0061402E" w:rsidRDefault="006D63AC" w:rsidP="002B7BC9">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Revised</w:t>
            </w:r>
          </w:p>
        </w:tc>
        <w:tc>
          <w:tcPr>
            <w:tcW w:w="117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000000" w:fill="1F497D"/>
            <w:vAlign w:val="center"/>
            <w:hideMark/>
          </w:tcPr>
          <w:p w:rsidR="006D63AC" w:rsidRPr="0061402E" w:rsidRDefault="006D63AC" w:rsidP="002B7BC9">
            <w:pPr>
              <w:spacing w:after="0" w:line="240" w:lineRule="auto"/>
              <w:jc w:val="center"/>
              <w:rPr>
                <w:rFonts w:ascii="Arial" w:eastAsia="Times New Roman" w:hAnsi="Arial" w:cs="Arial"/>
                <w:b/>
                <w:bCs/>
                <w:color w:val="FFFFFF"/>
                <w:sz w:val="20"/>
                <w:szCs w:val="20"/>
              </w:rPr>
            </w:pPr>
            <w:r w:rsidRPr="0061402E">
              <w:rPr>
                <w:rFonts w:ascii="Arial" w:eastAsia="Times New Roman" w:hAnsi="Arial" w:cs="Arial"/>
                <w:b/>
                <w:bCs/>
                <w:color w:val="FFFFFF"/>
                <w:sz w:val="20"/>
                <w:szCs w:val="20"/>
              </w:rPr>
              <w:t>Originally Reported</w:t>
            </w:r>
          </w:p>
        </w:tc>
        <w:tc>
          <w:tcPr>
            <w:tcW w:w="1170" w:type="dxa"/>
            <w:tcBorders>
              <w:top w:val="single" w:sz="4" w:space="0" w:color="FFFFFF" w:themeColor="background1"/>
              <w:left w:val="single" w:sz="4" w:space="0" w:color="FFFFFF" w:themeColor="background1"/>
              <w:bottom w:val="single" w:sz="4" w:space="0" w:color="auto"/>
              <w:right w:val="single" w:sz="4" w:space="0" w:color="auto"/>
            </w:tcBorders>
            <w:shd w:val="clear" w:color="000000" w:fill="1F497D"/>
            <w:vAlign w:val="center"/>
            <w:hideMark/>
          </w:tcPr>
          <w:p w:rsidR="006D63AC" w:rsidRPr="0061402E" w:rsidRDefault="006D63AC" w:rsidP="002B7BC9">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Revised</w:t>
            </w:r>
          </w:p>
        </w:tc>
      </w:tr>
      <w:tr w:rsidR="006D63AC" w:rsidRPr="0061402E" w:rsidTr="006A3149">
        <w:trPr>
          <w:trHeight w:val="315"/>
          <w:jc w:val="center"/>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15-Jul-10</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11</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12</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4.7</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4.4</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16</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16</w:t>
            </w:r>
          </w:p>
        </w:tc>
      </w:tr>
      <w:tr w:rsidR="006D63AC" w:rsidRPr="0061402E" w:rsidTr="006A3149">
        <w:trPr>
          <w:trHeight w:val="315"/>
          <w:jc w:val="center"/>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16-Jul-10</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15</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16</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5.2</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4.9</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21</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21</w:t>
            </w:r>
          </w:p>
        </w:tc>
      </w:tr>
      <w:tr w:rsidR="006D63AC" w:rsidRPr="0061402E" w:rsidTr="006A3149">
        <w:trPr>
          <w:trHeight w:val="315"/>
          <w:jc w:val="center"/>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17-Aug-10</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12</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4.7</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4.4</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16</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17</w:t>
            </w:r>
          </w:p>
        </w:tc>
      </w:tr>
      <w:tr w:rsidR="006D63AC" w:rsidRPr="0061402E" w:rsidTr="006A3149">
        <w:trPr>
          <w:trHeight w:val="315"/>
          <w:jc w:val="center"/>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18-Aug-10</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15</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17</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5.2</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4.9</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20</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22</w:t>
            </w:r>
          </w:p>
        </w:tc>
      </w:tr>
      <w:tr w:rsidR="006D63AC" w:rsidRPr="0061402E" w:rsidTr="006A3149">
        <w:trPr>
          <w:trHeight w:val="315"/>
          <w:jc w:val="center"/>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19-Aug-10</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14</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4.9</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4.6</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17</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19</w:t>
            </w:r>
          </w:p>
        </w:tc>
      </w:tr>
      <w:tr w:rsidR="006D63AC" w:rsidRPr="0061402E" w:rsidTr="006A3149">
        <w:trPr>
          <w:trHeight w:val="315"/>
          <w:jc w:val="center"/>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23-Aug-10</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15</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4.7</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4.4</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18</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19</w:t>
            </w:r>
          </w:p>
        </w:tc>
      </w:tr>
      <w:tr w:rsidR="006D63AC" w:rsidRPr="0061402E" w:rsidTr="006A3149">
        <w:trPr>
          <w:trHeight w:val="315"/>
          <w:jc w:val="center"/>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24-Aug-10</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15</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4.9</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4.7</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18</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20</w:t>
            </w:r>
          </w:p>
        </w:tc>
      </w:tr>
      <w:tr w:rsidR="006D63AC" w:rsidRPr="0061402E" w:rsidTr="006A3149">
        <w:trPr>
          <w:trHeight w:val="315"/>
          <w:jc w:val="center"/>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25-Aug-10</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11</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4.8</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4.5</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16</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18</w:t>
            </w:r>
          </w:p>
        </w:tc>
      </w:tr>
      <w:tr w:rsidR="006D63AC" w:rsidRPr="0061402E" w:rsidTr="006A3149">
        <w:trPr>
          <w:trHeight w:val="315"/>
          <w:jc w:val="center"/>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27-Sep-10</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26</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29</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6.8</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6.5</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32</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36</w:t>
            </w:r>
          </w:p>
        </w:tc>
      </w:tr>
      <w:tr w:rsidR="006D63AC" w:rsidRPr="0061402E" w:rsidTr="006A3149">
        <w:trPr>
          <w:trHeight w:val="315"/>
          <w:jc w:val="center"/>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28-Sep-10</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15</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5.3</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5</w:t>
            </w:r>
            <w:r>
              <w:rPr>
                <w:rFonts w:ascii="Arial" w:eastAsia="Times New Roman" w:hAnsi="Arial" w:cs="Arial"/>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18</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20</w:t>
            </w:r>
          </w:p>
        </w:tc>
      </w:tr>
      <w:tr w:rsidR="006D63AC" w:rsidRPr="0061402E" w:rsidTr="006A3149">
        <w:trPr>
          <w:trHeight w:val="315"/>
          <w:jc w:val="center"/>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29-Sep-10</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10</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12</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4.9</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4.7</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15</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17</w:t>
            </w:r>
          </w:p>
        </w:tc>
      </w:tr>
      <w:tr w:rsidR="006D63AC" w:rsidRPr="0061402E" w:rsidTr="006A3149">
        <w:trPr>
          <w:trHeight w:val="315"/>
          <w:jc w:val="center"/>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Average</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14</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16</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5.0</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61402E" w:rsidRDefault="006D63AC" w:rsidP="002B7BC9">
            <w:pPr>
              <w:spacing w:after="0" w:line="240" w:lineRule="auto"/>
              <w:jc w:val="center"/>
              <w:rPr>
                <w:rFonts w:ascii="Arial" w:eastAsia="Times New Roman" w:hAnsi="Arial" w:cs="Arial"/>
                <w:color w:val="000000"/>
                <w:sz w:val="18"/>
                <w:szCs w:val="18"/>
              </w:rPr>
            </w:pPr>
            <w:r w:rsidRPr="0061402E">
              <w:rPr>
                <w:rFonts w:ascii="Arial" w:eastAsia="Times New Roman" w:hAnsi="Arial" w:cs="Arial"/>
                <w:color w:val="000000"/>
                <w:sz w:val="18"/>
                <w:szCs w:val="18"/>
              </w:rPr>
              <w:t>4.8</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19</w:t>
            </w:r>
          </w:p>
        </w:tc>
        <w:tc>
          <w:tcPr>
            <w:tcW w:w="1170" w:type="dxa"/>
            <w:tcBorders>
              <w:top w:val="nil"/>
              <w:left w:val="nil"/>
              <w:bottom w:val="single" w:sz="4" w:space="0" w:color="auto"/>
              <w:right w:val="single" w:sz="4" w:space="0" w:color="auto"/>
            </w:tcBorders>
            <w:shd w:val="clear" w:color="auto" w:fill="auto"/>
            <w:noWrap/>
            <w:vAlign w:val="bottom"/>
            <w:hideMark/>
          </w:tcPr>
          <w:p w:rsidR="006D63AC" w:rsidRPr="00040010" w:rsidRDefault="006D63AC" w:rsidP="002B7BC9">
            <w:pPr>
              <w:spacing w:after="0" w:line="240" w:lineRule="auto"/>
              <w:jc w:val="center"/>
              <w:rPr>
                <w:rFonts w:ascii="Arial" w:eastAsia="Times New Roman" w:hAnsi="Arial" w:cs="Arial"/>
                <w:color w:val="000000"/>
                <w:sz w:val="18"/>
                <w:szCs w:val="18"/>
              </w:rPr>
            </w:pPr>
            <w:r w:rsidRPr="00040010">
              <w:rPr>
                <w:rFonts w:ascii="Arial" w:eastAsia="Times New Roman" w:hAnsi="Arial" w:cs="Arial"/>
                <w:color w:val="000000"/>
                <w:sz w:val="18"/>
                <w:szCs w:val="18"/>
              </w:rPr>
              <w:t>21</w:t>
            </w:r>
          </w:p>
        </w:tc>
      </w:tr>
    </w:tbl>
    <w:p w:rsidR="00A75B17" w:rsidRPr="00330954" w:rsidRDefault="00A75B17" w:rsidP="00606351">
      <w:pPr>
        <w:pStyle w:val="BodyParagraph"/>
        <w:jc w:val="center"/>
      </w:pPr>
    </w:p>
    <w:sectPr w:rsidR="00A75B17" w:rsidRPr="00330954" w:rsidSect="00BB4018">
      <w:headerReference w:type="default" r:id="rId45"/>
      <w:footerReference w:type="default" r:id="rId4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7FA" w:rsidRDefault="004F57FA" w:rsidP="00DB35F9">
      <w:pPr>
        <w:spacing w:after="0" w:line="240" w:lineRule="auto"/>
      </w:pPr>
      <w:r>
        <w:separator/>
      </w:r>
    </w:p>
  </w:endnote>
  <w:endnote w:type="continuationSeparator" w:id="0">
    <w:p w:rsidR="004F57FA" w:rsidRDefault="004F57FA" w:rsidP="00DB35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itilliumText22L Rg">
    <w:altName w:val="Arial"/>
    <w:panose1 w:val="00000000000000000000"/>
    <w:charset w:val="00"/>
    <w:family w:val="modern"/>
    <w:notTrueType/>
    <w:pitch w:val="variable"/>
    <w:sig w:usb0="00000001" w:usb1="0000004B" w:usb2="00000000" w:usb3="00000000" w:csb0="00000193"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93753"/>
      <w:docPartObj>
        <w:docPartGallery w:val="Page Numbers (Bottom of Page)"/>
        <w:docPartUnique/>
      </w:docPartObj>
    </w:sdtPr>
    <w:sdtContent>
      <w:p w:rsidR="004F57FA" w:rsidRDefault="00A36EA8">
        <w:pPr>
          <w:pStyle w:val="Footer"/>
          <w:jc w:val="right"/>
        </w:pPr>
        <w:fldSimple w:instr=" PAGE   \* MERGEFORMAT ">
          <w:r w:rsidR="004F57FA">
            <w:rPr>
              <w:noProof/>
            </w:rPr>
            <w:t>ii</w:t>
          </w:r>
        </w:fldSimple>
      </w:p>
    </w:sdtContent>
  </w:sdt>
  <w:p w:rsidR="004F57FA" w:rsidRDefault="004F57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FA" w:rsidRPr="00321715" w:rsidRDefault="004F57FA" w:rsidP="00B50663">
    <w:pPr>
      <w:pStyle w:val="Footer"/>
      <w:jc w:val="right"/>
      <w:rPr>
        <w:sz w:val="20"/>
        <w:szCs w:val="20"/>
      </w:rPr>
    </w:pPr>
  </w:p>
  <w:p w:rsidR="004F57FA" w:rsidRDefault="004F57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556022"/>
      <w:docPartObj>
        <w:docPartGallery w:val="Page Numbers (Bottom of Page)"/>
        <w:docPartUnique/>
      </w:docPartObj>
    </w:sdtPr>
    <w:sdtContent>
      <w:p w:rsidR="004F57FA" w:rsidRDefault="004F57FA">
        <w:pPr>
          <w:pStyle w:val="Footer"/>
          <w:jc w:val="right"/>
        </w:pPr>
        <w:r w:rsidRPr="008B7D4E">
          <w:rPr>
            <w:noProof/>
          </w:rPr>
          <w:drawing>
            <wp:anchor distT="0" distB="0" distL="114300" distR="114300" simplePos="0" relativeHeight="251664384" behindDoc="0" locked="0" layoutInCell="1" allowOverlap="1">
              <wp:simplePos x="0" y="0"/>
              <wp:positionH relativeFrom="column">
                <wp:posOffset>-135496</wp:posOffset>
              </wp:positionH>
              <wp:positionV relativeFrom="paragraph">
                <wp:posOffset>-97253</wp:posOffset>
              </wp:positionV>
              <wp:extent cx="2049368" cy="425002"/>
              <wp:effectExtent l="19050" t="0" r="5080" b="0"/>
              <wp:wrapNone/>
              <wp:docPr id="2" name="Picture 3" descr="FSC Logo NEW PURPLE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C Logo NEW PURPLE 2007"/>
                      <pic:cNvPicPr>
                        <a:picLocks noChangeAspect="1" noChangeArrowheads="1"/>
                      </pic:cNvPicPr>
                    </pic:nvPicPr>
                    <pic:blipFill>
                      <a:blip r:embed="rId1"/>
                      <a:srcRect/>
                      <a:stretch>
                        <a:fillRect/>
                      </a:stretch>
                    </pic:blipFill>
                    <pic:spPr bwMode="auto">
                      <a:xfrm>
                        <a:off x="0" y="0"/>
                        <a:ext cx="2052320" cy="419100"/>
                      </a:xfrm>
                      <a:prstGeom prst="rect">
                        <a:avLst/>
                      </a:prstGeom>
                      <a:noFill/>
                    </pic:spPr>
                  </pic:pic>
                </a:graphicData>
              </a:graphic>
            </wp:anchor>
          </w:drawing>
        </w:r>
        <w:fldSimple w:instr=" PAGE   \* MERGEFORMAT ">
          <w:r w:rsidR="00431BD7">
            <w:rPr>
              <w:noProof/>
            </w:rPr>
            <w:t>56</w:t>
          </w:r>
        </w:fldSimple>
      </w:p>
    </w:sdtContent>
  </w:sdt>
  <w:p w:rsidR="004F57FA" w:rsidRDefault="004F57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7FA" w:rsidRDefault="004F57FA" w:rsidP="00DB35F9">
      <w:pPr>
        <w:spacing w:after="0" w:line="240" w:lineRule="auto"/>
      </w:pPr>
      <w:r>
        <w:separator/>
      </w:r>
    </w:p>
  </w:footnote>
  <w:footnote w:type="continuationSeparator" w:id="0">
    <w:p w:rsidR="004F57FA" w:rsidRDefault="004F57FA" w:rsidP="00DB35F9">
      <w:pPr>
        <w:spacing w:after="0" w:line="240" w:lineRule="auto"/>
      </w:pPr>
      <w:r>
        <w:continuationSeparator/>
      </w:r>
    </w:p>
  </w:footnote>
  <w:footnote w:id="1">
    <w:p w:rsidR="004F57FA" w:rsidRPr="00600C1E" w:rsidRDefault="004F57FA">
      <w:pPr>
        <w:pStyle w:val="FootnoteText"/>
        <w:rPr>
          <w:rFonts w:ascii="Franklin Gothic Book" w:hAnsi="Franklin Gothic Book"/>
          <w:sz w:val="18"/>
          <w:szCs w:val="18"/>
        </w:rPr>
      </w:pPr>
      <w:r w:rsidRPr="00600C1E">
        <w:rPr>
          <w:rStyle w:val="FootnoteReference"/>
          <w:rFonts w:ascii="Franklin Gothic Book" w:hAnsi="Franklin Gothic Book"/>
          <w:sz w:val="18"/>
          <w:szCs w:val="18"/>
        </w:rPr>
        <w:footnoteRef/>
      </w:r>
      <w:r w:rsidRPr="00600C1E">
        <w:rPr>
          <w:rFonts w:ascii="Franklin Gothic Book" w:hAnsi="Franklin Gothic Book"/>
          <w:sz w:val="18"/>
          <w:szCs w:val="18"/>
        </w:rPr>
        <w:t xml:space="preserve"> </w:t>
      </w:r>
      <w:r w:rsidRPr="009A46A1">
        <w:rPr>
          <w:rFonts w:ascii="Franklin Gothic Book" w:hAnsi="Franklin Gothic Book"/>
          <w:sz w:val="18"/>
          <w:szCs w:val="18"/>
        </w:rPr>
        <w:t xml:space="preserve">SDG&amp;E’s contract with </w:t>
      </w:r>
      <w:r>
        <w:rPr>
          <w:rFonts w:ascii="Franklin Gothic Book" w:hAnsi="Franklin Gothic Book"/>
          <w:sz w:val="18"/>
          <w:szCs w:val="18"/>
        </w:rPr>
        <w:t>Comverge Inc</w:t>
      </w:r>
      <w:r w:rsidRPr="009A46A1">
        <w:rPr>
          <w:rFonts w:ascii="Franklin Gothic Book" w:hAnsi="Franklin Gothic Book"/>
          <w:sz w:val="18"/>
          <w:szCs w:val="18"/>
        </w:rPr>
        <w:t xml:space="preserve"> was amended in 2007 to reflect that the agreement is thereafter recognized to be between a subsidiary of </w:t>
      </w:r>
      <w:r>
        <w:rPr>
          <w:rFonts w:ascii="Franklin Gothic Book" w:hAnsi="Franklin Gothic Book"/>
          <w:sz w:val="18"/>
          <w:szCs w:val="18"/>
        </w:rPr>
        <w:t>Comverge Inc</w:t>
      </w:r>
      <w:r w:rsidRPr="009A46A1">
        <w:rPr>
          <w:rFonts w:ascii="Franklin Gothic Book" w:hAnsi="Franklin Gothic Book"/>
          <w:sz w:val="18"/>
          <w:szCs w:val="18"/>
        </w:rPr>
        <w:t xml:space="preserve">, AER, and SDG&amp;E.  In this document, the company is referred to as </w:t>
      </w:r>
      <w:r>
        <w:rPr>
          <w:rFonts w:ascii="Franklin Gothic Book" w:hAnsi="Franklin Gothic Book"/>
          <w:sz w:val="18"/>
          <w:szCs w:val="18"/>
        </w:rPr>
        <w:t>Comverge Inc</w:t>
      </w:r>
      <w:r w:rsidRPr="009A46A1">
        <w:rPr>
          <w:rFonts w:ascii="Franklin Gothic Book" w:hAnsi="Franklin Gothic Book"/>
          <w:sz w:val="18"/>
          <w:szCs w:val="18"/>
        </w:rPr>
        <w:t xml:space="preserve"> for convenience.</w:t>
      </w:r>
    </w:p>
  </w:footnote>
  <w:footnote w:id="2">
    <w:p w:rsidR="004F57FA" w:rsidRDefault="004F57FA" w:rsidP="008B7D4E">
      <w:pPr>
        <w:pStyle w:val="Footnote"/>
      </w:pPr>
      <w:r>
        <w:rPr>
          <w:rStyle w:val="FootnoteReference"/>
        </w:rPr>
        <w:footnoteRef/>
      </w:r>
      <w:r>
        <w:t xml:space="preserve"> </w:t>
      </w:r>
      <w:r w:rsidRPr="0061402E">
        <w:t xml:space="preserve">Aggregate ex post estimates for 2010 have been revised to reflect two data processing corrections since the report was released.  Reported results for 2010 differ from those reported in the 2010 evaluation.  See </w:t>
      </w:r>
      <w:r>
        <w:t>A</w:t>
      </w:r>
      <w:r w:rsidRPr="0061402E">
        <w:t xml:space="preserve">ppendix </w:t>
      </w:r>
      <w:r>
        <w:t>C for comparison of previously reported values to corrected values.</w:t>
      </w:r>
    </w:p>
  </w:footnote>
  <w:footnote w:id="3">
    <w:p w:rsidR="004F57FA" w:rsidRDefault="004F57FA" w:rsidP="008B7D4E">
      <w:pPr>
        <w:pStyle w:val="Footnote"/>
      </w:pPr>
      <w:r>
        <w:rPr>
          <w:rStyle w:val="FootnoteReference"/>
        </w:rPr>
        <w:footnoteRef/>
      </w:r>
      <w:r>
        <w:t xml:space="preserve"> </w:t>
      </w:r>
      <w:r w:rsidRPr="00633DD2">
        <w:t>Average temperatures are calculated as a population weighted average of the temperatures experienced by Summer Saver customers, with temperatures determined by the reading at the customer’s nearest weather station.</w:t>
      </w:r>
    </w:p>
  </w:footnote>
  <w:footnote w:id="4">
    <w:p w:rsidR="004F57FA" w:rsidRPr="00642CC1" w:rsidRDefault="004F57FA" w:rsidP="00633DD2">
      <w:pPr>
        <w:pStyle w:val="Footnote"/>
      </w:pPr>
      <w:r w:rsidRPr="00642CC1">
        <w:rPr>
          <w:rStyle w:val="FootnoteReference"/>
          <w:szCs w:val="18"/>
        </w:rPr>
        <w:footnoteRef/>
      </w:r>
      <w:r w:rsidRPr="00642CC1">
        <w:t xml:space="preserve"> Ex post </w:t>
      </w:r>
      <w:r w:rsidRPr="007F047A">
        <w:rPr>
          <w:szCs w:val="18"/>
        </w:rPr>
        <w:t>estimates</w:t>
      </w:r>
      <w:r w:rsidRPr="00642CC1">
        <w:t xml:space="preserve"> for September 8 are only for 1-3 PM, the time before the blackout.</w:t>
      </w:r>
    </w:p>
  </w:footnote>
  <w:footnote w:id="5">
    <w:p w:rsidR="004F57FA" w:rsidRPr="00B304F1" w:rsidRDefault="004F57FA" w:rsidP="00B304F1">
      <w:pPr>
        <w:pStyle w:val="Footnote"/>
      </w:pPr>
      <w:r>
        <w:rPr>
          <w:rStyle w:val="FootnoteReference"/>
        </w:rPr>
        <w:footnoteRef/>
      </w:r>
      <w:r>
        <w:t xml:space="preserve"> </w:t>
      </w:r>
      <w:r w:rsidRPr="00B304F1">
        <w:t>Aggregate ex post estimates for 2010 have been revised to reflect two data processing corrections since the report was released.  Reported results for 2010 differ from those reported in the 2010 evaluation.  See Appendix C for comparison of previously reported values to corrected values.</w:t>
      </w:r>
    </w:p>
  </w:footnote>
  <w:footnote w:id="6">
    <w:p w:rsidR="004F57FA" w:rsidRPr="00B304F1" w:rsidRDefault="004F57FA" w:rsidP="00B304F1">
      <w:pPr>
        <w:pStyle w:val="Footnote"/>
      </w:pPr>
      <w:r w:rsidRPr="00B304F1">
        <w:rPr>
          <w:rStyle w:val="FootnoteReference"/>
          <w:vertAlign w:val="baseline"/>
        </w:rPr>
        <w:footnoteRef/>
      </w:r>
      <w:r w:rsidRPr="00B304F1">
        <w:t xml:space="preserve"> Average temperatures are calculated as a population weighted average of the temperatures experienced by Summer Saver customers, with temperatures determined by the reading at the customer’s nearest weather station.</w:t>
      </w:r>
    </w:p>
  </w:footnote>
  <w:footnote w:id="7">
    <w:p w:rsidR="004F57FA" w:rsidRPr="00B304F1" w:rsidRDefault="004F57FA" w:rsidP="00B304F1">
      <w:pPr>
        <w:pStyle w:val="Footnote"/>
      </w:pPr>
      <w:r w:rsidRPr="00B304F1">
        <w:rPr>
          <w:rStyle w:val="FootnoteReference"/>
          <w:vertAlign w:val="baseline"/>
        </w:rPr>
        <w:footnoteRef/>
      </w:r>
      <w:r w:rsidRPr="00B304F1">
        <w:t xml:space="preserve"> Ex post estimates for September 8 are only for 1-3 PM, the time before the blackout.</w:t>
      </w:r>
    </w:p>
  </w:footnote>
  <w:footnote w:id="8">
    <w:p w:rsidR="004F57FA" w:rsidRDefault="004F57FA" w:rsidP="00EF00D6"/>
  </w:footnote>
  <w:footnote w:id="9">
    <w:p w:rsidR="004F57FA" w:rsidRPr="00FA1E2A" w:rsidRDefault="004F57FA">
      <w:pPr>
        <w:pStyle w:val="FootnoteText"/>
        <w:rPr>
          <w:rFonts w:ascii="Franklin Gothic Book" w:hAnsi="Franklin Gothic Book"/>
          <w:sz w:val="18"/>
          <w:szCs w:val="18"/>
        </w:rPr>
      </w:pPr>
      <w:r w:rsidRPr="00BE1197">
        <w:rPr>
          <w:rStyle w:val="FootnoteReference"/>
          <w:rFonts w:ascii="Franklin Gothic Book" w:hAnsi="Franklin Gothic Book"/>
          <w:sz w:val="18"/>
          <w:szCs w:val="18"/>
        </w:rPr>
        <w:footnoteRef/>
      </w:r>
      <w:r w:rsidRPr="00BE1197">
        <w:rPr>
          <w:rFonts w:ascii="Franklin Gothic Book" w:hAnsi="Franklin Gothic Book"/>
          <w:sz w:val="18"/>
          <w:szCs w:val="18"/>
        </w:rPr>
        <w:t xml:space="preserve"> Ex post estimates for September 8 are only for 1-3 PM, the time before the blackout.</w:t>
      </w:r>
    </w:p>
  </w:footnote>
  <w:footnote w:id="10">
    <w:p w:rsidR="004F57FA" w:rsidRPr="007377D8" w:rsidRDefault="004F57FA" w:rsidP="005F7DA6">
      <w:pPr>
        <w:pStyle w:val="Footnote"/>
      </w:pPr>
      <w:r w:rsidRPr="007377D8">
        <w:rPr>
          <w:rStyle w:val="FootnoteReference"/>
        </w:rPr>
        <w:footnoteRef/>
      </w:r>
      <w:r w:rsidRPr="007377D8">
        <w:t xml:space="preserve"> The exact number of premises with data for analysis varied on a day-by-day basis, due to </w:t>
      </w:r>
      <w:r>
        <w:t>limitations on interval data availability</w:t>
      </w:r>
      <w:r w:rsidRPr="007377D8">
        <w:t>.</w:t>
      </w:r>
    </w:p>
  </w:footnote>
  <w:footnote w:id="11">
    <w:p w:rsidR="004F57FA" w:rsidRDefault="004F57FA" w:rsidP="00B304F1">
      <w:pPr>
        <w:pStyle w:val="Footnote"/>
      </w:pPr>
      <w:r>
        <w:rPr>
          <w:rStyle w:val="FootnoteReference"/>
        </w:rPr>
        <w:footnoteRef/>
      </w:r>
      <w:r>
        <w:t xml:space="preserve"> </w:t>
      </w:r>
      <w:r w:rsidRPr="00011B71">
        <w:t>As discussed in Appendix A, this regression specification was also estimated for commercial units but the results were not ultimately the ones chosen.</w:t>
      </w:r>
    </w:p>
  </w:footnote>
  <w:footnote w:id="12">
    <w:p w:rsidR="004F57FA" w:rsidRDefault="004F57FA" w:rsidP="00B304F1">
      <w:pPr>
        <w:pStyle w:val="Footnote"/>
      </w:pPr>
      <w:r>
        <w:rPr>
          <w:rStyle w:val="FootnoteReference"/>
        </w:rPr>
        <w:footnoteRef/>
      </w:r>
      <w:r>
        <w:t xml:space="preserve"> </w:t>
      </w:r>
      <w:r w:rsidRPr="00BF3BA2">
        <w:t xml:space="preserve">This is a theoretical argument for </w:t>
      </w:r>
      <w:r>
        <w:t>using</w:t>
      </w:r>
      <w:r w:rsidRPr="00BF3BA2">
        <w:t xml:space="preserve"> a time-series analysis.  However, the data requirements for such an analysis are stringent</w:t>
      </w:r>
      <w:r>
        <w:t>,</w:t>
      </w:r>
      <w:r w:rsidRPr="00BF3BA2">
        <w:t xml:space="preserve"> the models are much more time consuming to fit and validate</w:t>
      </w:r>
      <w:r>
        <w:t>,</w:t>
      </w:r>
      <w:r w:rsidRPr="00BF3BA2">
        <w:t xml:space="preserve"> and </w:t>
      </w:r>
      <w:r>
        <w:t xml:space="preserve">effectively communicating the methods and results of such a departure from standard load impact evaluation methodologies would be challenging. </w:t>
      </w:r>
      <w:r w:rsidRPr="00BF3BA2">
        <w:t>Additionally</w:t>
      </w:r>
      <w:r>
        <w:t>,</w:t>
      </w:r>
      <w:r w:rsidRPr="00BF3BA2">
        <w:t xml:space="preserve"> they are of limited to no use in ex ante estimation.  For these reasons this simplified approach to </w:t>
      </w:r>
      <w:r>
        <w:t xml:space="preserve">addressing </w:t>
      </w:r>
      <w:r w:rsidRPr="00BF3BA2">
        <w:t>autocorrelation is preferred.</w:t>
      </w:r>
    </w:p>
  </w:footnote>
  <w:footnote w:id="13">
    <w:p w:rsidR="004F57FA" w:rsidRDefault="004F57FA" w:rsidP="003F7303">
      <w:pPr>
        <w:pStyle w:val="Footnote"/>
      </w:pPr>
      <w:r>
        <w:rPr>
          <w:rStyle w:val="FootnoteReference"/>
        </w:rPr>
        <w:footnoteRef/>
      </w:r>
      <w:r>
        <w:t xml:space="preserve"> </w:t>
      </w:r>
      <w:r w:rsidRPr="002041E8">
        <w:t xml:space="preserve">The set of ex ante weather conditions used for modeling changed between the two years.  This has no material effect on the </w:t>
      </w:r>
      <w:r>
        <w:t>f</w:t>
      </w:r>
      <w:r w:rsidRPr="002041E8">
        <w:t>igure other than to provide two sets of conditions</w:t>
      </w:r>
      <w:r>
        <w:t>,</w:t>
      </w:r>
      <w:r w:rsidRPr="002041E8">
        <w:t xml:space="preserve"> with much hotter temperatures in the 2011 ex ante conditions that were not there in the 2010 set of conditions.</w:t>
      </w:r>
    </w:p>
  </w:footnote>
  <w:footnote w:id="14">
    <w:p w:rsidR="004F57FA" w:rsidRDefault="004F57FA" w:rsidP="00B304F1">
      <w:pPr>
        <w:pStyle w:val="Footnote"/>
      </w:pPr>
      <w:r>
        <w:rPr>
          <w:rStyle w:val="FootnoteReference"/>
        </w:rPr>
        <w:footnoteRef/>
      </w:r>
      <w:r>
        <w:t xml:space="preserve"> </w:t>
      </w:r>
      <w:r w:rsidRPr="00FF0364">
        <w:t>Results only include the first two hours of the event.  The second two hours were affected by the blackout.</w:t>
      </w:r>
    </w:p>
  </w:footnote>
  <w:footnote w:id="15">
    <w:p w:rsidR="004F57FA" w:rsidRDefault="004F57FA" w:rsidP="00B304F1">
      <w:pPr>
        <w:pStyle w:val="Footnote"/>
      </w:pPr>
      <w:r>
        <w:rPr>
          <w:rStyle w:val="FootnoteReference"/>
        </w:rPr>
        <w:footnoteRef/>
      </w:r>
      <w:r>
        <w:t xml:space="preserve"> </w:t>
      </w:r>
      <w:r w:rsidRPr="00FF0364">
        <w:t>Results only include the first two hours of the event.  The second two hours were affected by the blackout.</w:t>
      </w:r>
    </w:p>
  </w:footnote>
  <w:footnote w:id="16">
    <w:p w:rsidR="004F57FA" w:rsidRDefault="004F57FA" w:rsidP="00B304F1">
      <w:pPr>
        <w:pStyle w:val="Footnote"/>
      </w:pPr>
      <w:r>
        <w:rPr>
          <w:rStyle w:val="FootnoteReference"/>
        </w:rPr>
        <w:footnoteRef/>
      </w:r>
      <w:r>
        <w:t xml:space="preserve"> </w:t>
      </w:r>
      <w:r w:rsidRPr="002E7599">
        <w:t>The rule actually used was greater than 0.02 kW of CAC load.</w:t>
      </w:r>
    </w:p>
  </w:footnote>
  <w:footnote w:id="17">
    <w:p w:rsidR="004F57FA" w:rsidRDefault="004F57FA" w:rsidP="00B304F1">
      <w:pPr>
        <w:pStyle w:val="Footnote"/>
      </w:pPr>
      <w:r>
        <w:rPr>
          <w:rStyle w:val="FootnoteReference"/>
        </w:rPr>
        <w:footnoteRef/>
      </w:r>
      <w:r>
        <w:t xml:space="preserve"> </w:t>
      </w:r>
      <w:r w:rsidRPr="00FF24B8">
        <w:t xml:space="preserve">No </w:t>
      </w:r>
      <w:r w:rsidRPr="00B304F1">
        <w:t>useful</w:t>
      </w:r>
      <w:r w:rsidRPr="00FF24B8">
        <w:t xml:space="preserve"> data due to the blackout.</w:t>
      </w:r>
    </w:p>
  </w:footnote>
  <w:footnote w:id="18">
    <w:p w:rsidR="004F57FA" w:rsidRDefault="004F57FA" w:rsidP="00B304F1">
      <w:pPr>
        <w:pStyle w:val="Footnote"/>
      </w:pPr>
      <w:r>
        <w:rPr>
          <w:rStyle w:val="FootnoteReference"/>
        </w:rPr>
        <w:footnoteRef/>
      </w:r>
      <w:r>
        <w:t xml:space="preserve"> </w:t>
      </w:r>
      <w:r w:rsidRPr="00FF24B8">
        <w:t>No useful data due to the blackout.</w:t>
      </w:r>
    </w:p>
  </w:footnote>
  <w:footnote w:id="19">
    <w:p w:rsidR="004F57FA" w:rsidRDefault="004F57FA" w:rsidP="003F7303">
      <w:pPr>
        <w:pStyle w:val="Footnote"/>
      </w:pPr>
      <w:r>
        <w:rPr>
          <w:rStyle w:val="FootnoteReference"/>
        </w:rPr>
        <w:footnoteRef/>
      </w:r>
      <w:r>
        <w:t xml:space="preserve"> The typical event day is an </w:t>
      </w:r>
      <w:r w:rsidRPr="00DC2BC2">
        <w:t>hourly</w:t>
      </w:r>
      <w:r>
        <w:t xml:space="preserve"> average of the weather during the top 9 system load days in a 1-in-2 year and in a 1-in-10 year.  </w:t>
      </w:r>
    </w:p>
  </w:footnote>
  <w:footnote w:id="20">
    <w:p w:rsidR="004F57FA" w:rsidRDefault="004F57FA" w:rsidP="00B304F1">
      <w:pPr>
        <w:pStyle w:val="Footnote"/>
      </w:pPr>
      <w:r>
        <w:rPr>
          <w:rStyle w:val="FootnoteReference"/>
        </w:rPr>
        <w:footnoteRef/>
      </w:r>
      <w:r>
        <w:t xml:space="preserve"> </w:t>
      </w:r>
      <w:r w:rsidRPr="00A666B8">
        <w:t>It also performed badly on September 9, but this could have been more easily fixed had the decision been made to use the regression model as the primary source of impact estimates.</w:t>
      </w:r>
      <w:r>
        <w:t xml:space="preserve">  This is discussed below.</w:t>
      </w:r>
    </w:p>
  </w:footnote>
  <w:footnote w:id="21">
    <w:p w:rsidR="004F57FA" w:rsidRDefault="004F57FA" w:rsidP="006A3149">
      <w:pPr>
        <w:pStyle w:val="Footnote"/>
      </w:pPr>
      <w:r>
        <w:rPr>
          <w:rStyle w:val="FootnoteReference"/>
        </w:rPr>
        <w:footnoteRef/>
      </w:r>
      <w:r>
        <w:t xml:space="preserve"> </w:t>
      </w:r>
      <w:r w:rsidRPr="00FF0364">
        <w:t>Result is only calculated over the first two hours of the event.</w:t>
      </w:r>
    </w:p>
  </w:footnote>
  <w:footnote w:id="22">
    <w:p w:rsidR="004F57FA" w:rsidRDefault="004F57FA" w:rsidP="00986DD2">
      <w:pPr>
        <w:pStyle w:val="FootnoteText"/>
      </w:pPr>
      <w:r>
        <w:rPr>
          <w:rStyle w:val="FootnoteReference"/>
        </w:rPr>
        <w:footnoteRef/>
      </w:r>
      <w:r>
        <w:t xml:space="preserve"> </w:t>
      </w:r>
      <w:r w:rsidRPr="00FF0364">
        <w:rPr>
          <w:rFonts w:ascii="Franklin Gothic Book" w:hAnsi="Franklin Gothic Book"/>
          <w:sz w:val="18"/>
          <w:szCs w:val="18"/>
        </w:rPr>
        <w:t>Result is only calculated over the first two hours of the event.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FA" w:rsidRDefault="004F57FA" w:rsidP="00DB35F9">
    <w:pPr>
      <w:pStyle w:val="Header"/>
      <w:tabs>
        <w:tab w:val="left" w:pos="360"/>
        <w:tab w:val="left" w:pos="8910"/>
        <w:tab w:val="left" w:pos="9000"/>
      </w:tabs>
    </w:pPr>
    <w:r w:rsidRPr="00EB2941">
      <w:rPr>
        <w:noProof/>
      </w:rPr>
      <w:drawing>
        <wp:inline distT="0" distB="0" distL="0" distR="0">
          <wp:extent cx="4274185" cy="690880"/>
          <wp:effectExtent l="19050" t="0" r="0" b="0"/>
          <wp:docPr id="8" name="Picture 1" descr="FSC Logo NEW PURPLE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 Logo NEW PURPLE 2007"/>
                  <pic:cNvPicPr>
                    <a:picLocks noChangeAspect="1" noChangeArrowheads="1"/>
                  </pic:cNvPicPr>
                </pic:nvPicPr>
                <pic:blipFill>
                  <a:blip r:embed="rId1" cstate="print"/>
                  <a:srcRect t="21506"/>
                  <a:stretch>
                    <a:fillRect/>
                  </a:stretch>
                </pic:blipFill>
                <pic:spPr bwMode="auto">
                  <a:xfrm>
                    <a:off x="0" y="0"/>
                    <a:ext cx="4274185" cy="69088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FA" w:rsidRDefault="004F57FA">
    <w:pPr>
      <w:pStyle w:val="Header"/>
    </w:pPr>
    <w:r w:rsidRPr="007A2A2A">
      <w:rPr>
        <w:noProof/>
      </w:rPr>
      <w:drawing>
        <wp:anchor distT="0" distB="0" distL="114300" distR="114300" simplePos="0" relativeHeight="251662336" behindDoc="0" locked="0" layoutInCell="1" allowOverlap="1">
          <wp:simplePos x="0" y="0"/>
          <wp:positionH relativeFrom="column">
            <wp:posOffset>-733806</wp:posOffset>
          </wp:positionH>
          <wp:positionV relativeFrom="paragraph">
            <wp:posOffset>-67056</wp:posOffset>
          </wp:positionV>
          <wp:extent cx="4272534" cy="694944"/>
          <wp:effectExtent l="19050" t="0" r="0" b="0"/>
          <wp:wrapNone/>
          <wp:docPr id="17" name="Picture 1" descr="FSC Logo NEW PURPLE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 Logo NEW PURPLE 2007"/>
                  <pic:cNvPicPr>
                    <a:picLocks noChangeAspect="1" noChangeArrowheads="1"/>
                  </pic:cNvPicPr>
                </pic:nvPicPr>
                <pic:blipFill>
                  <a:blip r:embed="rId1" cstate="print"/>
                  <a:srcRect t="21506"/>
                  <a:stretch>
                    <a:fillRect/>
                  </a:stretch>
                </pic:blipFill>
                <pic:spPr bwMode="auto">
                  <a:xfrm>
                    <a:off x="0" y="0"/>
                    <a:ext cx="4267835" cy="68834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FA" w:rsidRDefault="00A36EA8" w:rsidP="00DB35F9">
    <w:pPr>
      <w:pStyle w:val="Header"/>
      <w:tabs>
        <w:tab w:val="left" w:pos="360"/>
        <w:tab w:val="left" w:pos="8910"/>
        <w:tab w:val="left" w:pos="9000"/>
      </w:tabs>
    </w:pPr>
    <w:r>
      <w:rPr>
        <w:noProof/>
      </w:rPr>
    </w:r>
    <w:r>
      <w:rPr>
        <w:noProof/>
      </w:rPr>
      <w:pict>
        <v:shapetype id="_x0000_t32" coordsize="21600,21600" o:spt="32" o:oned="t" path="m,l21600,21600e" filled="f">
          <v:path arrowok="t" fillok="f" o:connecttype="none"/>
          <o:lock v:ext="edit" shapetype="t"/>
        </v:shapetype>
        <v:shape id="AutoShape 1" o:spid="_x0000_s2049" type="#_x0000_t32" style="width:473.85pt;height:0;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" strokecolor="#5f497a [2407]">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752F688"/>
    <w:lvl w:ilvl="0">
      <w:start w:val="1"/>
      <w:numFmt w:val="decimal"/>
      <w:lvlText w:val="%1."/>
      <w:lvlJc w:val="left"/>
      <w:pPr>
        <w:tabs>
          <w:tab w:val="num" w:pos="1800"/>
        </w:tabs>
        <w:ind w:left="1800" w:hanging="360"/>
      </w:pPr>
    </w:lvl>
  </w:abstractNum>
  <w:abstractNum w:abstractNumId="1">
    <w:nsid w:val="FFFFFF7D"/>
    <w:multiLevelType w:val="singleLevel"/>
    <w:tmpl w:val="9684AAC4"/>
    <w:lvl w:ilvl="0">
      <w:start w:val="1"/>
      <w:numFmt w:val="decimal"/>
      <w:lvlText w:val="%1."/>
      <w:lvlJc w:val="left"/>
      <w:pPr>
        <w:tabs>
          <w:tab w:val="num" w:pos="1440"/>
        </w:tabs>
        <w:ind w:left="1440" w:hanging="360"/>
      </w:pPr>
    </w:lvl>
  </w:abstractNum>
  <w:abstractNum w:abstractNumId="2">
    <w:nsid w:val="FFFFFF7E"/>
    <w:multiLevelType w:val="singleLevel"/>
    <w:tmpl w:val="9E84DB6E"/>
    <w:lvl w:ilvl="0">
      <w:start w:val="1"/>
      <w:numFmt w:val="decimal"/>
      <w:lvlText w:val="%1."/>
      <w:lvlJc w:val="left"/>
      <w:pPr>
        <w:tabs>
          <w:tab w:val="num" w:pos="1080"/>
        </w:tabs>
        <w:ind w:left="1080" w:hanging="360"/>
      </w:pPr>
    </w:lvl>
  </w:abstractNum>
  <w:abstractNum w:abstractNumId="3">
    <w:nsid w:val="FFFFFF7F"/>
    <w:multiLevelType w:val="singleLevel"/>
    <w:tmpl w:val="B0821AE6"/>
    <w:lvl w:ilvl="0">
      <w:start w:val="1"/>
      <w:numFmt w:val="decimal"/>
      <w:lvlText w:val="%1."/>
      <w:lvlJc w:val="left"/>
      <w:pPr>
        <w:tabs>
          <w:tab w:val="num" w:pos="720"/>
        </w:tabs>
        <w:ind w:left="720" w:hanging="360"/>
      </w:pPr>
    </w:lvl>
  </w:abstractNum>
  <w:abstractNum w:abstractNumId="4">
    <w:nsid w:val="FFFFFF80"/>
    <w:multiLevelType w:val="singleLevel"/>
    <w:tmpl w:val="20CECCE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FCA60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B4643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B7250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D129EB0"/>
    <w:lvl w:ilvl="0">
      <w:start w:val="1"/>
      <w:numFmt w:val="decimal"/>
      <w:lvlText w:val="%1."/>
      <w:lvlJc w:val="left"/>
      <w:pPr>
        <w:tabs>
          <w:tab w:val="num" w:pos="360"/>
        </w:tabs>
        <w:ind w:left="360" w:hanging="360"/>
      </w:pPr>
    </w:lvl>
  </w:abstractNum>
  <w:abstractNum w:abstractNumId="9">
    <w:nsid w:val="FFFFFF89"/>
    <w:multiLevelType w:val="singleLevel"/>
    <w:tmpl w:val="D15429BA"/>
    <w:lvl w:ilvl="0">
      <w:start w:val="1"/>
      <w:numFmt w:val="bullet"/>
      <w:lvlText w:val=""/>
      <w:lvlJc w:val="left"/>
      <w:pPr>
        <w:tabs>
          <w:tab w:val="num" w:pos="360"/>
        </w:tabs>
        <w:ind w:left="360" w:hanging="360"/>
      </w:pPr>
      <w:rPr>
        <w:rFonts w:ascii="Symbol" w:hAnsi="Symbol" w:hint="default"/>
      </w:rPr>
    </w:lvl>
  </w:abstractNum>
  <w:abstractNum w:abstractNumId="10">
    <w:nsid w:val="048F05F0"/>
    <w:multiLevelType w:val="multilevel"/>
    <w:tmpl w:val="9F68006A"/>
    <w:numStyleLink w:val="Numbered"/>
  </w:abstractNum>
  <w:abstractNum w:abstractNumId="11">
    <w:nsid w:val="062F5674"/>
    <w:multiLevelType w:val="hybridMultilevel"/>
    <w:tmpl w:val="652A9A1E"/>
    <w:lvl w:ilvl="0" w:tplc="F5241B0E">
      <w:start w:val="6"/>
      <w:numFmt w:val="decimal"/>
      <w:pStyle w:val="NumbersLa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555C81"/>
    <w:multiLevelType w:val="hybridMultilevel"/>
    <w:tmpl w:val="1E586AD4"/>
    <w:lvl w:ilvl="0" w:tplc="3746FB3A">
      <w:start w:val="1"/>
      <w:numFmt w:val="bullet"/>
      <w:lvlText w:val=""/>
      <w:lvlJc w:val="left"/>
      <w:pPr>
        <w:tabs>
          <w:tab w:val="num" w:pos="720"/>
        </w:tabs>
        <w:ind w:left="720" w:hanging="360"/>
      </w:pPr>
      <w:rPr>
        <w:rFonts w:ascii="Wingdings" w:hAnsi="Wingdings" w:hint="default"/>
        <w:color w:val="542D6F"/>
        <w:sz w:val="24"/>
        <w:szCs w:val="24"/>
      </w:rPr>
    </w:lvl>
    <w:lvl w:ilvl="1" w:tplc="7ADA79DA" w:tentative="1">
      <w:start w:val="1"/>
      <w:numFmt w:val="bullet"/>
      <w:lvlText w:val=""/>
      <w:lvlJc w:val="left"/>
      <w:pPr>
        <w:tabs>
          <w:tab w:val="num" w:pos="1440"/>
        </w:tabs>
        <w:ind w:left="1440" w:hanging="360"/>
      </w:pPr>
      <w:rPr>
        <w:rFonts w:ascii="Wingdings" w:hAnsi="Wingdings" w:hint="default"/>
      </w:rPr>
    </w:lvl>
    <w:lvl w:ilvl="2" w:tplc="39AA849A" w:tentative="1">
      <w:start w:val="1"/>
      <w:numFmt w:val="bullet"/>
      <w:lvlText w:val=""/>
      <w:lvlJc w:val="left"/>
      <w:pPr>
        <w:tabs>
          <w:tab w:val="num" w:pos="2160"/>
        </w:tabs>
        <w:ind w:left="2160" w:hanging="360"/>
      </w:pPr>
      <w:rPr>
        <w:rFonts w:ascii="Wingdings" w:hAnsi="Wingdings" w:hint="default"/>
      </w:rPr>
    </w:lvl>
    <w:lvl w:ilvl="3" w:tplc="919CA4BE" w:tentative="1">
      <w:start w:val="1"/>
      <w:numFmt w:val="bullet"/>
      <w:lvlText w:val=""/>
      <w:lvlJc w:val="left"/>
      <w:pPr>
        <w:tabs>
          <w:tab w:val="num" w:pos="2880"/>
        </w:tabs>
        <w:ind w:left="2880" w:hanging="360"/>
      </w:pPr>
      <w:rPr>
        <w:rFonts w:ascii="Wingdings" w:hAnsi="Wingdings" w:hint="default"/>
      </w:rPr>
    </w:lvl>
    <w:lvl w:ilvl="4" w:tplc="947CC70C" w:tentative="1">
      <w:start w:val="1"/>
      <w:numFmt w:val="bullet"/>
      <w:lvlText w:val=""/>
      <w:lvlJc w:val="left"/>
      <w:pPr>
        <w:tabs>
          <w:tab w:val="num" w:pos="3600"/>
        </w:tabs>
        <w:ind w:left="3600" w:hanging="360"/>
      </w:pPr>
      <w:rPr>
        <w:rFonts w:ascii="Wingdings" w:hAnsi="Wingdings" w:hint="default"/>
      </w:rPr>
    </w:lvl>
    <w:lvl w:ilvl="5" w:tplc="BDDAF0F0" w:tentative="1">
      <w:start w:val="1"/>
      <w:numFmt w:val="bullet"/>
      <w:lvlText w:val=""/>
      <w:lvlJc w:val="left"/>
      <w:pPr>
        <w:tabs>
          <w:tab w:val="num" w:pos="4320"/>
        </w:tabs>
        <w:ind w:left="4320" w:hanging="360"/>
      </w:pPr>
      <w:rPr>
        <w:rFonts w:ascii="Wingdings" w:hAnsi="Wingdings" w:hint="default"/>
      </w:rPr>
    </w:lvl>
    <w:lvl w:ilvl="6" w:tplc="D124F20E" w:tentative="1">
      <w:start w:val="1"/>
      <w:numFmt w:val="bullet"/>
      <w:lvlText w:val=""/>
      <w:lvlJc w:val="left"/>
      <w:pPr>
        <w:tabs>
          <w:tab w:val="num" w:pos="5040"/>
        </w:tabs>
        <w:ind w:left="5040" w:hanging="360"/>
      </w:pPr>
      <w:rPr>
        <w:rFonts w:ascii="Wingdings" w:hAnsi="Wingdings" w:hint="default"/>
      </w:rPr>
    </w:lvl>
    <w:lvl w:ilvl="7" w:tplc="B1CA2568" w:tentative="1">
      <w:start w:val="1"/>
      <w:numFmt w:val="bullet"/>
      <w:lvlText w:val=""/>
      <w:lvlJc w:val="left"/>
      <w:pPr>
        <w:tabs>
          <w:tab w:val="num" w:pos="5760"/>
        </w:tabs>
        <w:ind w:left="5760" w:hanging="360"/>
      </w:pPr>
      <w:rPr>
        <w:rFonts w:ascii="Wingdings" w:hAnsi="Wingdings" w:hint="default"/>
      </w:rPr>
    </w:lvl>
    <w:lvl w:ilvl="8" w:tplc="86669DFA" w:tentative="1">
      <w:start w:val="1"/>
      <w:numFmt w:val="bullet"/>
      <w:lvlText w:val=""/>
      <w:lvlJc w:val="left"/>
      <w:pPr>
        <w:tabs>
          <w:tab w:val="num" w:pos="6480"/>
        </w:tabs>
        <w:ind w:left="6480" w:hanging="360"/>
      </w:pPr>
      <w:rPr>
        <w:rFonts w:ascii="Wingdings" w:hAnsi="Wingdings" w:hint="default"/>
      </w:rPr>
    </w:lvl>
  </w:abstractNum>
  <w:abstractNum w:abstractNumId="13">
    <w:nsid w:val="096A593E"/>
    <w:multiLevelType w:val="hybridMultilevel"/>
    <w:tmpl w:val="BF0CB3C6"/>
    <w:lvl w:ilvl="0" w:tplc="4A6091AE">
      <w:start w:val="1"/>
      <w:numFmt w:val="bullet"/>
      <w:pStyle w:val="Bullets"/>
      <w:lvlText w:val=""/>
      <w:lvlJc w:val="left"/>
      <w:pPr>
        <w:tabs>
          <w:tab w:val="num" w:pos="720"/>
        </w:tabs>
        <w:ind w:left="720" w:hanging="360"/>
      </w:pPr>
      <w:rPr>
        <w:rFonts w:ascii="Wingdings" w:hAnsi="Wingdings" w:hint="default"/>
        <w:color w:val="433B67"/>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505045"/>
    <w:multiLevelType w:val="multilevel"/>
    <w:tmpl w:val="A850AA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A7561E2"/>
    <w:multiLevelType w:val="hybridMultilevel"/>
    <w:tmpl w:val="6F6C1304"/>
    <w:lvl w:ilvl="0" w:tplc="FB1E35EA">
      <w:start w:val="1"/>
      <w:numFmt w:val="decimal"/>
      <w:pStyle w:val="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990431"/>
    <w:multiLevelType w:val="multilevel"/>
    <w:tmpl w:val="E47C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787C42"/>
    <w:multiLevelType w:val="multilevel"/>
    <w:tmpl w:val="D580274E"/>
    <w:lvl w:ilvl="0">
      <w:start w:val="1"/>
      <w:numFmt w:val="upperLetter"/>
      <w:lvlText w:val="APPENDIX  %1."/>
      <w:lvlJc w:val="left"/>
      <w:pPr>
        <w:ind w:left="360" w:hanging="360"/>
      </w:pPr>
      <w:rPr>
        <w:rFonts w:hint="default"/>
        <w:b/>
        <w:bCs w:val="0"/>
        <w:i w:val="0"/>
        <w:iCs w:val="0"/>
        <w:smallCaps w:val="0"/>
        <w:strike w:val="0"/>
        <w:dstrike w:val="0"/>
        <w:vanish w:val="0"/>
        <w:spacing w:val="0"/>
        <w:kern w:val="0"/>
        <w:position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60E263D"/>
    <w:multiLevelType w:val="multilevel"/>
    <w:tmpl w:val="A1E4465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27466AB5"/>
    <w:multiLevelType w:val="multilevel"/>
    <w:tmpl w:val="6B2CD62E"/>
    <w:styleLink w:val="NumberedSteps"/>
    <w:lvl w:ilvl="0">
      <w:start w:val="1"/>
      <w:numFmt w:val="decimal"/>
      <w:lvlText w:val="%1"/>
      <w:lvlJc w:val="left"/>
      <w:pPr>
        <w:tabs>
          <w:tab w:val="num" w:pos="720"/>
        </w:tabs>
        <w:ind w:left="720" w:hanging="360"/>
      </w:pPr>
      <w:rPr>
        <w:rFonts w:ascii="Arial" w:hAnsi="Arial"/>
        <w:dstrike w:val="0"/>
        <w:color w:val="auto"/>
        <w:sz w:val="22"/>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A5B1D10"/>
    <w:multiLevelType w:val="hybridMultilevel"/>
    <w:tmpl w:val="365E3772"/>
    <w:lvl w:ilvl="0" w:tplc="FFFFFFFF">
      <w:start w:val="1"/>
      <w:numFmt w:val="bullet"/>
      <w:lvlText w:val=""/>
      <w:lvlJc w:val="left"/>
      <w:pPr>
        <w:tabs>
          <w:tab w:val="num" w:pos="720"/>
        </w:tabs>
        <w:ind w:left="720" w:hanging="360"/>
      </w:pPr>
      <w:rPr>
        <w:rFonts w:ascii="Wingdings" w:hAnsi="Wingdings" w:hint="default"/>
        <w:color w:val="433B6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AEB3BDB"/>
    <w:multiLevelType w:val="hybridMultilevel"/>
    <w:tmpl w:val="2866520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2C643E37"/>
    <w:multiLevelType w:val="hybridMultilevel"/>
    <w:tmpl w:val="8C9255A6"/>
    <w:lvl w:ilvl="0" w:tplc="0409000F">
      <w:start w:val="1"/>
      <w:numFmt w:val="decimal"/>
      <w:lvlText w:val="%1."/>
      <w:lvlJc w:val="left"/>
      <w:pPr>
        <w:ind w:left="720" w:hanging="360"/>
      </w:pPr>
    </w:lvl>
    <w:lvl w:ilvl="1" w:tplc="F3222048">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EA25DB"/>
    <w:multiLevelType w:val="multilevel"/>
    <w:tmpl w:val="EFF0820E"/>
    <w:lvl w:ilvl="0">
      <w:start w:val="1"/>
      <w:numFmt w:val="decimal"/>
      <w:lvlText w:val="%1."/>
      <w:lvlJc w:val="left"/>
      <w:pPr>
        <w:ind w:left="360" w:hanging="360"/>
      </w:pPr>
      <w:rPr>
        <w:rFonts w:hint="default"/>
        <w:b/>
        <w:bCs w:val="0"/>
        <w:i w:val="0"/>
        <w:iCs w:val="0"/>
        <w:smallCaps w:val="0"/>
        <w:strike w:val="0"/>
        <w:dstrike w:val="0"/>
        <w:vanish w:val="0"/>
        <w:spacing w:val="0"/>
        <w:kern w:val="0"/>
        <w:position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05D0D99"/>
    <w:multiLevelType w:val="multilevel"/>
    <w:tmpl w:val="F2EE4F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39AB2635"/>
    <w:multiLevelType w:val="hybridMultilevel"/>
    <w:tmpl w:val="3E64E9D0"/>
    <w:lvl w:ilvl="0" w:tplc="9684AAE2">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9E4960"/>
    <w:multiLevelType w:val="multilevel"/>
    <w:tmpl w:val="597449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4650925"/>
    <w:multiLevelType w:val="multilevel"/>
    <w:tmpl w:val="C742E9C8"/>
    <w:lvl w:ilvl="0">
      <w:start w:val="1"/>
      <w:numFmt w:val="decimal"/>
      <w:lvlText w:val="%1."/>
      <w:lvlJc w:val="left"/>
      <w:pPr>
        <w:ind w:left="3240" w:hanging="360"/>
      </w:pPr>
      <w:rPr>
        <w:rFonts w:hint="default"/>
        <w:b/>
        <w:bCs w:val="0"/>
        <w:i w:val="0"/>
        <w:iCs w:val="0"/>
        <w:smallCaps w:val="0"/>
        <w:strike w:val="0"/>
        <w:dstrike w:val="0"/>
        <w:vanish w:val="0"/>
        <w:spacing w:val="0"/>
        <w:kern w:val="0"/>
        <w:position w:val="0"/>
        <w:u w:val="none"/>
        <w:vertAlign w:val="baseline"/>
        <w:em w:val="none"/>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49D0712"/>
    <w:multiLevelType w:val="hybridMultilevel"/>
    <w:tmpl w:val="5F8CF920"/>
    <w:lvl w:ilvl="0" w:tplc="A9021D66">
      <w:start w:val="1"/>
      <w:numFmt w:val="decimal"/>
      <w:lvlText w:val="%1.1"/>
      <w:lvlJc w:val="left"/>
      <w:pPr>
        <w:ind w:left="720" w:hanging="360"/>
      </w:pPr>
      <w:rPr>
        <w:rFonts w:ascii="Arial Bold" w:hAnsi="Arial Bold" w:hint="default"/>
        <w:b/>
        <w:i w:val="0"/>
        <w:color w:val="5F497A" w:themeColor="accent4"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7C0DE0"/>
    <w:multiLevelType w:val="multilevel"/>
    <w:tmpl w:val="528888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89934F2"/>
    <w:multiLevelType w:val="multilevel"/>
    <w:tmpl w:val="69AC5F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A7B5C4F"/>
    <w:multiLevelType w:val="hybridMultilevel"/>
    <w:tmpl w:val="567C6548"/>
    <w:lvl w:ilvl="0" w:tplc="C7F6CDCA">
      <w:start w:val="1"/>
      <w:numFmt w:val="decimal"/>
      <w:lvlText w:val="%1.1"/>
      <w:lvlJc w:val="left"/>
      <w:pPr>
        <w:ind w:left="720" w:hanging="360"/>
      </w:pPr>
      <w:rPr>
        <w:rFonts w:ascii="Arial Bold" w:hAnsi="Arial Bold" w:hint="default"/>
        <w:b/>
        <w:i w:val="0"/>
        <w:color w:val="5F497A" w:themeColor="accent4"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497E68"/>
    <w:multiLevelType w:val="multilevel"/>
    <w:tmpl w:val="CFA6A566"/>
    <w:lvl w:ilvl="0">
      <w:start w:val="1"/>
      <w:numFmt w:val="upperLetter"/>
      <w:pStyle w:val="AppendixHeading"/>
      <w:lvlText w:val="Appendix %1."/>
      <w:lvlJc w:val="left"/>
      <w:pPr>
        <w:ind w:left="360" w:hanging="360"/>
      </w:pPr>
      <w:rPr>
        <w:rFonts w:hint="default"/>
        <w:b/>
        <w:bCs w:val="0"/>
        <w:i w:val="0"/>
        <w:iCs w:val="0"/>
        <w:caps w:val="0"/>
        <w:smallCaps w:val="0"/>
        <w:strike w:val="0"/>
        <w:dstrike w:val="0"/>
        <w:noProof w:val="0"/>
        <w:snapToGrid w:val="0"/>
        <w:vanish w:val="0"/>
        <w:color w:val="5F497A" w:themeColor="accent4" w:themeShade="BF"/>
        <w:spacing w:val="0"/>
        <w:w w:val="0"/>
        <w:kern w:val="0"/>
        <w:position w:val="0"/>
        <w:szCs w:val="0"/>
        <w:u w:val="none"/>
        <w:vertAlign w:val="baseline"/>
        <w:em w:val="none"/>
      </w:rPr>
    </w:lvl>
    <w:lvl w:ilvl="1">
      <w:start w:val="1"/>
      <w:numFmt w:val="decimal"/>
      <w:pStyle w:val="AppendixHeading2"/>
      <w:lvlText w:val="%1.%2."/>
      <w:lvlJc w:val="left"/>
      <w:pPr>
        <w:ind w:left="882" w:hanging="432"/>
      </w:pPr>
      <w:rPr>
        <w:rFonts w:ascii="Arial" w:hAnsi="Arial" w:cs="Arial" w:hint="default"/>
        <w:b/>
        <w:bCs w:val="0"/>
        <w:i w:val="0"/>
        <w:iCs w:val="0"/>
        <w:caps w:val="0"/>
        <w:smallCaps w:val="0"/>
        <w:strike w:val="0"/>
        <w:dstrike w:val="0"/>
        <w:noProof w:val="0"/>
        <w:snapToGrid w:val="0"/>
        <w:vanish w:val="0"/>
        <w:color w:val="5F497A" w:themeColor="accent4" w:themeShade="BF"/>
        <w:spacing w:val="0"/>
        <w:w w:val="0"/>
        <w:kern w:val="0"/>
        <w:position w:val="0"/>
        <w:szCs w:val="0"/>
        <w:u w:val="none"/>
        <w:vertAlign w:val="baseline"/>
        <w:em w:val="none"/>
      </w:rPr>
    </w:lvl>
    <w:lvl w:ilvl="2">
      <w:start w:val="1"/>
      <w:numFmt w:val="decimal"/>
      <w:pStyle w:val="AppendixHeading3"/>
      <w:lvlText w:val="%1.%2.%3."/>
      <w:lvlJc w:val="left"/>
      <w:pPr>
        <w:ind w:left="1494" w:hanging="504"/>
      </w:pPr>
      <w:rPr>
        <w:rFonts w:ascii="Arial" w:hAnsi="Arial" w:cs="Arial" w:hint="default"/>
        <w:b/>
        <w:bCs w:val="0"/>
        <w:i w:val="0"/>
        <w:iCs w:val="0"/>
        <w:caps w:val="0"/>
        <w:smallCaps w:val="0"/>
        <w:strike w:val="0"/>
        <w:dstrike w:val="0"/>
        <w:noProof w:val="0"/>
        <w:snapToGrid w:val="0"/>
        <w:vanish w:val="0"/>
        <w:color w:val="5F497A" w:themeColor="accent4" w:themeShade="BF"/>
        <w:spacing w:val="0"/>
        <w:w w:val="0"/>
        <w:kern w:val="0"/>
        <w:position w:val="0"/>
        <w:szCs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5B0E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9757758"/>
    <w:multiLevelType w:val="multilevel"/>
    <w:tmpl w:val="645451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BEA3CDC"/>
    <w:multiLevelType w:val="multilevel"/>
    <w:tmpl w:val="6B2CD62E"/>
    <w:numStyleLink w:val="NumberedSteps"/>
  </w:abstractNum>
  <w:abstractNum w:abstractNumId="36">
    <w:nsid w:val="6D0F2EE8"/>
    <w:multiLevelType w:val="multilevel"/>
    <w:tmpl w:val="9F68006A"/>
    <w:styleLink w:val="Numbered"/>
    <w:lvl w:ilvl="0">
      <w:start w:val="1"/>
      <w:numFmt w:val="decimal"/>
      <w:lvlText w:val="%1"/>
      <w:lvlJc w:val="left"/>
      <w:pPr>
        <w:tabs>
          <w:tab w:val="num" w:pos="720"/>
        </w:tabs>
        <w:ind w:left="720" w:hanging="360"/>
      </w:pPr>
      <w:rPr>
        <w:rFonts w:ascii="Arial" w:hAnsi="Arial"/>
        <w:dstrike w:val="0"/>
        <w:color w:val="000000" w:themeColor="text1"/>
        <w:sz w:val="22"/>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C4C543E"/>
    <w:multiLevelType w:val="multilevel"/>
    <w:tmpl w:val="E444CAC2"/>
    <w:lvl w:ilvl="0">
      <w:start w:val="1"/>
      <w:numFmt w:val="upperLetter"/>
      <w:lvlText w:val="APPENDIX  %1."/>
      <w:lvlJc w:val="left"/>
      <w:pPr>
        <w:ind w:left="360" w:hanging="360"/>
      </w:pPr>
      <w:rPr>
        <w:rFonts w:hint="default"/>
        <w:b/>
        <w:bCs w:val="0"/>
        <w:i w:val="0"/>
        <w:iCs w:val="0"/>
        <w:smallCaps w:val="0"/>
        <w:strike w:val="0"/>
        <w:dstrike w:val="0"/>
        <w:vanish w:val="0"/>
        <w:spacing w:val="0"/>
        <w:kern w:val="0"/>
        <w:position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26"/>
  </w:num>
  <w:num w:numId="3">
    <w:abstractNumId w:val="16"/>
  </w:num>
  <w:num w:numId="4">
    <w:abstractNumId w:val="31"/>
  </w:num>
  <w:num w:numId="5">
    <w:abstractNumId w:val="22"/>
  </w:num>
  <w:num w:numId="6">
    <w:abstractNumId w:val="28"/>
  </w:num>
  <w:num w:numId="7">
    <w:abstractNumId w:val="23"/>
  </w:num>
  <w:num w:numId="8">
    <w:abstractNumId w:val="23"/>
  </w:num>
  <w:num w:numId="9">
    <w:abstractNumId w:val="12"/>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4"/>
  </w:num>
  <w:num w:numId="13">
    <w:abstractNumId w:val="23"/>
  </w:num>
  <w:num w:numId="14">
    <w:abstractNumId w:val="2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7"/>
  </w:num>
  <w:num w:numId="21">
    <w:abstractNumId w:val="37"/>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30"/>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8"/>
  </w:num>
  <w:num w:numId="29">
    <w:abstractNumId w:val="29"/>
  </w:num>
  <w:num w:numId="30">
    <w:abstractNumId w:val="29"/>
    <w:lvlOverride w:ilvl="0">
      <w:lvl w:ilvl="0">
        <w:start w:val="1"/>
        <w:numFmt w:val="decimal"/>
        <w:lvlText w:val="A.%1."/>
        <w:lvlJc w:val="left"/>
        <w:pPr>
          <w:ind w:left="360" w:hanging="360"/>
        </w:pPr>
        <w:rPr>
          <w:rFonts w:hint="default"/>
        </w:rPr>
      </w:lvl>
    </w:lvlOverride>
    <w:lvlOverride w:ilvl="1">
      <w:lvl w:ilvl="1">
        <w:start w:val="1"/>
        <w:numFmt w:val="decimal"/>
        <w:lvlText w:val="A.%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29"/>
    <w:lvlOverride w:ilvl="0">
      <w:lvl w:ilvl="0">
        <w:start w:val="1"/>
        <w:numFmt w:val="decimal"/>
        <w:lvlText w:val="A.%1."/>
        <w:lvlJc w:val="left"/>
        <w:pPr>
          <w:ind w:left="360" w:hanging="360"/>
        </w:pPr>
        <w:rPr>
          <w:rFonts w:hint="default"/>
        </w:rPr>
      </w:lvl>
    </w:lvlOverride>
    <w:lvlOverride w:ilvl="1">
      <w:lvl w:ilvl="1">
        <w:start w:val="1"/>
        <w:numFmt w:val="decimal"/>
        <w:lvlText w:val="A.%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29"/>
    <w:lvlOverride w:ilvl="0">
      <w:lvl w:ilvl="0">
        <w:start w:val="1"/>
        <w:numFmt w:val="decimal"/>
        <w:lvlText w:val="A.%1."/>
        <w:lvlJc w:val="left"/>
        <w:pPr>
          <w:ind w:left="360" w:hanging="360"/>
        </w:pPr>
        <w:rPr>
          <w:rFonts w:hint="default"/>
        </w:rPr>
      </w:lvl>
    </w:lvlOverride>
    <w:lvlOverride w:ilvl="1">
      <w:lvl w:ilvl="1">
        <w:start w:val="1"/>
        <w:numFmt w:val="decimal"/>
        <w:lvlText w:val="A.%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36"/>
  </w:num>
  <w:num w:numId="34">
    <w:abstractNumId w:val="10"/>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9"/>
  </w:num>
  <w:num w:numId="46">
    <w:abstractNumId w:val="35"/>
  </w:num>
  <w:num w:numId="47">
    <w:abstractNumId w:val="15"/>
  </w:num>
  <w:num w:numId="48">
    <w:abstractNumId w:val="11"/>
  </w:num>
  <w:num w:numId="49">
    <w:abstractNumId w:val="20"/>
  </w:num>
  <w:num w:numId="5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1"/>
  <w:stylePaneSortMethod w:val="0000"/>
  <w:defaultTabStop w:val="720"/>
  <w:drawingGridHorizontalSpacing w:val="110"/>
  <w:displayHorizontalDrawingGridEvery w:val="2"/>
  <w:characterSpacingControl w:val="doNotCompress"/>
  <w:hdrShapeDefaults>
    <o:shapedefaults v:ext="edit" spidmax="2050"/>
    <o:shapelayout v:ext="edit">
      <o:idmap v:ext="edit" data="2"/>
      <o:rules v:ext="edit">
        <o:r id="V:Rule2" type="connector" idref="#AutoShape 1"/>
      </o:rules>
    </o:shapelayout>
  </w:hdrShapeDefaults>
  <w:footnotePr>
    <w:footnote w:id="-1"/>
    <w:footnote w:id="0"/>
  </w:footnotePr>
  <w:endnotePr>
    <w:endnote w:id="-1"/>
    <w:endnote w:id="0"/>
  </w:endnotePr>
  <w:compat/>
  <w:rsids>
    <w:rsidRoot w:val="00CC6198"/>
    <w:rsid w:val="00001505"/>
    <w:rsid w:val="00001F91"/>
    <w:rsid w:val="00004441"/>
    <w:rsid w:val="00011B71"/>
    <w:rsid w:val="00011C6F"/>
    <w:rsid w:val="00012AA1"/>
    <w:rsid w:val="00013148"/>
    <w:rsid w:val="00013DC8"/>
    <w:rsid w:val="00016D85"/>
    <w:rsid w:val="00021A03"/>
    <w:rsid w:val="00031504"/>
    <w:rsid w:val="00043122"/>
    <w:rsid w:val="00047C2A"/>
    <w:rsid w:val="00050B4E"/>
    <w:rsid w:val="00057909"/>
    <w:rsid w:val="0006172C"/>
    <w:rsid w:val="000618C6"/>
    <w:rsid w:val="00067776"/>
    <w:rsid w:val="00070FE8"/>
    <w:rsid w:val="00072AA7"/>
    <w:rsid w:val="00073F9F"/>
    <w:rsid w:val="00080CC0"/>
    <w:rsid w:val="00085C2A"/>
    <w:rsid w:val="00087874"/>
    <w:rsid w:val="00090E5E"/>
    <w:rsid w:val="0009232A"/>
    <w:rsid w:val="00093FB5"/>
    <w:rsid w:val="000948EF"/>
    <w:rsid w:val="00096137"/>
    <w:rsid w:val="000A4122"/>
    <w:rsid w:val="000A44AD"/>
    <w:rsid w:val="000B6034"/>
    <w:rsid w:val="000B7AA0"/>
    <w:rsid w:val="000C28B3"/>
    <w:rsid w:val="000C5046"/>
    <w:rsid w:val="000D2394"/>
    <w:rsid w:val="000D35E4"/>
    <w:rsid w:val="000E1977"/>
    <w:rsid w:val="000E2080"/>
    <w:rsid w:val="000E3F52"/>
    <w:rsid w:val="000E5638"/>
    <w:rsid w:val="000F1301"/>
    <w:rsid w:val="000F172D"/>
    <w:rsid w:val="000F3495"/>
    <w:rsid w:val="0010236F"/>
    <w:rsid w:val="00106995"/>
    <w:rsid w:val="00107177"/>
    <w:rsid w:val="00111565"/>
    <w:rsid w:val="001176EE"/>
    <w:rsid w:val="00123340"/>
    <w:rsid w:val="00127F22"/>
    <w:rsid w:val="0013426B"/>
    <w:rsid w:val="00135040"/>
    <w:rsid w:val="0013748B"/>
    <w:rsid w:val="00137F86"/>
    <w:rsid w:val="00142ACF"/>
    <w:rsid w:val="00147EF8"/>
    <w:rsid w:val="00152962"/>
    <w:rsid w:val="00153EA1"/>
    <w:rsid w:val="00154D74"/>
    <w:rsid w:val="00162223"/>
    <w:rsid w:val="00163508"/>
    <w:rsid w:val="00171CF0"/>
    <w:rsid w:val="001742C3"/>
    <w:rsid w:val="00174B6C"/>
    <w:rsid w:val="00180EB2"/>
    <w:rsid w:val="001822FA"/>
    <w:rsid w:val="0018366F"/>
    <w:rsid w:val="0018529C"/>
    <w:rsid w:val="00185CE7"/>
    <w:rsid w:val="00192CF8"/>
    <w:rsid w:val="001A3EC8"/>
    <w:rsid w:val="001A71A9"/>
    <w:rsid w:val="001B0ACB"/>
    <w:rsid w:val="001B1ACC"/>
    <w:rsid w:val="001B352B"/>
    <w:rsid w:val="001B44C8"/>
    <w:rsid w:val="001B535D"/>
    <w:rsid w:val="001C0BE2"/>
    <w:rsid w:val="001C1F7B"/>
    <w:rsid w:val="001D02F6"/>
    <w:rsid w:val="001D1BDF"/>
    <w:rsid w:val="001D7242"/>
    <w:rsid w:val="001E2037"/>
    <w:rsid w:val="001E2BE1"/>
    <w:rsid w:val="001E32BB"/>
    <w:rsid w:val="001E35A3"/>
    <w:rsid w:val="001E4F10"/>
    <w:rsid w:val="001E77A8"/>
    <w:rsid w:val="001E7B77"/>
    <w:rsid w:val="00203F6C"/>
    <w:rsid w:val="002041E8"/>
    <w:rsid w:val="00204CD7"/>
    <w:rsid w:val="00205BC5"/>
    <w:rsid w:val="00206BDD"/>
    <w:rsid w:val="002077EA"/>
    <w:rsid w:val="00207C56"/>
    <w:rsid w:val="00212162"/>
    <w:rsid w:val="00213694"/>
    <w:rsid w:val="002158DE"/>
    <w:rsid w:val="002271DB"/>
    <w:rsid w:val="002354B7"/>
    <w:rsid w:val="002354F8"/>
    <w:rsid w:val="002532C5"/>
    <w:rsid w:val="0025721F"/>
    <w:rsid w:val="00270B6D"/>
    <w:rsid w:val="00271C4E"/>
    <w:rsid w:val="00274A82"/>
    <w:rsid w:val="00276D5C"/>
    <w:rsid w:val="002814B5"/>
    <w:rsid w:val="00281D27"/>
    <w:rsid w:val="002851F9"/>
    <w:rsid w:val="00285F35"/>
    <w:rsid w:val="00291D87"/>
    <w:rsid w:val="00292E0C"/>
    <w:rsid w:val="00294CA2"/>
    <w:rsid w:val="002962BB"/>
    <w:rsid w:val="002A0D1E"/>
    <w:rsid w:val="002A4511"/>
    <w:rsid w:val="002A5414"/>
    <w:rsid w:val="002A6B02"/>
    <w:rsid w:val="002B0A14"/>
    <w:rsid w:val="002B0B84"/>
    <w:rsid w:val="002B2110"/>
    <w:rsid w:val="002B542F"/>
    <w:rsid w:val="002B7BC9"/>
    <w:rsid w:val="002C0FB1"/>
    <w:rsid w:val="002C4037"/>
    <w:rsid w:val="002C4794"/>
    <w:rsid w:val="002C5429"/>
    <w:rsid w:val="002C57E5"/>
    <w:rsid w:val="002C637D"/>
    <w:rsid w:val="002D31F2"/>
    <w:rsid w:val="002D3DBF"/>
    <w:rsid w:val="002D64EF"/>
    <w:rsid w:val="002D711F"/>
    <w:rsid w:val="002E7599"/>
    <w:rsid w:val="002F3CDB"/>
    <w:rsid w:val="002F43C4"/>
    <w:rsid w:val="0030278A"/>
    <w:rsid w:val="003027C2"/>
    <w:rsid w:val="00305437"/>
    <w:rsid w:val="003076DE"/>
    <w:rsid w:val="00312073"/>
    <w:rsid w:val="00313779"/>
    <w:rsid w:val="00313B12"/>
    <w:rsid w:val="003210FA"/>
    <w:rsid w:val="00324371"/>
    <w:rsid w:val="003277EF"/>
    <w:rsid w:val="00330954"/>
    <w:rsid w:val="0033220F"/>
    <w:rsid w:val="00340328"/>
    <w:rsid w:val="003405CC"/>
    <w:rsid w:val="003417FD"/>
    <w:rsid w:val="003449EC"/>
    <w:rsid w:val="00345F51"/>
    <w:rsid w:val="00353D80"/>
    <w:rsid w:val="00355C54"/>
    <w:rsid w:val="00365361"/>
    <w:rsid w:val="00365AB4"/>
    <w:rsid w:val="0036608B"/>
    <w:rsid w:val="00367157"/>
    <w:rsid w:val="0037519E"/>
    <w:rsid w:val="00377F8B"/>
    <w:rsid w:val="00385706"/>
    <w:rsid w:val="0038755F"/>
    <w:rsid w:val="00393B5B"/>
    <w:rsid w:val="00394861"/>
    <w:rsid w:val="00396F65"/>
    <w:rsid w:val="00397B27"/>
    <w:rsid w:val="003A0F85"/>
    <w:rsid w:val="003A38BD"/>
    <w:rsid w:val="003B674F"/>
    <w:rsid w:val="003B7761"/>
    <w:rsid w:val="003C52DB"/>
    <w:rsid w:val="003D5517"/>
    <w:rsid w:val="003D68A0"/>
    <w:rsid w:val="003D707E"/>
    <w:rsid w:val="003E313C"/>
    <w:rsid w:val="003E4158"/>
    <w:rsid w:val="003E4388"/>
    <w:rsid w:val="003E47F5"/>
    <w:rsid w:val="003E6691"/>
    <w:rsid w:val="003F02C2"/>
    <w:rsid w:val="003F6672"/>
    <w:rsid w:val="003F7303"/>
    <w:rsid w:val="00403B46"/>
    <w:rsid w:val="00403FBB"/>
    <w:rsid w:val="00410177"/>
    <w:rsid w:val="00423629"/>
    <w:rsid w:val="00431BD7"/>
    <w:rsid w:val="004406A0"/>
    <w:rsid w:val="00442BCC"/>
    <w:rsid w:val="00460C2A"/>
    <w:rsid w:val="004618D6"/>
    <w:rsid w:val="00462305"/>
    <w:rsid w:val="0046277A"/>
    <w:rsid w:val="00463EC3"/>
    <w:rsid w:val="00465437"/>
    <w:rsid w:val="004820CE"/>
    <w:rsid w:val="0048569E"/>
    <w:rsid w:val="004950CA"/>
    <w:rsid w:val="004A3436"/>
    <w:rsid w:val="004B0A2D"/>
    <w:rsid w:val="004C2514"/>
    <w:rsid w:val="004D0DDB"/>
    <w:rsid w:val="004D17B7"/>
    <w:rsid w:val="004D6224"/>
    <w:rsid w:val="004E06FB"/>
    <w:rsid w:val="004E0E1B"/>
    <w:rsid w:val="004E2B0B"/>
    <w:rsid w:val="004E5D3E"/>
    <w:rsid w:val="004E6EE3"/>
    <w:rsid w:val="004F17D3"/>
    <w:rsid w:val="004F1C49"/>
    <w:rsid w:val="004F2218"/>
    <w:rsid w:val="004F57FA"/>
    <w:rsid w:val="00500ACE"/>
    <w:rsid w:val="00504474"/>
    <w:rsid w:val="00510B72"/>
    <w:rsid w:val="0051725B"/>
    <w:rsid w:val="00521E94"/>
    <w:rsid w:val="00523B15"/>
    <w:rsid w:val="00523D33"/>
    <w:rsid w:val="005313ED"/>
    <w:rsid w:val="005327F0"/>
    <w:rsid w:val="00533ECF"/>
    <w:rsid w:val="00534558"/>
    <w:rsid w:val="0053680A"/>
    <w:rsid w:val="0054082D"/>
    <w:rsid w:val="00541227"/>
    <w:rsid w:val="005473D6"/>
    <w:rsid w:val="005514A5"/>
    <w:rsid w:val="00563A77"/>
    <w:rsid w:val="00565A04"/>
    <w:rsid w:val="005671ED"/>
    <w:rsid w:val="00577604"/>
    <w:rsid w:val="00577956"/>
    <w:rsid w:val="005800E4"/>
    <w:rsid w:val="00583B56"/>
    <w:rsid w:val="0058484B"/>
    <w:rsid w:val="0058700B"/>
    <w:rsid w:val="0059288A"/>
    <w:rsid w:val="005A3BC1"/>
    <w:rsid w:val="005A5567"/>
    <w:rsid w:val="005B217E"/>
    <w:rsid w:val="005C16E3"/>
    <w:rsid w:val="005C2DAF"/>
    <w:rsid w:val="005C4F92"/>
    <w:rsid w:val="005D003F"/>
    <w:rsid w:val="005D1E05"/>
    <w:rsid w:val="005D7783"/>
    <w:rsid w:val="005E4F7C"/>
    <w:rsid w:val="005E589B"/>
    <w:rsid w:val="005E7FB0"/>
    <w:rsid w:val="005F1572"/>
    <w:rsid w:val="005F29ED"/>
    <w:rsid w:val="005F61DF"/>
    <w:rsid w:val="005F6A89"/>
    <w:rsid w:val="005F6C4E"/>
    <w:rsid w:val="005F7DA6"/>
    <w:rsid w:val="00600C1E"/>
    <w:rsid w:val="006011C2"/>
    <w:rsid w:val="00601AA1"/>
    <w:rsid w:val="00602634"/>
    <w:rsid w:val="006053FF"/>
    <w:rsid w:val="00606351"/>
    <w:rsid w:val="00606BC0"/>
    <w:rsid w:val="00606E2F"/>
    <w:rsid w:val="00613293"/>
    <w:rsid w:val="00614407"/>
    <w:rsid w:val="0062194F"/>
    <w:rsid w:val="006221C8"/>
    <w:rsid w:val="00626E5A"/>
    <w:rsid w:val="006331D6"/>
    <w:rsid w:val="00633DD2"/>
    <w:rsid w:val="0063534A"/>
    <w:rsid w:val="00642CC1"/>
    <w:rsid w:val="00643798"/>
    <w:rsid w:val="00643FBC"/>
    <w:rsid w:val="006455A7"/>
    <w:rsid w:val="006471E3"/>
    <w:rsid w:val="006558B0"/>
    <w:rsid w:val="00655B6A"/>
    <w:rsid w:val="00661870"/>
    <w:rsid w:val="006654E0"/>
    <w:rsid w:val="006717E3"/>
    <w:rsid w:val="006730D7"/>
    <w:rsid w:val="00686ED3"/>
    <w:rsid w:val="0069461A"/>
    <w:rsid w:val="006947D9"/>
    <w:rsid w:val="006953FF"/>
    <w:rsid w:val="00696299"/>
    <w:rsid w:val="0069738A"/>
    <w:rsid w:val="006A0EC1"/>
    <w:rsid w:val="006A0FC8"/>
    <w:rsid w:val="006A13E7"/>
    <w:rsid w:val="006A3149"/>
    <w:rsid w:val="006C44CA"/>
    <w:rsid w:val="006D1B3D"/>
    <w:rsid w:val="006D4345"/>
    <w:rsid w:val="006D63AC"/>
    <w:rsid w:val="006E3536"/>
    <w:rsid w:val="006E3D23"/>
    <w:rsid w:val="006E48FF"/>
    <w:rsid w:val="006F0A47"/>
    <w:rsid w:val="006F530F"/>
    <w:rsid w:val="006F7385"/>
    <w:rsid w:val="00700395"/>
    <w:rsid w:val="0071105E"/>
    <w:rsid w:val="00711FFD"/>
    <w:rsid w:val="00721E89"/>
    <w:rsid w:val="007231E9"/>
    <w:rsid w:val="007262FF"/>
    <w:rsid w:val="0073217A"/>
    <w:rsid w:val="007336EB"/>
    <w:rsid w:val="007358B2"/>
    <w:rsid w:val="007377D8"/>
    <w:rsid w:val="00737E8B"/>
    <w:rsid w:val="00741986"/>
    <w:rsid w:val="00742B68"/>
    <w:rsid w:val="00751BAD"/>
    <w:rsid w:val="00752687"/>
    <w:rsid w:val="00753E6B"/>
    <w:rsid w:val="00757FE6"/>
    <w:rsid w:val="007606E1"/>
    <w:rsid w:val="00762650"/>
    <w:rsid w:val="007715BA"/>
    <w:rsid w:val="00771DC9"/>
    <w:rsid w:val="007820DA"/>
    <w:rsid w:val="0078384D"/>
    <w:rsid w:val="007844CB"/>
    <w:rsid w:val="0078473E"/>
    <w:rsid w:val="0078538C"/>
    <w:rsid w:val="00785FFB"/>
    <w:rsid w:val="00791CB3"/>
    <w:rsid w:val="007A3A03"/>
    <w:rsid w:val="007A3B50"/>
    <w:rsid w:val="007A4C5D"/>
    <w:rsid w:val="007B01C3"/>
    <w:rsid w:val="007B08B9"/>
    <w:rsid w:val="007B1892"/>
    <w:rsid w:val="007B391E"/>
    <w:rsid w:val="007C29F6"/>
    <w:rsid w:val="007C6960"/>
    <w:rsid w:val="007C6B73"/>
    <w:rsid w:val="007C6E7C"/>
    <w:rsid w:val="007D340F"/>
    <w:rsid w:val="007D5740"/>
    <w:rsid w:val="007E2964"/>
    <w:rsid w:val="007F047A"/>
    <w:rsid w:val="007F078B"/>
    <w:rsid w:val="007F1D30"/>
    <w:rsid w:val="007F568C"/>
    <w:rsid w:val="00804B01"/>
    <w:rsid w:val="008079CB"/>
    <w:rsid w:val="00812D88"/>
    <w:rsid w:val="00816D6F"/>
    <w:rsid w:val="00824815"/>
    <w:rsid w:val="008317AF"/>
    <w:rsid w:val="00832B87"/>
    <w:rsid w:val="008426E5"/>
    <w:rsid w:val="0084459B"/>
    <w:rsid w:val="0084569F"/>
    <w:rsid w:val="00850D16"/>
    <w:rsid w:val="008526DC"/>
    <w:rsid w:val="00852826"/>
    <w:rsid w:val="0085388D"/>
    <w:rsid w:val="00865EF0"/>
    <w:rsid w:val="008674C9"/>
    <w:rsid w:val="00872170"/>
    <w:rsid w:val="008753C7"/>
    <w:rsid w:val="0087559E"/>
    <w:rsid w:val="00880DED"/>
    <w:rsid w:val="00881CE6"/>
    <w:rsid w:val="00884FD5"/>
    <w:rsid w:val="00890BCC"/>
    <w:rsid w:val="008A2E67"/>
    <w:rsid w:val="008B263E"/>
    <w:rsid w:val="008B7D4E"/>
    <w:rsid w:val="008C166D"/>
    <w:rsid w:val="008C357F"/>
    <w:rsid w:val="008C3A15"/>
    <w:rsid w:val="008C3BCC"/>
    <w:rsid w:val="008C74CB"/>
    <w:rsid w:val="008E1BAC"/>
    <w:rsid w:val="008E2055"/>
    <w:rsid w:val="008E51B3"/>
    <w:rsid w:val="008E6E4B"/>
    <w:rsid w:val="008F1254"/>
    <w:rsid w:val="008F5706"/>
    <w:rsid w:val="008F66EB"/>
    <w:rsid w:val="009063B1"/>
    <w:rsid w:val="0091023F"/>
    <w:rsid w:val="00910E7D"/>
    <w:rsid w:val="00911654"/>
    <w:rsid w:val="00914E05"/>
    <w:rsid w:val="00927961"/>
    <w:rsid w:val="00931E96"/>
    <w:rsid w:val="009331D8"/>
    <w:rsid w:val="009350A7"/>
    <w:rsid w:val="0093730D"/>
    <w:rsid w:val="00940256"/>
    <w:rsid w:val="00941C36"/>
    <w:rsid w:val="00944084"/>
    <w:rsid w:val="0094682C"/>
    <w:rsid w:val="00954EFE"/>
    <w:rsid w:val="0095742B"/>
    <w:rsid w:val="00960728"/>
    <w:rsid w:val="00972745"/>
    <w:rsid w:val="00980FA7"/>
    <w:rsid w:val="009816ED"/>
    <w:rsid w:val="00986038"/>
    <w:rsid w:val="00986AD5"/>
    <w:rsid w:val="00986DD2"/>
    <w:rsid w:val="0099126F"/>
    <w:rsid w:val="009957A1"/>
    <w:rsid w:val="009A3200"/>
    <w:rsid w:val="009A44FE"/>
    <w:rsid w:val="009A46A1"/>
    <w:rsid w:val="009A533B"/>
    <w:rsid w:val="009B1513"/>
    <w:rsid w:val="009B54D5"/>
    <w:rsid w:val="009C0139"/>
    <w:rsid w:val="009C0E73"/>
    <w:rsid w:val="009E3F2C"/>
    <w:rsid w:val="009E722D"/>
    <w:rsid w:val="009F08AE"/>
    <w:rsid w:val="009F113C"/>
    <w:rsid w:val="009F53D9"/>
    <w:rsid w:val="009F5A8C"/>
    <w:rsid w:val="00A009D2"/>
    <w:rsid w:val="00A03A34"/>
    <w:rsid w:val="00A06462"/>
    <w:rsid w:val="00A106FD"/>
    <w:rsid w:val="00A11B15"/>
    <w:rsid w:val="00A13D49"/>
    <w:rsid w:val="00A148D5"/>
    <w:rsid w:val="00A22F5F"/>
    <w:rsid w:val="00A23ECD"/>
    <w:rsid w:val="00A32865"/>
    <w:rsid w:val="00A34C81"/>
    <w:rsid w:val="00A36EA8"/>
    <w:rsid w:val="00A41743"/>
    <w:rsid w:val="00A42816"/>
    <w:rsid w:val="00A44117"/>
    <w:rsid w:val="00A473C9"/>
    <w:rsid w:val="00A4776C"/>
    <w:rsid w:val="00A47B7E"/>
    <w:rsid w:val="00A52F5D"/>
    <w:rsid w:val="00A54BB9"/>
    <w:rsid w:val="00A57221"/>
    <w:rsid w:val="00A654EA"/>
    <w:rsid w:val="00A6555F"/>
    <w:rsid w:val="00A666B8"/>
    <w:rsid w:val="00A667B0"/>
    <w:rsid w:val="00A7205A"/>
    <w:rsid w:val="00A75B17"/>
    <w:rsid w:val="00A77785"/>
    <w:rsid w:val="00A82A8D"/>
    <w:rsid w:val="00A84FA8"/>
    <w:rsid w:val="00A93AE9"/>
    <w:rsid w:val="00A96C3D"/>
    <w:rsid w:val="00AA06D6"/>
    <w:rsid w:val="00AB0801"/>
    <w:rsid w:val="00AB2387"/>
    <w:rsid w:val="00AB350F"/>
    <w:rsid w:val="00AB35F4"/>
    <w:rsid w:val="00AB59C0"/>
    <w:rsid w:val="00AC06B5"/>
    <w:rsid w:val="00AC3023"/>
    <w:rsid w:val="00AC3D8D"/>
    <w:rsid w:val="00AE1672"/>
    <w:rsid w:val="00AE636A"/>
    <w:rsid w:val="00AF1FDC"/>
    <w:rsid w:val="00B05568"/>
    <w:rsid w:val="00B07F18"/>
    <w:rsid w:val="00B103D0"/>
    <w:rsid w:val="00B11733"/>
    <w:rsid w:val="00B15738"/>
    <w:rsid w:val="00B20EB1"/>
    <w:rsid w:val="00B23A7B"/>
    <w:rsid w:val="00B260E3"/>
    <w:rsid w:val="00B2702E"/>
    <w:rsid w:val="00B304F1"/>
    <w:rsid w:val="00B32D71"/>
    <w:rsid w:val="00B45EF4"/>
    <w:rsid w:val="00B50663"/>
    <w:rsid w:val="00B53571"/>
    <w:rsid w:val="00B5367F"/>
    <w:rsid w:val="00B54077"/>
    <w:rsid w:val="00B75A9B"/>
    <w:rsid w:val="00B82AF9"/>
    <w:rsid w:val="00B92759"/>
    <w:rsid w:val="00B94069"/>
    <w:rsid w:val="00B97C60"/>
    <w:rsid w:val="00BA0484"/>
    <w:rsid w:val="00BA323B"/>
    <w:rsid w:val="00BA3459"/>
    <w:rsid w:val="00BA5695"/>
    <w:rsid w:val="00BA755A"/>
    <w:rsid w:val="00BB1D0D"/>
    <w:rsid w:val="00BB2CE2"/>
    <w:rsid w:val="00BB4018"/>
    <w:rsid w:val="00BC02C6"/>
    <w:rsid w:val="00BC7E9F"/>
    <w:rsid w:val="00BD397A"/>
    <w:rsid w:val="00BD6133"/>
    <w:rsid w:val="00BD6DA7"/>
    <w:rsid w:val="00BD6DEC"/>
    <w:rsid w:val="00BE1197"/>
    <w:rsid w:val="00BE3375"/>
    <w:rsid w:val="00BE4900"/>
    <w:rsid w:val="00BE556D"/>
    <w:rsid w:val="00BF12A1"/>
    <w:rsid w:val="00BF3BA2"/>
    <w:rsid w:val="00C0232C"/>
    <w:rsid w:val="00C053C2"/>
    <w:rsid w:val="00C061DE"/>
    <w:rsid w:val="00C1013F"/>
    <w:rsid w:val="00C1168D"/>
    <w:rsid w:val="00C1504F"/>
    <w:rsid w:val="00C33F08"/>
    <w:rsid w:val="00C36F09"/>
    <w:rsid w:val="00C41380"/>
    <w:rsid w:val="00C510C6"/>
    <w:rsid w:val="00C56AC5"/>
    <w:rsid w:val="00C602CD"/>
    <w:rsid w:val="00C632F4"/>
    <w:rsid w:val="00C67485"/>
    <w:rsid w:val="00C67FF0"/>
    <w:rsid w:val="00C7407E"/>
    <w:rsid w:val="00C801DF"/>
    <w:rsid w:val="00C82324"/>
    <w:rsid w:val="00C92EB8"/>
    <w:rsid w:val="00CA0CF9"/>
    <w:rsid w:val="00CA0D6E"/>
    <w:rsid w:val="00CA1BF4"/>
    <w:rsid w:val="00CA2D85"/>
    <w:rsid w:val="00CA3391"/>
    <w:rsid w:val="00CA6D1C"/>
    <w:rsid w:val="00CB16C8"/>
    <w:rsid w:val="00CB21A0"/>
    <w:rsid w:val="00CB4B4A"/>
    <w:rsid w:val="00CB5648"/>
    <w:rsid w:val="00CB5A23"/>
    <w:rsid w:val="00CC0A60"/>
    <w:rsid w:val="00CC6198"/>
    <w:rsid w:val="00CC7F69"/>
    <w:rsid w:val="00CD7AB5"/>
    <w:rsid w:val="00CE25D2"/>
    <w:rsid w:val="00CE2A8B"/>
    <w:rsid w:val="00CE37F9"/>
    <w:rsid w:val="00CE702E"/>
    <w:rsid w:val="00CF088A"/>
    <w:rsid w:val="00CF1287"/>
    <w:rsid w:val="00CF4D1F"/>
    <w:rsid w:val="00CF63BA"/>
    <w:rsid w:val="00CF732B"/>
    <w:rsid w:val="00CF7B44"/>
    <w:rsid w:val="00D01DD2"/>
    <w:rsid w:val="00D04113"/>
    <w:rsid w:val="00D111B5"/>
    <w:rsid w:val="00D22B96"/>
    <w:rsid w:val="00D25664"/>
    <w:rsid w:val="00D25FE2"/>
    <w:rsid w:val="00D27623"/>
    <w:rsid w:val="00D27E7F"/>
    <w:rsid w:val="00D31E19"/>
    <w:rsid w:val="00D3222B"/>
    <w:rsid w:val="00D34B23"/>
    <w:rsid w:val="00D34C82"/>
    <w:rsid w:val="00D41579"/>
    <w:rsid w:val="00D43099"/>
    <w:rsid w:val="00D44089"/>
    <w:rsid w:val="00D46FBD"/>
    <w:rsid w:val="00D50B2F"/>
    <w:rsid w:val="00D51155"/>
    <w:rsid w:val="00D5255C"/>
    <w:rsid w:val="00D56C2A"/>
    <w:rsid w:val="00D6030A"/>
    <w:rsid w:val="00D62910"/>
    <w:rsid w:val="00D6791E"/>
    <w:rsid w:val="00D71B70"/>
    <w:rsid w:val="00D7681D"/>
    <w:rsid w:val="00D81B03"/>
    <w:rsid w:val="00D87226"/>
    <w:rsid w:val="00D873A4"/>
    <w:rsid w:val="00D9366E"/>
    <w:rsid w:val="00D939CF"/>
    <w:rsid w:val="00D94016"/>
    <w:rsid w:val="00DA2E94"/>
    <w:rsid w:val="00DA449B"/>
    <w:rsid w:val="00DB35F9"/>
    <w:rsid w:val="00DB5C3A"/>
    <w:rsid w:val="00DB669C"/>
    <w:rsid w:val="00DB6AB2"/>
    <w:rsid w:val="00DB76A3"/>
    <w:rsid w:val="00DC0EF5"/>
    <w:rsid w:val="00DC2BC2"/>
    <w:rsid w:val="00DD68BA"/>
    <w:rsid w:val="00DD6C96"/>
    <w:rsid w:val="00DD78FC"/>
    <w:rsid w:val="00DE0211"/>
    <w:rsid w:val="00DF0F7C"/>
    <w:rsid w:val="00DF1A08"/>
    <w:rsid w:val="00DF1D40"/>
    <w:rsid w:val="00DF23B5"/>
    <w:rsid w:val="00E027F1"/>
    <w:rsid w:val="00E05B2F"/>
    <w:rsid w:val="00E06D04"/>
    <w:rsid w:val="00E132D8"/>
    <w:rsid w:val="00E13981"/>
    <w:rsid w:val="00E14D8B"/>
    <w:rsid w:val="00E20FAD"/>
    <w:rsid w:val="00E2100D"/>
    <w:rsid w:val="00E335FC"/>
    <w:rsid w:val="00E33C2E"/>
    <w:rsid w:val="00E37367"/>
    <w:rsid w:val="00E37F35"/>
    <w:rsid w:val="00E53CC0"/>
    <w:rsid w:val="00E60377"/>
    <w:rsid w:val="00E61AB1"/>
    <w:rsid w:val="00E61BD9"/>
    <w:rsid w:val="00E64C04"/>
    <w:rsid w:val="00E7082E"/>
    <w:rsid w:val="00E71754"/>
    <w:rsid w:val="00E76EF0"/>
    <w:rsid w:val="00E9273B"/>
    <w:rsid w:val="00E95D69"/>
    <w:rsid w:val="00EA131E"/>
    <w:rsid w:val="00EA1D29"/>
    <w:rsid w:val="00EA30B8"/>
    <w:rsid w:val="00EB1665"/>
    <w:rsid w:val="00EB2941"/>
    <w:rsid w:val="00EB39A0"/>
    <w:rsid w:val="00EB4248"/>
    <w:rsid w:val="00EC3A51"/>
    <w:rsid w:val="00EC49A4"/>
    <w:rsid w:val="00EE5649"/>
    <w:rsid w:val="00EE73C3"/>
    <w:rsid w:val="00EF00D6"/>
    <w:rsid w:val="00EF0181"/>
    <w:rsid w:val="00EF12DF"/>
    <w:rsid w:val="00F020CC"/>
    <w:rsid w:val="00F06B9B"/>
    <w:rsid w:val="00F1104E"/>
    <w:rsid w:val="00F128DD"/>
    <w:rsid w:val="00F155D1"/>
    <w:rsid w:val="00F179F1"/>
    <w:rsid w:val="00F20844"/>
    <w:rsid w:val="00F25692"/>
    <w:rsid w:val="00F25968"/>
    <w:rsid w:val="00F25FF9"/>
    <w:rsid w:val="00F2701F"/>
    <w:rsid w:val="00F27557"/>
    <w:rsid w:val="00F31205"/>
    <w:rsid w:val="00F40ECD"/>
    <w:rsid w:val="00F44AA5"/>
    <w:rsid w:val="00F46241"/>
    <w:rsid w:val="00F462FD"/>
    <w:rsid w:val="00F50A5A"/>
    <w:rsid w:val="00F6795F"/>
    <w:rsid w:val="00F72F6F"/>
    <w:rsid w:val="00F735EC"/>
    <w:rsid w:val="00F87D33"/>
    <w:rsid w:val="00F87F92"/>
    <w:rsid w:val="00F91A0B"/>
    <w:rsid w:val="00F926F0"/>
    <w:rsid w:val="00F92E49"/>
    <w:rsid w:val="00F95E0D"/>
    <w:rsid w:val="00F97DD4"/>
    <w:rsid w:val="00FA17CC"/>
    <w:rsid w:val="00FA1E2A"/>
    <w:rsid w:val="00FA3B2F"/>
    <w:rsid w:val="00FA5F5E"/>
    <w:rsid w:val="00FA60B9"/>
    <w:rsid w:val="00FC0F66"/>
    <w:rsid w:val="00FC7BF9"/>
    <w:rsid w:val="00FD2105"/>
    <w:rsid w:val="00FE0F48"/>
    <w:rsid w:val="00FE1D3E"/>
    <w:rsid w:val="00FE2D37"/>
    <w:rsid w:val="00FE68FF"/>
    <w:rsid w:val="00FF0364"/>
    <w:rsid w:val="00FF0617"/>
    <w:rsid w:val="00FF24B8"/>
    <w:rsid w:val="00FF4476"/>
    <w:rsid w:val="00FF51A5"/>
    <w:rsid w:val="00FF63E4"/>
    <w:rsid w:val="00FF6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56"/>
        <o:r id="V:Rule4"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21"/>
    <w:rPr>
      <w:rFonts w:ascii="Calibri" w:eastAsia="Calibri" w:hAnsi="Calibri" w:cs="Times New Roman"/>
    </w:rPr>
  </w:style>
  <w:style w:type="paragraph" w:styleId="Heading1">
    <w:name w:val="heading 1"/>
    <w:next w:val="BodyParagraph"/>
    <w:link w:val="Heading1Char"/>
    <w:qFormat/>
    <w:rsid w:val="003D68A0"/>
    <w:pPr>
      <w:keepNext/>
      <w:numPr>
        <w:numId w:val="28"/>
      </w:numPr>
      <w:spacing w:after="120" w:line="240" w:lineRule="auto"/>
      <w:outlineLvl w:val="0"/>
    </w:pPr>
    <w:rPr>
      <w:rFonts w:ascii="Arial Bold" w:eastAsia="Times New Roman" w:hAnsi="Arial Bold" w:cs="Times New Roman"/>
      <w:b/>
      <w:color w:val="433B67"/>
      <w:sz w:val="28"/>
      <w:szCs w:val="28"/>
    </w:rPr>
  </w:style>
  <w:style w:type="paragraph" w:styleId="Heading2">
    <w:name w:val="heading 2"/>
    <w:basedOn w:val="Heading1"/>
    <w:next w:val="BodyParagraph"/>
    <w:link w:val="Heading2Char"/>
    <w:uiPriority w:val="9"/>
    <w:unhideWhenUsed/>
    <w:qFormat/>
    <w:rsid w:val="007C29F6"/>
    <w:pPr>
      <w:numPr>
        <w:ilvl w:val="1"/>
      </w:numPr>
      <w:ind w:left="540" w:hanging="540"/>
      <w:outlineLvl w:val="1"/>
    </w:pPr>
    <w:rPr>
      <w:rFonts w:eastAsiaTheme="majorEastAsia" w:cstheme="majorBidi"/>
      <w:b w:val="0"/>
      <w:bCs/>
      <w:color w:val="5F497A" w:themeColor="accent4" w:themeShade="BF"/>
      <w:sz w:val="26"/>
      <w:szCs w:val="26"/>
    </w:rPr>
  </w:style>
  <w:style w:type="paragraph" w:styleId="Heading3">
    <w:name w:val="heading 3"/>
    <w:basedOn w:val="Heading2"/>
    <w:next w:val="BodyParagraph"/>
    <w:link w:val="Heading3Char"/>
    <w:uiPriority w:val="9"/>
    <w:unhideWhenUsed/>
    <w:qFormat/>
    <w:rsid w:val="007C29F6"/>
    <w:pPr>
      <w:keepLines/>
      <w:numPr>
        <w:ilvl w:val="2"/>
      </w:numPr>
      <w:ind w:left="1080"/>
      <w:outlineLvl w:val="2"/>
    </w:pPr>
    <w:rPr>
      <w:rFonts w:ascii="Arial" w:hAnsi="Arial"/>
      <w:b/>
      <w:bCs w:val="0"/>
    </w:rPr>
  </w:style>
  <w:style w:type="paragraph" w:styleId="Heading4">
    <w:name w:val="heading 4"/>
    <w:basedOn w:val="Normal"/>
    <w:next w:val="BodyParagraph"/>
    <w:link w:val="Heading4Char"/>
    <w:uiPriority w:val="9"/>
    <w:unhideWhenUsed/>
    <w:qFormat/>
    <w:rsid w:val="00192CF8"/>
    <w:pPr>
      <w:keepNext/>
      <w:keepLines/>
      <w:spacing w:before="200" w:after="0"/>
      <w:ind w:left="360"/>
      <w:outlineLvl w:val="3"/>
    </w:pPr>
    <w:rPr>
      <w:rFonts w:ascii="Arial" w:eastAsiaTheme="majorEastAsia" w:hAnsi="Arial" w:cs="Arial"/>
      <w:b/>
      <w:bCs/>
      <w:i/>
      <w:iCs/>
      <w:color w:val="5F497A" w:themeColor="accent4" w:themeShade="BF"/>
      <w:sz w:val="24"/>
    </w:rPr>
  </w:style>
  <w:style w:type="paragraph" w:styleId="Heading5">
    <w:name w:val="heading 5"/>
    <w:basedOn w:val="Normal"/>
    <w:next w:val="Normal"/>
    <w:link w:val="Heading5Char"/>
    <w:uiPriority w:val="9"/>
    <w:semiHidden/>
    <w:unhideWhenUsed/>
    <w:qFormat/>
    <w:rsid w:val="0046277A"/>
    <w:pPr>
      <w:keepNext/>
      <w:keepLines/>
      <w:numPr>
        <w:ilvl w:val="4"/>
        <w:numId w:val="2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6277A"/>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6277A"/>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6277A"/>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6277A"/>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6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B02"/>
    <w:rPr>
      <w:rFonts w:ascii="Tahoma" w:hAnsi="Tahoma" w:cs="Tahoma"/>
      <w:sz w:val="16"/>
      <w:szCs w:val="16"/>
    </w:rPr>
  </w:style>
  <w:style w:type="paragraph" w:customStyle="1" w:styleId="TitleHeader">
    <w:name w:val="Title Header"/>
    <w:qFormat/>
    <w:rsid w:val="002A6B02"/>
    <w:pPr>
      <w:spacing w:after="120" w:line="240" w:lineRule="auto"/>
    </w:pPr>
    <w:rPr>
      <w:rFonts w:ascii="Arial" w:eastAsia="Times New Roman" w:hAnsi="Arial" w:cs="Arial"/>
      <w:b/>
      <w:i/>
      <w:color w:val="FFFFFF"/>
      <w:sz w:val="24"/>
      <w:szCs w:val="24"/>
    </w:rPr>
  </w:style>
  <w:style w:type="paragraph" w:customStyle="1" w:styleId="TitleProposal">
    <w:name w:val="Title Proposal"/>
    <w:qFormat/>
    <w:rsid w:val="00305437"/>
    <w:pPr>
      <w:spacing w:after="400" w:line="240" w:lineRule="auto"/>
    </w:pPr>
    <w:rPr>
      <w:rFonts w:ascii="Arial" w:eastAsia="Times New Roman" w:hAnsi="Arial" w:cs="Arial"/>
      <w:b/>
      <w:color w:val="FFFFFF"/>
      <w:sz w:val="28"/>
      <w:szCs w:val="28"/>
    </w:rPr>
  </w:style>
  <w:style w:type="paragraph" w:customStyle="1" w:styleId="TitleAddress">
    <w:name w:val="Title Address"/>
    <w:qFormat/>
    <w:rsid w:val="00305437"/>
    <w:pPr>
      <w:tabs>
        <w:tab w:val="left" w:pos="3960"/>
      </w:tabs>
      <w:spacing w:after="400" w:line="240" w:lineRule="auto"/>
    </w:pPr>
    <w:rPr>
      <w:rFonts w:ascii="Arial" w:eastAsia="Times New Roman" w:hAnsi="Arial" w:cs="Arial"/>
      <w:b/>
      <w:color w:val="FFFFFF"/>
    </w:rPr>
  </w:style>
  <w:style w:type="paragraph" w:styleId="Footer">
    <w:name w:val="footer"/>
    <w:basedOn w:val="Normal"/>
    <w:link w:val="FooterChar"/>
    <w:uiPriority w:val="99"/>
    <w:rsid w:val="002A6B02"/>
    <w:pPr>
      <w:tabs>
        <w:tab w:val="center" w:pos="4320"/>
        <w:tab w:val="right" w:pos="8640"/>
      </w:tabs>
      <w:spacing w:after="0" w:line="240" w:lineRule="auto"/>
    </w:pPr>
    <w:rPr>
      <w:rFonts w:ascii="Arial" w:eastAsia="Times New Roman" w:hAnsi="Arial"/>
      <w:szCs w:val="24"/>
    </w:rPr>
  </w:style>
  <w:style w:type="character" w:customStyle="1" w:styleId="FooterChar">
    <w:name w:val="Footer Char"/>
    <w:basedOn w:val="DefaultParagraphFont"/>
    <w:link w:val="Footer"/>
    <w:uiPriority w:val="99"/>
    <w:rsid w:val="002A6B02"/>
    <w:rPr>
      <w:rFonts w:ascii="Arial" w:eastAsia="Times New Roman" w:hAnsi="Arial" w:cs="Times New Roman"/>
      <w:szCs w:val="24"/>
    </w:rPr>
  </w:style>
  <w:style w:type="character" w:styleId="PageNumber">
    <w:name w:val="page number"/>
    <w:basedOn w:val="DefaultParagraphFont"/>
    <w:rsid w:val="002A6B02"/>
  </w:style>
  <w:style w:type="paragraph" w:styleId="Header">
    <w:name w:val="header"/>
    <w:basedOn w:val="Normal"/>
    <w:link w:val="HeaderChar"/>
    <w:rsid w:val="002A6B02"/>
    <w:pPr>
      <w:tabs>
        <w:tab w:val="center" w:pos="4320"/>
        <w:tab w:val="right" w:pos="8640"/>
      </w:tabs>
      <w:spacing w:after="0" w:line="240" w:lineRule="auto"/>
    </w:pPr>
    <w:rPr>
      <w:rFonts w:ascii="Arial" w:eastAsia="Times New Roman" w:hAnsi="Arial"/>
      <w:szCs w:val="24"/>
    </w:rPr>
  </w:style>
  <w:style w:type="character" w:customStyle="1" w:styleId="HeaderChar">
    <w:name w:val="Header Char"/>
    <w:basedOn w:val="DefaultParagraphFont"/>
    <w:link w:val="Header"/>
    <w:rsid w:val="002A6B02"/>
    <w:rPr>
      <w:rFonts w:ascii="Arial" w:eastAsia="Times New Roman" w:hAnsi="Arial" w:cs="Times New Roman"/>
      <w:szCs w:val="24"/>
    </w:rPr>
  </w:style>
  <w:style w:type="paragraph" w:customStyle="1" w:styleId="PreparedFor">
    <w:name w:val="Prepared For"/>
    <w:rsid w:val="00305437"/>
    <w:pPr>
      <w:spacing w:before="400" w:after="120" w:line="240" w:lineRule="auto"/>
      <w:jc w:val="right"/>
    </w:pPr>
    <w:rPr>
      <w:rFonts w:ascii="Arial" w:eastAsia="Times New Roman" w:hAnsi="Arial" w:cs="Times New Roman"/>
      <w:i/>
      <w:szCs w:val="20"/>
    </w:rPr>
  </w:style>
  <w:style w:type="paragraph" w:customStyle="1" w:styleId="PreparedForCompany">
    <w:name w:val="Prepared For Company"/>
    <w:basedOn w:val="Normal"/>
    <w:qFormat/>
    <w:rsid w:val="00305437"/>
    <w:pPr>
      <w:spacing w:after="0" w:line="240" w:lineRule="auto"/>
      <w:jc w:val="right"/>
    </w:pPr>
    <w:rPr>
      <w:rFonts w:ascii="Arial" w:eastAsia="Times New Roman" w:hAnsi="Arial"/>
      <w:szCs w:val="24"/>
    </w:rPr>
  </w:style>
  <w:style w:type="character" w:customStyle="1" w:styleId="Heading1Char">
    <w:name w:val="Heading 1 Char"/>
    <w:basedOn w:val="DefaultParagraphFont"/>
    <w:link w:val="Heading1"/>
    <w:rsid w:val="003D68A0"/>
    <w:rPr>
      <w:rFonts w:ascii="Arial Bold" w:eastAsia="Times New Roman" w:hAnsi="Arial Bold" w:cs="Times New Roman"/>
      <w:b/>
      <w:color w:val="433B67"/>
      <w:sz w:val="28"/>
      <w:szCs w:val="28"/>
    </w:rPr>
  </w:style>
  <w:style w:type="paragraph" w:styleId="TOCHeading">
    <w:name w:val="TOC Heading"/>
    <w:basedOn w:val="Heading1"/>
    <w:next w:val="Normal"/>
    <w:uiPriority w:val="39"/>
    <w:unhideWhenUsed/>
    <w:qFormat/>
    <w:rsid w:val="00F179F1"/>
    <w:pPr>
      <w:spacing w:before="480" w:after="0" w:line="276" w:lineRule="auto"/>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C33F08"/>
    <w:pPr>
      <w:tabs>
        <w:tab w:val="left" w:pos="270"/>
        <w:tab w:val="right" w:leader="dot" w:pos="8460"/>
      </w:tabs>
      <w:spacing w:after="100"/>
    </w:pPr>
    <w:rPr>
      <w:rFonts w:ascii="Arial" w:hAnsi="Arial" w:cs="Arial"/>
      <w:noProof/>
      <w:sz w:val="24"/>
      <w:szCs w:val="24"/>
    </w:rPr>
  </w:style>
  <w:style w:type="character" w:styleId="Hyperlink">
    <w:name w:val="Hyperlink"/>
    <w:basedOn w:val="DefaultParagraphFont"/>
    <w:uiPriority w:val="99"/>
    <w:unhideWhenUsed/>
    <w:rsid w:val="008B7D4E"/>
    <w:rPr>
      <w:rFonts w:ascii="Verdana" w:hAnsi="Verdana"/>
      <w:color w:val="0000FF" w:themeColor="hyperlink"/>
      <w:sz w:val="18"/>
    </w:rPr>
  </w:style>
  <w:style w:type="paragraph" w:customStyle="1" w:styleId="TableofContents">
    <w:name w:val="Table of Contents"/>
    <w:qFormat/>
    <w:rsid w:val="00DB35F9"/>
    <w:pPr>
      <w:ind w:left="720"/>
    </w:pPr>
    <w:rPr>
      <w:rFonts w:ascii="Arial Bold" w:eastAsia="Times New Roman" w:hAnsi="Arial Bold" w:cs="Times New Roman"/>
      <w:b/>
      <w:color w:val="5F497A" w:themeColor="accent4" w:themeShade="BF"/>
      <w:sz w:val="28"/>
      <w:szCs w:val="24"/>
    </w:rPr>
  </w:style>
  <w:style w:type="character" w:customStyle="1" w:styleId="Heading2Char">
    <w:name w:val="Heading 2 Char"/>
    <w:basedOn w:val="DefaultParagraphFont"/>
    <w:link w:val="Heading2"/>
    <w:uiPriority w:val="9"/>
    <w:rsid w:val="007C29F6"/>
    <w:rPr>
      <w:rFonts w:ascii="Arial Bold" w:eastAsiaTheme="majorEastAsia" w:hAnsi="Arial Bold" w:cstheme="majorBidi"/>
      <w:bCs/>
      <w:color w:val="5F497A" w:themeColor="accent4" w:themeShade="BF"/>
      <w:sz w:val="26"/>
      <w:szCs w:val="26"/>
    </w:rPr>
  </w:style>
  <w:style w:type="paragraph" w:styleId="TOC2">
    <w:name w:val="toc 2"/>
    <w:basedOn w:val="Normal"/>
    <w:next w:val="Normal"/>
    <w:autoRedefine/>
    <w:uiPriority w:val="39"/>
    <w:unhideWhenUsed/>
    <w:rsid w:val="001C1F7B"/>
    <w:pPr>
      <w:tabs>
        <w:tab w:val="left" w:pos="720"/>
        <w:tab w:val="right" w:leader="dot" w:pos="8460"/>
      </w:tabs>
      <w:spacing w:after="100"/>
      <w:ind w:left="220"/>
    </w:pPr>
    <w:rPr>
      <w:rFonts w:ascii="Arial" w:hAnsi="Arial" w:cs="Arial"/>
      <w:noProof/>
      <w:sz w:val="24"/>
      <w:szCs w:val="24"/>
    </w:rPr>
  </w:style>
  <w:style w:type="character" w:customStyle="1" w:styleId="Heading3Char">
    <w:name w:val="Heading 3 Char"/>
    <w:basedOn w:val="DefaultParagraphFont"/>
    <w:link w:val="Heading3"/>
    <w:uiPriority w:val="9"/>
    <w:rsid w:val="007C29F6"/>
    <w:rPr>
      <w:rFonts w:ascii="Arial" w:eastAsiaTheme="majorEastAsia" w:hAnsi="Arial" w:cstheme="majorBidi"/>
      <w:b/>
      <w:color w:val="5F497A" w:themeColor="accent4" w:themeShade="BF"/>
      <w:sz w:val="26"/>
      <w:szCs w:val="26"/>
    </w:rPr>
  </w:style>
  <w:style w:type="paragraph" w:styleId="TOC3">
    <w:name w:val="toc 3"/>
    <w:basedOn w:val="Normal"/>
    <w:next w:val="Normal"/>
    <w:autoRedefine/>
    <w:uiPriority w:val="39"/>
    <w:unhideWhenUsed/>
    <w:rsid w:val="001C1F7B"/>
    <w:pPr>
      <w:tabs>
        <w:tab w:val="left" w:pos="1080"/>
        <w:tab w:val="right" w:leader="dot" w:pos="8460"/>
      </w:tabs>
      <w:spacing w:after="100"/>
      <w:ind w:left="440"/>
    </w:pPr>
    <w:rPr>
      <w:rFonts w:ascii="Arial" w:eastAsiaTheme="minorEastAsia" w:hAnsi="Arial" w:cs="Arial"/>
      <w:noProof/>
      <w:sz w:val="24"/>
      <w:szCs w:val="24"/>
    </w:rPr>
  </w:style>
  <w:style w:type="paragraph" w:customStyle="1" w:styleId="BodyParagraph">
    <w:name w:val="Body Paragraph"/>
    <w:qFormat/>
    <w:rsid w:val="008B7D4E"/>
    <w:pPr>
      <w:spacing w:after="240" w:line="312" w:lineRule="auto"/>
    </w:pPr>
    <w:rPr>
      <w:rFonts w:ascii="Verdana" w:hAnsi="Verdana"/>
      <w:sz w:val="18"/>
    </w:rPr>
  </w:style>
  <w:style w:type="paragraph" w:customStyle="1" w:styleId="BodyBeforeBullet">
    <w:name w:val="Body Before Bullet"/>
    <w:basedOn w:val="BodyParagraph"/>
    <w:next w:val="Bullets"/>
    <w:qFormat/>
    <w:rsid w:val="00393B5B"/>
    <w:pPr>
      <w:keepNext/>
      <w:spacing w:after="60"/>
    </w:pPr>
  </w:style>
  <w:style w:type="paragraph" w:customStyle="1" w:styleId="Bullets">
    <w:name w:val="Bullets"/>
    <w:basedOn w:val="Normal"/>
    <w:qFormat/>
    <w:rsid w:val="008B7D4E"/>
    <w:pPr>
      <w:numPr>
        <w:numId w:val="19"/>
      </w:numPr>
      <w:spacing w:after="120" w:line="240" w:lineRule="auto"/>
    </w:pPr>
    <w:rPr>
      <w:rFonts w:ascii="Verdana" w:eastAsia="Times New Roman" w:hAnsi="Verdana" w:cs="Arial"/>
      <w:sz w:val="18"/>
      <w:szCs w:val="21"/>
    </w:rPr>
  </w:style>
  <w:style w:type="paragraph" w:customStyle="1" w:styleId="BulletLast">
    <w:name w:val="Bullet Last"/>
    <w:basedOn w:val="Bullets"/>
    <w:next w:val="BodyParagraph"/>
    <w:qFormat/>
    <w:rsid w:val="001B352B"/>
    <w:pPr>
      <w:spacing w:after="360"/>
    </w:pPr>
  </w:style>
  <w:style w:type="paragraph" w:styleId="FootnoteText">
    <w:name w:val="footnote text"/>
    <w:aliases w:val="Footnote Text1 Char,Footnote Text Char Ch"/>
    <w:basedOn w:val="Normal"/>
    <w:link w:val="FootnoteTextChar"/>
    <w:uiPriority w:val="99"/>
    <w:unhideWhenUsed/>
    <w:rsid w:val="001B352B"/>
    <w:pPr>
      <w:spacing w:after="0" w:line="240" w:lineRule="auto"/>
    </w:pPr>
    <w:rPr>
      <w:sz w:val="20"/>
      <w:szCs w:val="20"/>
    </w:rPr>
  </w:style>
  <w:style w:type="character" w:customStyle="1" w:styleId="FootnoteTextChar">
    <w:name w:val="Footnote Text Char"/>
    <w:aliases w:val="Footnote Text1 Char Char1,Footnote Text Char Ch Char1"/>
    <w:basedOn w:val="DefaultParagraphFont"/>
    <w:link w:val="FootnoteText"/>
    <w:uiPriority w:val="99"/>
    <w:rsid w:val="001B352B"/>
    <w:rPr>
      <w:sz w:val="20"/>
      <w:szCs w:val="20"/>
    </w:rPr>
  </w:style>
  <w:style w:type="character" w:styleId="FootnoteReference">
    <w:name w:val="footnote reference"/>
    <w:aliases w:val="o"/>
    <w:basedOn w:val="DefaultParagraphFont"/>
    <w:uiPriority w:val="99"/>
    <w:unhideWhenUsed/>
    <w:rsid w:val="001B352B"/>
    <w:rPr>
      <w:vertAlign w:val="superscript"/>
    </w:rPr>
  </w:style>
  <w:style w:type="paragraph" w:customStyle="1" w:styleId="Footnote">
    <w:name w:val="Footnote"/>
    <w:basedOn w:val="FootnoteText"/>
    <w:qFormat/>
    <w:rsid w:val="001B352B"/>
    <w:pPr>
      <w:spacing w:after="120"/>
    </w:pPr>
    <w:rPr>
      <w:rFonts w:ascii="Franklin Gothic Book" w:hAnsi="Franklin Gothic Book"/>
      <w:sz w:val="18"/>
    </w:rPr>
  </w:style>
  <w:style w:type="paragraph" w:customStyle="1" w:styleId="TableFigureCaption">
    <w:name w:val="Table Figure Caption"/>
    <w:basedOn w:val="Normal"/>
    <w:next w:val="BodyParaAfterTableFigure"/>
    <w:qFormat/>
    <w:rsid w:val="004E5D3E"/>
    <w:pPr>
      <w:keepNext/>
      <w:spacing w:after="120" w:line="240" w:lineRule="auto"/>
      <w:jc w:val="center"/>
    </w:pPr>
    <w:rPr>
      <w:rFonts w:ascii="Arial" w:hAnsi="Arial"/>
      <w:b/>
    </w:rPr>
  </w:style>
  <w:style w:type="table" w:styleId="TableGrid">
    <w:name w:val="Table Grid"/>
    <w:basedOn w:val="TableNormal"/>
    <w:uiPriority w:val="59"/>
    <w:rsid w:val="001B35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er">
    <w:name w:val="Table Header"/>
    <w:qFormat/>
    <w:rsid w:val="004E5D3E"/>
    <w:pPr>
      <w:spacing w:before="100" w:after="100" w:line="240" w:lineRule="auto"/>
      <w:jc w:val="center"/>
    </w:pPr>
    <w:rPr>
      <w:rFonts w:ascii="Arial" w:hAnsi="Arial"/>
      <w:b/>
      <w:color w:val="FFFFFF" w:themeColor="background1"/>
      <w:sz w:val="20"/>
    </w:rPr>
  </w:style>
  <w:style w:type="paragraph" w:customStyle="1" w:styleId="TableText">
    <w:name w:val="Table Text"/>
    <w:qFormat/>
    <w:rsid w:val="00142ACF"/>
    <w:pPr>
      <w:spacing w:before="60" w:after="60" w:line="240" w:lineRule="auto"/>
    </w:pPr>
    <w:rPr>
      <w:rFonts w:ascii="Arial" w:hAnsi="Arial"/>
      <w:sz w:val="18"/>
    </w:rPr>
  </w:style>
  <w:style w:type="paragraph" w:customStyle="1" w:styleId="BodyParaAfterTableFigure">
    <w:name w:val="Body Para After Table Figure"/>
    <w:basedOn w:val="BodyParagraph"/>
    <w:next w:val="BodyParagraph"/>
    <w:qFormat/>
    <w:rsid w:val="00B50663"/>
    <w:pPr>
      <w:spacing w:before="360"/>
    </w:pPr>
  </w:style>
  <w:style w:type="paragraph" w:customStyle="1" w:styleId="AppendixHeading">
    <w:name w:val="Appendix Heading"/>
    <w:basedOn w:val="Heading1"/>
    <w:next w:val="BodyParagraph"/>
    <w:qFormat/>
    <w:rsid w:val="003D68A0"/>
    <w:pPr>
      <w:numPr>
        <w:numId w:val="23"/>
      </w:numPr>
    </w:pPr>
  </w:style>
  <w:style w:type="character" w:customStyle="1" w:styleId="Heading4Char">
    <w:name w:val="Heading 4 Char"/>
    <w:basedOn w:val="DefaultParagraphFont"/>
    <w:link w:val="Heading4"/>
    <w:uiPriority w:val="9"/>
    <w:rsid w:val="00192CF8"/>
    <w:rPr>
      <w:rFonts w:ascii="Arial" w:eastAsiaTheme="majorEastAsia" w:hAnsi="Arial" w:cs="Arial"/>
      <w:b/>
      <w:bCs/>
      <w:i/>
      <w:iCs/>
      <w:color w:val="5F497A" w:themeColor="accent4" w:themeShade="BF"/>
      <w:sz w:val="24"/>
    </w:rPr>
  </w:style>
  <w:style w:type="character" w:customStyle="1" w:styleId="Heading5Char">
    <w:name w:val="Heading 5 Char"/>
    <w:basedOn w:val="DefaultParagraphFont"/>
    <w:link w:val="Heading5"/>
    <w:uiPriority w:val="9"/>
    <w:semiHidden/>
    <w:rsid w:val="0046277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6277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627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627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6277A"/>
    <w:rPr>
      <w:rFonts w:asciiTheme="majorHAnsi" w:eastAsiaTheme="majorEastAsia" w:hAnsiTheme="majorHAnsi" w:cstheme="majorBidi"/>
      <w:i/>
      <w:iCs/>
      <w:color w:val="404040" w:themeColor="text1" w:themeTint="BF"/>
      <w:sz w:val="20"/>
      <w:szCs w:val="20"/>
    </w:rPr>
  </w:style>
  <w:style w:type="paragraph" w:customStyle="1" w:styleId="AppendixHeading2">
    <w:name w:val="Appendix Heading 2"/>
    <w:basedOn w:val="Normal"/>
    <w:next w:val="BodyParagraph"/>
    <w:qFormat/>
    <w:rsid w:val="008E6E4B"/>
    <w:pPr>
      <w:numPr>
        <w:ilvl w:val="1"/>
        <w:numId w:val="23"/>
      </w:numPr>
      <w:spacing w:after="60" w:line="240" w:lineRule="auto"/>
      <w:ind w:left="720" w:hanging="720"/>
    </w:pPr>
    <w:rPr>
      <w:rFonts w:ascii="Arial Bold" w:hAnsi="Arial Bold"/>
      <w:b/>
      <w:color w:val="5F497A" w:themeColor="accent4" w:themeShade="BF"/>
      <w:sz w:val="26"/>
    </w:rPr>
  </w:style>
  <w:style w:type="paragraph" w:customStyle="1" w:styleId="AppendixHeading3">
    <w:name w:val="Appendix Heading 3"/>
    <w:basedOn w:val="Normal"/>
    <w:next w:val="BodyParagraph"/>
    <w:qFormat/>
    <w:rsid w:val="003A0F85"/>
    <w:pPr>
      <w:numPr>
        <w:ilvl w:val="2"/>
        <w:numId w:val="23"/>
      </w:numPr>
      <w:spacing w:after="60" w:line="240" w:lineRule="auto"/>
      <w:ind w:left="1260" w:hanging="900"/>
    </w:pPr>
    <w:rPr>
      <w:rFonts w:ascii="Arial Bold" w:hAnsi="Arial Bold"/>
      <w:b/>
      <w:color w:val="5F497A" w:themeColor="accent4" w:themeShade="BF"/>
      <w:sz w:val="24"/>
    </w:rPr>
  </w:style>
  <w:style w:type="paragraph" w:customStyle="1" w:styleId="AppendixHeading4">
    <w:name w:val="Appendix Heading 4"/>
    <w:basedOn w:val="BodyParagraph"/>
    <w:next w:val="BodyParagraph"/>
    <w:qFormat/>
    <w:rsid w:val="00F50A5A"/>
    <w:pPr>
      <w:spacing w:after="60" w:line="240" w:lineRule="auto"/>
      <w:ind w:firstLine="360"/>
    </w:pPr>
    <w:rPr>
      <w:rFonts w:ascii="Arial Bold" w:hAnsi="Arial Bold"/>
      <w:b/>
      <w:i/>
      <w:color w:val="5F497A" w:themeColor="accent4" w:themeShade="BF"/>
      <w:sz w:val="24"/>
    </w:rPr>
  </w:style>
  <w:style w:type="paragraph" w:styleId="TOC4">
    <w:name w:val="toc 4"/>
    <w:basedOn w:val="Normal"/>
    <w:next w:val="Normal"/>
    <w:autoRedefine/>
    <w:uiPriority w:val="39"/>
    <w:unhideWhenUsed/>
    <w:rsid w:val="001C1F7B"/>
    <w:pPr>
      <w:tabs>
        <w:tab w:val="left" w:pos="1530"/>
        <w:tab w:val="right" w:leader="dot" w:pos="8460"/>
      </w:tabs>
      <w:spacing w:after="100"/>
      <w:ind w:left="660"/>
    </w:pPr>
    <w:rPr>
      <w:rFonts w:ascii="Arial" w:hAnsi="Arial" w:cs="Arial"/>
      <w:noProof/>
      <w:sz w:val="24"/>
      <w:szCs w:val="24"/>
    </w:rPr>
  </w:style>
  <w:style w:type="numbering" w:customStyle="1" w:styleId="Numbered">
    <w:name w:val="Numbered"/>
    <w:basedOn w:val="NoList"/>
    <w:uiPriority w:val="99"/>
    <w:rsid w:val="00137F86"/>
    <w:pPr>
      <w:numPr>
        <w:numId w:val="33"/>
      </w:numPr>
    </w:pPr>
  </w:style>
  <w:style w:type="numbering" w:customStyle="1" w:styleId="NumberedSteps">
    <w:name w:val="Numbered Steps"/>
    <w:basedOn w:val="NoList"/>
    <w:uiPriority w:val="99"/>
    <w:rsid w:val="00137F86"/>
    <w:pPr>
      <w:numPr>
        <w:numId w:val="45"/>
      </w:numPr>
    </w:pPr>
  </w:style>
  <w:style w:type="paragraph" w:customStyle="1" w:styleId="Numbers">
    <w:name w:val="Numbers"/>
    <w:qFormat/>
    <w:rsid w:val="003D68A0"/>
    <w:pPr>
      <w:numPr>
        <w:numId w:val="47"/>
      </w:numPr>
      <w:spacing w:after="120" w:line="240" w:lineRule="auto"/>
    </w:pPr>
    <w:rPr>
      <w:rFonts w:ascii="Arial" w:eastAsia="Times New Roman" w:hAnsi="Arial" w:cs="Times New Roman"/>
      <w:sz w:val="20"/>
      <w:szCs w:val="28"/>
    </w:rPr>
  </w:style>
  <w:style w:type="paragraph" w:customStyle="1" w:styleId="NumbersLast">
    <w:name w:val="Numbers Last"/>
    <w:basedOn w:val="Numbers"/>
    <w:next w:val="BodyParagraph"/>
    <w:rsid w:val="007715BA"/>
    <w:pPr>
      <w:numPr>
        <w:numId w:val="48"/>
      </w:numPr>
      <w:spacing w:after="360"/>
    </w:pPr>
  </w:style>
  <w:style w:type="paragraph" w:customStyle="1" w:styleId="LetterDate">
    <w:name w:val="Letter Date"/>
    <w:next w:val="LetterAddressee"/>
    <w:qFormat/>
    <w:rsid w:val="00EB2941"/>
    <w:pPr>
      <w:spacing w:before="2000" w:line="240" w:lineRule="auto"/>
    </w:pPr>
    <w:rPr>
      <w:rFonts w:ascii="Arial" w:hAnsi="Arial"/>
    </w:rPr>
  </w:style>
  <w:style w:type="paragraph" w:customStyle="1" w:styleId="LetterAddressee">
    <w:name w:val="Letter Addressee"/>
    <w:next w:val="LetterSalutation"/>
    <w:qFormat/>
    <w:rsid w:val="00EB2941"/>
    <w:pPr>
      <w:spacing w:after="0" w:line="240" w:lineRule="auto"/>
    </w:pPr>
    <w:rPr>
      <w:rFonts w:ascii="Arial" w:hAnsi="Arial"/>
    </w:rPr>
  </w:style>
  <w:style w:type="paragraph" w:customStyle="1" w:styleId="LetterSalutation">
    <w:name w:val="Letter Salutation"/>
    <w:next w:val="BodyParagraph"/>
    <w:qFormat/>
    <w:rsid w:val="00EB2941"/>
    <w:pPr>
      <w:spacing w:before="400" w:line="240" w:lineRule="auto"/>
    </w:pPr>
    <w:rPr>
      <w:rFonts w:ascii="Arial" w:hAnsi="Arial"/>
    </w:rPr>
  </w:style>
  <w:style w:type="paragraph" w:customStyle="1" w:styleId="LetterClosing">
    <w:name w:val="Letter Closing"/>
    <w:qFormat/>
    <w:rsid w:val="00EB2941"/>
    <w:pPr>
      <w:spacing w:after="1000" w:line="240" w:lineRule="auto"/>
    </w:pPr>
    <w:rPr>
      <w:rFonts w:ascii="Arial" w:hAnsi="Arial"/>
    </w:rPr>
  </w:style>
  <w:style w:type="character" w:styleId="CommentReference">
    <w:name w:val="annotation reference"/>
    <w:basedOn w:val="DefaultParagraphFont"/>
    <w:uiPriority w:val="99"/>
    <w:semiHidden/>
    <w:unhideWhenUsed/>
    <w:rsid w:val="007A4C5D"/>
    <w:rPr>
      <w:sz w:val="16"/>
      <w:szCs w:val="16"/>
    </w:rPr>
  </w:style>
  <w:style w:type="paragraph" w:styleId="CommentText">
    <w:name w:val="annotation text"/>
    <w:basedOn w:val="Normal"/>
    <w:link w:val="CommentTextChar"/>
    <w:uiPriority w:val="99"/>
    <w:semiHidden/>
    <w:unhideWhenUsed/>
    <w:rsid w:val="007A4C5D"/>
    <w:pPr>
      <w:spacing w:line="240" w:lineRule="auto"/>
    </w:pPr>
    <w:rPr>
      <w:sz w:val="20"/>
      <w:szCs w:val="20"/>
    </w:rPr>
  </w:style>
  <w:style w:type="character" w:customStyle="1" w:styleId="CommentTextChar">
    <w:name w:val="Comment Text Char"/>
    <w:basedOn w:val="DefaultParagraphFont"/>
    <w:link w:val="CommentText"/>
    <w:uiPriority w:val="99"/>
    <w:semiHidden/>
    <w:rsid w:val="007A4C5D"/>
    <w:rPr>
      <w:sz w:val="20"/>
      <w:szCs w:val="20"/>
    </w:rPr>
  </w:style>
  <w:style w:type="paragraph" w:styleId="CommentSubject">
    <w:name w:val="annotation subject"/>
    <w:basedOn w:val="CommentText"/>
    <w:next w:val="CommentText"/>
    <w:link w:val="CommentSubjectChar"/>
    <w:uiPriority w:val="99"/>
    <w:semiHidden/>
    <w:unhideWhenUsed/>
    <w:rsid w:val="007A4C5D"/>
    <w:rPr>
      <w:b/>
      <w:bCs/>
    </w:rPr>
  </w:style>
  <w:style w:type="character" w:customStyle="1" w:styleId="CommentSubjectChar">
    <w:name w:val="Comment Subject Char"/>
    <w:basedOn w:val="CommentTextChar"/>
    <w:link w:val="CommentSubject"/>
    <w:uiPriority w:val="99"/>
    <w:semiHidden/>
    <w:rsid w:val="007A4C5D"/>
    <w:rPr>
      <w:b/>
      <w:bCs/>
      <w:sz w:val="20"/>
      <w:szCs w:val="20"/>
    </w:rPr>
  </w:style>
  <w:style w:type="paragraph" w:styleId="Revision">
    <w:name w:val="Revision"/>
    <w:hidden/>
    <w:uiPriority w:val="99"/>
    <w:semiHidden/>
    <w:rsid w:val="00577604"/>
    <w:pPr>
      <w:spacing w:after="0" w:line="240" w:lineRule="auto"/>
    </w:pPr>
  </w:style>
  <w:style w:type="character" w:customStyle="1" w:styleId="FootnoteTextChar1">
    <w:name w:val="Footnote Text Char1"/>
    <w:aliases w:val="Footnote Text1 Char Char,Footnote Text Char Ch Char"/>
    <w:basedOn w:val="DefaultParagraphFont"/>
    <w:uiPriority w:val="99"/>
    <w:semiHidden/>
    <w:locked/>
    <w:rsid w:val="00A57221"/>
    <w:rPr>
      <w:rFonts w:ascii="Arial" w:eastAsia="Times New Roman" w:hAnsi="Arial" w:cs="Times New Roman"/>
      <w:spacing w:val="-2"/>
      <w:sz w:val="20"/>
      <w:szCs w:val="20"/>
    </w:rPr>
  </w:style>
  <w:style w:type="paragraph" w:styleId="ListParagraph">
    <w:name w:val="List Paragraph"/>
    <w:basedOn w:val="Normal"/>
    <w:uiPriority w:val="34"/>
    <w:qFormat/>
    <w:rsid w:val="00A57221"/>
    <w:pPr>
      <w:spacing w:before="240" w:after="240" w:line="240" w:lineRule="auto"/>
      <w:ind w:left="720"/>
      <w:contextualSpacing/>
    </w:pPr>
    <w:rPr>
      <w:rFonts w:ascii="Arial" w:eastAsia="Times New Roman" w:hAnsi="Arial"/>
      <w:spacing w:val="-2"/>
    </w:rPr>
  </w:style>
  <w:style w:type="character" w:styleId="PlaceholderText">
    <w:name w:val="Placeholder Text"/>
    <w:basedOn w:val="DefaultParagraphFont"/>
    <w:uiPriority w:val="99"/>
    <w:semiHidden/>
    <w:rsid w:val="00A5722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21"/>
    <w:rPr>
      <w:rFonts w:ascii="Calibri" w:eastAsia="Calibri" w:hAnsi="Calibri" w:cs="Times New Roman"/>
    </w:rPr>
  </w:style>
  <w:style w:type="paragraph" w:styleId="Heading1">
    <w:name w:val="heading 1"/>
    <w:next w:val="BodyParagraph"/>
    <w:link w:val="Heading1Char"/>
    <w:qFormat/>
    <w:rsid w:val="003D68A0"/>
    <w:pPr>
      <w:keepNext/>
      <w:numPr>
        <w:numId w:val="28"/>
      </w:numPr>
      <w:spacing w:after="120" w:line="240" w:lineRule="auto"/>
      <w:outlineLvl w:val="0"/>
    </w:pPr>
    <w:rPr>
      <w:rFonts w:ascii="Arial Bold" w:eastAsia="Times New Roman" w:hAnsi="Arial Bold" w:cs="Times New Roman"/>
      <w:b/>
      <w:color w:val="433B67"/>
      <w:sz w:val="28"/>
      <w:szCs w:val="28"/>
    </w:rPr>
  </w:style>
  <w:style w:type="paragraph" w:styleId="Heading2">
    <w:name w:val="heading 2"/>
    <w:basedOn w:val="Heading1"/>
    <w:next w:val="BodyParagraph"/>
    <w:link w:val="Heading2Char"/>
    <w:uiPriority w:val="9"/>
    <w:unhideWhenUsed/>
    <w:qFormat/>
    <w:rsid w:val="007C29F6"/>
    <w:pPr>
      <w:numPr>
        <w:ilvl w:val="1"/>
      </w:numPr>
      <w:ind w:left="540" w:hanging="540"/>
      <w:outlineLvl w:val="1"/>
    </w:pPr>
    <w:rPr>
      <w:rFonts w:eastAsiaTheme="majorEastAsia" w:cstheme="majorBidi"/>
      <w:b w:val="0"/>
      <w:bCs/>
      <w:color w:val="5F497A" w:themeColor="accent4" w:themeShade="BF"/>
      <w:sz w:val="26"/>
      <w:szCs w:val="26"/>
    </w:rPr>
  </w:style>
  <w:style w:type="paragraph" w:styleId="Heading3">
    <w:name w:val="heading 3"/>
    <w:basedOn w:val="Heading2"/>
    <w:next w:val="BodyParagraph"/>
    <w:link w:val="Heading3Char"/>
    <w:uiPriority w:val="9"/>
    <w:unhideWhenUsed/>
    <w:qFormat/>
    <w:rsid w:val="007C29F6"/>
    <w:pPr>
      <w:keepLines/>
      <w:numPr>
        <w:ilvl w:val="2"/>
      </w:numPr>
      <w:ind w:left="1080"/>
      <w:outlineLvl w:val="2"/>
    </w:pPr>
    <w:rPr>
      <w:rFonts w:ascii="Arial" w:hAnsi="Arial"/>
      <w:b/>
      <w:bCs w:val="0"/>
    </w:rPr>
  </w:style>
  <w:style w:type="paragraph" w:styleId="Heading4">
    <w:name w:val="heading 4"/>
    <w:basedOn w:val="Normal"/>
    <w:next w:val="BodyParagraph"/>
    <w:link w:val="Heading4Char"/>
    <w:uiPriority w:val="9"/>
    <w:unhideWhenUsed/>
    <w:qFormat/>
    <w:rsid w:val="00192CF8"/>
    <w:pPr>
      <w:keepNext/>
      <w:keepLines/>
      <w:spacing w:before="200" w:after="0"/>
      <w:ind w:left="360"/>
      <w:outlineLvl w:val="3"/>
    </w:pPr>
    <w:rPr>
      <w:rFonts w:ascii="Arial" w:eastAsiaTheme="majorEastAsia" w:hAnsi="Arial" w:cs="Arial"/>
      <w:b/>
      <w:bCs/>
      <w:i/>
      <w:iCs/>
      <w:color w:val="5F497A" w:themeColor="accent4" w:themeShade="BF"/>
      <w:sz w:val="24"/>
    </w:rPr>
  </w:style>
  <w:style w:type="paragraph" w:styleId="Heading5">
    <w:name w:val="heading 5"/>
    <w:basedOn w:val="Normal"/>
    <w:next w:val="Normal"/>
    <w:link w:val="Heading5Char"/>
    <w:uiPriority w:val="9"/>
    <w:semiHidden/>
    <w:unhideWhenUsed/>
    <w:qFormat/>
    <w:rsid w:val="0046277A"/>
    <w:pPr>
      <w:keepNext/>
      <w:keepLines/>
      <w:numPr>
        <w:ilvl w:val="4"/>
        <w:numId w:val="2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6277A"/>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6277A"/>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6277A"/>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6277A"/>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6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B02"/>
    <w:rPr>
      <w:rFonts w:ascii="Tahoma" w:hAnsi="Tahoma" w:cs="Tahoma"/>
      <w:sz w:val="16"/>
      <w:szCs w:val="16"/>
    </w:rPr>
  </w:style>
  <w:style w:type="paragraph" w:customStyle="1" w:styleId="TitleHeader">
    <w:name w:val="Title Header"/>
    <w:qFormat/>
    <w:rsid w:val="002A6B02"/>
    <w:pPr>
      <w:spacing w:after="120" w:line="240" w:lineRule="auto"/>
    </w:pPr>
    <w:rPr>
      <w:rFonts w:ascii="Arial" w:eastAsia="Times New Roman" w:hAnsi="Arial" w:cs="Arial"/>
      <w:b/>
      <w:i/>
      <w:color w:val="FFFFFF"/>
      <w:sz w:val="24"/>
      <w:szCs w:val="24"/>
    </w:rPr>
  </w:style>
  <w:style w:type="paragraph" w:customStyle="1" w:styleId="TitleProposal">
    <w:name w:val="Title Proposal"/>
    <w:qFormat/>
    <w:rsid w:val="00305437"/>
    <w:pPr>
      <w:spacing w:after="400" w:line="240" w:lineRule="auto"/>
    </w:pPr>
    <w:rPr>
      <w:rFonts w:ascii="Arial" w:eastAsia="Times New Roman" w:hAnsi="Arial" w:cs="Arial"/>
      <w:b/>
      <w:color w:val="FFFFFF"/>
      <w:sz w:val="28"/>
      <w:szCs w:val="28"/>
    </w:rPr>
  </w:style>
  <w:style w:type="paragraph" w:customStyle="1" w:styleId="TitleAddress">
    <w:name w:val="Title Address"/>
    <w:qFormat/>
    <w:rsid w:val="00305437"/>
    <w:pPr>
      <w:tabs>
        <w:tab w:val="left" w:pos="3960"/>
      </w:tabs>
      <w:spacing w:after="400" w:line="240" w:lineRule="auto"/>
    </w:pPr>
    <w:rPr>
      <w:rFonts w:ascii="Arial" w:eastAsia="Times New Roman" w:hAnsi="Arial" w:cs="Arial"/>
      <w:b/>
      <w:color w:val="FFFFFF"/>
    </w:rPr>
  </w:style>
  <w:style w:type="paragraph" w:styleId="Footer">
    <w:name w:val="footer"/>
    <w:basedOn w:val="Normal"/>
    <w:link w:val="FooterChar"/>
    <w:uiPriority w:val="99"/>
    <w:rsid w:val="002A6B02"/>
    <w:pPr>
      <w:tabs>
        <w:tab w:val="center" w:pos="4320"/>
        <w:tab w:val="right" w:pos="8640"/>
      </w:tabs>
      <w:spacing w:after="0" w:line="240" w:lineRule="auto"/>
    </w:pPr>
    <w:rPr>
      <w:rFonts w:ascii="Arial" w:eastAsia="Times New Roman" w:hAnsi="Arial"/>
      <w:szCs w:val="24"/>
    </w:rPr>
  </w:style>
  <w:style w:type="character" w:customStyle="1" w:styleId="FooterChar">
    <w:name w:val="Footer Char"/>
    <w:basedOn w:val="DefaultParagraphFont"/>
    <w:link w:val="Footer"/>
    <w:uiPriority w:val="99"/>
    <w:rsid w:val="002A6B02"/>
    <w:rPr>
      <w:rFonts w:ascii="Arial" w:eastAsia="Times New Roman" w:hAnsi="Arial" w:cs="Times New Roman"/>
      <w:szCs w:val="24"/>
    </w:rPr>
  </w:style>
  <w:style w:type="character" w:styleId="PageNumber">
    <w:name w:val="page number"/>
    <w:basedOn w:val="DefaultParagraphFont"/>
    <w:rsid w:val="002A6B02"/>
  </w:style>
  <w:style w:type="paragraph" w:styleId="Header">
    <w:name w:val="header"/>
    <w:basedOn w:val="Normal"/>
    <w:link w:val="HeaderChar"/>
    <w:rsid w:val="002A6B02"/>
    <w:pPr>
      <w:tabs>
        <w:tab w:val="center" w:pos="4320"/>
        <w:tab w:val="right" w:pos="8640"/>
      </w:tabs>
      <w:spacing w:after="0" w:line="240" w:lineRule="auto"/>
    </w:pPr>
    <w:rPr>
      <w:rFonts w:ascii="Arial" w:eastAsia="Times New Roman" w:hAnsi="Arial"/>
      <w:szCs w:val="24"/>
    </w:rPr>
  </w:style>
  <w:style w:type="character" w:customStyle="1" w:styleId="HeaderChar">
    <w:name w:val="Header Char"/>
    <w:basedOn w:val="DefaultParagraphFont"/>
    <w:link w:val="Header"/>
    <w:rsid w:val="002A6B02"/>
    <w:rPr>
      <w:rFonts w:ascii="Arial" w:eastAsia="Times New Roman" w:hAnsi="Arial" w:cs="Times New Roman"/>
      <w:szCs w:val="24"/>
    </w:rPr>
  </w:style>
  <w:style w:type="paragraph" w:customStyle="1" w:styleId="PreparedFor">
    <w:name w:val="Prepared For"/>
    <w:rsid w:val="00305437"/>
    <w:pPr>
      <w:spacing w:before="400" w:after="120" w:line="240" w:lineRule="auto"/>
      <w:jc w:val="right"/>
    </w:pPr>
    <w:rPr>
      <w:rFonts w:ascii="Arial" w:eastAsia="Times New Roman" w:hAnsi="Arial" w:cs="Times New Roman"/>
      <w:i/>
      <w:szCs w:val="20"/>
    </w:rPr>
  </w:style>
  <w:style w:type="paragraph" w:customStyle="1" w:styleId="PreparedForCompany">
    <w:name w:val="Prepared For Company"/>
    <w:basedOn w:val="Normal"/>
    <w:qFormat/>
    <w:rsid w:val="00305437"/>
    <w:pPr>
      <w:spacing w:after="0" w:line="240" w:lineRule="auto"/>
      <w:jc w:val="right"/>
    </w:pPr>
    <w:rPr>
      <w:rFonts w:ascii="Arial" w:eastAsia="Times New Roman" w:hAnsi="Arial"/>
      <w:szCs w:val="24"/>
    </w:rPr>
  </w:style>
  <w:style w:type="character" w:customStyle="1" w:styleId="Heading1Char">
    <w:name w:val="Heading 1 Char"/>
    <w:basedOn w:val="DefaultParagraphFont"/>
    <w:link w:val="Heading1"/>
    <w:rsid w:val="003D68A0"/>
    <w:rPr>
      <w:rFonts w:ascii="Arial Bold" w:eastAsia="Times New Roman" w:hAnsi="Arial Bold" w:cs="Times New Roman"/>
      <w:b/>
      <w:color w:val="433B67"/>
      <w:sz w:val="28"/>
      <w:szCs w:val="28"/>
    </w:rPr>
  </w:style>
  <w:style w:type="paragraph" w:styleId="TOCHeading">
    <w:name w:val="TOC Heading"/>
    <w:basedOn w:val="Heading1"/>
    <w:next w:val="Normal"/>
    <w:uiPriority w:val="39"/>
    <w:unhideWhenUsed/>
    <w:qFormat/>
    <w:rsid w:val="00F179F1"/>
    <w:pPr>
      <w:spacing w:before="480" w:after="0" w:line="276" w:lineRule="auto"/>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C33F08"/>
    <w:pPr>
      <w:tabs>
        <w:tab w:val="left" w:pos="270"/>
        <w:tab w:val="right" w:leader="dot" w:pos="8460"/>
      </w:tabs>
      <w:spacing w:after="100"/>
    </w:pPr>
    <w:rPr>
      <w:rFonts w:ascii="Arial" w:hAnsi="Arial" w:cs="Arial"/>
      <w:noProof/>
      <w:sz w:val="24"/>
      <w:szCs w:val="24"/>
    </w:rPr>
  </w:style>
  <w:style w:type="character" w:styleId="Hyperlink">
    <w:name w:val="Hyperlink"/>
    <w:basedOn w:val="DefaultParagraphFont"/>
    <w:uiPriority w:val="99"/>
    <w:unhideWhenUsed/>
    <w:rsid w:val="001C1F7B"/>
    <w:rPr>
      <w:color w:val="0000FF" w:themeColor="hyperlink"/>
    </w:rPr>
  </w:style>
  <w:style w:type="paragraph" w:customStyle="1" w:styleId="TableofContents">
    <w:name w:val="Table of Contents"/>
    <w:qFormat/>
    <w:rsid w:val="00DB35F9"/>
    <w:pPr>
      <w:ind w:left="720"/>
    </w:pPr>
    <w:rPr>
      <w:rFonts w:ascii="Arial Bold" w:eastAsia="Times New Roman" w:hAnsi="Arial Bold" w:cs="Times New Roman"/>
      <w:b/>
      <w:color w:val="5F497A" w:themeColor="accent4" w:themeShade="BF"/>
      <w:sz w:val="28"/>
      <w:szCs w:val="24"/>
    </w:rPr>
  </w:style>
  <w:style w:type="character" w:customStyle="1" w:styleId="Heading2Char">
    <w:name w:val="Heading 2 Char"/>
    <w:basedOn w:val="DefaultParagraphFont"/>
    <w:link w:val="Heading2"/>
    <w:uiPriority w:val="9"/>
    <w:rsid w:val="007C29F6"/>
    <w:rPr>
      <w:rFonts w:ascii="Arial Bold" w:eastAsiaTheme="majorEastAsia" w:hAnsi="Arial Bold" w:cstheme="majorBidi"/>
      <w:bCs/>
      <w:color w:val="5F497A" w:themeColor="accent4" w:themeShade="BF"/>
      <w:sz w:val="26"/>
      <w:szCs w:val="26"/>
    </w:rPr>
  </w:style>
  <w:style w:type="paragraph" w:styleId="TOC2">
    <w:name w:val="toc 2"/>
    <w:basedOn w:val="Normal"/>
    <w:next w:val="Normal"/>
    <w:autoRedefine/>
    <w:uiPriority w:val="39"/>
    <w:unhideWhenUsed/>
    <w:rsid w:val="001C1F7B"/>
    <w:pPr>
      <w:tabs>
        <w:tab w:val="left" w:pos="720"/>
        <w:tab w:val="right" w:leader="dot" w:pos="8460"/>
      </w:tabs>
      <w:spacing w:after="100"/>
      <w:ind w:left="220"/>
    </w:pPr>
    <w:rPr>
      <w:rFonts w:ascii="Arial" w:hAnsi="Arial" w:cs="Arial"/>
      <w:noProof/>
      <w:sz w:val="24"/>
      <w:szCs w:val="24"/>
    </w:rPr>
  </w:style>
  <w:style w:type="character" w:customStyle="1" w:styleId="Heading3Char">
    <w:name w:val="Heading 3 Char"/>
    <w:basedOn w:val="DefaultParagraphFont"/>
    <w:link w:val="Heading3"/>
    <w:uiPriority w:val="9"/>
    <w:rsid w:val="007C29F6"/>
    <w:rPr>
      <w:rFonts w:ascii="Arial" w:eastAsiaTheme="majorEastAsia" w:hAnsi="Arial" w:cstheme="majorBidi"/>
      <w:b/>
      <w:color w:val="5F497A" w:themeColor="accent4" w:themeShade="BF"/>
      <w:sz w:val="26"/>
      <w:szCs w:val="26"/>
    </w:rPr>
  </w:style>
  <w:style w:type="paragraph" w:styleId="TOC3">
    <w:name w:val="toc 3"/>
    <w:basedOn w:val="Normal"/>
    <w:next w:val="Normal"/>
    <w:autoRedefine/>
    <w:uiPriority w:val="39"/>
    <w:unhideWhenUsed/>
    <w:rsid w:val="001C1F7B"/>
    <w:pPr>
      <w:tabs>
        <w:tab w:val="left" w:pos="1080"/>
        <w:tab w:val="right" w:leader="dot" w:pos="8460"/>
      </w:tabs>
      <w:spacing w:after="100"/>
      <w:ind w:left="440"/>
    </w:pPr>
    <w:rPr>
      <w:rFonts w:ascii="Arial" w:eastAsiaTheme="minorEastAsia" w:hAnsi="Arial" w:cs="Arial"/>
      <w:noProof/>
      <w:sz w:val="24"/>
      <w:szCs w:val="24"/>
    </w:rPr>
  </w:style>
  <w:style w:type="paragraph" w:customStyle="1" w:styleId="BodyParagraph">
    <w:name w:val="Body Paragraph"/>
    <w:qFormat/>
    <w:rsid w:val="003D68A0"/>
    <w:pPr>
      <w:spacing w:after="240" w:line="312" w:lineRule="auto"/>
    </w:pPr>
    <w:rPr>
      <w:rFonts w:ascii="Arial" w:hAnsi="Arial"/>
      <w:sz w:val="20"/>
    </w:rPr>
  </w:style>
  <w:style w:type="paragraph" w:customStyle="1" w:styleId="BodyBeforeBullet">
    <w:name w:val="Body Before Bullet"/>
    <w:basedOn w:val="BodyParagraph"/>
    <w:next w:val="Bullets"/>
    <w:qFormat/>
    <w:rsid w:val="00393B5B"/>
    <w:pPr>
      <w:keepNext/>
      <w:spacing w:after="60"/>
    </w:pPr>
  </w:style>
  <w:style w:type="paragraph" w:customStyle="1" w:styleId="Bullets">
    <w:name w:val="Bullets"/>
    <w:basedOn w:val="Normal"/>
    <w:qFormat/>
    <w:rsid w:val="003D68A0"/>
    <w:pPr>
      <w:numPr>
        <w:numId w:val="19"/>
      </w:numPr>
      <w:spacing w:after="120" w:line="240" w:lineRule="auto"/>
    </w:pPr>
    <w:rPr>
      <w:rFonts w:ascii="Arial" w:eastAsia="Times New Roman" w:hAnsi="Arial" w:cs="Arial"/>
      <w:sz w:val="20"/>
      <w:szCs w:val="21"/>
    </w:rPr>
  </w:style>
  <w:style w:type="paragraph" w:customStyle="1" w:styleId="BulletLast">
    <w:name w:val="Bullet Last"/>
    <w:basedOn w:val="Bullets"/>
    <w:next w:val="BodyParagraph"/>
    <w:qFormat/>
    <w:rsid w:val="001B352B"/>
    <w:pPr>
      <w:spacing w:after="360"/>
    </w:pPr>
  </w:style>
  <w:style w:type="paragraph" w:styleId="FootnoteText">
    <w:name w:val="footnote text"/>
    <w:aliases w:val="Footnote Text1 Char,Footnote Text Char Ch"/>
    <w:basedOn w:val="Normal"/>
    <w:link w:val="FootnoteTextChar"/>
    <w:uiPriority w:val="99"/>
    <w:unhideWhenUsed/>
    <w:rsid w:val="001B352B"/>
    <w:pPr>
      <w:spacing w:after="0" w:line="240" w:lineRule="auto"/>
    </w:pPr>
    <w:rPr>
      <w:sz w:val="20"/>
      <w:szCs w:val="20"/>
    </w:rPr>
  </w:style>
  <w:style w:type="character" w:customStyle="1" w:styleId="FootnoteTextChar">
    <w:name w:val="Footnote Text Char"/>
    <w:aliases w:val="Footnote Text1 Char Char1,Footnote Text Char Ch Char1"/>
    <w:basedOn w:val="DefaultParagraphFont"/>
    <w:link w:val="FootnoteText"/>
    <w:uiPriority w:val="99"/>
    <w:rsid w:val="001B352B"/>
    <w:rPr>
      <w:sz w:val="20"/>
      <w:szCs w:val="20"/>
    </w:rPr>
  </w:style>
  <w:style w:type="character" w:styleId="FootnoteReference">
    <w:name w:val="footnote reference"/>
    <w:aliases w:val="o"/>
    <w:basedOn w:val="DefaultParagraphFont"/>
    <w:uiPriority w:val="99"/>
    <w:unhideWhenUsed/>
    <w:rsid w:val="001B352B"/>
    <w:rPr>
      <w:vertAlign w:val="superscript"/>
    </w:rPr>
  </w:style>
  <w:style w:type="paragraph" w:customStyle="1" w:styleId="Footnote">
    <w:name w:val="Footnote"/>
    <w:basedOn w:val="FootnoteText"/>
    <w:qFormat/>
    <w:rsid w:val="001B352B"/>
    <w:pPr>
      <w:spacing w:after="120"/>
    </w:pPr>
    <w:rPr>
      <w:rFonts w:ascii="Franklin Gothic Book" w:hAnsi="Franklin Gothic Book"/>
      <w:sz w:val="18"/>
    </w:rPr>
  </w:style>
  <w:style w:type="paragraph" w:customStyle="1" w:styleId="TableFigureCaption">
    <w:name w:val="Table Figure Caption"/>
    <w:basedOn w:val="Normal"/>
    <w:next w:val="BodyParaAfterTableFigure"/>
    <w:qFormat/>
    <w:rsid w:val="004E5D3E"/>
    <w:pPr>
      <w:keepNext/>
      <w:spacing w:after="120" w:line="240" w:lineRule="auto"/>
      <w:jc w:val="center"/>
    </w:pPr>
    <w:rPr>
      <w:rFonts w:ascii="Arial" w:hAnsi="Arial"/>
      <w:b/>
    </w:rPr>
  </w:style>
  <w:style w:type="table" w:styleId="TableGrid">
    <w:name w:val="Table Grid"/>
    <w:basedOn w:val="TableNormal"/>
    <w:uiPriority w:val="59"/>
    <w:rsid w:val="001B35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er">
    <w:name w:val="Table Header"/>
    <w:qFormat/>
    <w:rsid w:val="004E5D3E"/>
    <w:pPr>
      <w:spacing w:before="100" w:after="100" w:line="240" w:lineRule="auto"/>
      <w:jc w:val="center"/>
    </w:pPr>
    <w:rPr>
      <w:rFonts w:ascii="Arial" w:hAnsi="Arial"/>
      <w:b/>
      <w:color w:val="FFFBF0" w:themeColor="background1"/>
      <w:sz w:val="20"/>
    </w:rPr>
  </w:style>
  <w:style w:type="paragraph" w:customStyle="1" w:styleId="TableText">
    <w:name w:val="Table Text"/>
    <w:qFormat/>
    <w:rsid w:val="00142ACF"/>
    <w:pPr>
      <w:spacing w:before="60" w:after="60" w:line="240" w:lineRule="auto"/>
    </w:pPr>
    <w:rPr>
      <w:rFonts w:ascii="Arial" w:hAnsi="Arial"/>
      <w:sz w:val="18"/>
    </w:rPr>
  </w:style>
  <w:style w:type="paragraph" w:customStyle="1" w:styleId="BodyParaAfterTableFigure">
    <w:name w:val="Body Para After Table Figure"/>
    <w:basedOn w:val="BodyParagraph"/>
    <w:next w:val="BodyParagraph"/>
    <w:qFormat/>
    <w:rsid w:val="00B50663"/>
    <w:pPr>
      <w:spacing w:before="360"/>
    </w:pPr>
  </w:style>
  <w:style w:type="paragraph" w:customStyle="1" w:styleId="AppendixHeading">
    <w:name w:val="Appendix Heading"/>
    <w:basedOn w:val="Heading1"/>
    <w:next w:val="BodyParagraph"/>
    <w:qFormat/>
    <w:rsid w:val="003D68A0"/>
    <w:pPr>
      <w:numPr>
        <w:numId w:val="23"/>
      </w:numPr>
    </w:pPr>
  </w:style>
  <w:style w:type="character" w:customStyle="1" w:styleId="Heading4Char">
    <w:name w:val="Heading 4 Char"/>
    <w:basedOn w:val="DefaultParagraphFont"/>
    <w:link w:val="Heading4"/>
    <w:uiPriority w:val="9"/>
    <w:rsid w:val="00192CF8"/>
    <w:rPr>
      <w:rFonts w:ascii="Arial" w:eastAsiaTheme="majorEastAsia" w:hAnsi="Arial" w:cs="Arial"/>
      <w:b/>
      <w:bCs/>
      <w:i/>
      <w:iCs/>
      <w:color w:val="5F497A" w:themeColor="accent4" w:themeShade="BF"/>
      <w:sz w:val="24"/>
    </w:rPr>
  </w:style>
  <w:style w:type="character" w:customStyle="1" w:styleId="Heading5Char">
    <w:name w:val="Heading 5 Char"/>
    <w:basedOn w:val="DefaultParagraphFont"/>
    <w:link w:val="Heading5"/>
    <w:uiPriority w:val="9"/>
    <w:semiHidden/>
    <w:rsid w:val="0046277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6277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627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627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6277A"/>
    <w:rPr>
      <w:rFonts w:asciiTheme="majorHAnsi" w:eastAsiaTheme="majorEastAsia" w:hAnsiTheme="majorHAnsi" w:cstheme="majorBidi"/>
      <w:i/>
      <w:iCs/>
      <w:color w:val="404040" w:themeColor="text1" w:themeTint="BF"/>
      <w:sz w:val="20"/>
      <w:szCs w:val="20"/>
    </w:rPr>
  </w:style>
  <w:style w:type="paragraph" w:customStyle="1" w:styleId="AppendixHeading2">
    <w:name w:val="Appendix Heading 2"/>
    <w:basedOn w:val="Normal"/>
    <w:next w:val="BodyParagraph"/>
    <w:qFormat/>
    <w:rsid w:val="008E6E4B"/>
    <w:pPr>
      <w:numPr>
        <w:ilvl w:val="1"/>
        <w:numId w:val="23"/>
      </w:numPr>
      <w:spacing w:after="60" w:line="240" w:lineRule="auto"/>
      <w:ind w:left="720" w:hanging="720"/>
    </w:pPr>
    <w:rPr>
      <w:rFonts w:ascii="Arial Bold" w:hAnsi="Arial Bold"/>
      <w:b/>
      <w:color w:val="5F497A" w:themeColor="accent4" w:themeShade="BF"/>
      <w:sz w:val="26"/>
    </w:rPr>
  </w:style>
  <w:style w:type="paragraph" w:customStyle="1" w:styleId="AppendixHeading3">
    <w:name w:val="Appendix Heading 3"/>
    <w:basedOn w:val="Normal"/>
    <w:next w:val="BodyParagraph"/>
    <w:qFormat/>
    <w:rsid w:val="003A0F85"/>
    <w:pPr>
      <w:numPr>
        <w:ilvl w:val="2"/>
        <w:numId w:val="23"/>
      </w:numPr>
      <w:spacing w:after="60" w:line="240" w:lineRule="auto"/>
      <w:ind w:left="1260" w:hanging="900"/>
    </w:pPr>
    <w:rPr>
      <w:rFonts w:ascii="Arial Bold" w:hAnsi="Arial Bold"/>
      <w:b/>
      <w:color w:val="5F497A" w:themeColor="accent4" w:themeShade="BF"/>
      <w:sz w:val="24"/>
    </w:rPr>
  </w:style>
  <w:style w:type="paragraph" w:customStyle="1" w:styleId="AppendixHeading4">
    <w:name w:val="Appendix Heading 4"/>
    <w:basedOn w:val="BodyParagraph"/>
    <w:next w:val="BodyParagraph"/>
    <w:qFormat/>
    <w:rsid w:val="00F50A5A"/>
    <w:pPr>
      <w:spacing w:after="60" w:line="240" w:lineRule="auto"/>
      <w:ind w:firstLine="360"/>
    </w:pPr>
    <w:rPr>
      <w:rFonts w:ascii="Arial Bold" w:hAnsi="Arial Bold"/>
      <w:b/>
      <w:i/>
      <w:color w:val="5F497A" w:themeColor="accent4" w:themeShade="BF"/>
      <w:sz w:val="24"/>
    </w:rPr>
  </w:style>
  <w:style w:type="paragraph" w:styleId="TOC4">
    <w:name w:val="toc 4"/>
    <w:basedOn w:val="Normal"/>
    <w:next w:val="Normal"/>
    <w:autoRedefine/>
    <w:uiPriority w:val="39"/>
    <w:unhideWhenUsed/>
    <w:rsid w:val="001C1F7B"/>
    <w:pPr>
      <w:tabs>
        <w:tab w:val="left" w:pos="1530"/>
        <w:tab w:val="right" w:leader="dot" w:pos="8460"/>
      </w:tabs>
      <w:spacing w:after="100"/>
      <w:ind w:left="660"/>
    </w:pPr>
    <w:rPr>
      <w:rFonts w:ascii="Arial" w:hAnsi="Arial" w:cs="Arial"/>
      <w:noProof/>
      <w:sz w:val="24"/>
      <w:szCs w:val="24"/>
    </w:rPr>
  </w:style>
  <w:style w:type="numbering" w:customStyle="1" w:styleId="Numbered">
    <w:name w:val="Numbered"/>
    <w:basedOn w:val="NoList"/>
    <w:uiPriority w:val="99"/>
    <w:rsid w:val="00137F86"/>
    <w:pPr>
      <w:numPr>
        <w:numId w:val="33"/>
      </w:numPr>
    </w:pPr>
  </w:style>
  <w:style w:type="numbering" w:customStyle="1" w:styleId="NumberedSteps">
    <w:name w:val="Numbered Steps"/>
    <w:basedOn w:val="NoList"/>
    <w:uiPriority w:val="99"/>
    <w:rsid w:val="00137F86"/>
    <w:pPr>
      <w:numPr>
        <w:numId w:val="45"/>
      </w:numPr>
    </w:pPr>
  </w:style>
  <w:style w:type="paragraph" w:customStyle="1" w:styleId="Numbers">
    <w:name w:val="Numbers"/>
    <w:qFormat/>
    <w:rsid w:val="003D68A0"/>
    <w:pPr>
      <w:numPr>
        <w:numId w:val="47"/>
      </w:numPr>
      <w:spacing w:after="120" w:line="240" w:lineRule="auto"/>
    </w:pPr>
    <w:rPr>
      <w:rFonts w:ascii="Arial" w:eastAsia="Times New Roman" w:hAnsi="Arial" w:cs="Times New Roman"/>
      <w:sz w:val="20"/>
      <w:szCs w:val="28"/>
    </w:rPr>
  </w:style>
  <w:style w:type="paragraph" w:customStyle="1" w:styleId="NumbersLast">
    <w:name w:val="Numbers Last"/>
    <w:basedOn w:val="Numbers"/>
    <w:next w:val="BodyParagraph"/>
    <w:rsid w:val="007715BA"/>
    <w:pPr>
      <w:numPr>
        <w:numId w:val="48"/>
      </w:numPr>
      <w:spacing w:after="360"/>
    </w:pPr>
  </w:style>
  <w:style w:type="paragraph" w:customStyle="1" w:styleId="LetterDate">
    <w:name w:val="Letter Date"/>
    <w:next w:val="LetterAddressee"/>
    <w:qFormat/>
    <w:rsid w:val="00EB2941"/>
    <w:pPr>
      <w:spacing w:before="2000" w:line="240" w:lineRule="auto"/>
    </w:pPr>
    <w:rPr>
      <w:rFonts w:ascii="Arial" w:hAnsi="Arial"/>
    </w:rPr>
  </w:style>
  <w:style w:type="paragraph" w:customStyle="1" w:styleId="LetterAddressee">
    <w:name w:val="Letter Addressee"/>
    <w:next w:val="LetterSalutation"/>
    <w:qFormat/>
    <w:rsid w:val="00EB2941"/>
    <w:pPr>
      <w:spacing w:after="0" w:line="240" w:lineRule="auto"/>
    </w:pPr>
    <w:rPr>
      <w:rFonts w:ascii="Arial" w:hAnsi="Arial"/>
    </w:rPr>
  </w:style>
  <w:style w:type="paragraph" w:customStyle="1" w:styleId="LetterSalutation">
    <w:name w:val="Letter Salutation"/>
    <w:next w:val="BodyParagraph"/>
    <w:qFormat/>
    <w:rsid w:val="00EB2941"/>
    <w:pPr>
      <w:spacing w:before="400" w:line="240" w:lineRule="auto"/>
    </w:pPr>
    <w:rPr>
      <w:rFonts w:ascii="Arial" w:hAnsi="Arial"/>
    </w:rPr>
  </w:style>
  <w:style w:type="paragraph" w:customStyle="1" w:styleId="LetterClosing">
    <w:name w:val="Letter Closing"/>
    <w:qFormat/>
    <w:rsid w:val="00EB2941"/>
    <w:pPr>
      <w:spacing w:after="1000" w:line="240" w:lineRule="auto"/>
    </w:pPr>
    <w:rPr>
      <w:rFonts w:ascii="Arial" w:hAnsi="Arial"/>
    </w:rPr>
  </w:style>
  <w:style w:type="character" w:styleId="CommentReference">
    <w:name w:val="annotation reference"/>
    <w:basedOn w:val="DefaultParagraphFont"/>
    <w:uiPriority w:val="99"/>
    <w:semiHidden/>
    <w:unhideWhenUsed/>
    <w:rsid w:val="007A4C5D"/>
    <w:rPr>
      <w:sz w:val="16"/>
      <w:szCs w:val="16"/>
    </w:rPr>
  </w:style>
  <w:style w:type="paragraph" w:styleId="CommentText">
    <w:name w:val="annotation text"/>
    <w:basedOn w:val="Normal"/>
    <w:link w:val="CommentTextChar"/>
    <w:uiPriority w:val="99"/>
    <w:semiHidden/>
    <w:unhideWhenUsed/>
    <w:rsid w:val="007A4C5D"/>
    <w:pPr>
      <w:spacing w:line="240" w:lineRule="auto"/>
    </w:pPr>
    <w:rPr>
      <w:sz w:val="20"/>
      <w:szCs w:val="20"/>
    </w:rPr>
  </w:style>
  <w:style w:type="character" w:customStyle="1" w:styleId="CommentTextChar">
    <w:name w:val="Comment Text Char"/>
    <w:basedOn w:val="DefaultParagraphFont"/>
    <w:link w:val="CommentText"/>
    <w:uiPriority w:val="99"/>
    <w:semiHidden/>
    <w:rsid w:val="007A4C5D"/>
    <w:rPr>
      <w:sz w:val="20"/>
      <w:szCs w:val="20"/>
    </w:rPr>
  </w:style>
  <w:style w:type="paragraph" w:styleId="CommentSubject">
    <w:name w:val="annotation subject"/>
    <w:basedOn w:val="CommentText"/>
    <w:next w:val="CommentText"/>
    <w:link w:val="CommentSubjectChar"/>
    <w:uiPriority w:val="99"/>
    <w:semiHidden/>
    <w:unhideWhenUsed/>
    <w:rsid w:val="007A4C5D"/>
    <w:rPr>
      <w:b/>
      <w:bCs/>
    </w:rPr>
  </w:style>
  <w:style w:type="character" w:customStyle="1" w:styleId="CommentSubjectChar">
    <w:name w:val="Comment Subject Char"/>
    <w:basedOn w:val="CommentTextChar"/>
    <w:link w:val="CommentSubject"/>
    <w:uiPriority w:val="99"/>
    <w:semiHidden/>
    <w:rsid w:val="007A4C5D"/>
    <w:rPr>
      <w:b/>
      <w:bCs/>
      <w:sz w:val="20"/>
      <w:szCs w:val="20"/>
    </w:rPr>
  </w:style>
  <w:style w:type="paragraph" w:styleId="Revision">
    <w:name w:val="Revision"/>
    <w:hidden/>
    <w:uiPriority w:val="99"/>
    <w:semiHidden/>
    <w:rsid w:val="00577604"/>
    <w:pPr>
      <w:spacing w:after="0" w:line="240" w:lineRule="auto"/>
    </w:pPr>
  </w:style>
  <w:style w:type="character" w:customStyle="1" w:styleId="FootnoteTextChar1">
    <w:name w:val="Footnote Text Char1"/>
    <w:aliases w:val="Footnote Text1 Char Char,Footnote Text Char Ch Char"/>
    <w:basedOn w:val="DefaultParagraphFont"/>
    <w:uiPriority w:val="99"/>
    <w:semiHidden/>
    <w:locked/>
    <w:rsid w:val="00A57221"/>
    <w:rPr>
      <w:rFonts w:ascii="Arial" w:eastAsia="Times New Roman" w:hAnsi="Arial" w:cs="Times New Roman"/>
      <w:spacing w:val="-2"/>
      <w:sz w:val="20"/>
      <w:szCs w:val="20"/>
    </w:rPr>
  </w:style>
  <w:style w:type="paragraph" w:styleId="ListParagraph">
    <w:name w:val="List Paragraph"/>
    <w:basedOn w:val="Normal"/>
    <w:uiPriority w:val="34"/>
    <w:qFormat/>
    <w:rsid w:val="00A57221"/>
    <w:pPr>
      <w:spacing w:before="240" w:after="240" w:line="240" w:lineRule="auto"/>
      <w:ind w:left="720"/>
      <w:contextualSpacing/>
    </w:pPr>
    <w:rPr>
      <w:rFonts w:ascii="Arial" w:eastAsia="Times New Roman" w:hAnsi="Arial"/>
      <w:spacing w:val="-2"/>
    </w:rPr>
  </w:style>
  <w:style w:type="character" w:styleId="PlaceholderText">
    <w:name w:val="Placeholder Text"/>
    <w:basedOn w:val="DefaultParagraphFont"/>
    <w:uiPriority w:val="99"/>
    <w:semiHidden/>
    <w:rsid w:val="00A57221"/>
    <w:rPr>
      <w:color w:val="808080"/>
    </w:rPr>
  </w:style>
</w:styles>
</file>

<file path=word/webSettings.xml><?xml version="1.0" encoding="utf-8"?>
<w:webSettings xmlns:r="http://schemas.openxmlformats.org/officeDocument/2006/relationships" xmlns:w="http://schemas.openxmlformats.org/wordprocessingml/2006/main">
  <w:divs>
    <w:div w:id="34044805">
      <w:bodyDiv w:val="1"/>
      <w:marLeft w:val="0"/>
      <w:marRight w:val="0"/>
      <w:marTop w:val="0"/>
      <w:marBottom w:val="0"/>
      <w:divBdr>
        <w:top w:val="none" w:sz="0" w:space="0" w:color="auto"/>
        <w:left w:val="none" w:sz="0" w:space="0" w:color="auto"/>
        <w:bottom w:val="none" w:sz="0" w:space="0" w:color="auto"/>
        <w:right w:val="none" w:sz="0" w:space="0" w:color="auto"/>
      </w:divBdr>
    </w:div>
    <w:div w:id="46612875">
      <w:bodyDiv w:val="1"/>
      <w:marLeft w:val="0"/>
      <w:marRight w:val="0"/>
      <w:marTop w:val="0"/>
      <w:marBottom w:val="0"/>
      <w:divBdr>
        <w:top w:val="none" w:sz="0" w:space="0" w:color="auto"/>
        <w:left w:val="none" w:sz="0" w:space="0" w:color="auto"/>
        <w:bottom w:val="none" w:sz="0" w:space="0" w:color="auto"/>
        <w:right w:val="none" w:sz="0" w:space="0" w:color="auto"/>
      </w:divBdr>
    </w:div>
    <w:div w:id="56245555">
      <w:bodyDiv w:val="1"/>
      <w:marLeft w:val="0"/>
      <w:marRight w:val="0"/>
      <w:marTop w:val="0"/>
      <w:marBottom w:val="0"/>
      <w:divBdr>
        <w:top w:val="none" w:sz="0" w:space="0" w:color="auto"/>
        <w:left w:val="none" w:sz="0" w:space="0" w:color="auto"/>
        <w:bottom w:val="none" w:sz="0" w:space="0" w:color="auto"/>
        <w:right w:val="none" w:sz="0" w:space="0" w:color="auto"/>
      </w:divBdr>
    </w:div>
    <w:div w:id="63114123">
      <w:bodyDiv w:val="1"/>
      <w:marLeft w:val="0"/>
      <w:marRight w:val="0"/>
      <w:marTop w:val="0"/>
      <w:marBottom w:val="0"/>
      <w:divBdr>
        <w:top w:val="none" w:sz="0" w:space="0" w:color="auto"/>
        <w:left w:val="none" w:sz="0" w:space="0" w:color="auto"/>
        <w:bottom w:val="none" w:sz="0" w:space="0" w:color="auto"/>
        <w:right w:val="none" w:sz="0" w:space="0" w:color="auto"/>
      </w:divBdr>
    </w:div>
    <w:div w:id="184364768">
      <w:bodyDiv w:val="1"/>
      <w:marLeft w:val="0"/>
      <w:marRight w:val="0"/>
      <w:marTop w:val="0"/>
      <w:marBottom w:val="0"/>
      <w:divBdr>
        <w:top w:val="none" w:sz="0" w:space="0" w:color="auto"/>
        <w:left w:val="none" w:sz="0" w:space="0" w:color="auto"/>
        <w:bottom w:val="none" w:sz="0" w:space="0" w:color="auto"/>
        <w:right w:val="none" w:sz="0" w:space="0" w:color="auto"/>
      </w:divBdr>
    </w:div>
    <w:div w:id="248656105">
      <w:bodyDiv w:val="1"/>
      <w:marLeft w:val="0"/>
      <w:marRight w:val="0"/>
      <w:marTop w:val="0"/>
      <w:marBottom w:val="0"/>
      <w:divBdr>
        <w:top w:val="none" w:sz="0" w:space="0" w:color="auto"/>
        <w:left w:val="none" w:sz="0" w:space="0" w:color="auto"/>
        <w:bottom w:val="none" w:sz="0" w:space="0" w:color="auto"/>
        <w:right w:val="none" w:sz="0" w:space="0" w:color="auto"/>
      </w:divBdr>
    </w:div>
    <w:div w:id="264004283">
      <w:bodyDiv w:val="1"/>
      <w:marLeft w:val="0"/>
      <w:marRight w:val="0"/>
      <w:marTop w:val="0"/>
      <w:marBottom w:val="0"/>
      <w:divBdr>
        <w:top w:val="none" w:sz="0" w:space="0" w:color="auto"/>
        <w:left w:val="none" w:sz="0" w:space="0" w:color="auto"/>
        <w:bottom w:val="none" w:sz="0" w:space="0" w:color="auto"/>
        <w:right w:val="none" w:sz="0" w:space="0" w:color="auto"/>
      </w:divBdr>
    </w:div>
    <w:div w:id="336811204">
      <w:bodyDiv w:val="1"/>
      <w:marLeft w:val="0"/>
      <w:marRight w:val="0"/>
      <w:marTop w:val="0"/>
      <w:marBottom w:val="0"/>
      <w:divBdr>
        <w:top w:val="none" w:sz="0" w:space="0" w:color="auto"/>
        <w:left w:val="none" w:sz="0" w:space="0" w:color="auto"/>
        <w:bottom w:val="none" w:sz="0" w:space="0" w:color="auto"/>
        <w:right w:val="none" w:sz="0" w:space="0" w:color="auto"/>
      </w:divBdr>
    </w:div>
    <w:div w:id="368645173">
      <w:bodyDiv w:val="1"/>
      <w:marLeft w:val="0"/>
      <w:marRight w:val="0"/>
      <w:marTop w:val="0"/>
      <w:marBottom w:val="0"/>
      <w:divBdr>
        <w:top w:val="none" w:sz="0" w:space="0" w:color="auto"/>
        <w:left w:val="none" w:sz="0" w:space="0" w:color="auto"/>
        <w:bottom w:val="none" w:sz="0" w:space="0" w:color="auto"/>
        <w:right w:val="none" w:sz="0" w:space="0" w:color="auto"/>
      </w:divBdr>
    </w:div>
    <w:div w:id="393313231">
      <w:bodyDiv w:val="1"/>
      <w:marLeft w:val="0"/>
      <w:marRight w:val="0"/>
      <w:marTop w:val="0"/>
      <w:marBottom w:val="0"/>
      <w:divBdr>
        <w:top w:val="none" w:sz="0" w:space="0" w:color="auto"/>
        <w:left w:val="none" w:sz="0" w:space="0" w:color="auto"/>
        <w:bottom w:val="none" w:sz="0" w:space="0" w:color="auto"/>
        <w:right w:val="none" w:sz="0" w:space="0" w:color="auto"/>
      </w:divBdr>
    </w:div>
    <w:div w:id="399788290">
      <w:bodyDiv w:val="1"/>
      <w:marLeft w:val="0"/>
      <w:marRight w:val="0"/>
      <w:marTop w:val="0"/>
      <w:marBottom w:val="0"/>
      <w:divBdr>
        <w:top w:val="none" w:sz="0" w:space="0" w:color="auto"/>
        <w:left w:val="none" w:sz="0" w:space="0" w:color="auto"/>
        <w:bottom w:val="none" w:sz="0" w:space="0" w:color="auto"/>
        <w:right w:val="none" w:sz="0" w:space="0" w:color="auto"/>
      </w:divBdr>
    </w:div>
    <w:div w:id="401291644">
      <w:bodyDiv w:val="1"/>
      <w:marLeft w:val="0"/>
      <w:marRight w:val="0"/>
      <w:marTop w:val="0"/>
      <w:marBottom w:val="0"/>
      <w:divBdr>
        <w:top w:val="none" w:sz="0" w:space="0" w:color="auto"/>
        <w:left w:val="none" w:sz="0" w:space="0" w:color="auto"/>
        <w:bottom w:val="none" w:sz="0" w:space="0" w:color="auto"/>
        <w:right w:val="none" w:sz="0" w:space="0" w:color="auto"/>
      </w:divBdr>
    </w:div>
    <w:div w:id="440995339">
      <w:bodyDiv w:val="1"/>
      <w:marLeft w:val="0"/>
      <w:marRight w:val="0"/>
      <w:marTop w:val="0"/>
      <w:marBottom w:val="0"/>
      <w:divBdr>
        <w:top w:val="none" w:sz="0" w:space="0" w:color="auto"/>
        <w:left w:val="none" w:sz="0" w:space="0" w:color="auto"/>
        <w:bottom w:val="none" w:sz="0" w:space="0" w:color="auto"/>
        <w:right w:val="none" w:sz="0" w:space="0" w:color="auto"/>
      </w:divBdr>
    </w:div>
    <w:div w:id="511843737">
      <w:bodyDiv w:val="1"/>
      <w:marLeft w:val="0"/>
      <w:marRight w:val="0"/>
      <w:marTop w:val="0"/>
      <w:marBottom w:val="0"/>
      <w:divBdr>
        <w:top w:val="none" w:sz="0" w:space="0" w:color="auto"/>
        <w:left w:val="none" w:sz="0" w:space="0" w:color="auto"/>
        <w:bottom w:val="none" w:sz="0" w:space="0" w:color="auto"/>
        <w:right w:val="none" w:sz="0" w:space="0" w:color="auto"/>
      </w:divBdr>
    </w:div>
    <w:div w:id="600799466">
      <w:bodyDiv w:val="1"/>
      <w:marLeft w:val="0"/>
      <w:marRight w:val="0"/>
      <w:marTop w:val="0"/>
      <w:marBottom w:val="0"/>
      <w:divBdr>
        <w:top w:val="none" w:sz="0" w:space="0" w:color="auto"/>
        <w:left w:val="none" w:sz="0" w:space="0" w:color="auto"/>
        <w:bottom w:val="none" w:sz="0" w:space="0" w:color="auto"/>
        <w:right w:val="none" w:sz="0" w:space="0" w:color="auto"/>
      </w:divBdr>
    </w:div>
    <w:div w:id="615260824">
      <w:bodyDiv w:val="1"/>
      <w:marLeft w:val="0"/>
      <w:marRight w:val="0"/>
      <w:marTop w:val="0"/>
      <w:marBottom w:val="0"/>
      <w:divBdr>
        <w:top w:val="none" w:sz="0" w:space="0" w:color="auto"/>
        <w:left w:val="none" w:sz="0" w:space="0" w:color="auto"/>
        <w:bottom w:val="none" w:sz="0" w:space="0" w:color="auto"/>
        <w:right w:val="none" w:sz="0" w:space="0" w:color="auto"/>
      </w:divBdr>
    </w:div>
    <w:div w:id="633760056">
      <w:bodyDiv w:val="1"/>
      <w:marLeft w:val="0"/>
      <w:marRight w:val="0"/>
      <w:marTop w:val="0"/>
      <w:marBottom w:val="0"/>
      <w:divBdr>
        <w:top w:val="none" w:sz="0" w:space="0" w:color="auto"/>
        <w:left w:val="none" w:sz="0" w:space="0" w:color="auto"/>
        <w:bottom w:val="none" w:sz="0" w:space="0" w:color="auto"/>
        <w:right w:val="none" w:sz="0" w:space="0" w:color="auto"/>
      </w:divBdr>
    </w:div>
    <w:div w:id="638416341">
      <w:bodyDiv w:val="1"/>
      <w:marLeft w:val="0"/>
      <w:marRight w:val="0"/>
      <w:marTop w:val="0"/>
      <w:marBottom w:val="0"/>
      <w:divBdr>
        <w:top w:val="none" w:sz="0" w:space="0" w:color="auto"/>
        <w:left w:val="none" w:sz="0" w:space="0" w:color="auto"/>
        <w:bottom w:val="none" w:sz="0" w:space="0" w:color="auto"/>
        <w:right w:val="none" w:sz="0" w:space="0" w:color="auto"/>
      </w:divBdr>
    </w:div>
    <w:div w:id="678965241">
      <w:bodyDiv w:val="1"/>
      <w:marLeft w:val="0"/>
      <w:marRight w:val="0"/>
      <w:marTop w:val="0"/>
      <w:marBottom w:val="0"/>
      <w:divBdr>
        <w:top w:val="none" w:sz="0" w:space="0" w:color="auto"/>
        <w:left w:val="none" w:sz="0" w:space="0" w:color="auto"/>
        <w:bottom w:val="none" w:sz="0" w:space="0" w:color="auto"/>
        <w:right w:val="none" w:sz="0" w:space="0" w:color="auto"/>
      </w:divBdr>
    </w:div>
    <w:div w:id="683673088">
      <w:bodyDiv w:val="1"/>
      <w:marLeft w:val="0"/>
      <w:marRight w:val="0"/>
      <w:marTop w:val="0"/>
      <w:marBottom w:val="0"/>
      <w:divBdr>
        <w:top w:val="none" w:sz="0" w:space="0" w:color="auto"/>
        <w:left w:val="none" w:sz="0" w:space="0" w:color="auto"/>
        <w:bottom w:val="none" w:sz="0" w:space="0" w:color="auto"/>
        <w:right w:val="none" w:sz="0" w:space="0" w:color="auto"/>
      </w:divBdr>
    </w:div>
    <w:div w:id="708913216">
      <w:bodyDiv w:val="1"/>
      <w:marLeft w:val="0"/>
      <w:marRight w:val="0"/>
      <w:marTop w:val="0"/>
      <w:marBottom w:val="0"/>
      <w:divBdr>
        <w:top w:val="none" w:sz="0" w:space="0" w:color="auto"/>
        <w:left w:val="none" w:sz="0" w:space="0" w:color="auto"/>
        <w:bottom w:val="none" w:sz="0" w:space="0" w:color="auto"/>
        <w:right w:val="none" w:sz="0" w:space="0" w:color="auto"/>
      </w:divBdr>
    </w:div>
    <w:div w:id="717820165">
      <w:bodyDiv w:val="1"/>
      <w:marLeft w:val="0"/>
      <w:marRight w:val="0"/>
      <w:marTop w:val="0"/>
      <w:marBottom w:val="0"/>
      <w:divBdr>
        <w:top w:val="none" w:sz="0" w:space="0" w:color="auto"/>
        <w:left w:val="none" w:sz="0" w:space="0" w:color="auto"/>
        <w:bottom w:val="none" w:sz="0" w:space="0" w:color="auto"/>
        <w:right w:val="none" w:sz="0" w:space="0" w:color="auto"/>
      </w:divBdr>
    </w:div>
    <w:div w:id="739983132">
      <w:bodyDiv w:val="1"/>
      <w:marLeft w:val="0"/>
      <w:marRight w:val="0"/>
      <w:marTop w:val="0"/>
      <w:marBottom w:val="0"/>
      <w:divBdr>
        <w:top w:val="none" w:sz="0" w:space="0" w:color="auto"/>
        <w:left w:val="none" w:sz="0" w:space="0" w:color="auto"/>
        <w:bottom w:val="none" w:sz="0" w:space="0" w:color="auto"/>
        <w:right w:val="none" w:sz="0" w:space="0" w:color="auto"/>
      </w:divBdr>
    </w:div>
    <w:div w:id="747387450">
      <w:bodyDiv w:val="1"/>
      <w:marLeft w:val="0"/>
      <w:marRight w:val="0"/>
      <w:marTop w:val="0"/>
      <w:marBottom w:val="0"/>
      <w:divBdr>
        <w:top w:val="none" w:sz="0" w:space="0" w:color="auto"/>
        <w:left w:val="none" w:sz="0" w:space="0" w:color="auto"/>
        <w:bottom w:val="none" w:sz="0" w:space="0" w:color="auto"/>
        <w:right w:val="none" w:sz="0" w:space="0" w:color="auto"/>
      </w:divBdr>
    </w:div>
    <w:div w:id="752632071">
      <w:bodyDiv w:val="1"/>
      <w:marLeft w:val="0"/>
      <w:marRight w:val="0"/>
      <w:marTop w:val="0"/>
      <w:marBottom w:val="0"/>
      <w:divBdr>
        <w:top w:val="none" w:sz="0" w:space="0" w:color="auto"/>
        <w:left w:val="none" w:sz="0" w:space="0" w:color="auto"/>
        <w:bottom w:val="none" w:sz="0" w:space="0" w:color="auto"/>
        <w:right w:val="none" w:sz="0" w:space="0" w:color="auto"/>
      </w:divBdr>
    </w:div>
    <w:div w:id="795024406">
      <w:bodyDiv w:val="1"/>
      <w:marLeft w:val="0"/>
      <w:marRight w:val="0"/>
      <w:marTop w:val="0"/>
      <w:marBottom w:val="0"/>
      <w:divBdr>
        <w:top w:val="none" w:sz="0" w:space="0" w:color="auto"/>
        <w:left w:val="none" w:sz="0" w:space="0" w:color="auto"/>
        <w:bottom w:val="none" w:sz="0" w:space="0" w:color="auto"/>
        <w:right w:val="none" w:sz="0" w:space="0" w:color="auto"/>
      </w:divBdr>
    </w:div>
    <w:div w:id="861745781">
      <w:bodyDiv w:val="1"/>
      <w:marLeft w:val="0"/>
      <w:marRight w:val="0"/>
      <w:marTop w:val="0"/>
      <w:marBottom w:val="0"/>
      <w:divBdr>
        <w:top w:val="none" w:sz="0" w:space="0" w:color="auto"/>
        <w:left w:val="none" w:sz="0" w:space="0" w:color="auto"/>
        <w:bottom w:val="none" w:sz="0" w:space="0" w:color="auto"/>
        <w:right w:val="none" w:sz="0" w:space="0" w:color="auto"/>
      </w:divBdr>
    </w:div>
    <w:div w:id="873423305">
      <w:bodyDiv w:val="1"/>
      <w:marLeft w:val="0"/>
      <w:marRight w:val="0"/>
      <w:marTop w:val="0"/>
      <w:marBottom w:val="0"/>
      <w:divBdr>
        <w:top w:val="none" w:sz="0" w:space="0" w:color="auto"/>
        <w:left w:val="none" w:sz="0" w:space="0" w:color="auto"/>
        <w:bottom w:val="none" w:sz="0" w:space="0" w:color="auto"/>
        <w:right w:val="none" w:sz="0" w:space="0" w:color="auto"/>
      </w:divBdr>
    </w:div>
    <w:div w:id="959996003">
      <w:bodyDiv w:val="1"/>
      <w:marLeft w:val="0"/>
      <w:marRight w:val="0"/>
      <w:marTop w:val="0"/>
      <w:marBottom w:val="0"/>
      <w:divBdr>
        <w:top w:val="none" w:sz="0" w:space="0" w:color="auto"/>
        <w:left w:val="none" w:sz="0" w:space="0" w:color="auto"/>
        <w:bottom w:val="none" w:sz="0" w:space="0" w:color="auto"/>
        <w:right w:val="none" w:sz="0" w:space="0" w:color="auto"/>
      </w:divBdr>
    </w:div>
    <w:div w:id="1097873123">
      <w:bodyDiv w:val="1"/>
      <w:marLeft w:val="0"/>
      <w:marRight w:val="0"/>
      <w:marTop w:val="0"/>
      <w:marBottom w:val="0"/>
      <w:divBdr>
        <w:top w:val="none" w:sz="0" w:space="0" w:color="auto"/>
        <w:left w:val="none" w:sz="0" w:space="0" w:color="auto"/>
        <w:bottom w:val="none" w:sz="0" w:space="0" w:color="auto"/>
        <w:right w:val="none" w:sz="0" w:space="0" w:color="auto"/>
      </w:divBdr>
    </w:div>
    <w:div w:id="1111784973">
      <w:bodyDiv w:val="1"/>
      <w:marLeft w:val="0"/>
      <w:marRight w:val="0"/>
      <w:marTop w:val="0"/>
      <w:marBottom w:val="0"/>
      <w:divBdr>
        <w:top w:val="none" w:sz="0" w:space="0" w:color="auto"/>
        <w:left w:val="none" w:sz="0" w:space="0" w:color="auto"/>
        <w:bottom w:val="none" w:sz="0" w:space="0" w:color="auto"/>
        <w:right w:val="none" w:sz="0" w:space="0" w:color="auto"/>
      </w:divBdr>
    </w:div>
    <w:div w:id="1145662218">
      <w:bodyDiv w:val="1"/>
      <w:marLeft w:val="0"/>
      <w:marRight w:val="0"/>
      <w:marTop w:val="0"/>
      <w:marBottom w:val="0"/>
      <w:divBdr>
        <w:top w:val="none" w:sz="0" w:space="0" w:color="auto"/>
        <w:left w:val="none" w:sz="0" w:space="0" w:color="auto"/>
        <w:bottom w:val="none" w:sz="0" w:space="0" w:color="auto"/>
        <w:right w:val="none" w:sz="0" w:space="0" w:color="auto"/>
      </w:divBdr>
    </w:div>
    <w:div w:id="1149437826">
      <w:bodyDiv w:val="1"/>
      <w:marLeft w:val="0"/>
      <w:marRight w:val="0"/>
      <w:marTop w:val="0"/>
      <w:marBottom w:val="0"/>
      <w:divBdr>
        <w:top w:val="none" w:sz="0" w:space="0" w:color="auto"/>
        <w:left w:val="none" w:sz="0" w:space="0" w:color="auto"/>
        <w:bottom w:val="none" w:sz="0" w:space="0" w:color="auto"/>
        <w:right w:val="none" w:sz="0" w:space="0" w:color="auto"/>
      </w:divBdr>
    </w:div>
    <w:div w:id="1369182427">
      <w:bodyDiv w:val="1"/>
      <w:marLeft w:val="0"/>
      <w:marRight w:val="0"/>
      <w:marTop w:val="0"/>
      <w:marBottom w:val="0"/>
      <w:divBdr>
        <w:top w:val="none" w:sz="0" w:space="0" w:color="auto"/>
        <w:left w:val="none" w:sz="0" w:space="0" w:color="auto"/>
        <w:bottom w:val="none" w:sz="0" w:space="0" w:color="auto"/>
        <w:right w:val="none" w:sz="0" w:space="0" w:color="auto"/>
      </w:divBdr>
    </w:div>
    <w:div w:id="1369329555">
      <w:bodyDiv w:val="1"/>
      <w:marLeft w:val="0"/>
      <w:marRight w:val="0"/>
      <w:marTop w:val="0"/>
      <w:marBottom w:val="0"/>
      <w:divBdr>
        <w:top w:val="none" w:sz="0" w:space="0" w:color="auto"/>
        <w:left w:val="none" w:sz="0" w:space="0" w:color="auto"/>
        <w:bottom w:val="none" w:sz="0" w:space="0" w:color="auto"/>
        <w:right w:val="none" w:sz="0" w:space="0" w:color="auto"/>
      </w:divBdr>
    </w:div>
    <w:div w:id="1406026137">
      <w:bodyDiv w:val="1"/>
      <w:marLeft w:val="0"/>
      <w:marRight w:val="0"/>
      <w:marTop w:val="0"/>
      <w:marBottom w:val="0"/>
      <w:divBdr>
        <w:top w:val="none" w:sz="0" w:space="0" w:color="auto"/>
        <w:left w:val="none" w:sz="0" w:space="0" w:color="auto"/>
        <w:bottom w:val="none" w:sz="0" w:space="0" w:color="auto"/>
        <w:right w:val="none" w:sz="0" w:space="0" w:color="auto"/>
      </w:divBdr>
    </w:div>
    <w:div w:id="1423796349">
      <w:bodyDiv w:val="1"/>
      <w:marLeft w:val="0"/>
      <w:marRight w:val="0"/>
      <w:marTop w:val="0"/>
      <w:marBottom w:val="0"/>
      <w:divBdr>
        <w:top w:val="none" w:sz="0" w:space="0" w:color="auto"/>
        <w:left w:val="none" w:sz="0" w:space="0" w:color="auto"/>
        <w:bottom w:val="none" w:sz="0" w:space="0" w:color="auto"/>
        <w:right w:val="none" w:sz="0" w:space="0" w:color="auto"/>
      </w:divBdr>
    </w:div>
    <w:div w:id="1440177806">
      <w:bodyDiv w:val="1"/>
      <w:marLeft w:val="0"/>
      <w:marRight w:val="0"/>
      <w:marTop w:val="0"/>
      <w:marBottom w:val="0"/>
      <w:divBdr>
        <w:top w:val="none" w:sz="0" w:space="0" w:color="auto"/>
        <w:left w:val="none" w:sz="0" w:space="0" w:color="auto"/>
        <w:bottom w:val="none" w:sz="0" w:space="0" w:color="auto"/>
        <w:right w:val="none" w:sz="0" w:space="0" w:color="auto"/>
      </w:divBdr>
      <w:divsChild>
        <w:div w:id="289626090">
          <w:marLeft w:val="0"/>
          <w:marRight w:val="0"/>
          <w:marTop w:val="0"/>
          <w:marBottom w:val="0"/>
          <w:divBdr>
            <w:top w:val="none" w:sz="0" w:space="0" w:color="auto"/>
            <w:left w:val="none" w:sz="0" w:space="0" w:color="auto"/>
            <w:bottom w:val="none" w:sz="0" w:space="0" w:color="auto"/>
            <w:right w:val="none" w:sz="0" w:space="0" w:color="auto"/>
          </w:divBdr>
          <w:divsChild>
            <w:div w:id="1937900054">
              <w:marLeft w:val="0"/>
              <w:marRight w:val="0"/>
              <w:marTop w:val="112"/>
              <w:marBottom w:val="0"/>
              <w:divBdr>
                <w:top w:val="single" w:sz="8" w:space="6" w:color="666666"/>
                <w:left w:val="none" w:sz="0" w:space="0" w:color="auto"/>
                <w:bottom w:val="none" w:sz="0" w:space="0" w:color="auto"/>
                <w:right w:val="none" w:sz="0" w:space="0" w:color="auto"/>
              </w:divBdr>
            </w:div>
          </w:divsChild>
        </w:div>
      </w:divsChild>
    </w:div>
    <w:div w:id="1484084803">
      <w:bodyDiv w:val="1"/>
      <w:marLeft w:val="0"/>
      <w:marRight w:val="0"/>
      <w:marTop w:val="0"/>
      <w:marBottom w:val="0"/>
      <w:divBdr>
        <w:top w:val="none" w:sz="0" w:space="0" w:color="auto"/>
        <w:left w:val="none" w:sz="0" w:space="0" w:color="auto"/>
        <w:bottom w:val="none" w:sz="0" w:space="0" w:color="auto"/>
        <w:right w:val="none" w:sz="0" w:space="0" w:color="auto"/>
      </w:divBdr>
    </w:div>
    <w:div w:id="1555967377">
      <w:bodyDiv w:val="1"/>
      <w:marLeft w:val="0"/>
      <w:marRight w:val="0"/>
      <w:marTop w:val="0"/>
      <w:marBottom w:val="0"/>
      <w:divBdr>
        <w:top w:val="none" w:sz="0" w:space="0" w:color="auto"/>
        <w:left w:val="none" w:sz="0" w:space="0" w:color="auto"/>
        <w:bottom w:val="none" w:sz="0" w:space="0" w:color="auto"/>
        <w:right w:val="none" w:sz="0" w:space="0" w:color="auto"/>
      </w:divBdr>
    </w:div>
    <w:div w:id="1607493547">
      <w:bodyDiv w:val="1"/>
      <w:marLeft w:val="0"/>
      <w:marRight w:val="0"/>
      <w:marTop w:val="0"/>
      <w:marBottom w:val="0"/>
      <w:divBdr>
        <w:top w:val="none" w:sz="0" w:space="0" w:color="auto"/>
        <w:left w:val="none" w:sz="0" w:space="0" w:color="auto"/>
        <w:bottom w:val="none" w:sz="0" w:space="0" w:color="auto"/>
        <w:right w:val="none" w:sz="0" w:space="0" w:color="auto"/>
      </w:divBdr>
    </w:div>
    <w:div w:id="1614282812">
      <w:bodyDiv w:val="1"/>
      <w:marLeft w:val="0"/>
      <w:marRight w:val="0"/>
      <w:marTop w:val="0"/>
      <w:marBottom w:val="0"/>
      <w:divBdr>
        <w:top w:val="none" w:sz="0" w:space="0" w:color="auto"/>
        <w:left w:val="none" w:sz="0" w:space="0" w:color="auto"/>
        <w:bottom w:val="none" w:sz="0" w:space="0" w:color="auto"/>
        <w:right w:val="none" w:sz="0" w:space="0" w:color="auto"/>
      </w:divBdr>
    </w:div>
    <w:div w:id="1647973511">
      <w:bodyDiv w:val="1"/>
      <w:marLeft w:val="0"/>
      <w:marRight w:val="0"/>
      <w:marTop w:val="0"/>
      <w:marBottom w:val="0"/>
      <w:divBdr>
        <w:top w:val="none" w:sz="0" w:space="0" w:color="auto"/>
        <w:left w:val="none" w:sz="0" w:space="0" w:color="auto"/>
        <w:bottom w:val="none" w:sz="0" w:space="0" w:color="auto"/>
        <w:right w:val="none" w:sz="0" w:space="0" w:color="auto"/>
      </w:divBdr>
    </w:div>
    <w:div w:id="1690250567">
      <w:bodyDiv w:val="1"/>
      <w:marLeft w:val="0"/>
      <w:marRight w:val="0"/>
      <w:marTop w:val="0"/>
      <w:marBottom w:val="0"/>
      <w:divBdr>
        <w:top w:val="none" w:sz="0" w:space="0" w:color="auto"/>
        <w:left w:val="none" w:sz="0" w:space="0" w:color="auto"/>
        <w:bottom w:val="none" w:sz="0" w:space="0" w:color="auto"/>
        <w:right w:val="none" w:sz="0" w:space="0" w:color="auto"/>
      </w:divBdr>
    </w:div>
    <w:div w:id="1690598269">
      <w:bodyDiv w:val="1"/>
      <w:marLeft w:val="0"/>
      <w:marRight w:val="0"/>
      <w:marTop w:val="0"/>
      <w:marBottom w:val="0"/>
      <w:divBdr>
        <w:top w:val="none" w:sz="0" w:space="0" w:color="auto"/>
        <w:left w:val="none" w:sz="0" w:space="0" w:color="auto"/>
        <w:bottom w:val="none" w:sz="0" w:space="0" w:color="auto"/>
        <w:right w:val="none" w:sz="0" w:space="0" w:color="auto"/>
      </w:divBdr>
    </w:div>
    <w:div w:id="1730421431">
      <w:bodyDiv w:val="1"/>
      <w:marLeft w:val="0"/>
      <w:marRight w:val="0"/>
      <w:marTop w:val="0"/>
      <w:marBottom w:val="0"/>
      <w:divBdr>
        <w:top w:val="none" w:sz="0" w:space="0" w:color="auto"/>
        <w:left w:val="none" w:sz="0" w:space="0" w:color="auto"/>
        <w:bottom w:val="none" w:sz="0" w:space="0" w:color="auto"/>
        <w:right w:val="none" w:sz="0" w:space="0" w:color="auto"/>
      </w:divBdr>
    </w:div>
    <w:div w:id="1871337129">
      <w:bodyDiv w:val="1"/>
      <w:marLeft w:val="0"/>
      <w:marRight w:val="0"/>
      <w:marTop w:val="0"/>
      <w:marBottom w:val="0"/>
      <w:divBdr>
        <w:top w:val="none" w:sz="0" w:space="0" w:color="auto"/>
        <w:left w:val="none" w:sz="0" w:space="0" w:color="auto"/>
        <w:bottom w:val="none" w:sz="0" w:space="0" w:color="auto"/>
        <w:right w:val="none" w:sz="0" w:space="0" w:color="auto"/>
      </w:divBdr>
    </w:div>
    <w:div w:id="2035182829">
      <w:bodyDiv w:val="1"/>
      <w:marLeft w:val="0"/>
      <w:marRight w:val="0"/>
      <w:marTop w:val="0"/>
      <w:marBottom w:val="0"/>
      <w:divBdr>
        <w:top w:val="none" w:sz="0" w:space="0" w:color="auto"/>
        <w:left w:val="none" w:sz="0" w:space="0" w:color="auto"/>
        <w:bottom w:val="none" w:sz="0" w:space="0" w:color="auto"/>
        <w:right w:val="none" w:sz="0" w:space="0" w:color="auto"/>
      </w:divBdr>
    </w:div>
    <w:div w:id="2098862343">
      <w:bodyDiv w:val="1"/>
      <w:marLeft w:val="0"/>
      <w:marRight w:val="0"/>
      <w:marTop w:val="0"/>
      <w:marBottom w:val="0"/>
      <w:divBdr>
        <w:top w:val="none" w:sz="0" w:space="0" w:color="auto"/>
        <w:left w:val="none" w:sz="0" w:space="0" w:color="auto"/>
        <w:bottom w:val="none" w:sz="0" w:space="0" w:color="auto"/>
        <w:right w:val="none" w:sz="0" w:space="0" w:color="auto"/>
      </w:divBdr>
    </w:div>
    <w:div w:id="214133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image" Target="media/image7.wmf"/><Relationship Id="rId39" Type="http://schemas.openxmlformats.org/officeDocument/2006/relationships/image" Target="media/image20.wmf"/><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image" Target="media/image15.wmf"/><Relationship Id="rId42" Type="http://schemas.openxmlformats.org/officeDocument/2006/relationships/image" Target="media/image23.w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5.xml"/><Relationship Id="rId25"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image" Target="media/image19.wmf"/><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image" Target="media/image10.wmf"/><Relationship Id="rId41"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image" Target="media/image13.wmf"/><Relationship Id="rId37" Type="http://schemas.openxmlformats.org/officeDocument/2006/relationships/image" Target="media/image18.wmf"/><Relationship Id="rId40" Type="http://schemas.openxmlformats.org/officeDocument/2006/relationships/image" Target="media/image21.wmf"/><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image" Target="media/image17.wmf"/><Relationship Id="rId10" Type="http://schemas.openxmlformats.org/officeDocument/2006/relationships/footer" Target="footer1.xml"/><Relationship Id="rId19" Type="http://schemas.openxmlformats.org/officeDocument/2006/relationships/chart" Target="charts/chart7.xml"/><Relationship Id="rId31" Type="http://schemas.openxmlformats.org/officeDocument/2006/relationships/image" Target="media/image12.wmf"/><Relationship Id="rId44" Type="http://schemas.openxmlformats.org/officeDocument/2006/relationships/image" Target="media/image25.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image" Target="media/image24.wmf"/><Relationship Id="rId48" Type="http://schemas.openxmlformats.org/officeDocument/2006/relationships/theme" Target="theme/theme1.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6.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energy2\data\FSC\1538%20SDG&amp;E%20Summer%20Saver\Output\validation_temp_tem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nergy2\data\FSC\1538%20SDG&amp;E%20Summer%20Saver\Output\validation_temp_temp.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nergy2\data\FSC\1538%20SDG&amp;E%20Summer%20Saver\Modified%20Data\res%20ex%20post.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perry\Desktop\MP%20Summer%20Saver%20Tab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perry\Desktop\MP%20Summer%20Saver%20Tab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perry\Desktop\MP%20Summer%20Saver%20Tab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perry\Desktop\MP%20Summer%20Saver%20Tab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nergy2\data\FSC\1538%20SDG&amp;E%20Summer%20Saver\Output\usage_temp%20comp.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perry\Desktop\MP%20Summer%20Saver%20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lineMarker"/>
        <c:ser>
          <c:idx val="0"/>
          <c:order val="0"/>
          <c:tx>
            <c:strRef>
              <c:f>validation_temp!$B$1</c:f>
              <c:strCache>
                <c:ptCount val="1"/>
                <c:pt idx="0">
                  <c:v>Esitmated</c:v>
                </c:pt>
              </c:strCache>
            </c:strRef>
          </c:tx>
          <c:spPr>
            <a:ln w="28575">
              <a:noFill/>
            </a:ln>
          </c:spPr>
          <c:marker>
            <c:symbol val="diamond"/>
            <c:size val="7"/>
            <c:spPr>
              <a:solidFill>
                <a:schemeClr val="accent1"/>
              </a:solidFill>
            </c:spPr>
          </c:marker>
          <c:xVal>
            <c:numRef>
              <c:f>validation_temp!$A$2:$A$101</c:f>
              <c:numCache>
                <c:formatCode>General</c:formatCode>
                <c:ptCount val="100"/>
                <c:pt idx="0">
                  <c:v>80.044200000000927</c:v>
                </c:pt>
                <c:pt idx="1">
                  <c:v>80.118600000000001</c:v>
                </c:pt>
                <c:pt idx="2">
                  <c:v>80.2</c:v>
                </c:pt>
                <c:pt idx="3">
                  <c:v>80.221800000000002</c:v>
                </c:pt>
                <c:pt idx="4">
                  <c:v>80.257900000000006</c:v>
                </c:pt>
                <c:pt idx="5">
                  <c:v>80.293499999999995</c:v>
                </c:pt>
                <c:pt idx="6">
                  <c:v>80.304699999999997</c:v>
                </c:pt>
                <c:pt idx="7">
                  <c:v>80.450700000000012</c:v>
                </c:pt>
                <c:pt idx="8">
                  <c:v>80.474400000000003</c:v>
                </c:pt>
                <c:pt idx="9">
                  <c:v>80.502799999999979</c:v>
                </c:pt>
                <c:pt idx="10">
                  <c:v>80.526699999999991</c:v>
                </c:pt>
                <c:pt idx="11">
                  <c:v>80.717100000000627</c:v>
                </c:pt>
                <c:pt idx="12">
                  <c:v>80.736099999999993</c:v>
                </c:pt>
                <c:pt idx="13">
                  <c:v>80.755499999999998</c:v>
                </c:pt>
                <c:pt idx="14">
                  <c:v>80.810400000000001</c:v>
                </c:pt>
                <c:pt idx="15">
                  <c:v>80.9285</c:v>
                </c:pt>
                <c:pt idx="16">
                  <c:v>80.929400000000001</c:v>
                </c:pt>
                <c:pt idx="17">
                  <c:v>80.984300000000005</c:v>
                </c:pt>
                <c:pt idx="18">
                  <c:v>80.989599999999996</c:v>
                </c:pt>
                <c:pt idx="19">
                  <c:v>80.997400000000027</c:v>
                </c:pt>
                <c:pt idx="20">
                  <c:v>81.023499999999999</c:v>
                </c:pt>
                <c:pt idx="21">
                  <c:v>81.042000000000002</c:v>
                </c:pt>
                <c:pt idx="22">
                  <c:v>81.051999999999992</c:v>
                </c:pt>
                <c:pt idx="23">
                  <c:v>81.172999999999988</c:v>
                </c:pt>
                <c:pt idx="24">
                  <c:v>81.206800000000001</c:v>
                </c:pt>
                <c:pt idx="25">
                  <c:v>81.217100000000627</c:v>
                </c:pt>
                <c:pt idx="26">
                  <c:v>81.287000000000006</c:v>
                </c:pt>
                <c:pt idx="27">
                  <c:v>81.3155</c:v>
                </c:pt>
                <c:pt idx="28">
                  <c:v>81.326300000000003</c:v>
                </c:pt>
                <c:pt idx="29">
                  <c:v>81.332899999999981</c:v>
                </c:pt>
                <c:pt idx="30">
                  <c:v>81.427099999999996</c:v>
                </c:pt>
                <c:pt idx="31">
                  <c:v>81.453500000000005</c:v>
                </c:pt>
                <c:pt idx="32">
                  <c:v>81.507800000000003</c:v>
                </c:pt>
                <c:pt idx="33">
                  <c:v>81.550299999999993</c:v>
                </c:pt>
                <c:pt idx="34">
                  <c:v>81.591700000000003</c:v>
                </c:pt>
                <c:pt idx="35">
                  <c:v>81.699600000000004</c:v>
                </c:pt>
                <c:pt idx="36">
                  <c:v>81.919300000000007</c:v>
                </c:pt>
                <c:pt idx="37">
                  <c:v>81.992099999999994</c:v>
                </c:pt>
                <c:pt idx="38">
                  <c:v>82.027699999999996</c:v>
                </c:pt>
                <c:pt idx="39">
                  <c:v>82.058799999999948</c:v>
                </c:pt>
                <c:pt idx="40">
                  <c:v>82.235299999999995</c:v>
                </c:pt>
                <c:pt idx="41">
                  <c:v>82.259500000000003</c:v>
                </c:pt>
                <c:pt idx="42">
                  <c:v>82.368899999999982</c:v>
                </c:pt>
                <c:pt idx="43">
                  <c:v>82.456300000000013</c:v>
                </c:pt>
                <c:pt idx="44">
                  <c:v>82.462700000000012</c:v>
                </c:pt>
                <c:pt idx="45">
                  <c:v>82.5351</c:v>
                </c:pt>
                <c:pt idx="46">
                  <c:v>82.60629999999999</c:v>
                </c:pt>
                <c:pt idx="47">
                  <c:v>82.698799999999949</c:v>
                </c:pt>
                <c:pt idx="48">
                  <c:v>82.732299999999995</c:v>
                </c:pt>
                <c:pt idx="49">
                  <c:v>82.739099999999993</c:v>
                </c:pt>
                <c:pt idx="50">
                  <c:v>82.748700000000014</c:v>
                </c:pt>
                <c:pt idx="51">
                  <c:v>82.77079999999998</c:v>
                </c:pt>
                <c:pt idx="52">
                  <c:v>82.818200000000004</c:v>
                </c:pt>
                <c:pt idx="53">
                  <c:v>82.884999999999991</c:v>
                </c:pt>
                <c:pt idx="54">
                  <c:v>82.906200000000027</c:v>
                </c:pt>
                <c:pt idx="55">
                  <c:v>83.0184</c:v>
                </c:pt>
                <c:pt idx="56">
                  <c:v>83.075499999999948</c:v>
                </c:pt>
                <c:pt idx="57">
                  <c:v>83.097600000000227</c:v>
                </c:pt>
                <c:pt idx="58">
                  <c:v>83.231800000000007</c:v>
                </c:pt>
                <c:pt idx="59">
                  <c:v>83.262299999999996</c:v>
                </c:pt>
                <c:pt idx="60">
                  <c:v>83.356899999999982</c:v>
                </c:pt>
                <c:pt idx="61">
                  <c:v>83.430099999999996</c:v>
                </c:pt>
                <c:pt idx="62">
                  <c:v>83.459599999999995</c:v>
                </c:pt>
                <c:pt idx="63">
                  <c:v>83.693100000000001</c:v>
                </c:pt>
                <c:pt idx="64">
                  <c:v>83.728499999999983</c:v>
                </c:pt>
                <c:pt idx="65">
                  <c:v>83.798699999999997</c:v>
                </c:pt>
                <c:pt idx="66">
                  <c:v>83.811300000000003</c:v>
                </c:pt>
                <c:pt idx="67">
                  <c:v>83.816599999999994</c:v>
                </c:pt>
                <c:pt idx="68">
                  <c:v>83.823099999999982</c:v>
                </c:pt>
                <c:pt idx="69">
                  <c:v>83.919700000000006</c:v>
                </c:pt>
                <c:pt idx="70">
                  <c:v>83.941000000000727</c:v>
                </c:pt>
                <c:pt idx="71">
                  <c:v>84.042000000000002</c:v>
                </c:pt>
                <c:pt idx="72">
                  <c:v>84.152199999999979</c:v>
                </c:pt>
                <c:pt idx="73">
                  <c:v>84.22829999999999</c:v>
                </c:pt>
                <c:pt idx="74">
                  <c:v>84.330299999999994</c:v>
                </c:pt>
                <c:pt idx="75">
                  <c:v>84.360399999999998</c:v>
                </c:pt>
                <c:pt idx="76">
                  <c:v>84.451300000000003</c:v>
                </c:pt>
                <c:pt idx="77">
                  <c:v>84.452500000000001</c:v>
                </c:pt>
                <c:pt idx="78">
                  <c:v>84.480999999999995</c:v>
                </c:pt>
                <c:pt idx="79">
                  <c:v>84.501999999999995</c:v>
                </c:pt>
                <c:pt idx="80">
                  <c:v>84.782899999999998</c:v>
                </c:pt>
                <c:pt idx="81">
                  <c:v>85.124799999999979</c:v>
                </c:pt>
                <c:pt idx="82">
                  <c:v>85.184699999999992</c:v>
                </c:pt>
                <c:pt idx="83">
                  <c:v>85.213200000000327</c:v>
                </c:pt>
                <c:pt idx="84">
                  <c:v>85.302599999999998</c:v>
                </c:pt>
                <c:pt idx="85">
                  <c:v>85.517600000000527</c:v>
                </c:pt>
                <c:pt idx="86">
                  <c:v>85.627799999999979</c:v>
                </c:pt>
                <c:pt idx="87">
                  <c:v>85.632999999999981</c:v>
                </c:pt>
                <c:pt idx="88">
                  <c:v>85.639200000000002</c:v>
                </c:pt>
                <c:pt idx="89">
                  <c:v>86.207099999999997</c:v>
                </c:pt>
                <c:pt idx="90">
                  <c:v>86.283100000000005</c:v>
                </c:pt>
                <c:pt idx="91">
                  <c:v>86.509799999999998</c:v>
                </c:pt>
                <c:pt idx="92">
                  <c:v>86.888599999999983</c:v>
                </c:pt>
                <c:pt idx="93">
                  <c:v>87.098299999999995</c:v>
                </c:pt>
                <c:pt idx="94">
                  <c:v>87.507199999999997</c:v>
                </c:pt>
                <c:pt idx="95">
                  <c:v>88.863500000000002</c:v>
                </c:pt>
                <c:pt idx="96">
                  <c:v>90.996100000000027</c:v>
                </c:pt>
                <c:pt idx="97">
                  <c:v>93.089699999999993</c:v>
                </c:pt>
                <c:pt idx="98">
                  <c:v>94.028599999999983</c:v>
                </c:pt>
                <c:pt idx="99">
                  <c:v>94.062399999999982</c:v>
                </c:pt>
              </c:numCache>
            </c:numRef>
          </c:xVal>
          <c:yVal>
            <c:numRef>
              <c:f>validation_temp!$B$2:$B$101</c:f>
              <c:numCache>
                <c:formatCode>General</c:formatCode>
                <c:ptCount val="100"/>
                <c:pt idx="0">
                  <c:v>1.3456639999999978</c:v>
                </c:pt>
                <c:pt idx="1">
                  <c:v>1.5598389999999998</c:v>
                </c:pt>
                <c:pt idx="2">
                  <c:v>1.5663289999999999</c:v>
                </c:pt>
                <c:pt idx="3">
                  <c:v>1.0702320000000001</c:v>
                </c:pt>
                <c:pt idx="4">
                  <c:v>1.9309719999999904</c:v>
                </c:pt>
                <c:pt idx="5">
                  <c:v>1.341448</c:v>
                </c:pt>
                <c:pt idx="6">
                  <c:v>1.5429219999999795</c:v>
                </c:pt>
                <c:pt idx="7">
                  <c:v>1.2758219999999718</c:v>
                </c:pt>
                <c:pt idx="8">
                  <c:v>1.2859369999999797</c:v>
                </c:pt>
                <c:pt idx="9">
                  <c:v>1.1141300000000001</c:v>
                </c:pt>
                <c:pt idx="10">
                  <c:v>1.35019</c:v>
                </c:pt>
                <c:pt idx="11">
                  <c:v>1.4373919999999698</c:v>
                </c:pt>
                <c:pt idx="12">
                  <c:v>1.280659</c:v>
                </c:pt>
                <c:pt idx="13">
                  <c:v>1.4954809999999998</c:v>
                </c:pt>
                <c:pt idx="14">
                  <c:v>1.1927860000000001</c:v>
                </c:pt>
                <c:pt idx="15">
                  <c:v>0.99875609999999959</c:v>
                </c:pt>
                <c:pt idx="16">
                  <c:v>1.527452</c:v>
                </c:pt>
                <c:pt idx="17">
                  <c:v>1.5095459999999998</c:v>
                </c:pt>
                <c:pt idx="18">
                  <c:v>1.1559789999999999</c:v>
                </c:pt>
                <c:pt idx="19">
                  <c:v>1.2513389999999998</c:v>
                </c:pt>
                <c:pt idx="20">
                  <c:v>1.4581709999999999</c:v>
                </c:pt>
                <c:pt idx="21">
                  <c:v>1.846338</c:v>
                </c:pt>
                <c:pt idx="22">
                  <c:v>1.3038749999999795</c:v>
                </c:pt>
                <c:pt idx="23">
                  <c:v>1.301787</c:v>
                </c:pt>
                <c:pt idx="24">
                  <c:v>2.1721599999999968</c:v>
                </c:pt>
                <c:pt idx="25">
                  <c:v>0.91348889999999949</c:v>
                </c:pt>
                <c:pt idx="26">
                  <c:v>1.428118</c:v>
                </c:pt>
                <c:pt idx="27">
                  <c:v>1.705851</c:v>
                </c:pt>
                <c:pt idx="28">
                  <c:v>1.907978999999989</c:v>
                </c:pt>
                <c:pt idx="29">
                  <c:v>1.200682</c:v>
                </c:pt>
                <c:pt idx="30">
                  <c:v>1.2839829999999999</c:v>
                </c:pt>
                <c:pt idx="31">
                  <c:v>2.0265900000000001</c:v>
                </c:pt>
                <c:pt idx="32">
                  <c:v>1.253291999999977</c:v>
                </c:pt>
                <c:pt idx="33">
                  <c:v>1.1935819999999999</c:v>
                </c:pt>
                <c:pt idx="34">
                  <c:v>1.397632</c:v>
                </c:pt>
                <c:pt idx="35">
                  <c:v>1.860401</c:v>
                </c:pt>
                <c:pt idx="36">
                  <c:v>1.3641430000000001</c:v>
                </c:pt>
                <c:pt idx="37">
                  <c:v>1.085558</c:v>
                </c:pt>
                <c:pt idx="38">
                  <c:v>1.3232349999999817</c:v>
                </c:pt>
                <c:pt idx="39">
                  <c:v>1.3482470000000182</c:v>
                </c:pt>
                <c:pt idx="40">
                  <c:v>1.0055389999999838</c:v>
                </c:pt>
                <c:pt idx="41">
                  <c:v>1.3533649999999817</c:v>
                </c:pt>
                <c:pt idx="42">
                  <c:v>1.5271520000000001</c:v>
                </c:pt>
                <c:pt idx="43">
                  <c:v>1.2478409999999998</c:v>
                </c:pt>
                <c:pt idx="44">
                  <c:v>1.87426</c:v>
                </c:pt>
                <c:pt idx="45">
                  <c:v>1.28708</c:v>
                </c:pt>
                <c:pt idx="46">
                  <c:v>1.4593769999999813</c:v>
                </c:pt>
                <c:pt idx="47">
                  <c:v>0.9811744</c:v>
                </c:pt>
                <c:pt idx="48">
                  <c:v>1.6557409999999999</c:v>
                </c:pt>
                <c:pt idx="49">
                  <c:v>1.4233349999999731</c:v>
                </c:pt>
                <c:pt idx="50">
                  <c:v>1.4617359999999813</c:v>
                </c:pt>
                <c:pt idx="51">
                  <c:v>1.3522130000000001</c:v>
                </c:pt>
                <c:pt idx="52">
                  <c:v>1.4906170000000001</c:v>
                </c:pt>
                <c:pt idx="53">
                  <c:v>1.5922830000000001</c:v>
                </c:pt>
                <c:pt idx="54">
                  <c:v>0.93610170000000004</c:v>
                </c:pt>
                <c:pt idx="55">
                  <c:v>1.9035349999999789</c:v>
                </c:pt>
                <c:pt idx="56">
                  <c:v>1.627149</c:v>
                </c:pt>
                <c:pt idx="57">
                  <c:v>1.4695509999999998</c:v>
                </c:pt>
                <c:pt idx="58">
                  <c:v>1.8267119999999999</c:v>
                </c:pt>
                <c:pt idx="59">
                  <c:v>1.396763</c:v>
                </c:pt>
                <c:pt idx="60">
                  <c:v>1.3060590000000001</c:v>
                </c:pt>
                <c:pt idx="61">
                  <c:v>1.243039999999981</c:v>
                </c:pt>
                <c:pt idx="62">
                  <c:v>1.5039029999999998</c:v>
                </c:pt>
                <c:pt idx="63">
                  <c:v>1.8011959999999998</c:v>
                </c:pt>
                <c:pt idx="64">
                  <c:v>1.7499709999999904</c:v>
                </c:pt>
                <c:pt idx="65">
                  <c:v>1.4153699999999731</c:v>
                </c:pt>
                <c:pt idx="66">
                  <c:v>1.7636649999999852</c:v>
                </c:pt>
                <c:pt idx="67">
                  <c:v>1.83975</c:v>
                </c:pt>
                <c:pt idx="68">
                  <c:v>2.0447649999999999</c:v>
                </c:pt>
                <c:pt idx="69">
                  <c:v>1.634298</c:v>
                </c:pt>
                <c:pt idx="70">
                  <c:v>2.003009</c:v>
                </c:pt>
                <c:pt idx="71">
                  <c:v>1.7671820000000109</c:v>
                </c:pt>
                <c:pt idx="72">
                  <c:v>1.2491109999999999</c:v>
                </c:pt>
                <c:pt idx="73">
                  <c:v>1.3619489999999999</c:v>
                </c:pt>
                <c:pt idx="74">
                  <c:v>2.1766819999999987</c:v>
                </c:pt>
                <c:pt idx="75">
                  <c:v>1.9150570000000111</c:v>
                </c:pt>
                <c:pt idx="76">
                  <c:v>1.5991070000000001</c:v>
                </c:pt>
                <c:pt idx="77">
                  <c:v>1.955525999999989</c:v>
                </c:pt>
                <c:pt idx="78">
                  <c:v>1.6585300000000001</c:v>
                </c:pt>
                <c:pt idx="79">
                  <c:v>1.7684810000000086</c:v>
                </c:pt>
                <c:pt idx="80">
                  <c:v>1.5017249999999676</c:v>
                </c:pt>
                <c:pt idx="81">
                  <c:v>1.467601999999977</c:v>
                </c:pt>
                <c:pt idx="82">
                  <c:v>2.0967389999999977</c:v>
                </c:pt>
                <c:pt idx="83">
                  <c:v>1.7869600000000001</c:v>
                </c:pt>
                <c:pt idx="84">
                  <c:v>1.6273169999999999</c:v>
                </c:pt>
                <c:pt idx="85">
                  <c:v>1.737633999999989</c:v>
                </c:pt>
                <c:pt idx="86">
                  <c:v>1.5105999999999817</c:v>
                </c:pt>
                <c:pt idx="87">
                  <c:v>2.0390899999999967</c:v>
                </c:pt>
                <c:pt idx="88">
                  <c:v>1.6223820000000204</c:v>
                </c:pt>
                <c:pt idx="89">
                  <c:v>1.5999749999999815</c:v>
                </c:pt>
                <c:pt idx="90">
                  <c:v>1.7687510000000086</c:v>
                </c:pt>
                <c:pt idx="91">
                  <c:v>1.6018889999999999</c:v>
                </c:pt>
                <c:pt idx="92">
                  <c:v>1.8438029999999999</c:v>
                </c:pt>
                <c:pt idx="93">
                  <c:v>1.9793599999999998</c:v>
                </c:pt>
                <c:pt idx="94">
                  <c:v>1.6680720000000204</c:v>
                </c:pt>
                <c:pt idx="95">
                  <c:v>2.1236860000000002</c:v>
                </c:pt>
                <c:pt idx="96">
                  <c:v>2.0130819999999998</c:v>
                </c:pt>
                <c:pt idx="97">
                  <c:v>1.851918</c:v>
                </c:pt>
                <c:pt idx="98">
                  <c:v>1.3647180000000001</c:v>
                </c:pt>
                <c:pt idx="99">
                  <c:v>1.612268</c:v>
                </c:pt>
              </c:numCache>
            </c:numRef>
          </c:yVal>
        </c:ser>
        <c:ser>
          <c:idx val="1"/>
          <c:order val="1"/>
          <c:tx>
            <c:strRef>
              <c:f>validation_temp!$C$1</c:f>
              <c:strCache>
                <c:ptCount val="1"/>
                <c:pt idx="0">
                  <c:v>Actual</c:v>
                </c:pt>
              </c:strCache>
            </c:strRef>
          </c:tx>
          <c:spPr>
            <a:ln w="28575">
              <a:noFill/>
            </a:ln>
          </c:spPr>
          <c:marker>
            <c:spPr>
              <a:solidFill>
                <a:srgbClr val="00B050">
                  <a:alpha val="24000"/>
                </a:srgbClr>
              </a:solidFill>
              <a:ln>
                <a:solidFill>
                  <a:srgbClr val="00B050"/>
                </a:solidFill>
              </a:ln>
            </c:spPr>
          </c:marker>
          <c:xVal>
            <c:numRef>
              <c:f>validation_temp!$A$2:$A$101</c:f>
              <c:numCache>
                <c:formatCode>General</c:formatCode>
                <c:ptCount val="100"/>
                <c:pt idx="0">
                  <c:v>80.044200000000927</c:v>
                </c:pt>
                <c:pt idx="1">
                  <c:v>80.118600000000001</c:v>
                </c:pt>
                <c:pt idx="2">
                  <c:v>80.2</c:v>
                </c:pt>
                <c:pt idx="3">
                  <c:v>80.221800000000002</c:v>
                </c:pt>
                <c:pt idx="4">
                  <c:v>80.257900000000006</c:v>
                </c:pt>
                <c:pt idx="5">
                  <c:v>80.293499999999995</c:v>
                </c:pt>
                <c:pt idx="6">
                  <c:v>80.304699999999997</c:v>
                </c:pt>
                <c:pt idx="7">
                  <c:v>80.450700000000012</c:v>
                </c:pt>
                <c:pt idx="8">
                  <c:v>80.474400000000003</c:v>
                </c:pt>
                <c:pt idx="9">
                  <c:v>80.502799999999979</c:v>
                </c:pt>
                <c:pt idx="10">
                  <c:v>80.526699999999991</c:v>
                </c:pt>
                <c:pt idx="11">
                  <c:v>80.717100000000627</c:v>
                </c:pt>
                <c:pt idx="12">
                  <c:v>80.736099999999993</c:v>
                </c:pt>
                <c:pt idx="13">
                  <c:v>80.755499999999998</c:v>
                </c:pt>
                <c:pt idx="14">
                  <c:v>80.810400000000001</c:v>
                </c:pt>
                <c:pt idx="15">
                  <c:v>80.9285</c:v>
                </c:pt>
                <c:pt idx="16">
                  <c:v>80.929400000000001</c:v>
                </c:pt>
                <c:pt idx="17">
                  <c:v>80.984300000000005</c:v>
                </c:pt>
                <c:pt idx="18">
                  <c:v>80.989599999999996</c:v>
                </c:pt>
                <c:pt idx="19">
                  <c:v>80.997400000000027</c:v>
                </c:pt>
                <c:pt idx="20">
                  <c:v>81.023499999999999</c:v>
                </c:pt>
                <c:pt idx="21">
                  <c:v>81.042000000000002</c:v>
                </c:pt>
                <c:pt idx="22">
                  <c:v>81.051999999999992</c:v>
                </c:pt>
                <c:pt idx="23">
                  <c:v>81.172999999999988</c:v>
                </c:pt>
                <c:pt idx="24">
                  <c:v>81.206800000000001</c:v>
                </c:pt>
                <c:pt idx="25">
                  <c:v>81.217100000000627</c:v>
                </c:pt>
                <c:pt idx="26">
                  <c:v>81.287000000000006</c:v>
                </c:pt>
                <c:pt idx="27">
                  <c:v>81.3155</c:v>
                </c:pt>
                <c:pt idx="28">
                  <c:v>81.326300000000003</c:v>
                </c:pt>
                <c:pt idx="29">
                  <c:v>81.332899999999981</c:v>
                </c:pt>
                <c:pt idx="30">
                  <c:v>81.427099999999996</c:v>
                </c:pt>
                <c:pt idx="31">
                  <c:v>81.453500000000005</c:v>
                </c:pt>
                <c:pt idx="32">
                  <c:v>81.507800000000003</c:v>
                </c:pt>
                <c:pt idx="33">
                  <c:v>81.550299999999993</c:v>
                </c:pt>
                <c:pt idx="34">
                  <c:v>81.591700000000003</c:v>
                </c:pt>
                <c:pt idx="35">
                  <c:v>81.699600000000004</c:v>
                </c:pt>
                <c:pt idx="36">
                  <c:v>81.919300000000007</c:v>
                </c:pt>
                <c:pt idx="37">
                  <c:v>81.992099999999994</c:v>
                </c:pt>
                <c:pt idx="38">
                  <c:v>82.027699999999996</c:v>
                </c:pt>
                <c:pt idx="39">
                  <c:v>82.058799999999948</c:v>
                </c:pt>
                <c:pt idx="40">
                  <c:v>82.235299999999995</c:v>
                </c:pt>
                <c:pt idx="41">
                  <c:v>82.259500000000003</c:v>
                </c:pt>
                <c:pt idx="42">
                  <c:v>82.368899999999982</c:v>
                </c:pt>
                <c:pt idx="43">
                  <c:v>82.456300000000013</c:v>
                </c:pt>
                <c:pt idx="44">
                  <c:v>82.462700000000012</c:v>
                </c:pt>
                <c:pt idx="45">
                  <c:v>82.5351</c:v>
                </c:pt>
                <c:pt idx="46">
                  <c:v>82.60629999999999</c:v>
                </c:pt>
                <c:pt idx="47">
                  <c:v>82.698799999999949</c:v>
                </c:pt>
                <c:pt idx="48">
                  <c:v>82.732299999999995</c:v>
                </c:pt>
                <c:pt idx="49">
                  <c:v>82.739099999999993</c:v>
                </c:pt>
                <c:pt idx="50">
                  <c:v>82.748700000000014</c:v>
                </c:pt>
                <c:pt idx="51">
                  <c:v>82.77079999999998</c:v>
                </c:pt>
                <c:pt idx="52">
                  <c:v>82.818200000000004</c:v>
                </c:pt>
                <c:pt idx="53">
                  <c:v>82.884999999999991</c:v>
                </c:pt>
                <c:pt idx="54">
                  <c:v>82.906200000000027</c:v>
                </c:pt>
                <c:pt idx="55">
                  <c:v>83.0184</c:v>
                </c:pt>
                <c:pt idx="56">
                  <c:v>83.075499999999948</c:v>
                </c:pt>
                <c:pt idx="57">
                  <c:v>83.097600000000227</c:v>
                </c:pt>
                <c:pt idx="58">
                  <c:v>83.231800000000007</c:v>
                </c:pt>
                <c:pt idx="59">
                  <c:v>83.262299999999996</c:v>
                </c:pt>
                <c:pt idx="60">
                  <c:v>83.356899999999982</c:v>
                </c:pt>
                <c:pt idx="61">
                  <c:v>83.430099999999996</c:v>
                </c:pt>
                <c:pt idx="62">
                  <c:v>83.459599999999995</c:v>
                </c:pt>
                <c:pt idx="63">
                  <c:v>83.693100000000001</c:v>
                </c:pt>
                <c:pt idx="64">
                  <c:v>83.728499999999983</c:v>
                </c:pt>
                <c:pt idx="65">
                  <c:v>83.798699999999997</c:v>
                </c:pt>
                <c:pt idx="66">
                  <c:v>83.811300000000003</c:v>
                </c:pt>
                <c:pt idx="67">
                  <c:v>83.816599999999994</c:v>
                </c:pt>
                <c:pt idx="68">
                  <c:v>83.823099999999982</c:v>
                </c:pt>
                <c:pt idx="69">
                  <c:v>83.919700000000006</c:v>
                </c:pt>
                <c:pt idx="70">
                  <c:v>83.941000000000727</c:v>
                </c:pt>
                <c:pt idx="71">
                  <c:v>84.042000000000002</c:v>
                </c:pt>
                <c:pt idx="72">
                  <c:v>84.152199999999979</c:v>
                </c:pt>
                <c:pt idx="73">
                  <c:v>84.22829999999999</c:v>
                </c:pt>
                <c:pt idx="74">
                  <c:v>84.330299999999994</c:v>
                </c:pt>
                <c:pt idx="75">
                  <c:v>84.360399999999998</c:v>
                </c:pt>
                <c:pt idx="76">
                  <c:v>84.451300000000003</c:v>
                </c:pt>
                <c:pt idx="77">
                  <c:v>84.452500000000001</c:v>
                </c:pt>
                <c:pt idx="78">
                  <c:v>84.480999999999995</c:v>
                </c:pt>
                <c:pt idx="79">
                  <c:v>84.501999999999995</c:v>
                </c:pt>
                <c:pt idx="80">
                  <c:v>84.782899999999998</c:v>
                </c:pt>
                <c:pt idx="81">
                  <c:v>85.124799999999979</c:v>
                </c:pt>
                <c:pt idx="82">
                  <c:v>85.184699999999992</c:v>
                </c:pt>
                <c:pt idx="83">
                  <c:v>85.213200000000327</c:v>
                </c:pt>
                <c:pt idx="84">
                  <c:v>85.302599999999998</c:v>
                </c:pt>
                <c:pt idx="85">
                  <c:v>85.517600000000527</c:v>
                </c:pt>
                <c:pt idx="86">
                  <c:v>85.627799999999979</c:v>
                </c:pt>
                <c:pt idx="87">
                  <c:v>85.632999999999981</c:v>
                </c:pt>
                <c:pt idx="88">
                  <c:v>85.639200000000002</c:v>
                </c:pt>
                <c:pt idx="89">
                  <c:v>86.207099999999997</c:v>
                </c:pt>
                <c:pt idx="90">
                  <c:v>86.283100000000005</c:v>
                </c:pt>
                <c:pt idx="91">
                  <c:v>86.509799999999998</c:v>
                </c:pt>
                <c:pt idx="92">
                  <c:v>86.888599999999983</c:v>
                </c:pt>
                <c:pt idx="93">
                  <c:v>87.098299999999995</c:v>
                </c:pt>
                <c:pt idx="94">
                  <c:v>87.507199999999997</c:v>
                </c:pt>
                <c:pt idx="95">
                  <c:v>88.863500000000002</c:v>
                </c:pt>
                <c:pt idx="96">
                  <c:v>90.996100000000027</c:v>
                </c:pt>
                <c:pt idx="97">
                  <c:v>93.089699999999993</c:v>
                </c:pt>
                <c:pt idx="98">
                  <c:v>94.028599999999983</c:v>
                </c:pt>
                <c:pt idx="99">
                  <c:v>94.062399999999982</c:v>
                </c:pt>
              </c:numCache>
            </c:numRef>
          </c:xVal>
          <c:yVal>
            <c:numRef>
              <c:f>validation_temp!$C$2:$C$101</c:f>
              <c:numCache>
                <c:formatCode>General</c:formatCode>
                <c:ptCount val="100"/>
                <c:pt idx="0">
                  <c:v>1.328551</c:v>
                </c:pt>
                <c:pt idx="1">
                  <c:v>1.6392289999999998</c:v>
                </c:pt>
                <c:pt idx="2">
                  <c:v>1.7093649999999834</c:v>
                </c:pt>
                <c:pt idx="3">
                  <c:v>1.0294139999999998</c:v>
                </c:pt>
                <c:pt idx="4">
                  <c:v>1.9681949999999904</c:v>
                </c:pt>
                <c:pt idx="5">
                  <c:v>1.319151</c:v>
                </c:pt>
                <c:pt idx="6">
                  <c:v>1.5065959999999998</c:v>
                </c:pt>
                <c:pt idx="7">
                  <c:v>1.2654379999999998</c:v>
                </c:pt>
                <c:pt idx="8">
                  <c:v>1.2480739999999999</c:v>
                </c:pt>
                <c:pt idx="9">
                  <c:v>1.057415</c:v>
                </c:pt>
                <c:pt idx="10">
                  <c:v>1.2309999999999779</c:v>
                </c:pt>
                <c:pt idx="11">
                  <c:v>1.4277819999999797</c:v>
                </c:pt>
                <c:pt idx="12">
                  <c:v>1.2395999999999732</c:v>
                </c:pt>
                <c:pt idx="13">
                  <c:v>1.512597</c:v>
                </c:pt>
                <c:pt idx="14">
                  <c:v>1.1234999999999817</c:v>
                </c:pt>
                <c:pt idx="15">
                  <c:v>1.0278559999999999</c:v>
                </c:pt>
                <c:pt idx="16">
                  <c:v>1.559547</c:v>
                </c:pt>
                <c:pt idx="17">
                  <c:v>1.3055809999999999</c:v>
                </c:pt>
                <c:pt idx="18">
                  <c:v>1.0859029999999998</c:v>
                </c:pt>
                <c:pt idx="19">
                  <c:v>1.1389370000000001</c:v>
                </c:pt>
                <c:pt idx="20">
                  <c:v>1.554346</c:v>
                </c:pt>
                <c:pt idx="21">
                  <c:v>1.8438659999999998</c:v>
                </c:pt>
                <c:pt idx="22">
                  <c:v>1.2985070000000001</c:v>
                </c:pt>
                <c:pt idx="23">
                  <c:v>1.4036889999999898</c:v>
                </c:pt>
                <c:pt idx="24">
                  <c:v>2.1917589999999967</c:v>
                </c:pt>
                <c:pt idx="25">
                  <c:v>0.90622800000000003</c:v>
                </c:pt>
                <c:pt idx="26">
                  <c:v>1.4371789999999998</c:v>
                </c:pt>
                <c:pt idx="27">
                  <c:v>1.6968860000000001</c:v>
                </c:pt>
                <c:pt idx="28">
                  <c:v>1.9993949999999854</c:v>
                </c:pt>
                <c:pt idx="29">
                  <c:v>1.1973780000000001</c:v>
                </c:pt>
                <c:pt idx="30">
                  <c:v>1.2450779999999999</c:v>
                </c:pt>
                <c:pt idx="31">
                  <c:v>2.077499</c:v>
                </c:pt>
                <c:pt idx="32">
                  <c:v>1.210032</c:v>
                </c:pt>
                <c:pt idx="33">
                  <c:v>1.149956</c:v>
                </c:pt>
                <c:pt idx="34">
                  <c:v>1.4377619999999676</c:v>
                </c:pt>
                <c:pt idx="35">
                  <c:v>1.9016619999999769</c:v>
                </c:pt>
                <c:pt idx="36">
                  <c:v>1.3680780000000001</c:v>
                </c:pt>
                <c:pt idx="37">
                  <c:v>1.1808170000000204</c:v>
                </c:pt>
                <c:pt idx="38">
                  <c:v>1.4476759999999878</c:v>
                </c:pt>
                <c:pt idx="39">
                  <c:v>1.4344969999999795</c:v>
                </c:pt>
                <c:pt idx="40">
                  <c:v>1.1377359999999999</c:v>
                </c:pt>
                <c:pt idx="41">
                  <c:v>1.329232</c:v>
                </c:pt>
                <c:pt idx="42">
                  <c:v>1.616816</c:v>
                </c:pt>
                <c:pt idx="43">
                  <c:v>1.2115159999999998</c:v>
                </c:pt>
                <c:pt idx="44">
                  <c:v>2.0588179999999987</c:v>
                </c:pt>
                <c:pt idx="45">
                  <c:v>1.2481519999999999</c:v>
                </c:pt>
                <c:pt idx="46">
                  <c:v>1.2792239999999802</c:v>
                </c:pt>
                <c:pt idx="47">
                  <c:v>0.9391832</c:v>
                </c:pt>
                <c:pt idx="48">
                  <c:v>1.6158659999999998</c:v>
                </c:pt>
                <c:pt idx="49">
                  <c:v>1.5702909999999999</c:v>
                </c:pt>
                <c:pt idx="50">
                  <c:v>1.3948590000000001</c:v>
                </c:pt>
                <c:pt idx="51">
                  <c:v>1.2773329999999998</c:v>
                </c:pt>
                <c:pt idx="52">
                  <c:v>1.6084530000000001</c:v>
                </c:pt>
                <c:pt idx="53">
                  <c:v>1.597537</c:v>
                </c:pt>
                <c:pt idx="54">
                  <c:v>1.0378679999999998</c:v>
                </c:pt>
                <c:pt idx="55">
                  <c:v>1.961320999999989</c:v>
                </c:pt>
                <c:pt idx="56">
                  <c:v>1.6397959999999998</c:v>
                </c:pt>
                <c:pt idx="57">
                  <c:v>1.499457</c:v>
                </c:pt>
                <c:pt idx="58">
                  <c:v>1.9125959999999913</c:v>
                </c:pt>
                <c:pt idx="59">
                  <c:v>1.454053</c:v>
                </c:pt>
                <c:pt idx="60">
                  <c:v>1.3524039999999999</c:v>
                </c:pt>
                <c:pt idx="61">
                  <c:v>1.300678</c:v>
                </c:pt>
                <c:pt idx="62">
                  <c:v>1.5371659999999998</c:v>
                </c:pt>
                <c:pt idx="63">
                  <c:v>2.1172569999999977</c:v>
                </c:pt>
                <c:pt idx="64">
                  <c:v>1.7603100000000114</c:v>
                </c:pt>
                <c:pt idx="65">
                  <c:v>1.2723329999999999</c:v>
                </c:pt>
                <c:pt idx="66">
                  <c:v>1.8003089999999999</c:v>
                </c:pt>
                <c:pt idx="67">
                  <c:v>1.9317909999999854</c:v>
                </c:pt>
                <c:pt idx="68">
                  <c:v>2.0790689999999499</c:v>
                </c:pt>
                <c:pt idx="69">
                  <c:v>1.5605850000000001</c:v>
                </c:pt>
                <c:pt idx="70">
                  <c:v>2.0293909999999999</c:v>
                </c:pt>
                <c:pt idx="71">
                  <c:v>1.7801290000000001</c:v>
                </c:pt>
                <c:pt idx="72">
                  <c:v>1.1010009999999999</c:v>
                </c:pt>
                <c:pt idx="73">
                  <c:v>1.1782570000000283</c:v>
                </c:pt>
                <c:pt idx="74">
                  <c:v>2.2981259999999999</c:v>
                </c:pt>
                <c:pt idx="75">
                  <c:v>1.9250479999999999</c:v>
                </c:pt>
                <c:pt idx="76">
                  <c:v>1.528815</c:v>
                </c:pt>
                <c:pt idx="77">
                  <c:v>2.1988799999999977</c:v>
                </c:pt>
                <c:pt idx="78">
                  <c:v>1.682191</c:v>
                </c:pt>
                <c:pt idx="79">
                  <c:v>1.9052759999999958</c:v>
                </c:pt>
                <c:pt idx="80">
                  <c:v>1.404347</c:v>
                </c:pt>
                <c:pt idx="81">
                  <c:v>1.5178709999999958</c:v>
                </c:pt>
                <c:pt idx="82">
                  <c:v>2.2675250000000458</c:v>
                </c:pt>
                <c:pt idx="83">
                  <c:v>1.9245609999999918</c:v>
                </c:pt>
                <c:pt idx="84">
                  <c:v>1.8203570000000204</c:v>
                </c:pt>
                <c:pt idx="85">
                  <c:v>1.806697</c:v>
                </c:pt>
                <c:pt idx="86">
                  <c:v>1.5819859999999999</c:v>
                </c:pt>
                <c:pt idx="87">
                  <c:v>2.0873460000000001</c:v>
                </c:pt>
                <c:pt idx="88">
                  <c:v>1.7421660000000001</c:v>
                </c:pt>
                <c:pt idx="89">
                  <c:v>1.6105119999999999</c:v>
                </c:pt>
                <c:pt idx="90">
                  <c:v>1.8010459999999999</c:v>
                </c:pt>
                <c:pt idx="91">
                  <c:v>1.6741570000000296</c:v>
                </c:pt>
                <c:pt idx="92">
                  <c:v>1.9648009999999998</c:v>
                </c:pt>
                <c:pt idx="93">
                  <c:v>2.0975479999999997</c:v>
                </c:pt>
                <c:pt idx="94">
                  <c:v>1.7963680000000086</c:v>
                </c:pt>
                <c:pt idx="95">
                  <c:v>2.3637060000000001</c:v>
                </c:pt>
                <c:pt idx="96">
                  <c:v>2.231814</c:v>
                </c:pt>
                <c:pt idx="97">
                  <c:v>1.9250809999999998</c:v>
                </c:pt>
                <c:pt idx="98">
                  <c:v>1.3639520000000001</c:v>
                </c:pt>
                <c:pt idx="99">
                  <c:v>1.6186570000000204</c:v>
                </c:pt>
              </c:numCache>
            </c:numRef>
          </c:yVal>
        </c:ser>
        <c:axId val="63539840"/>
        <c:axId val="63542784"/>
      </c:scatterChart>
      <c:valAx>
        <c:axId val="63539840"/>
        <c:scaling>
          <c:orientation val="minMax"/>
        </c:scaling>
        <c:axPos val="b"/>
        <c:title>
          <c:tx>
            <c:rich>
              <a:bodyPr/>
              <a:lstStyle/>
              <a:p>
                <a:pPr>
                  <a:defRPr/>
                </a:pPr>
                <a:r>
                  <a:rPr lang="en-US"/>
                  <a:t>Temperature</a:t>
                </a:r>
              </a:p>
            </c:rich>
          </c:tx>
        </c:title>
        <c:numFmt formatCode="General" sourceLinked="1"/>
        <c:tickLblPos val="nextTo"/>
        <c:crossAx val="63542784"/>
        <c:crosses val="autoZero"/>
        <c:crossBetween val="midCat"/>
      </c:valAx>
      <c:valAx>
        <c:axId val="63542784"/>
        <c:scaling>
          <c:orientation val="minMax"/>
        </c:scaling>
        <c:axPos val="l"/>
        <c:majorGridlines/>
        <c:title>
          <c:tx>
            <c:rich>
              <a:bodyPr rot="-5400000" vert="horz"/>
              <a:lstStyle/>
              <a:p>
                <a:pPr>
                  <a:defRPr/>
                </a:pPr>
                <a:r>
                  <a:rPr lang="en-US"/>
                  <a:t>kWh</a:t>
                </a:r>
              </a:p>
            </c:rich>
          </c:tx>
        </c:title>
        <c:numFmt formatCode="General" sourceLinked="1"/>
        <c:tickLblPos val="nextTo"/>
        <c:crossAx val="63539840"/>
        <c:crosses val="autoZero"/>
        <c:crossBetween val="midCat"/>
      </c:valAx>
    </c:plotArea>
    <c:legend>
      <c:legendPos val="t"/>
    </c:legend>
    <c:plotVisOnly val="1"/>
    <c:dispBlanksAs val="gap"/>
  </c:chart>
  <c:txPr>
    <a:bodyPr/>
    <a:lstStyle/>
    <a:p>
      <a:pPr>
        <a:defRPr>
          <a:latin typeface="Arial" pitchFamily="34" charset="0"/>
          <a:cs typeface="Arial" pitchFamily="34"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lineMarker"/>
        <c:ser>
          <c:idx val="0"/>
          <c:order val="0"/>
          <c:tx>
            <c:strRef>
              <c:f>validation_temp!$B$1</c:f>
              <c:strCache>
                <c:ptCount val="1"/>
                <c:pt idx="0">
                  <c:v>Esitmated</c:v>
                </c:pt>
              </c:strCache>
            </c:strRef>
          </c:tx>
          <c:spPr>
            <a:ln w="28575">
              <a:noFill/>
            </a:ln>
          </c:spPr>
          <c:marker>
            <c:symbol val="diamond"/>
            <c:size val="7"/>
            <c:spPr>
              <a:solidFill>
                <a:schemeClr val="accent1"/>
              </a:solidFill>
            </c:spPr>
          </c:marker>
          <c:xVal>
            <c:numRef>
              <c:f>validation_temp!$A$2:$A$101</c:f>
              <c:numCache>
                <c:formatCode>General</c:formatCode>
                <c:ptCount val="100"/>
                <c:pt idx="0">
                  <c:v>80.373899999999978</c:v>
                </c:pt>
                <c:pt idx="1">
                  <c:v>80.887</c:v>
                </c:pt>
                <c:pt idx="2">
                  <c:v>81.145600000000002</c:v>
                </c:pt>
                <c:pt idx="3">
                  <c:v>81.647999999999996</c:v>
                </c:pt>
                <c:pt idx="4">
                  <c:v>83.5137</c:v>
                </c:pt>
                <c:pt idx="5">
                  <c:v>83.750600000000006</c:v>
                </c:pt>
                <c:pt idx="6">
                  <c:v>84.816900000000004</c:v>
                </c:pt>
                <c:pt idx="7">
                  <c:v>84.876799999999989</c:v>
                </c:pt>
                <c:pt idx="8">
                  <c:v>87.549000000000007</c:v>
                </c:pt>
                <c:pt idx="9">
                  <c:v>87.735100000000003</c:v>
                </c:pt>
                <c:pt idx="10">
                  <c:v>88.206800000000001</c:v>
                </c:pt>
                <c:pt idx="11">
                  <c:v>89.043300000000002</c:v>
                </c:pt>
                <c:pt idx="12">
                  <c:v>90.7864</c:v>
                </c:pt>
                <c:pt idx="13">
                  <c:v>90.921999999999997</c:v>
                </c:pt>
                <c:pt idx="14">
                  <c:v>90.922899999999998</c:v>
                </c:pt>
                <c:pt idx="15">
                  <c:v>91.031200000000027</c:v>
                </c:pt>
                <c:pt idx="16">
                  <c:v>91.1417</c:v>
                </c:pt>
                <c:pt idx="17">
                  <c:v>92.023600000000002</c:v>
                </c:pt>
                <c:pt idx="18">
                  <c:v>93.223500000000001</c:v>
                </c:pt>
                <c:pt idx="19">
                  <c:v>94.402600000000007</c:v>
                </c:pt>
                <c:pt idx="20">
                  <c:v>94.826099999999983</c:v>
                </c:pt>
              </c:numCache>
            </c:numRef>
          </c:xVal>
          <c:yVal>
            <c:numRef>
              <c:f>validation_temp!$B$2:$B$101</c:f>
              <c:numCache>
                <c:formatCode>General</c:formatCode>
                <c:ptCount val="100"/>
                <c:pt idx="0">
                  <c:v>1.8489800000000001</c:v>
                </c:pt>
                <c:pt idx="1">
                  <c:v>2.097896</c:v>
                </c:pt>
                <c:pt idx="2">
                  <c:v>2.9216509999999967</c:v>
                </c:pt>
                <c:pt idx="3">
                  <c:v>1.628579</c:v>
                </c:pt>
                <c:pt idx="4">
                  <c:v>2.7349709999999998</c:v>
                </c:pt>
                <c:pt idx="5">
                  <c:v>1.5764560000000001</c:v>
                </c:pt>
                <c:pt idx="6">
                  <c:v>1.5016879999999999</c:v>
                </c:pt>
                <c:pt idx="7">
                  <c:v>1.3536629999999998</c:v>
                </c:pt>
                <c:pt idx="8">
                  <c:v>1.6567909999999999</c:v>
                </c:pt>
                <c:pt idx="9">
                  <c:v>1.5095159999999999</c:v>
                </c:pt>
                <c:pt idx="10">
                  <c:v>1.8475470000000001</c:v>
                </c:pt>
                <c:pt idx="11">
                  <c:v>1.3113029999999999</c:v>
                </c:pt>
                <c:pt idx="12">
                  <c:v>1.312767</c:v>
                </c:pt>
                <c:pt idx="13">
                  <c:v>1.69659</c:v>
                </c:pt>
                <c:pt idx="14">
                  <c:v>1.2259169999999813</c:v>
                </c:pt>
                <c:pt idx="15">
                  <c:v>1.7571689999999998</c:v>
                </c:pt>
                <c:pt idx="16">
                  <c:v>1.782327</c:v>
                </c:pt>
                <c:pt idx="17">
                  <c:v>1.29413</c:v>
                </c:pt>
                <c:pt idx="18">
                  <c:v>0.9638582000000091</c:v>
                </c:pt>
                <c:pt idx="19">
                  <c:v>1.1358899999999998</c:v>
                </c:pt>
                <c:pt idx="20">
                  <c:v>1.01125</c:v>
                </c:pt>
              </c:numCache>
            </c:numRef>
          </c:yVal>
        </c:ser>
        <c:ser>
          <c:idx val="1"/>
          <c:order val="1"/>
          <c:tx>
            <c:strRef>
              <c:f>validation_temp!$C$1</c:f>
              <c:strCache>
                <c:ptCount val="1"/>
                <c:pt idx="0">
                  <c:v>Actual</c:v>
                </c:pt>
              </c:strCache>
            </c:strRef>
          </c:tx>
          <c:spPr>
            <a:ln w="28575">
              <a:noFill/>
            </a:ln>
          </c:spPr>
          <c:marker>
            <c:spPr>
              <a:solidFill>
                <a:srgbClr val="00B050">
                  <a:alpha val="24000"/>
                </a:srgbClr>
              </a:solidFill>
              <a:ln>
                <a:solidFill>
                  <a:srgbClr val="00B050"/>
                </a:solidFill>
              </a:ln>
            </c:spPr>
          </c:marker>
          <c:xVal>
            <c:numRef>
              <c:f>validation_temp!$A$2:$A$101</c:f>
              <c:numCache>
                <c:formatCode>General</c:formatCode>
                <c:ptCount val="100"/>
                <c:pt idx="0">
                  <c:v>80.373899999999978</c:v>
                </c:pt>
                <c:pt idx="1">
                  <c:v>80.887</c:v>
                </c:pt>
                <c:pt idx="2">
                  <c:v>81.145600000000002</c:v>
                </c:pt>
                <c:pt idx="3">
                  <c:v>81.647999999999996</c:v>
                </c:pt>
                <c:pt idx="4">
                  <c:v>83.5137</c:v>
                </c:pt>
                <c:pt idx="5">
                  <c:v>83.750600000000006</c:v>
                </c:pt>
                <c:pt idx="6">
                  <c:v>84.816900000000004</c:v>
                </c:pt>
                <c:pt idx="7">
                  <c:v>84.876799999999989</c:v>
                </c:pt>
                <c:pt idx="8">
                  <c:v>87.549000000000007</c:v>
                </c:pt>
                <c:pt idx="9">
                  <c:v>87.735100000000003</c:v>
                </c:pt>
                <c:pt idx="10">
                  <c:v>88.206800000000001</c:v>
                </c:pt>
                <c:pt idx="11">
                  <c:v>89.043300000000002</c:v>
                </c:pt>
                <c:pt idx="12">
                  <c:v>90.7864</c:v>
                </c:pt>
                <c:pt idx="13">
                  <c:v>90.921999999999997</c:v>
                </c:pt>
                <c:pt idx="14">
                  <c:v>90.922899999999998</c:v>
                </c:pt>
                <c:pt idx="15">
                  <c:v>91.031200000000027</c:v>
                </c:pt>
                <c:pt idx="16">
                  <c:v>91.1417</c:v>
                </c:pt>
                <c:pt idx="17">
                  <c:v>92.023600000000002</c:v>
                </c:pt>
                <c:pt idx="18">
                  <c:v>93.223500000000001</c:v>
                </c:pt>
                <c:pt idx="19">
                  <c:v>94.402600000000007</c:v>
                </c:pt>
                <c:pt idx="20">
                  <c:v>94.826099999999983</c:v>
                </c:pt>
              </c:numCache>
            </c:numRef>
          </c:xVal>
          <c:yVal>
            <c:numRef>
              <c:f>validation_temp!$C$2:$C$101</c:f>
              <c:numCache>
                <c:formatCode>General</c:formatCode>
                <c:ptCount val="100"/>
                <c:pt idx="0">
                  <c:v>1.8337229999999998</c:v>
                </c:pt>
                <c:pt idx="1">
                  <c:v>2.1897210000000467</c:v>
                </c:pt>
                <c:pt idx="2">
                  <c:v>2.8694449999999967</c:v>
                </c:pt>
                <c:pt idx="3">
                  <c:v>1.610179</c:v>
                </c:pt>
                <c:pt idx="4">
                  <c:v>2.6937739999999999</c:v>
                </c:pt>
                <c:pt idx="5">
                  <c:v>1.5543309999999999</c:v>
                </c:pt>
                <c:pt idx="6">
                  <c:v>1.4954479999999999</c:v>
                </c:pt>
                <c:pt idx="7">
                  <c:v>1.3431299999999817</c:v>
                </c:pt>
                <c:pt idx="8">
                  <c:v>1.7058319999999727</c:v>
                </c:pt>
                <c:pt idx="9">
                  <c:v>1.5121639999999998</c:v>
                </c:pt>
                <c:pt idx="10">
                  <c:v>1.8551009999999999</c:v>
                </c:pt>
                <c:pt idx="11">
                  <c:v>1.273661999999977</c:v>
                </c:pt>
                <c:pt idx="12">
                  <c:v>1.1975989999999999</c:v>
                </c:pt>
                <c:pt idx="13">
                  <c:v>1.7052639999999795</c:v>
                </c:pt>
                <c:pt idx="14">
                  <c:v>1.2459419999999797</c:v>
                </c:pt>
                <c:pt idx="15">
                  <c:v>1.7694459999999999</c:v>
                </c:pt>
                <c:pt idx="16">
                  <c:v>1.796046</c:v>
                </c:pt>
                <c:pt idx="17">
                  <c:v>1.1810369999999999</c:v>
                </c:pt>
                <c:pt idx="18">
                  <c:v>0.99201829999999958</c:v>
                </c:pt>
                <c:pt idx="19">
                  <c:v>1.193865</c:v>
                </c:pt>
                <c:pt idx="20">
                  <c:v>1.1141399999999999</c:v>
                </c:pt>
              </c:numCache>
            </c:numRef>
          </c:yVal>
        </c:ser>
        <c:axId val="136902528"/>
        <c:axId val="66539904"/>
      </c:scatterChart>
      <c:valAx>
        <c:axId val="136902528"/>
        <c:scaling>
          <c:orientation val="minMax"/>
        </c:scaling>
        <c:axPos val="b"/>
        <c:title>
          <c:tx>
            <c:rich>
              <a:bodyPr/>
              <a:lstStyle/>
              <a:p>
                <a:pPr>
                  <a:defRPr/>
                </a:pPr>
                <a:r>
                  <a:rPr lang="en-US"/>
                  <a:t>Temperature</a:t>
                </a:r>
              </a:p>
            </c:rich>
          </c:tx>
        </c:title>
        <c:numFmt formatCode="General" sourceLinked="1"/>
        <c:tickLblPos val="nextTo"/>
        <c:crossAx val="66539904"/>
        <c:crosses val="autoZero"/>
        <c:crossBetween val="midCat"/>
      </c:valAx>
      <c:valAx>
        <c:axId val="66539904"/>
        <c:scaling>
          <c:orientation val="minMax"/>
        </c:scaling>
        <c:axPos val="l"/>
        <c:majorGridlines/>
        <c:title>
          <c:tx>
            <c:rich>
              <a:bodyPr rot="-5400000" vert="horz"/>
              <a:lstStyle/>
              <a:p>
                <a:pPr>
                  <a:defRPr/>
                </a:pPr>
                <a:r>
                  <a:rPr lang="en-US"/>
                  <a:t>kWh</a:t>
                </a:r>
              </a:p>
            </c:rich>
          </c:tx>
        </c:title>
        <c:numFmt formatCode="General" sourceLinked="1"/>
        <c:tickLblPos val="nextTo"/>
        <c:crossAx val="136902528"/>
        <c:crosses val="autoZero"/>
        <c:crossBetween val="midCat"/>
      </c:valAx>
    </c:plotArea>
    <c:legend>
      <c:legendPos val="t"/>
    </c:legend>
    <c:plotVisOnly val="1"/>
    <c:dispBlanksAs val="gap"/>
  </c:chart>
  <c:txPr>
    <a:bodyPr/>
    <a:lstStyle/>
    <a:p>
      <a:pPr>
        <a:defRPr>
          <a:latin typeface="Arial" pitchFamily="34" charset="0"/>
          <a:cs typeface="Arial" pitchFamily="34"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pivotSource>
    <c:name>[res ex post.xls]Sheet1!PivotTable1</c:name>
    <c:fmtId val="-1"/>
  </c:pivotSource>
  <c:chart>
    <c:pivotFmts>
      <c:pivotFmt>
        <c:idx val="0"/>
        <c:marker>
          <c:symbol val="none"/>
        </c:marker>
      </c:pivotFmt>
      <c:pivotFmt>
        <c:idx val="1"/>
        <c:marker>
          <c:symbol val="none"/>
        </c:marker>
      </c:pivotFmt>
      <c:pivotFmt>
        <c:idx val="2"/>
        <c:marker>
          <c:symbol val="none"/>
        </c:marker>
      </c:pivotFmt>
      <c:pivotFmt>
        <c:idx val="3"/>
        <c:spPr>
          <a:ln>
            <a:prstDash val="sysDash"/>
          </a:ln>
        </c:spPr>
        <c:marker>
          <c:symbol val="none"/>
        </c:marker>
      </c:pivotFmt>
      <c:pivotFmt>
        <c:idx val="4"/>
        <c:marker>
          <c:symbol val="none"/>
        </c:marker>
      </c:pivotFmt>
      <c:pivotFmt>
        <c:idx val="5"/>
        <c:spPr>
          <a:ln>
            <a:prstDash val="sysDash"/>
          </a:ln>
        </c:spPr>
        <c:marker>
          <c:symbol val="none"/>
        </c:marker>
      </c:pivotFmt>
    </c:pivotFmts>
    <c:plotArea>
      <c:layout/>
      <c:lineChart>
        <c:grouping val="standard"/>
        <c:ser>
          <c:idx val="0"/>
          <c:order val="0"/>
          <c:tx>
            <c:strRef>
              <c:f>Sheet1!$B$3:$B$4</c:f>
              <c:strCache>
                <c:ptCount val="1"/>
                <c:pt idx="0">
                  <c:v>Average of Actual</c:v>
                </c:pt>
              </c:strCache>
            </c:strRef>
          </c:tx>
          <c:marker>
            <c:symbol val="none"/>
          </c:marker>
          <c:cat>
            <c:strRef>
              <c:f>Sheet1!$A$5:$A$29</c:f>
              <c:strCach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strCache>
            </c:strRef>
          </c:cat>
          <c:val>
            <c:numRef>
              <c:f>Sheet1!$B$5:$B$29</c:f>
              <c:numCache>
                <c:formatCode>General</c:formatCode>
                <c:ptCount val="24"/>
                <c:pt idx="0">
                  <c:v>0.97349155000000065</c:v>
                </c:pt>
                <c:pt idx="1">
                  <c:v>0.86275097500000064</c:v>
                </c:pt>
                <c:pt idx="2">
                  <c:v>0.7820319</c:v>
                </c:pt>
                <c:pt idx="3">
                  <c:v>0.67837760000001079</c:v>
                </c:pt>
                <c:pt idx="4">
                  <c:v>0.64808342500000005</c:v>
                </c:pt>
                <c:pt idx="5">
                  <c:v>0.67298925000001653</c:v>
                </c:pt>
                <c:pt idx="6">
                  <c:v>0.75780437500000064</c:v>
                </c:pt>
                <c:pt idx="7">
                  <c:v>0.85936780000000002</c:v>
                </c:pt>
                <c:pt idx="8">
                  <c:v>0.92200707500000001</c:v>
                </c:pt>
                <c:pt idx="9">
                  <c:v>1.0316162499999795</c:v>
                </c:pt>
                <c:pt idx="10">
                  <c:v>1.1896070000000001</c:v>
                </c:pt>
                <c:pt idx="11">
                  <c:v>1.2884602499999998</c:v>
                </c:pt>
                <c:pt idx="12">
                  <c:v>1.4116479999999998</c:v>
                </c:pt>
                <c:pt idx="13">
                  <c:v>1.5899427499999998</c:v>
                </c:pt>
                <c:pt idx="14">
                  <c:v>1.7866059999999999</c:v>
                </c:pt>
                <c:pt idx="15">
                  <c:v>1.8131492499999817</c:v>
                </c:pt>
                <c:pt idx="16">
                  <c:v>1.9001352499999999</c:v>
                </c:pt>
                <c:pt idx="17">
                  <c:v>1.866214</c:v>
                </c:pt>
                <c:pt idx="18">
                  <c:v>1.8185979999999999</c:v>
                </c:pt>
                <c:pt idx="19">
                  <c:v>1.6034797499999998</c:v>
                </c:pt>
                <c:pt idx="20">
                  <c:v>1.4866852499999998</c:v>
                </c:pt>
                <c:pt idx="21">
                  <c:v>1.4282694999999768</c:v>
                </c:pt>
                <c:pt idx="22">
                  <c:v>1.2272249999999714</c:v>
                </c:pt>
                <c:pt idx="23">
                  <c:v>0.9597279500000091</c:v>
                </c:pt>
              </c:numCache>
            </c:numRef>
          </c:val>
        </c:ser>
        <c:ser>
          <c:idx val="1"/>
          <c:order val="1"/>
          <c:tx>
            <c:strRef>
              <c:f>Sheet1!$C$3:$C$4</c:f>
              <c:strCache>
                <c:ptCount val="1"/>
                <c:pt idx="0">
                  <c:v>Average of Predicted</c:v>
                </c:pt>
              </c:strCache>
            </c:strRef>
          </c:tx>
          <c:spPr>
            <a:ln>
              <a:prstDash val="sysDash"/>
            </a:ln>
          </c:spPr>
          <c:marker>
            <c:symbol val="none"/>
          </c:marker>
          <c:cat>
            <c:strRef>
              <c:f>Sheet1!$A$5:$A$29</c:f>
              <c:strCach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strCache>
            </c:strRef>
          </c:cat>
          <c:val>
            <c:numRef>
              <c:f>Sheet1!$C$5:$C$29</c:f>
              <c:numCache>
                <c:formatCode>General</c:formatCode>
                <c:ptCount val="24"/>
                <c:pt idx="0">
                  <c:v>0.85990942500000989</c:v>
                </c:pt>
                <c:pt idx="1">
                  <c:v>0.76156659999998999</c:v>
                </c:pt>
                <c:pt idx="2">
                  <c:v>0.69503170000000003</c:v>
                </c:pt>
                <c:pt idx="3">
                  <c:v>0.65580597500001181</c:v>
                </c:pt>
                <c:pt idx="4">
                  <c:v>0.64840565000001193</c:v>
                </c:pt>
                <c:pt idx="5">
                  <c:v>0.66421395000000005</c:v>
                </c:pt>
                <c:pt idx="6">
                  <c:v>0.73126497499999998</c:v>
                </c:pt>
                <c:pt idx="7">
                  <c:v>0.79492877500000003</c:v>
                </c:pt>
                <c:pt idx="8">
                  <c:v>0.84856627499999959</c:v>
                </c:pt>
                <c:pt idx="9">
                  <c:v>0.98534714999998818</c:v>
                </c:pt>
                <c:pt idx="10">
                  <c:v>1.1445041250000001</c:v>
                </c:pt>
                <c:pt idx="11">
                  <c:v>1.2931507499999999</c:v>
                </c:pt>
                <c:pt idx="12">
                  <c:v>1.5378354999999795</c:v>
                </c:pt>
                <c:pt idx="13">
                  <c:v>1.6394222499999958</c:v>
                </c:pt>
                <c:pt idx="14">
                  <c:v>1.769069999999981</c:v>
                </c:pt>
                <c:pt idx="15">
                  <c:v>1.82245875</c:v>
                </c:pt>
                <c:pt idx="16">
                  <c:v>1.7865347499999817</c:v>
                </c:pt>
                <c:pt idx="17">
                  <c:v>1.7542409999999999</c:v>
                </c:pt>
                <c:pt idx="18">
                  <c:v>1.6056349999999813</c:v>
                </c:pt>
                <c:pt idx="19">
                  <c:v>1.4768764999999815</c:v>
                </c:pt>
                <c:pt idx="20">
                  <c:v>1.4461917499999795</c:v>
                </c:pt>
                <c:pt idx="21">
                  <c:v>1.3336689999999998</c:v>
                </c:pt>
                <c:pt idx="22">
                  <c:v>1.15425825</c:v>
                </c:pt>
                <c:pt idx="23">
                  <c:v>0.92003065000000062</c:v>
                </c:pt>
              </c:numCache>
            </c:numRef>
          </c:val>
        </c:ser>
        <c:marker val="1"/>
        <c:axId val="66550016"/>
        <c:axId val="66556288"/>
      </c:lineChart>
      <c:catAx>
        <c:axId val="66550016"/>
        <c:scaling>
          <c:orientation val="minMax"/>
        </c:scaling>
        <c:axPos val="b"/>
        <c:title>
          <c:tx>
            <c:rich>
              <a:bodyPr/>
              <a:lstStyle/>
              <a:p>
                <a:pPr>
                  <a:defRPr/>
                </a:pPr>
                <a:r>
                  <a:rPr lang="en-US"/>
                  <a:t>Hour Ending</a:t>
                </a:r>
              </a:p>
            </c:rich>
          </c:tx>
        </c:title>
        <c:tickLblPos val="nextTo"/>
        <c:crossAx val="66556288"/>
        <c:crosses val="autoZero"/>
        <c:auto val="1"/>
        <c:lblAlgn val="ctr"/>
        <c:lblOffset val="100"/>
        <c:tickLblSkip val="3"/>
      </c:catAx>
      <c:valAx>
        <c:axId val="66556288"/>
        <c:scaling>
          <c:orientation val="minMax"/>
        </c:scaling>
        <c:axPos val="l"/>
        <c:majorGridlines/>
        <c:title>
          <c:tx>
            <c:rich>
              <a:bodyPr rot="-5400000" vert="horz"/>
              <a:lstStyle/>
              <a:p>
                <a:pPr>
                  <a:defRPr/>
                </a:pPr>
                <a:r>
                  <a:rPr lang="en-US"/>
                  <a:t>kWh</a:t>
                </a:r>
              </a:p>
            </c:rich>
          </c:tx>
        </c:title>
        <c:numFmt formatCode="General" sourceLinked="1"/>
        <c:tickLblPos val="nextTo"/>
        <c:crossAx val="66550016"/>
        <c:crosses val="autoZero"/>
        <c:crossBetween val="between"/>
      </c:valAx>
    </c:plotArea>
    <c:legend>
      <c:legendPos val="t"/>
    </c:legend>
    <c:plotVisOnly val="1"/>
    <c:dispBlanksAs val="gap"/>
  </c:chart>
  <c:txPr>
    <a:bodyPr/>
    <a:lstStyle/>
    <a:p>
      <a:pPr>
        <a:defRPr>
          <a:latin typeface="Arial" pitchFamily="34" charset="0"/>
          <a:cs typeface="Arial" pitchFamily="34"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lineMarker"/>
        <c:ser>
          <c:idx val="0"/>
          <c:order val="0"/>
          <c:tx>
            <c:v>2010 Ex Ante Values</c:v>
          </c:tx>
          <c:spPr>
            <a:ln w="28575">
              <a:noFill/>
            </a:ln>
          </c:spPr>
          <c:trendline>
            <c:spPr>
              <a:ln>
                <a:prstDash val="sysDash"/>
              </a:ln>
            </c:spPr>
            <c:trendlineType val="linear"/>
          </c:trendline>
          <c:xVal>
            <c:numRef>
              <c:f>'Res Ex Ante'!$H$43:$H$56</c:f>
              <c:numCache>
                <c:formatCode>General</c:formatCode>
                <c:ptCount val="14"/>
                <c:pt idx="0">
                  <c:v>79.739400000000003</c:v>
                </c:pt>
                <c:pt idx="1">
                  <c:v>78.250429999999994</c:v>
                </c:pt>
                <c:pt idx="2">
                  <c:v>78.655989999999989</c:v>
                </c:pt>
                <c:pt idx="3">
                  <c:v>75.071119999999993</c:v>
                </c:pt>
                <c:pt idx="4">
                  <c:v>78.032259999999994</c:v>
                </c:pt>
                <c:pt idx="5">
                  <c:v>81.04589</c:v>
                </c:pt>
                <c:pt idx="6">
                  <c:v>79.1661</c:v>
                </c:pt>
                <c:pt idx="7">
                  <c:v>77.18886999999998</c:v>
                </c:pt>
                <c:pt idx="8">
                  <c:v>75.579099999999983</c:v>
                </c:pt>
                <c:pt idx="9">
                  <c:v>69.901650000000501</c:v>
                </c:pt>
                <c:pt idx="10">
                  <c:v>74.967290000000517</c:v>
                </c:pt>
                <c:pt idx="11">
                  <c:v>76.691550000000007</c:v>
                </c:pt>
                <c:pt idx="12">
                  <c:v>79.435670000000002</c:v>
                </c:pt>
                <c:pt idx="13">
                  <c:v>76.643680000000003</c:v>
                </c:pt>
              </c:numCache>
            </c:numRef>
          </c:xVal>
          <c:yVal>
            <c:numRef>
              <c:f>'Res Ex Ante'!$I$43:$I$56</c:f>
              <c:numCache>
                <c:formatCode>General</c:formatCode>
                <c:ptCount val="14"/>
                <c:pt idx="0">
                  <c:v>0.47969200000000001</c:v>
                </c:pt>
                <c:pt idx="1">
                  <c:v>0.43315800000000032</c:v>
                </c:pt>
                <c:pt idx="2">
                  <c:v>0.43800610000000173</c:v>
                </c:pt>
                <c:pt idx="3">
                  <c:v>0.45477070000000008</c:v>
                </c:pt>
                <c:pt idx="4">
                  <c:v>0.49503680000000155</c:v>
                </c:pt>
                <c:pt idx="5">
                  <c:v>0.54357460000000002</c:v>
                </c:pt>
                <c:pt idx="6">
                  <c:v>0.45446970000000031</c:v>
                </c:pt>
                <c:pt idx="7">
                  <c:v>0.38091090000000288</c:v>
                </c:pt>
                <c:pt idx="8">
                  <c:v>0.30546970000000173</c:v>
                </c:pt>
                <c:pt idx="9">
                  <c:v>0.14947690000000041</c:v>
                </c:pt>
                <c:pt idx="10">
                  <c:v>0.35765080000000032</c:v>
                </c:pt>
                <c:pt idx="11">
                  <c:v>0.50246869999999688</c:v>
                </c:pt>
                <c:pt idx="12">
                  <c:v>0.490533</c:v>
                </c:pt>
                <c:pt idx="13">
                  <c:v>0.37853140000000002</c:v>
                </c:pt>
              </c:numCache>
            </c:numRef>
          </c:yVal>
        </c:ser>
        <c:ser>
          <c:idx val="1"/>
          <c:order val="1"/>
          <c:tx>
            <c:v>2011 Ex Ante Values</c:v>
          </c:tx>
          <c:spPr>
            <a:ln w="28575">
              <a:noFill/>
            </a:ln>
          </c:spPr>
          <c:trendline>
            <c:trendlineType val="linear"/>
          </c:trendline>
          <c:xVal>
            <c:numRef>
              <c:f>'Res Ex Ante'!$H$57:$H$70</c:f>
              <c:numCache>
                <c:formatCode>General</c:formatCode>
                <c:ptCount val="14"/>
                <c:pt idx="0">
                  <c:v>80.741900000000413</c:v>
                </c:pt>
                <c:pt idx="1">
                  <c:v>80.50203999999998</c:v>
                </c:pt>
                <c:pt idx="2">
                  <c:v>78.716160000000443</c:v>
                </c:pt>
                <c:pt idx="3">
                  <c:v>75.14570999999998</c:v>
                </c:pt>
                <c:pt idx="4">
                  <c:v>75.869050000000001</c:v>
                </c:pt>
                <c:pt idx="5">
                  <c:v>86.695379999999858</c:v>
                </c:pt>
                <c:pt idx="6">
                  <c:v>80.213630000000023</c:v>
                </c:pt>
                <c:pt idx="7">
                  <c:v>77.342100000000002</c:v>
                </c:pt>
                <c:pt idx="8">
                  <c:v>77.584900000000005</c:v>
                </c:pt>
                <c:pt idx="9">
                  <c:v>68.692739999999958</c:v>
                </c:pt>
                <c:pt idx="10">
                  <c:v>68.297900000000027</c:v>
                </c:pt>
                <c:pt idx="11">
                  <c:v>73.628989999999988</c:v>
                </c:pt>
                <c:pt idx="12">
                  <c:v>81.736720000000005</c:v>
                </c:pt>
                <c:pt idx="13">
                  <c:v>77.605509999999981</c:v>
                </c:pt>
              </c:numCache>
            </c:numRef>
          </c:xVal>
          <c:yVal>
            <c:numRef>
              <c:f>'Res Ex Ante'!$I$57:$I$70</c:f>
              <c:numCache>
                <c:formatCode>General</c:formatCode>
                <c:ptCount val="14"/>
                <c:pt idx="0">
                  <c:v>0.47548010000000202</c:v>
                </c:pt>
                <c:pt idx="1">
                  <c:v>0.51740019999999642</c:v>
                </c:pt>
                <c:pt idx="2">
                  <c:v>0.33934200000000236</c:v>
                </c:pt>
                <c:pt idx="3">
                  <c:v>0.38977480000000236</c:v>
                </c:pt>
                <c:pt idx="4">
                  <c:v>0.46718250000000155</c:v>
                </c:pt>
                <c:pt idx="5">
                  <c:v>0.82568039999999998</c:v>
                </c:pt>
                <c:pt idx="6">
                  <c:v>0.47896470000000202</c:v>
                </c:pt>
                <c:pt idx="7">
                  <c:v>0.37826450000000167</c:v>
                </c:pt>
                <c:pt idx="8">
                  <c:v>0.42033620000000038</c:v>
                </c:pt>
                <c:pt idx="9">
                  <c:v>9.2417199999999977E-2</c:v>
                </c:pt>
                <c:pt idx="10">
                  <c:v>0.17108180000000001</c:v>
                </c:pt>
                <c:pt idx="11">
                  <c:v>0.37958620000000276</c:v>
                </c:pt>
                <c:pt idx="12">
                  <c:v>0.63966100000000403</c:v>
                </c:pt>
                <c:pt idx="13">
                  <c:v>0.40861720000000001</c:v>
                </c:pt>
              </c:numCache>
            </c:numRef>
          </c:yVal>
        </c:ser>
        <c:axId val="122294656"/>
        <c:axId val="122296576"/>
      </c:scatterChart>
      <c:valAx>
        <c:axId val="122294656"/>
        <c:scaling>
          <c:orientation val="minMax"/>
          <c:max val="90"/>
          <c:min val="65"/>
        </c:scaling>
        <c:axPos val="b"/>
        <c:title>
          <c:tx>
            <c:rich>
              <a:bodyPr/>
              <a:lstStyle/>
              <a:p>
                <a:pPr>
                  <a:defRPr/>
                </a:pPr>
                <a:r>
                  <a:rPr lang="en-US"/>
                  <a:t>Mean Temperature Midnight-5 PM</a:t>
                </a:r>
              </a:p>
            </c:rich>
          </c:tx>
        </c:title>
        <c:numFmt formatCode="General" sourceLinked="1"/>
        <c:tickLblPos val="nextTo"/>
        <c:crossAx val="122296576"/>
        <c:crosses val="autoZero"/>
        <c:crossBetween val="midCat"/>
      </c:valAx>
      <c:valAx>
        <c:axId val="122296576"/>
        <c:scaling>
          <c:orientation val="minMax"/>
        </c:scaling>
        <c:axPos val="l"/>
        <c:majorGridlines/>
        <c:title>
          <c:tx>
            <c:rich>
              <a:bodyPr rot="-5400000" vert="horz"/>
              <a:lstStyle/>
              <a:p>
                <a:pPr>
                  <a:defRPr/>
                </a:pPr>
                <a:r>
                  <a:rPr lang="en-US"/>
                  <a:t>kW/CAC Unit</a:t>
                </a:r>
              </a:p>
            </c:rich>
          </c:tx>
        </c:title>
        <c:numFmt formatCode="General" sourceLinked="1"/>
        <c:tickLblPos val="nextTo"/>
        <c:crossAx val="122294656"/>
        <c:crosses val="autoZero"/>
        <c:crossBetween val="midCat"/>
      </c:valAx>
    </c:plotArea>
    <c:legend>
      <c:legendPos val="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3"/>
          <c:order val="0"/>
          <c:tx>
            <c:v>Actual Load</c:v>
          </c:tx>
          <c:spPr>
            <a:ln>
              <a:solidFill>
                <a:schemeClr val="accent1"/>
              </a:solidFill>
              <a:prstDash val="solid"/>
            </a:ln>
          </c:spPr>
          <c:marker>
            <c:symbol val="none"/>
          </c:marker>
          <c:xVal>
            <c:numRef>
              <c:f>'SMB bad regression'!$C$3:$C$26</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'SMB bad regression'!$D$3:$D$26</c:f>
              <c:numCache>
                <c:formatCode>General</c:formatCode>
                <c:ptCount val="24"/>
                <c:pt idx="0">
                  <c:v>1.6130965000000002</c:v>
                </c:pt>
                <c:pt idx="1">
                  <c:v>1.5447419999999998</c:v>
                </c:pt>
                <c:pt idx="2">
                  <c:v>1.4916004999999835</c:v>
                </c:pt>
                <c:pt idx="3">
                  <c:v>1.479355</c:v>
                </c:pt>
                <c:pt idx="4">
                  <c:v>1.4768229999999998</c:v>
                </c:pt>
                <c:pt idx="5">
                  <c:v>1.5986495000000001</c:v>
                </c:pt>
                <c:pt idx="6">
                  <c:v>1.8794639999999998</c:v>
                </c:pt>
                <c:pt idx="7">
                  <c:v>2.29121</c:v>
                </c:pt>
                <c:pt idx="8">
                  <c:v>2.9224349999999997</c:v>
                </c:pt>
                <c:pt idx="9">
                  <c:v>3.8077315000000396</c:v>
                </c:pt>
                <c:pt idx="10">
                  <c:v>4.6923720000000007</c:v>
                </c:pt>
                <c:pt idx="11">
                  <c:v>5.4204635000000003</c:v>
                </c:pt>
                <c:pt idx="12">
                  <c:v>5.8476189999999955</c:v>
                </c:pt>
                <c:pt idx="13">
                  <c:v>5.6816730000000124</c:v>
                </c:pt>
                <c:pt idx="14">
                  <c:v>5.7508435000000002</c:v>
                </c:pt>
                <c:pt idx="15">
                  <c:v>5.6844049999999227</c:v>
                </c:pt>
                <c:pt idx="16">
                  <c:v>5.3325369999999745</c:v>
                </c:pt>
                <c:pt idx="17">
                  <c:v>5.1381149999999645</c:v>
                </c:pt>
                <c:pt idx="18">
                  <c:v>4.2503235000000004</c:v>
                </c:pt>
                <c:pt idx="19">
                  <c:v>3.6571935000000337</c:v>
                </c:pt>
                <c:pt idx="20">
                  <c:v>3.0531775000000012</c:v>
                </c:pt>
                <c:pt idx="21">
                  <c:v>2.5333955000000001</c:v>
                </c:pt>
                <c:pt idx="22">
                  <c:v>2.1437175000000437</c:v>
                </c:pt>
                <c:pt idx="23">
                  <c:v>1.9366560000000081</c:v>
                </c:pt>
              </c:numCache>
            </c:numRef>
          </c:yVal>
          <c:smooth val="1"/>
        </c:ser>
        <c:ser>
          <c:idx val="0"/>
          <c:order val="1"/>
          <c:tx>
            <c:v>Predicted Reference Load</c:v>
          </c:tx>
          <c:spPr>
            <a:ln>
              <a:solidFill>
                <a:srgbClr val="C00000"/>
              </a:solidFill>
              <a:prstDash val="sysDash"/>
            </a:ln>
          </c:spPr>
          <c:marker>
            <c:symbol val="none"/>
          </c:marker>
          <c:xVal>
            <c:numRef>
              <c:f>'SMB bad regression'!$C$3:$C$26</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'SMB bad regression'!$E$3:$E$26</c:f>
              <c:numCache>
                <c:formatCode>General</c:formatCode>
                <c:ptCount val="24"/>
                <c:pt idx="0">
                  <c:v>1.7209984999999819</c:v>
                </c:pt>
                <c:pt idx="1">
                  <c:v>1.641912</c:v>
                </c:pt>
                <c:pt idx="2">
                  <c:v>1.5859084999999851</c:v>
                </c:pt>
                <c:pt idx="3">
                  <c:v>1.5623864999999999</c:v>
                </c:pt>
                <c:pt idx="4">
                  <c:v>1.565067</c:v>
                </c:pt>
                <c:pt idx="5">
                  <c:v>1.6481465000000148</c:v>
                </c:pt>
                <c:pt idx="6">
                  <c:v>1.868792</c:v>
                </c:pt>
                <c:pt idx="7">
                  <c:v>2.2977215000000459</c:v>
                </c:pt>
                <c:pt idx="8">
                  <c:v>2.9181045000000001</c:v>
                </c:pt>
                <c:pt idx="9">
                  <c:v>3.4665784999999967</c:v>
                </c:pt>
                <c:pt idx="10">
                  <c:v>4.1939934999999995</c:v>
                </c:pt>
                <c:pt idx="11">
                  <c:v>4.7895705</c:v>
                </c:pt>
                <c:pt idx="12">
                  <c:v>5.0785485000000001</c:v>
                </c:pt>
                <c:pt idx="13">
                  <c:v>5.4809114999999995</c:v>
                </c:pt>
                <c:pt idx="14">
                  <c:v>5.8074324999999956</c:v>
                </c:pt>
                <c:pt idx="15">
                  <c:v>6.2390655000000024</c:v>
                </c:pt>
                <c:pt idx="16">
                  <c:v>6.2119750000000007</c:v>
                </c:pt>
                <c:pt idx="17">
                  <c:v>4.9965064999999997</c:v>
                </c:pt>
                <c:pt idx="18">
                  <c:v>4.5413585000000003</c:v>
                </c:pt>
                <c:pt idx="19">
                  <c:v>3.6087170000000319</c:v>
                </c:pt>
                <c:pt idx="20">
                  <c:v>3.0457074999999998</c:v>
                </c:pt>
                <c:pt idx="21">
                  <c:v>2.5603625000000001</c:v>
                </c:pt>
                <c:pt idx="22">
                  <c:v>2.3299415000000003</c:v>
                </c:pt>
                <c:pt idx="23">
                  <c:v>2.1321429999999602</c:v>
                </c:pt>
              </c:numCache>
            </c:numRef>
          </c:yVal>
          <c:smooth val="1"/>
        </c:ser>
        <c:axId val="122343424"/>
        <c:axId val="122345344"/>
      </c:scatterChart>
      <c:valAx>
        <c:axId val="122343424"/>
        <c:scaling>
          <c:orientation val="minMax"/>
          <c:max val="24"/>
          <c:min val="1"/>
        </c:scaling>
        <c:axPos val="b"/>
        <c:title>
          <c:tx>
            <c:rich>
              <a:bodyPr/>
              <a:lstStyle/>
              <a:p>
                <a:pPr>
                  <a:defRPr/>
                </a:pPr>
                <a:r>
                  <a:rPr lang="en-US"/>
                  <a:t>Hour</a:t>
                </a:r>
              </a:p>
            </c:rich>
          </c:tx>
        </c:title>
        <c:numFmt formatCode="General" sourceLinked="1"/>
        <c:tickLblPos val="nextTo"/>
        <c:crossAx val="122345344"/>
        <c:crosses val="autoZero"/>
        <c:crossBetween val="midCat"/>
      </c:valAx>
      <c:valAx>
        <c:axId val="122345344"/>
        <c:scaling>
          <c:orientation val="minMax"/>
        </c:scaling>
        <c:axPos val="l"/>
        <c:majorGridlines/>
        <c:title>
          <c:tx>
            <c:rich>
              <a:bodyPr rot="-5400000" vert="horz"/>
              <a:lstStyle/>
              <a:p>
                <a:pPr>
                  <a:defRPr/>
                </a:pPr>
                <a:r>
                  <a:rPr lang="en-US"/>
                  <a:t>Whole-building load (kW)</a:t>
                </a:r>
              </a:p>
            </c:rich>
          </c:tx>
        </c:title>
        <c:numFmt formatCode="General" sourceLinked="1"/>
        <c:tickLblPos val="nextTo"/>
        <c:crossAx val="122343424"/>
        <c:crosses val="autoZero"/>
        <c:crossBetween val="midCat"/>
      </c:valAx>
    </c:plotArea>
    <c:legend>
      <c:legendPos val="t"/>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3"/>
          <c:order val="0"/>
          <c:tx>
            <c:v>Actual Load</c:v>
          </c:tx>
          <c:spPr>
            <a:ln>
              <a:solidFill>
                <a:schemeClr val="accent1"/>
              </a:solidFill>
              <a:prstDash val="solid"/>
            </a:ln>
          </c:spPr>
          <c:marker>
            <c:symbol val="none"/>
          </c:marker>
          <c:xVal>
            <c:numRef>
              <c:f>'SMB bad regression'!$H$3:$H$26</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'SMB bad regression'!$I$3:$I$26</c:f>
              <c:numCache>
                <c:formatCode>General</c:formatCode>
                <c:ptCount val="24"/>
                <c:pt idx="0">
                  <c:v>1.7523715</c:v>
                </c:pt>
                <c:pt idx="1">
                  <c:v>1.6549170000000151</c:v>
                </c:pt>
                <c:pt idx="2">
                  <c:v>1.6036979999999998</c:v>
                </c:pt>
                <c:pt idx="3">
                  <c:v>1.5910394999999851</c:v>
                </c:pt>
                <c:pt idx="4">
                  <c:v>1.5739570000000001</c:v>
                </c:pt>
                <c:pt idx="5">
                  <c:v>1.6847125000000189</c:v>
                </c:pt>
                <c:pt idx="6">
                  <c:v>2.012548499999939</c:v>
                </c:pt>
                <c:pt idx="7">
                  <c:v>2.4306140000000003</c:v>
                </c:pt>
                <c:pt idx="8">
                  <c:v>3.2285465000000002</c:v>
                </c:pt>
                <c:pt idx="9">
                  <c:v>4.2324544999999985</c:v>
                </c:pt>
                <c:pt idx="10">
                  <c:v>5.2550884999999985</c:v>
                </c:pt>
                <c:pt idx="11">
                  <c:v>5.9382020000000866</c:v>
                </c:pt>
                <c:pt idx="12">
                  <c:v>6.1458864999999845</c:v>
                </c:pt>
                <c:pt idx="13">
                  <c:v>5.7841279999999955</c:v>
                </c:pt>
                <c:pt idx="14">
                  <c:v>5.6653084999999965</c:v>
                </c:pt>
                <c:pt idx="15">
                  <c:v>5.4896795000000775</c:v>
                </c:pt>
                <c:pt idx="16">
                  <c:v>5.0836854999999996</c:v>
                </c:pt>
                <c:pt idx="17">
                  <c:v>4.8060325000000006</c:v>
                </c:pt>
                <c:pt idx="18">
                  <c:v>3.9762874999999767</c:v>
                </c:pt>
                <c:pt idx="19">
                  <c:v>3.4645275000000328</c:v>
                </c:pt>
                <c:pt idx="20">
                  <c:v>2.9077774999999999</c:v>
                </c:pt>
                <c:pt idx="21">
                  <c:v>2.4762594999999399</c:v>
                </c:pt>
                <c:pt idx="22">
                  <c:v>2.1495405000000001</c:v>
                </c:pt>
                <c:pt idx="23">
                  <c:v>1.9588239999999999</c:v>
                </c:pt>
              </c:numCache>
            </c:numRef>
          </c:yVal>
          <c:smooth val="1"/>
        </c:ser>
        <c:ser>
          <c:idx val="0"/>
          <c:order val="1"/>
          <c:tx>
            <c:v>Predicted Reference Load</c:v>
          </c:tx>
          <c:spPr>
            <a:ln>
              <a:solidFill>
                <a:srgbClr val="C00000"/>
              </a:solidFill>
              <a:prstDash val="sysDash"/>
            </a:ln>
          </c:spPr>
          <c:marker>
            <c:symbol val="none"/>
          </c:marker>
          <c:xVal>
            <c:numRef>
              <c:f>'SMB bad regression'!$H$3:$H$26</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'SMB bad regression'!$J$3:$J$26</c:f>
              <c:numCache>
                <c:formatCode>General</c:formatCode>
                <c:ptCount val="24"/>
                <c:pt idx="0">
                  <c:v>1.9588665000000001</c:v>
                </c:pt>
                <c:pt idx="1">
                  <c:v>1.8354359999999998</c:v>
                </c:pt>
                <c:pt idx="2">
                  <c:v>1.7574770000000002</c:v>
                </c:pt>
                <c:pt idx="3">
                  <c:v>1.723252</c:v>
                </c:pt>
                <c:pt idx="4">
                  <c:v>1.720988</c:v>
                </c:pt>
                <c:pt idx="5">
                  <c:v>1.812765</c:v>
                </c:pt>
                <c:pt idx="6">
                  <c:v>2.0904644999999977</c:v>
                </c:pt>
                <c:pt idx="7">
                  <c:v>2.7203110000000419</c:v>
                </c:pt>
                <c:pt idx="8">
                  <c:v>3.6929154999999967</c:v>
                </c:pt>
                <c:pt idx="9">
                  <c:v>4.6440280000000005</c:v>
                </c:pt>
                <c:pt idx="10">
                  <c:v>5.5786560000000014</c:v>
                </c:pt>
                <c:pt idx="11">
                  <c:v>6.3253844999999655</c:v>
                </c:pt>
                <c:pt idx="12">
                  <c:v>6.4369725000000004</c:v>
                </c:pt>
                <c:pt idx="13">
                  <c:v>6.6312549999999995</c:v>
                </c:pt>
                <c:pt idx="14">
                  <c:v>6.8542854999999845</c:v>
                </c:pt>
                <c:pt idx="15">
                  <c:v>6.9535610000000014</c:v>
                </c:pt>
                <c:pt idx="16">
                  <c:v>6.6108769999999755</c:v>
                </c:pt>
                <c:pt idx="17">
                  <c:v>5.1479594999999945</c:v>
                </c:pt>
                <c:pt idx="18">
                  <c:v>4.5604269999999945</c:v>
                </c:pt>
                <c:pt idx="19">
                  <c:v>3.5150904999999977</c:v>
                </c:pt>
                <c:pt idx="20">
                  <c:v>3.062325</c:v>
                </c:pt>
                <c:pt idx="21">
                  <c:v>2.7273265000000491</c:v>
                </c:pt>
                <c:pt idx="22">
                  <c:v>2.314644999999957</c:v>
                </c:pt>
                <c:pt idx="23">
                  <c:v>2.0877145000000423</c:v>
                </c:pt>
              </c:numCache>
            </c:numRef>
          </c:yVal>
          <c:smooth val="1"/>
        </c:ser>
        <c:axId val="74258688"/>
        <c:axId val="74260864"/>
      </c:scatterChart>
      <c:valAx>
        <c:axId val="74258688"/>
        <c:scaling>
          <c:orientation val="minMax"/>
          <c:max val="24"/>
          <c:min val="1"/>
        </c:scaling>
        <c:axPos val="b"/>
        <c:title>
          <c:tx>
            <c:rich>
              <a:bodyPr/>
              <a:lstStyle/>
              <a:p>
                <a:pPr>
                  <a:defRPr/>
                </a:pPr>
                <a:r>
                  <a:rPr lang="en-US"/>
                  <a:t>Hour</a:t>
                </a:r>
              </a:p>
            </c:rich>
          </c:tx>
        </c:title>
        <c:numFmt formatCode="General" sourceLinked="1"/>
        <c:tickLblPos val="nextTo"/>
        <c:crossAx val="74260864"/>
        <c:crosses val="autoZero"/>
        <c:crossBetween val="midCat"/>
      </c:valAx>
      <c:valAx>
        <c:axId val="74260864"/>
        <c:scaling>
          <c:orientation val="minMax"/>
        </c:scaling>
        <c:axPos val="l"/>
        <c:majorGridlines/>
        <c:title>
          <c:tx>
            <c:rich>
              <a:bodyPr rot="-5400000" vert="horz"/>
              <a:lstStyle/>
              <a:p>
                <a:pPr>
                  <a:defRPr/>
                </a:pPr>
                <a:r>
                  <a:rPr lang="en-US"/>
                  <a:t>Whole-building load (kW)</a:t>
                </a:r>
              </a:p>
            </c:rich>
          </c:tx>
        </c:title>
        <c:numFmt formatCode="General" sourceLinked="1"/>
        <c:tickLblPos val="nextTo"/>
        <c:crossAx val="74258688"/>
        <c:crosses val="autoZero"/>
        <c:crossBetween val="midCat"/>
      </c:valAx>
    </c:plotArea>
    <c:legend>
      <c:legendPos val="t"/>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3"/>
          <c:order val="0"/>
          <c:tx>
            <c:v>25-Aug</c:v>
          </c:tx>
          <c:spPr>
            <a:ln>
              <a:prstDash val="dash"/>
            </a:ln>
          </c:spPr>
          <c:marker>
            <c:symbol val="none"/>
          </c:marker>
          <c:xVal>
            <c:numRef>
              <c:f>'October event days'!$B$3:$B$26</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'October event days'!$D$3:$D$26</c:f>
              <c:numCache>
                <c:formatCode>General</c:formatCode>
                <c:ptCount val="24"/>
                <c:pt idx="0">
                  <c:v>0.77424580000001331</c:v>
                </c:pt>
                <c:pt idx="1">
                  <c:v>0.6830195</c:v>
                </c:pt>
                <c:pt idx="2">
                  <c:v>0.63693500000000947</c:v>
                </c:pt>
                <c:pt idx="3">
                  <c:v>0.60047980000000833</c:v>
                </c:pt>
                <c:pt idx="4">
                  <c:v>0.59160990000000002</c:v>
                </c:pt>
                <c:pt idx="5">
                  <c:v>0.6218934000000097</c:v>
                </c:pt>
                <c:pt idx="6">
                  <c:v>0.71673469999999995</c:v>
                </c:pt>
                <c:pt idx="7">
                  <c:v>0.80250329999999959</c:v>
                </c:pt>
                <c:pt idx="8">
                  <c:v>0.83390379999999997</c:v>
                </c:pt>
                <c:pt idx="9">
                  <c:v>0.9133251</c:v>
                </c:pt>
                <c:pt idx="10">
                  <c:v>1.003282</c:v>
                </c:pt>
                <c:pt idx="11">
                  <c:v>1.0846089999999999</c:v>
                </c:pt>
                <c:pt idx="12">
                  <c:v>1.2628699999999851</c:v>
                </c:pt>
                <c:pt idx="13">
                  <c:v>1.5178709999999958</c:v>
                </c:pt>
                <c:pt idx="14">
                  <c:v>1.6741570000000245</c:v>
                </c:pt>
                <c:pt idx="15">
                  <c:v>1.806697</c:v>
                </c:pt>
                <c:pt idx="16">
                  <c:v>1.9317909999999998</c:v>
                </c:pt>
                <c:pt idx="17">
                  <c:v>1.901662</c:v>
                </c:pt>
                <c:pt idx="18">
                  <c:v>1.7812759999999999</c:v>
                </c:pt>
                <c:pt idx="19">
                  <c:v>1.651192</c:v>
                </c:pt>
                <c:pt idx="20">
                  <c:v>1.6980880000000189</c:v>
                </c:pt>
                <c:pt idx="21">
                  <c:v>1.5233279999999998</c:v>
                </c:pt>
                <c:pt idx="22">
                  <c:v>1.316349</c:v>
                </c:pt>
                <c:pt idx="23">
                  <c:v>1.0406059999999999</c:v>
                </c:pt>
              </c:numCache>
            </c:numRef>
          </c:yVal>
          <c:smooth val="1"/>
        </c:ser>
        <c:ser>
          <c:idx val="0"/>
          <c:order val="1"/>
          <c:tx>
            <c:v>6-Sep</c:v>
          </c:tx>
          <c:marker>
            <c:symbol val="square"/>
            <c:size val="5"/>
            <c:spPr>
              <a:solidFill>
                <a:schemeClr val="accent1"/>
              </a:solidFill>
            </c:spPr>
          </c:marker>
          <c:xVal>
            <c:numRef>
              <c:f>'October event days'!$B$3:$B$26</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'October event days'!$C$3:$C$26</c:f>
              <c:numCache>
                <c:formatCode>General</c:formatCode>
                <c:ptCount val="24"/>
                <c:pt idx="0">
                  <c:v>0.72874000000000971</c:v>
                </c:pt>
                <c:pt idx="1">
                  <c:v>0.63156140000000005</c:v>
                </c:pt>
                <c:pt idx="2">
                  <c:v>0.590012199999985</c:v>
                </c:pt>
                <c:pt idx="3">
                  <c:v>0.57685419999999998</c:v>
                </c:pt>
                <c:pt idx="4">
                  <c:v>0.58374479999999951</c:v>
                </c:pt>
                <c:pt idx="5">
                  <c:v>0.63631110000000002</c:v>
                </c:pt>
                <c:pt idx="6">
                  <c:v>0.75263550000000834</c:v>
                </c:pt>
                <c:pt idx="7">
                  <c:v>0.82531469999999996</c:v>
                </c:pt>
                <c:pt idx="8">
                  <c:v>0.81876669999999996</c:v>
                </c:pt>
                <c:pt idx="9">
                  <c:v>0.88682989999999995</c:v>
                </c:pt>
                <c:pt idx="10">
                  <c:v>0.94075089999999995</c:v>
                </c:pt>
                <c:pt idx="11">
                  <c:v>1.0001659999999999</c:v>
                </c:pt>
                <c:pt idx="12">
                  <c:v>1.106903</c:v>
                </c:pt>
                <c:pt idx="13">
                  <c:v>1.3558319999999848</c:v>
                </c:pt>
                <c:pt idx="14">
                  <c:v>1.5932089999999999</c:v>
                </c:pt>
                <c:pt idx="15">
                  <c:v>1.8831800000000001</c:v>
                </c:pt>
                <c:pt idx="16">
                  <c:v>2.1720169999999968</c:v>
                </c:pt>
                <c:pt idx="17">
                  <c:v>2.3078189999999967</c:v>
                </c:pt>
                <c:pt idx="18">
                  <c:v>2.352818999999938</c:v>
                </c:pt>
                <c:pt idx="19">
                  <c:v>2.266343</c:v>
                </c:pt>
                <c:pt idx="20">
                  <c:v>2.2600920000000002</c:v>
                </c:pt>
                <c:pt idx="21">
                  <c:v>2.0154299999999967</c:v>
                </c:pt>
                <c:pt idx="22">
                  <c:v>1.632843</c:v>
                </c:pt>
                <c:pt idx="23">
                  <c:v>1.3150109999999999</c:v>
                </c:pt>
              </c:numCache>
            </c:numRef>
          </c:yVal>
          <c:smooth val="1"/>
        </c:ser>
        <c:ser>
          <c:idx val="1"/>
          <c:order val="2"/>
          <c:tx>
            <c:v>12-Oct</c:v>
          </c:tx>
          <c:marker>
            <c:symbol val="none"/>
          </c:marker>
          <c:xVal>
            <c:numRef>
              <c:f>'October event days'!$B$3:$B$26</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'October event days'!$E$3:$E$26</c:f>
              <c:numCache>
                <c:formatCode>General</c:formatCode>
                <c:ptCount val="24"/>
                <c:pt idx="0">
                  <c:v>0.58294179999999951</c:v>
                </c:pt>
                <c:pt idx="1">
                  <c:v>0.53275879999999998</c:v>
                </c:pt>
                <c:pt idx="2">
                  <c:v>0.49992240000000676</c:v>
                </c:pt>
                <c:pt idx="3">
                  <c:v>0.49599270000000417</c:v>
                </c:pt>
                <c:pt idx="4">
                  <c:v>0.50728969999999951</c:v>
                </c:pt>
                <c:pt idx="5">
                  <c:v>0.57093700000000003</c:v>
                </c:pt>
                <c:pt idx="6">
                  <c:v>0.70667760000000834</c:v>
                </c:pt>
                <c:pt idx="7">
                  <c:v>0.74749090000000062</c:v>
                </c:pt>
                <c:pt idx="8">
                  <c:v>0.71292480000000902</c:v>
                </c:pt>
                <c:pt idx="9">
                  <c:v>0.74728850000000002</c:v>
                </c:pt>
                <c:pt idx="10">
                  <c:v>0.8052897</c:v>
                </c:pt>
                <c:pt idx="11">
                  <c:v>0.89343449999999958</c:v>
                </c:pt>
                <c:pt idx="12">
                  <c:v>0.9870158</c:v>
                </c:pt>
                <c:pt idx="13">
                  <c:v>1.0037599999999998</c:v>
                </c:pt>
                <c:pt idx="14">
                  <c:v>1.111313</c:v>
                </c:pt>
                <c:pt idx="15">
                  <c:v>1.1712279999999999</c:v>
                </c:pt>
                <c:pt idx="16">
                  <c:v>1.222377</c:v>
                </c:pt>
                <c:pt idx="17">
                  <c:v>1.675686</c:v>
                </c:pt>
                <c:pt idx="18">
                  <c:v>1.8076809999999999</c:v>
                </c:pt>
                <c:pt idx="19">
                  <c:v>1.8616899999999998</c:v>
                </c:pt>
                <c:pt idx="20">
                  <c:v>1.7008269999999812</c:v>
                </c:pt>
                <c:pt idx="21">
                  <c:v>1.460035</c:v>
                </c:pt>
                <c:pt idx="22">
                  <c:v>1.1744450000000148</c:v>
                </c:pt>
                <c:pt idx="23">
                  <c:v>0.923176</c:v>
                </c:pt>
              </c:numCache>
            </c:numRef>
          </c:yVal>
          <c:smooth val="1"/>
        </c:ser>
        <c:ser>
          <c:idx val="2"/>
          <c:order val="3"/>
          <c:tx>
            <c:v>13-Oct</c:v>
          </c:tx>
          <c:marker>
            <c:symbol val="none"/>
          </c:marker>
          <c:xVal>
            <c:numRef>
              <c:f>'October event days'!$B$3:$B$26</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'October event days'!$F$3:$F$26</c:f>
              <c:numCache>
                <c:formatCode>General</c:formatCode>
                <c:ptCount val="24"/>
                <c:pt idx="0">
                  <c:v>0.77122110000000565</c:v>
                </c:pt>
                <c:pt idx="1">
                  <c:v>0.68561479999999997</c:v>
                </c:pt>
                <c:pt idx="2">
                  <c:v>0.62568890000000565</c:v>
                </c:pt>
                <c:pt idx="3">
                  <c:v>0.60902920000000971</c:v>
                </c:pt>
                <c:pt idx="4">
                  <c:v>0.57412390000000002</c:v>
                </c:pt>
                <c:pt idx="5">
                  <c:v>0.63694290000000064</c:v>
                </c:pt>
                <c:pt idx="6">
                  <c:v>0.76645079999999999</c:v>
                </c:pt>
                <c:pt idx="7">
                  <c:v>0.77480439999999995</c:v>
                </c:pt>
                <c:pt idx="8">
                  <c:v>0.78940219999999028</c:v>
                </c:pt>
                <c:pt idx="9">
                  <c:v>0.82248120000000002</c:v>
                </c:pt>
                <c:pt idx="10">
                  <c:v>0.92821140000000002</c:v>
                </c:pt>
                <c:pt idx="11">
                  <c:v>1.0649089999999999</c:v>
                </c:pt>
                <c:pt idx="12">
                  <c:v>1.2634589999999999</c:v>
                </c:pt>
                <c:pt idx="13">
                  <c:v>1.1812039999999999</c:v>
                </c:pt>
                <c:pt idx="14">
                  <c:v>1.1850339999999999</c:v>
                </c:pt>
                <c:pt idx="15">
                  <c:v>1.2532189999999999</c:v>
                </c:pt>
                <c:pt idx="16">
                  <c:v>1.3169109999999999</c:v>
                </c:pt>
                <c:pt idx="17">
                  <c:v>1.6990430000000001</c:v>
                </c:pt>
                <c:pt idx="18">
                  <c:v>1.80264</c:v>
                </c:pt>
                <c:pt idx="19">
                  <c:v>1.7152429999999999</c:v>
                </c:pt>
                <c:pt idx="20">
                  <c:v>1.5178439999999978</c:v>
                </c:pt>
                <c:pt idx="21">
                  <c:v>1.3137059999999998</c:v>
                </c:pt>
                <c:pt idx="22">
                  <c:v>1.0616049999999833</c:v>
                </c:pt>
                <c:pt idx="23">
                  <c:v>0.83939370000000002</c:v>
                </c:pt>
              </c:numCache>
            </c:numRef>
          </c:yVal>
          <c:smooth val="1"/>
        </c:ser>
        <c:axId val="74313728"/>
        <c:axId val="74315648"/>
      </c:scatterChart>
      <c:valAx>
        <c:axId val="74313728"/>
        <c:scaling>
          <c:orientation val="minMax"/>
          <c:max val="24"/>
          <c:min val="1"/>
        </c:scaling>
        <c:axPos val="b"/>
        <c:title>
          <c:tx>
            <c:rich>
              <a:bodyPr/>
              <a:lstStyle/>
              <a:p>
                <a:pPr>
                  <a:defRPr/>
                </a:pPr>
                <a:r>
                  <a:rPr lang="en-US"/>
                  <a:t>Hour</a:t>
                </a:r>
              </a:p>
            </c:rich>
          </c:tx>
        </c:title>
        <c:numFmt formatCode="General" sourceLinked="1"/>
        <c:tickLblPos val="nextTo"/>
        <c:crossAx val="74315648"/>
        <c:crosses val="autoZero"/>
        <c:crossBetween val="midCat"/>
      </c:valAx>
      <c:valAx>
        <c:axId val="74315648"/>
        <c:scaling>
          <c:orientation val="minMax"/>
        </c:scaling>
        <c:axPos val="l"/>
        <c:majorGridlines/>
        <c:title>
          <c:tx>
            <c:rich>
              <a:bodyPr rot="-5400000" vert="horz"/>
              <a:lstStyle/>
              <a:p>
                <a:pPr>
                  <a:defRPr/>
                </a:pPr>
                <a:r>
                  <a:rPr lang="en-US"/>
                  <a:t>Whole-building load (kW)</a:t>
                </a:r>
              </a:p>
            </c:rich>
          </c:tx>
        </c:title>
        <c:numFmt formatCode="General" sourceLinked="1"/>
        <c:tickLblPos val="nextTo"/>
        <c:crossAx val="74313728"/>
        <c:crosses val="autoZero"/>
        <c:crossBetween val="midCat"/>
      </c:valAx>
    </c:plotArea>
    <c:legend>
      <c:legendPos val="t"/>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pivotSource>
    <c:name>[usage_temp comp.xls]Sheet1!PivotTable1</c:name>
    <c:fmtId val="-1"/>
  </c:pivotSource>
  <c:chart>
    <c:pivotFmts>
      <c:pivotFmt>
        <c:idx val="0"/>
        <c:marker>
          <c:symbol val="none"/>
        </c:marker>
      </c:pivotFmt>
      <c:pivotFmt>
        <c:idx val="1"/>
        <c:spPr>
          <a:ln>
            <a:solidFill>
              <a:srgbClr val="00B050"/>
            </a:solidFill>
            <a:prstDash val="sysDash"/>
          </a:ln>
        </c:spPr>
        <c:marker>
          <c:symbol val="none"/>
        </c:marker>
      </c:pivotFmt>
      <c:pivotFmt>
        <c:idx val="2"/>
        <c:marker>
          <c:symbol val="none"/>
        </c:marker>
      </c:pivotFmt>
      <c:pivotFmt>
        <c:idx val="3"/>
        <c:spPr>
          <a:ln>
            <a:solidFill>
              <a:srgbClr val="00B050"/>
            </a:solidFill>
            <a:prstDash val="sysDash"/>
          </a:ln>
        </c:spPr>
        <c:marker>
          <c:symbol val="none"/>
        </c:marker>
      </c:pivotFmt>
    </c:pivotFmts>
    <c:plotArea>
      <c:layout/>
      <c:lineChart>
        <c:grouping val="standard"/>
        <c:ser>
          <c:idx val="0"/>
          <c:order val="0"/>
          <c:tx>
            <c:strRef>
              <c:f>Sheet1!$B$1:$B$2</c:f>
              <c:strCache>
                <c:ptCount val="1"/>
                <c:pt idx="0">
                  <c:v>Average of Observed Load</c:v>
                </c:pt>
              </c:strCache>
            </c:strRef>
          </c:tx>
          <c:marker>
            <c:symbol val="none"/>
          </c:marker>
          <c:cat>
            <c:multiLvlStrRef>
              <c:f>Sheet1!$A$3:$A$103</c:f>
              <c:multiLvlStrCache>
                <c:ptCount val="96"/>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1</c:v>
                  </c:pt>
                  <c:pt idx="25">
                    <c:v>2</c:v>
                  </c:pt>
                  <c:pt idx="26">
                    <c:v>3</c:v>
                  </c:pt>
                  <c:pt idx="27">
                    <c:v>4</c:v>
                  </c:pt>
                  <c:pt idx="28">
                    <c:v>5</c:v>
                  </c:pt>
                  <c:pt idx="29">
                    <c:v>6</c:v>
                  </c:pt>
                  <c:pt idx="30">
                    <c:v>7</c:v>
                  </c:pt>
                  <c:pt idx="31">
                    <c:v>8</c:v>
                  </c:pt>
                  <c:pt idx="32">
                    <c:v>9</c:v>
                  </c:pt>
                  <c:pt idx="33">
                    <c:v>10</c:v>
                  </c:pt>
                  <c:pt idx="34">
                    <c:v>11</c:v>
                  </c:pt>
                  <c:pt idx="35">
                    <c:v>12</c:v>
                  </c:pt>
                  <c:pt idx="36">
                    <c:v>13</c:v>
                  </c:pt>
                  <c:pt idx="37">
                    <c:v>14</c:v>
                  </c:pt>
                  <c:pt idx="38">
                    <c:v>15</c:v>
                  </c:pt>
                  <c:pt idx="39">
                    <c:v>16</c:v>
                  </c:pt>
                  <c:pt idx="40">
                    <c:v>17</c:v>
                  </c:pt>
                  <c:pt idx="41">
                    <c:v>18</c:v>
                  </c:pt>
                  <c:pt idx="42">
                    <c:v>19</c:v>
                  </c:pt>
                  <c:pt idx="43">
                    <c:v>20</c:v>
                  </c:pt>
                  <c:pt idx="44">
                    <c:v>21</c:v>
                  </c:pt>
                  <c:pt idx="45">
                    <c:v>22</c:v>
                  </c:pt>
                  <c:pt idx="46">
                    <c:v>23</c:v>
                  </c:pt>
                  <c:pt idx="47">
                    <c:v>24</c:v>
                  </c:pt>
                  <c:pt idx="48">
                    <c:v>1</c:v>
                  </c:pt>
                  <c:pt idx="49">
                    <c:v>2</c:v>
                  </c:pt>
                  <c:pt idx="50">
                    <c:v>3</c:v>
                  </c:pt>
                  <c:pt idx="51">
                    <c:v>4</c:v>
                  </c:pt>
                  <c:pt idx="52">
                    <c:v>5</c:v>
                  </c:pt>
                  <c:pt idx="53">
                    <c:v>6</c:v>
                  </c:pt>
                  <c:pt idx="54">
                    <c:v>7</c:v>
                  </c:pt>
                  <c:pt idx="55">
                    <c:v>8</c:v>
                  </c:pt>
                  <c:pt idx="56">
                    <c:v>9</c:v>
                  </c:pt>
                  <c:pt idx="57">
                    <c:v>10</c:v>
                  </c:pt>
                  <c:pt idx="58">
                    <c:v>11</c:v>
                  </c:pt>
                  <c:pt idx="59">
                    <c:v>12</c:v>
                  </c:pt>
                  <c:pt idx="60">
                    <c:v>13</c:v>
                  </c:pt>
                  <c:pt idx="61">
                    <c:v>14</c:v>
                  </c:pt>
                  <c:pt idx="62">
                    <c:v>15</c:v>
                  </c:pt>
                  <c:pt idx="63">
                    <c:v>16</c:v>
                  </c:pt>
                  <c:pt idx="64">
                    <c:v>17</c:v>
                  </c:pt>
                  <c:pt idx="65">
                    <c:v>18</c:v>
                  </c:pt>
                  <c:pt idx="66">
                    <c:v>19</c:v>
                  </c:pt>
                  <c:pt idx="67">
                    <c:v>20</c:v>
                  </c:pt>
                  <c:pt idx="68">
                    <c:v>21</c:v>
                  </c:pt>
                  <c:pt idx="69">
                    <c:v>22</c:v>
                  </c:pt>
                  <c:pt idx="70">
                    <c:v>23</c:v>
                  </c:pt>
                  <c:pt idx="71">
                    <c:v>24</c:v>
                  </c:pt>
                  <c:pt idx="72">
                    <c:v>1</c:v>
                  </c:pt>
                  <c:pt idx="73">
                    <c:v>2</c:v>
                  </c:pt>
                  <c:pt idx="74">
                    <c:v>3</c:v>
                  </c:pt>
                  <c:pt idx="75">
                    <c:v>4</c:v>
                  </c:pt>
                  <c:pt idx="76">
                    <c:v>5</c:v>
                  </c:pt>
                  <c:pt idx="77">
                    <c:v>6</c:v>
                  </c:pt>
                  <c:pt idx="78">
                    <c:v>7</c:v>
                  </c:pt>
                  <c:pt idx="79">
                    <c:v>8</c:v>
                  </c:pt>
                  <c:pt idx="80">
                    <c:v>9</c:v>
                  </c:pt>
                  <c:pt idx="81">
                    <c:v>10</c:v>
                  </c:pt>
                  <c:pt idx="82">
                    <c:v>11</c:v>
                  </c:pt>
                  <c:pt idx="83">
                    <c:v>12</c:v>
                  </c:pt>
                  <c:pt idx="84">
                    <c:v>13</c:v>
                  </c:pt>
                  <c:pt idx="85">
                    <c:v>14</c:v>
                  </c:pt>
                  <c:pt idx="86">
                    <c:v>15</c:v>
                  </c:pt>
                  <c:pt idx="87">
                    <c:v>16</c:v>
                  </c:pt>
                  <c:pt idx="88">
                    <c:v>17</c:v>
                  </c:pt>
                  <c:pt idx="89">
                    <c:v>18</c:v>
                  </c:pt>
                  <c:pt idx="90">
                    <c:v>19</c:v>
                  </c:pt>
                  <c:pt idx="91">
                    <c:v>20</c:v>
                  </c:pt>
                  <c:pt idx="92">
                    <c:v>21</c:v>
                  </c:pt>
                  <c:pt idx="93">
                    <c:v>22</c:v>
                  </c:pt>
                  <c:pt idx="94">
                    <c:v>23</c:v>
                  </c:pt>
                  <c:pt idx="95">
                    <c:v>24</c:v>
                  </c:pt>
                </c:lvl>
                <c:lvl>
                  <c:pt idx="0">
                    <c:v>25-Aug-11</c:v>
                  </c:pt>
                  <c:pt idx="24">
                    <c:v>6-Sep-11</c:v>
                  </c:pt>
                  <c:pt idx="48">
                    <c:v>12-Oct-11</c:v>
                  </c:pt>
                  <c:pt idx="72">
                    <c:v>13-Oct-11</c:v>
                  </c:pt>
                </c:lvl>
              </c:multiLvlStrCache>
            </c:multiLvlStrRef>
          </c:cat>
          <c:val>
            <c:numRef>
              <c:f>Sheet1!$B$3:$B$103</c:f>
              <c:numCache>
                <c:formatCode>General</c:formatCode>
                <c:ptCount val="96"/>
                <c:pt idx="0">
                  <c:v>0.76792470000000512</c:v>
                </c:pt>
                <c:pt idx="1">
                  <c:v>0.67868290000000064</c:v>
                </c:pt>
                <c:pt idx="2">
                  <c:v>0.63523090000000004</c:v>
                </c:pt>
                <c:pt idx="3">
                  <c:v>0.59833899999999407</c:v>
                </c:pt>
                <c:pt idx="4">
                  <c:v>0.58711659999999088</c:v>
                </c:pt>
                <c:pt idx="5">
                  <c:v>0.61735479999999998</c:v>
                </c:pt>
                <c:pt idx="6">
                  <c:v>0.70895629999999998</c:v>
                </c:pt>
                <c:pt idx="7">
                  <c:v>0.77945080000000455</c:v>
                </c:pt>
                <c:pt idx="8">
                  <c:v>0.80496109999999998</c:v>
                </c:pt>
                <c:pt idx="9">
                  <c:v>0.90248359999999372</c:v>
                </c:pt>
                <c:pt idx="10">
                  <c:v>1.0112039999999998</c:v>
                </c:pt>
                <c:pt idx="11">
                  <c:v>1.102379</c:v>
                </c:pt>
                <c:pt idx="12">
                  <c:v>1.2677279999999918</c:v>
                </c:pt>
                <c:pt idx="13">
                  <c:v>1.50647</c:v>
                </c:pt>
                <c:pt idx="14">
                  <c:v>1.639651</c:v>
                </c:pt>
                <c:pt idx="15">
                  <c:v>1.7563599999999999</c:v>
                </c:pt>
                <c:pt idx="16">
                  <c:v>1.8745830000000001</c:v>
                </c:pt>
                <c:pt idx="17">
                  <c:v>1.852306</c:v>
                </c:pt>
                <c:pt idx="18">
                  <c:v>1.758203</c:v>
                </c:pt>
                <c:pt idx="19">
                  <c:v>1.624638</c:v>
                </c:pt>
                <c:pt idx="20">
                  <c:v>1.6697929999999999</c:v>
                </c:pt>
                <c:pt idx="21">
                  <c:v>1.512605</c:v>
                </c:pt>
                <c:pt idx="22">
                  <c:v>1.3010599999999999</c:v>
                </c:pt>
                <c:pt idx="23">
                  <c:v>1.0316539999999998</c:v>
                </c:pt>
                <c:pt idx="24">
                  <c:v>0.72874000000000594</c:v>
                </c:pt>
                <c:pt idx="25">
                  <c:v>0.63156140000000005</c:v>
                </c:pt>
                <c:pt idx="26">
                  <c:v>0.59001219999999077</c:v>
                </c:pt>
                <c:pt idx="27">
                  <c:v>0.57685419999999998</c:v>
                </c:pt>
                <c:pt idx="28">
                  <c:v>0.58374479999999951</c:v>
                </c:pt>
                <c:pt idx="29">
                  <c:v>0.63631110000000002</c:v>
                </c:pt>
                <c:pt idx="30">
                  <c:v>0.75263550000000512</c:v>
                </c:pt>
                <c:pt idx="31">
                  <c:v>0.82531469999999996</c:v>
                </c:pt>
                <c:pt idx="32">
                  <c:v>0.81876669999999996</c:v>
                </c:pt>
                <c:pt idx="33">
                  <c:v>0.88682989999999995</c:v>
                </c:pt>
                <c:pt idx="34">
                  <c:v>0.94075089999999995</c:v>
                </c:pt>
                <c:pt idx="35">
                  <c:v>1.0001659999999999</c:v>
                </c:pt>
                <c:pt idx="36">
                  <c:v>1.106903</c:v>
                </c:pt>
                <c:pt idx="37">
                  <c:v>1.3558319999999906</c:v>
                </c:pt>
                <c:pt idx="38">
                  <c:v>1.5932089999999999</c:v>
                </c:pt>
                <c:pt idx="39">
                  <c:v>1.8831800000000001</c:v>
                </c:pt>
                <c:pt idx="40">
                  <c:v>2.1720169999999968</c:v>
                </c:pt>
                <c:pt idx="41">
                  <c:v>2.3078189999999967</c:v>
                </c:pt>
                <c:pt idx="42">
                  <c:v>2.352818999999962</c:v>
                </c:pt>
                <c:pt idx="43">
                  <c:v>2.266343</c:v>
                </c:pt>
                <c:pt idx="44">
                  <c:v>2.2600920000000002</c:v>
                </c:pt>
                <c:pt idx="45">
                  <c:v>2.0154299999999967</c:v>
                </c:pt>
                <c:pt idx="46">
                  <c:v>1.632843</c:v>
                </c:pt>
                <c:pt idx="47">
                  <c:v>1.3150109999999999</c:v>
                </c:pt>
                <c:pt idx="48">
                  <c:v>0.58294179999999951</c:v>
                </c:pt>
                <c:pt idx="49">
                  <c:v>0.53275879999999998</c:v>
                </c:pt>
                <c:pt idx="50">
                  <c:v>0.49992240000000415</c:v>
                </c:pt>
                <c:pt idx="51">
                  <c:v>0.49599270000000256</c:v>
                </c:pt>
                <c:pt idx="52">
                  <c:v>0.50728969999999951</c:v>
                </c:pt>
                <c:pt idx="53">
                  <c:v>0.57093700000000003</c:v>
                </c:pt>
                <c:pt idx="54">
                  <c:v>0.70667760000000512</c:v>
                </c:pt>
                <c:pt idx="55">
                  <c:v>0.74749090000000062</c:v>
                </c:pt>
                <c:pt idx="56">
                  <c:v>0.7129248000000058</c:v>
                </c:pt>
                <c:pt idx="57">
                  <c:v>0.74728850000000002</c:v>
                </c:pt>
                <c:pt idx="58">
                  <c:v>0.8052897</c:v>
                </c:pt>
                <c:pt idx="59">
                  <c:v>0.89343449999999958</c:v>
                </c:pt>
                <c:pt idx="60">
                  <c:v>0.9870158</c:v>
                </c:pt>
                <c:pt idx="61">
                  <c:v>1.0037599999999998</c:v>
                </c:pt>
                <c:pt idx="62">
                  <c:v>1.111313</c:v>
                </c:pt>
                <c:pt idx="63">
                  <c:v>1.1712279999999999</c:v>
                </c:pt>
                <c:pt idx="64">
                  <c:v>1.222377</c:v>
                </c:pt>
                <c:pt idx="65">
                  <c:v>1.675686</c:v>
                </c:pt>
                <c:pt idx="66">
                  <c:v>1.8076809999999999</c:v>
                </c:pt>
                <c:pt idx="67">
                  <c:v>1.8616899999999998</c:v>
                </c:pt>
                <c:pt idx="68">
                  <c:v>1.7008269999999888</c:v>
                </c:pt>
                <c:pt idx="69">
                  <c:v>1.460035</c:v>
                </c:pt>
                <c:pt idx="70">
                  <c:v>1.1744450000000091</c:v>
                </c:pt>
                <c:pt idx="71">
                  <c:v>0.923176</c:v>
                </c:pt>
                <c:pt idx="72">
                  <c:v>0.77122110000000454</c:v>
                </c:pt>
                <c:pt idx="73">
                  <c:v>0.68561479999999997</c:v>
                </c:pt>
                <c:pt idx="74">
                  <c:v>0.62568890000000454</c:v>
                </c:pt>
                <c:pt idx="75">
                  <c:v>0.60902920000000593</c:v>
                </c:pt>
                <c:pt idx="76">
                  <c:v>0.57412390000000002</c:v>
                </c:pt>
                <c:pt idx="77">
                  <c:v>0.63694290000000064</c:v>
                </c:pt>
                <c:pt idx="78">
                  <c:v>0.76645079999999999</c:v>
                </c:pt>
                <c:pt idx="79">
                  <c:v>0.77480439999999995</c:v>
                </c:pt>
                <c:pt idx="80">
                  <c:v>0.78940219999999406</c:v>
                </c:pt>
                <c:pt idx="81">
                  <c:v>0.82248120000000002</c:v>
                </c:pt>
                <c:pt idx="82">
                  <c:v>0.92821140000000002</c:v>
                </c:pt>
                <c:pt idx="83">
                  <c:v>1.0649089999999999</c:v>
                </c:pt>
                <c:pt idx="84">
                  <c:v>1.2634589999999999</c:v>
                </c:pt>
                <c:pt idx="85">
                  <c:v>1.1812039999999999</c:v>
                </c:pt>
                <c:pt idx="86">
                  <c:v>1.1850339999999999</c:v>
                </c:pt>
                <c:pt idx="87">
                  <c:v>1.2532189999999999</c:v>
                </c:pt>
                <c:pt idx="88">
                  <c:v>1.3169109999999999</c:v>
                </c:pt>
                <c:pt idx="89">
                  <c:v>1.6990430000000001</c:v>
                </c:pt>
                <c:pt idx="90">
                  <c:v>1.80264</c:v>
                </c:pt>
                <c:pt idx="91">
                  <c:v>1.7152429999999999</c:v>
                </c:pt>
                <c:pt idx="92">
                  <c:v>1.5178439999999978</c:v>
                </c:pt>
                <c:pt idx="93">
                  <c:v>1.3137059999999998</c:v>
                </c:pt>
                <c:pt idx="94">
                  <c:v>1.0616049999999897</c:v>
                </c:pt>
                <c:pt idx="95">
                  <c:v>0.83939370000000002</c:v>
                </c:pt>
              </c:numCache>
            </c:numRef>
          </c:val>
        </c:ser>
        <c:marker val="1"/>
        <c:axId val="64655360"/>
        <c:axId val="64657280"/>
      </c:lineChart>
      <c:lineChart>
        <c:grouping val="standard"/>
        <c:ser>
          <c:idx val="1"/>
          <c:order val="1"/>
          <c:tx>
            <c:strRef>
              <c:f>Sheet1!$C$1:$C$2</c:f>
              <c:strCache>
                <c:ptCount val="1"/>
                <c:pt idx="0">
                  <c:v>Average of Temperature</c:v>
                </c:pt>
              </c:strCache>
            </c:strRef>
          </c:tx>
          <c:spPr>
            <a:ln>
              <a:solidFill>
                <a:srgbClr val="00B050"/>
              </a:solidFill>
              <a:prstDash val="sysDash"/>
            </a:ln>
          </c:spPr>
          <c:marker>
            <c:symbol val="none"/>
          </c:marker>
          <c:cat>
            <c:multiLvlStrRef>
              <c:f>Sheet1!$A$3:$A$103</c:f>
              <c:multiLvlStrCache>
                <c:ptCount val="96"/>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1</c:v>
                  </c:pt>
                  <c:pt idx="25">
                    <c:v>2</c:v>
                  </c:pt>
                  <c:pt idx="26">
                    <c:v>3</c:v>
                  </c:pt>
                  <c:pt idx="27">
                    <c:v>4</c:v>
                  </c:pt>
                  <c:pt idx="28">
                    <c:v>5</c:v>
                  </c:pt>
                  <c:pt idx="29">
                    <c:v>6</c:v>
                  </c:pt>
                  <c:pt idx="30">
                    <c:v>7</c:v>
                  </c:pt>
                  <c:pt idx="31">
                    <c:v>8</c:v>
                  </c:pt>
                  <c:pt idx="32">
                    <c:v>9</c:v>
                  </c:pt>
                  <c:pt idx="33">
                    <c:v>10</c:v>
                  </c:pt>
                  <c:pt idx="34">
                    <c:v>11</c:v>
                  </c:pt>
                  <c:pt idx="35">
                    <c:v>12</c:v>
                  </c:pt>
                  <c:pt idx="36">
                    <c:v>13</c:v>
                  </c:pt>
                  <c:pt idx="37">
                    <c:v>14</c:v>
                  </c:pt>
                  <c:pt idx="38">
                    <c:v>15</c:v>
                  </c:pt>
                  <c:pt idx="39">
                    <c:v>16</c:v>
                  </c:pt>
                  <c:pt idx="40">
                    <c:v>17</c:v>
                  </c:pt>
                  <c:pt idx="41">
                    <c:v>18</c:v>
                  </c:pt>
                  <c:pt idx="42">
                    <c:v>19</c:v>
                  </c:pt>
                  <c:pt idx="43">
                    <c:v>20</c:v>
                  </c:pt>
                  <c:pt idx="44">
                    <c:v>21</c:v>
                  </c:pt>
                  <c:pt idx="45">
                    <c:v>22</c:v>
                  </c:pt>
                  <c:pt idx="46">
                    <c:v>23</c:v>
                  </c:pt>
                  <c:pt idx="47">
                    <c:v>24</c:v>
                  </c:pt>
                  <c:pt idx="48">
                    <c:v>1</c:v>
                  </c:pt>
                  <c:pt idx="49">
                    <c:v>2</c:v>
                  </c:pt>
                  <c:pt idx="50">
                    <c:v>3</c:v>
                  </c:pt>
                  <c:pt idx="51">
                    <c:v>4</c:v>
                  </c:pt>
                  <c:pt idx="52">
                    <c:v>5</c:v>
                  </c:pt>
                  <c:pt idx="53">
                    <c:v>6</c:v>
                  </c:pt>
                  <c:pt idx="54">
                    <c:v>7</c:v>
                  </c:pt>
                  <c:pt idx="55">
                    <c:v>8</c:v>
                  </c:pt>
                  <c:pt idx="56">
                    <c:v>9</c:v>
                  </c:pt>
                  <c:pt idx="57">
                    <c:v>10</c:v>
                  </c:pt>
                  <c:pt idx="58">
                    <c:v>11</c:v>
                  </c:pt>
                  <c:pt idx="59">
                    <c:v>12</c:v>
                  </c:pt>
                  <c:pt idx="60">
                    <c:v>13</c:v>
                  </c:pt>
                  <c:pt idx="61">
                    <c:v>14</c:v>
                  </c:pt>
                  <c:pt idx="62">
                    <c:v>15</c:v>
                  </c:pt>
                  <c:pt idx="63">
                    <c:v>16</c:v>
                  </c:pt>
                  <c:pt idx="64">
                    <c:v>17</c:v>
                  </c:pt>
                  <c:pt idx="65">
                    <c:v>18</c:v>
                  </c:pt>
                  <c:pt idx="66">
                    <c:v>19</c:v>
                  </c:pt>
                  <c:pt idx="67">
                    <c:v>20</c:v>
                  </c:pt>
                  <c:pt idx="68">
                    <c:v>21</c:v>
                  </c:pt>
                  <c:pt idx="69">
                    <c:v>22</c:v>
                  </c:pt>
                  <c:pt idx="70">
                    <c:v>23</c:v>
                  </c:pt>
                  <c:pt idx="71">
                    <c:v>24</c:v>
                  </c:pt>
                  <c:pt idx="72">
                    <c:v>1</c:v>
                  </c:pt>
                  <c:pt idx="73">
                    <c:v>2</c:v>
                  </c:pt>
                  <c:pt idx="74">
                    <c:v>3</c:v>
                  </c:pt>
                  <c:pt idx="75">
                    <c:v>4</c:v>
                  </c:pt>
                  <c:pt idx="76">
                    <c:v>5</c:v>
                  </c:pt>
                  <c:pt idx="77">
                    <c:v>6</c:v>
                  </c:pt>
                  <c:pt idx="78">
                    <c:v>7</c:v>
                  </c:pt>
                  <c:pt idx="79">
                    <c:v>8</c:v>
                  </c:pt>
                  <c:pt idx="80">
                    <c:v>9</c:v>
                  </c:pt>
                  <c:pt idx="81">
                    <c:v>10</c:v>
                  </c:pt>
                  <c:pt idx="82">
                    <c:v>11</c:v>
                  </c:pt>
                  <c:pt idx="83">
                    <c:v>12</c:v>
                  </c:pt>
                  <c:pt idx="84">
                    <c:v>13</c:v>
                  </c:pt>
                  <c:pt idx="85">
                    <c:v>14</c:v>
                  </c:pt>
                  <c:pt idx="86">
                    <c:v>15</c:v>
                  </c:pt>
                  <c:pt idx="87">
                    <c:v>16</c:v>
                  </c:pt>
                  <c:pt idx="88">
                    <c:v>17</c:v>
                  </c:pt>
                  <c:pt idx="89">
                    <c:v>18</c:v>
                  </c:pt>
                  <c:pt idx="90">
                    <c:v>19</c:v>
                  </c:pt>
                  <c:pt idx="91">
                    <c:v>20</c:v>
                  </c:pt>
                  <c:pt idx="92">
                    <c:v>21</c:v>
                  </c:pt>
                  <c:pt idx="93">
                    <c:v>22</c:v>
                  </c:pt>
                  <c:pt idx="94">
                    <c:v>23</c:v>
                  </c:pt>
                  <c:pt idx="95">
                    <c:v>24</c:v>
                  </c:pt>
                </c:lvl>
                <c:lvl>
                  <c:pt idx="0">
                    <c:v>25-Aug-11</c:v>
                  </c:pt>
                  <c:pt idx="24">
                    <c:v>6-Sep-11</c:v>
                  </c:pt>
                  <c:pt idx="48">
                    <c:v>12-Oct-11</c:v>
                  </c:pt>
                  <c:pt idx="72">
                    <c:v>13-Oct-11</c:v>
                  </c:pt>
                </c:lvl>
              </c:multiLvlStrCache>
            </c:multiLvlStrRef>
          </c:cat>
          <c:val>
            <c:numRef>
              <c:f>Sheet1!$C$3:$C$103</c:f>
              <c:numCache>
                <c:formatCode>General</c:formatCode>
                <c:ptCount val="96"/>
                <c:pt idx="0">
                  <c:v>64.895699999999991</c:v>
                </c:pt>
                <c:pt idx="1">
                  <c:v>64.11269999999999</c:v>
                </c:pt>
                <c:pt idx="2">
                  <c:v>64.048000000000002</c:v>
                </c:pt>
                <c:pt idx="3">
                  <c:v>63.095900000000213</c:v>
                </c:pt>
                <c:pt idx="4">
                  <c:v>62.569500000000012</c:v>
                </c:pt>
                <c:pt idx="5">
                  <c:v>62.687000000000005</c:v>
                </c:pt>
                <c:pt idx="6">
                  <c:v>63.660700000000013</c:v>
                </c:pt>
                <c:pt idx="7">
                  <c:v>66.400499999999994</c:v>
                </c:pt>
                <c:pt idx="8">
                  <c:v>73.50239999999998</c:v>
                </c:pt>
                <c:pt idx="9">
                  <c:v>78.677499999999981</c:v>
                </c:pt>
                <c:pt idx="10">
                  <c:v>81.718199999999996</c:v>
                </c:pt>
                <c:pt idx="11">
                  <c:v>84.006</c:v>
                </c:pt>
                <c:pt idx="12">
                  <c:v>87.285399999999981</c:v>
                </c:pt>
                <c:pt idx="13">
                  <c:v>85.185899999999918</c:v>
                </c:pt>
                <c:pt idx="14">
                  <c:v>86.616299999999995</c:v>
                </c:pt>
                <c:pt idx="15">
                  <c:v>85.604299999999995</c:v>
                </c:pt>
                <c:pt idx="16">
                  <c:v>83.896900000000002</c:v>
                </c:pt>
                <c:pt idx="17">
                  <c:v>81.777000000000001</c:v>
                </c:pt>
                <c:pt idx="18">
                  <c:v>77.16549999999998</c:v>
                </c:pt>
                <c:pt idx="19">
                  <c:v>73.627099999999999</c:v>
                </c:pt>
                <c:pt idx="20">
                  <c:v>72.579099999999983</c:v>
                </c:pt>
                <c:pt idx="21">
                  <c:v>69.914900000000671</c:v>
                </c:pt>
                <c:pt idx="22">
                  <c:v>68.486800000000002</c:v>
                </c:pt>
                <c:pt idx="23">
                  <c:v>68.244600000000744</c:v>
                </c:pt>
                <c:pt idx="24">
                  <c:v>68.430499999999995</c:v>
                </c:pt>
                <c:pt idx="25">
                  <c:v>69.424499999999995</c:v>
                </c:pt>
                <c:pt idx="26">
                  <c:v>68.400499999999994</c:v>
                </c:pt>
                <c:pt idx="27">
                  <c:v>67.832099999999983</c:v>
                </c:pt>
                <c:pt idx="28">
                  <c:v>68.964000000000027</c:v>
                </c:pt>
                <c:pt idx="29">
                  <c:v>68.226600000000005</c:v>
                </c:pt>
                <c:pt idx="30">
                  <c:v>70.63069999999999</c:v>
                </c:pt>
                <c:pt idx="31">
                  <c:v>74.205000000000013</c:v>
                </c:pt>
                <c:pt idx="32">
                  <c:v>77.410100000000227</c:v>
                </c:pt>
                <c:pt idx="33">
                  <c:v>80.875299999999982</c:v>
                </c:pt>
                <c:pt idx="34">
                  <c:v>83.028799999999919</c:v>
                </c:pt>
                <c:pt idx="35">
                  <c:v>87.251800000000003</c:v>
                </c:pt>
                <c:pt idx="36">
                  <c:v>91.339299999999994</c:v>
                </c:pt>
                <c:pt idx="37">
                  <c:v>94.016800000000003</c:v>
                </c:pt>
                <c:pt idx="38">
                  <c:v>94.161900000000003</c:v>
                </c:pt>
                <c:pt idx="39">
                  <c:v>93.0839</c:v>
                </c:pt>
                <c:pt idx="40">
                  <c:v>91.031200000000027</c:v>
                </c:pt>
                <c:pt idx="41">
                  <c:v>88.920900000000003</c:v>
                </c:pt>
                <c:pt idx="42">
                  <c:v>83.736199999999997</c:v>
                </c:pt>
                <c:pt idx="43">
                  <c:v>78.705000000000013</c:v>
                </c:pt>
                <c:pt idx="44">
                  <c:v>75.506</c:v>
                </c:pt>
                <c:pt idx="45">
                  <c:v>74.685899999999918</c:v>
                </c:pt>
                <c:pt idx="46">
                  <c:v>74.386099999999999</c:v>
                </c:pt>
                <c:pt idx="47">
                  <c:v>72.971199999999996</c:v>
                </c:pt>
                <c:pt idx="48">
                  <c:v>59.277000000000001</c:v>
                </c:pt>
                <c:pt idx="49">
                  <c:v>59.079100000000011</c:v>
                </c:pt>
                <c:pt idx="50">
                  <c:v>59.305800000000005</c:v>
                </c:pt>
                <c:pt idx="51">
                  <c:v>59.220600000000012</c:v>
                </c:pt>
                <c:pt idx="52">
                  <c:v>59.147500000000001</c:v>
                </c:pt>
                <c:pt idx="53">
                  <c:v>57.839300000000001</c:v>
                </c:pt>
                <c:pt idx="54">
                  <c:v>60.8249</c:v>
                </c:pt>
                <c:pt idx="55">
                  <c:v>66.329699999999988</c:v>
                </c:pt>
                <c:pt idx="56">
                  <c:v>76.512</c:v>
                </c:pt>
                <c:pt idx="57">
                  <c:v>84.833299999999994</c:v>
                </c:pt>
                <c:pt idx="58">
                  <c:v>88.676299999999998</c:v>
                </c:pt>
                <c:pt idx="59">
                  <c:v>92.783000000000001</c:v>
                </c:pt>
                <c:pt idx="60">
                  <c:v>92.305799999999948</c:v>
                </c:pt>
                <c:pt idx="61">
                  <c:v>93.232600000000005</c:v>
                </c:pt>
                <c:pt idx="62">
                  <c:v>94.818899999999999</c:v>
                </c:pt>
                <c:pt idx="63">
                  <c:v>94.392099999999999</c:v>
                </c:pt>
                <c:pt idx="64">
                  <c:v>90.949600000000686</c:v>
                </c:pt>
                <c:pt idx="65">
                  <c:v>87.592299999999994</c:v>
                </c:pt>
                <c:pt idx="66">
                  <c:v>80.431700000000006</c:v>
                </c:pt>
                <c:pt idx="67">
                  <c:v>76.593500000000006</c:v>
                </c:pt>
                <c:pt idx="68">
                  <c:v>70.472399999999979</c:v>
                </c:pt>
                <c:pt idx="69">
                  <c:v>70.225399999999979</c:v>
                </c:pt>
                <c:pt idx="70">
                  <c:v>68.128299999999982</c:v>
                </c:pt>
                <c:pt idx="71">
                  <c:v>66.817700000000002</c:v>
                </c:pt>
                <c:pt idx="72">
                  <c:v>65.429300000000012</c:v>
                </c:pt>
                <c:pt idx="73">
                  <c:v>67.040800000000004</c:v>
                </c:pt>
                <c:pt idx="74">
                  <c:v>66.449600000000686</c:v>
                </c:pt>
                <c:pt idx="75">
                  <c:v>65.700199999999995</c:v>
                </c:pt>
                <c:pt idx="76">
                  <c:v>62.956799999999994</c:v>
                </c:pt>
                <c:pt idx="77">
                  <c:v>63.0336</c:v>
                </c:pt>
                <c:pt idx="78">
                  <c:v>63.744600000000005</c:v>
                </c:pt>
                <c:pt idx="79">
                  <c:v>71.654699999999991</c:v>
                </c:pt>
                <c:pt idx="80">
                  <c:v>81.527600000000007</c:v>
                </c:pt>
                <c:pt idx="81">
                  <c:v>89.664299999999997</c:v>
                </c:pt>
                <c:pt idx="82">
                  <c:v>92.677499999999981</c:v>
                </c:pt>
                <c:pt idx="83">
                  <c:v>94.938900000000004</c:v>
                </c:pt>
                <c:pt idx="84">
                  <c:v>92.438900000000004</c:v>
                </c:pt>
                <c:pt idx="85">
                  <c:v>92.075499999999948</c:v>
                </c:pt>
                <c:pt idx="86">
                  <c:v>90.852499999999978</c:v>
                </c:pt>
                <c:pt idx="87">
                  <c:v>89.107900000000001</c:v>
                </c:pt>
                <c:pt idx="88">
                  <c:v>84.932900000000004</c:v>
                </c:pt>
                <c:pt idx="89">
                  <c:v>79.335699999999989</c:v>
                </c:pt>
                <c:pt idx="90">
                  <c:v>72.471199999999996</c:v>
                </c:pt>
                <c:pt idx="91">
                  <c:v>69.695399999999978</c:v>
                </c:pt>
                <c:pt idx="92">
                  <c:v>66.756600000000006</c:v>
                </c:pt>
                <c:pt idx="93">
                  <c:v>65.247000000000227</c:v>
                </c:pt>
                <c:pt idx="94">
                  <c:v>63.812999999999995</c:v>
                </c:pt>
                <c:pt idx="95">
                  <c:v>61.449600000000004</c:v>
                </c:pt>
              </c:numCache>
            </c:numRef>
          </c:val>
        </c:ser>
        <c:marker val="1"/>
        <c:axId val="64669568"/>
        <c:axId val="64667648"/>
      </c:lineChart>
      <c:catAx>
        <c:axId val="64655360"/>
        <c:scaling>
          <c:orientation val="minMax"/>
        </c:scaling>
        <c:axPos val="b"/>
        <c:title>
          <c:tx>
            <c:rich>
              <a:bodyPr/>
              <a:lstStyle/>
              <a:p>
                <a:pPr>
                  <a:defRPr/>
                </a:pPr>
                <a:r>
                  <a:rPr lang="en-US"/>
                  <a:t>Hour Ending by Date</a:t>
                </a:r>
              </a:p>
            </c:rich>
          </c:tx>
          <c:layout>
            <c:manualLayout>
              <c:xMode val="edge"/>
              <c:yMode val="edge"/>
              <c:x val="0.42280318325594407"/>
              <c:y val="0.94049995666816277"/>
            </c:manualLayout>
          </c:layout>
        </c:title>
        <c:tickLblPos val="nextTo"/>
        <c:crossAx val="64657280"/>
        <c:crosses val="autoZero"/>
        <c:auto val="1"/>
        <c:lblAlgn val="ctr"/>
        <c:lblOffset val="100"/>
        <c:tickMarkSkip val="6"/>
      </c:catAx>
      <c:valAx>
        <c:axId val="64657280"/>
        <c:scaling>
          <c:orientation val="minMax"/>
        </c:scaling>
        <c:axPos val="l"/>
        <c:majorGridlines/>
        <c:title>
          <c:tx>
            <c:rich>
              <a:bodyPr rot="-5400000" vert="horz"/>
              <a:lstStyle/>
              <a:p>
                <a:pPr>
                  <a:defRPr/>
                </a:pPr>
                <a:r>
                  <a:rPr lang="en-US"/>
                  <a:t>kWh</a:t>
                </a:r>
              </a:p>
            </c:rich>
          </c:tx>
        </c:title>
        <c:numFmt formatCode="General" sourceLinked="1"/>
        <c:tickLblPos val="nextTo"/>
        <c:crossAx val="64655360"/>
        <c:crosses val="autoZero"/>
        <c:crossBetween val="between"/>
      </c:valAx>
      <c:valAx>
        <c:axId val="64667648"/>
        <c:scaling>
          <c:orientation val="minMax"/>
          <c:min val="50"/>
        </c:scaling>
        <c:axPos val="r"/>
        <c:title>
          <c:tx>
            <c:rich>
              <a:bodyPr rot="-5400000" vert="horz"/>
              <a:lstStyle/>
              <a:p>
                <a:pPr>
                  <a:defRPr/>
                </a:pPr>
                <a:r>
                  <a:rPr lang="en-US" sz="1000" b="1" i="0" u="none" strike="noStrike" baseline="0"/>
                  <a:t>°F</a:t>
                </a:r>
                <a:r>
                  <a:rPr lang="en-US"/>
                  <a:t> </a:t>
                </a:r>
              </a:p>
            </c:rich>
          </c:tx>
        </c:title>
        <c:numFmt formatCode="General" sourceLinked="1"/>
        <c:tickLblPos val="nextTo"/>
        <c:crossAx val="64669568"/>
        <c:crosses val="max"/>
        <c:crossBetween val="between"/>
      </c:valAx>
      <c:catAx>
        <c:axId val="64669568"/>
        <c:scaling>
          <c:orientation val="minMax"/>
        </c:scaling>
        <c:delete val="1"/>
        <c:axPos val="b"/>
        <c:tickLblPos val="none"/>
        <c:crossAx val="64667648"/>
        <c:crosses val="autoZero"/>
        <c:auto val="1"/>
        <c:lblAlgn val="ctr"/>
        <c:lblOffset val="100"/>
      </c:catAx>
    </c:plotArea>
    <c:legend>
      <c:legendPos val="t"/>
    </c:legend>
    <c:plotVisOnly val="1"/>
    <c:dispBlanksAs val="gap"/>
  </c:chart>
  <c:txPr>
    <a:bodyPr/>
    <a:lstStyle/>
    <a:p>
      <a:pPr>
        <a:defRPr>
          <a:latin typeface="Arial" pitchFamily="34" charset="0"/>
          <a:cs typeface="Arial" pitchFamily="34" charset="0"/>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3"/>
          <c:order val="0"/>
          <c:tx>
            <c:v>25-Aug</c:v>
          </c:tx>
          <c:spPr>
            <a:ln>
              <a:prstDash val="dash"/>
            </a:ln>
          </c:spPr>
          <c:marker>
            <c:symbol val="none"/>
          </c:marker>
          <c:xVal>
            <c:numRef>
              <c:f>'October event days'!$B$30:$B$53</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formatCode="d\-mmm\-yy">
                  <c:v>23</c:v>
                </c:pt>
                <c:pt idx="23">
                  <c:v>24</c:v>
                </c:pt>
              </c:numCache>
            </c:numRef>
          </c:xVal>
          <c:yVal>
            <c:numRef>
              <c:f>'October event days'!$C$30:$C$53</c:f>
              <c:numCache>
                <c:formatCode>General</c:formatCode>
                <c:ptCount val="24"/>
                <c:pt idx="0">
                  <c:v>1.3214709999999998</c:v>
                </c:pt>
                <c:pt idx="1">
                  <c:v>1.2607489999999999</c:v>
                </c:pt>
                <c:pt idx="2">
                  <c:v>1.2055169999999862</c:v>
                </c:pt>
                <c:pt idx="3">
                  <c:v>1.1812780000000001</c:v>
                </c:pt>
                <c:pt idx="4">
                  <c:v>1.1771130000000001</c:v>
                </c:pt>
                <c:pt idx="5">
                  <c:v>1.2437449999999839</c:v>
                </c:pt>
                <c:pt idx="6">
                  <c:v>1.4065699999999837</c:v>
                </c:pt>
                <c:pt idx="7">
                  <c:v>1.788092</c:v>
                </c:pt>
                <c:pt idx="8">
                  <c:v>2.3795069999999967</c:v>
                </c:pt>
                <c:pt idx="9">
                  <c:v>3.1346829999999977</c:v>
                </c:pt>
                <c:pt idx="10">
                  <c:v>3.79596</c:v>
                </c:pt>
                <c:pt idx="11">
                  <c:v>4.2323620000000641</c:v>
                </c:pt>
                <c:pt idx="12">
                  <c:v>4.3937569999999955</c:v>
                </c:pt>
                <c:pt idx="13">
                  <c:v>4.5064929999999999</c:v>
                </c:pt>
                <c:pt idx="14">
                  <c:v>4.5491070000000002</c:v>
                </c:pt>
                <c:pt idx="15">
                  <c:v>4.4174730000000002</c:v>
                </c:pt>
                <c:pt idx="16">
                  <c:v>4.1383349999999846</c:v>
                </c:pt>
                <c:pt idx="17">
                  <c:v>3.5404779999999998</c:v>
                </c:pt>
                <c:pt idx="18">
                  <c:v>2.9404789999999967</c:v>
                </c:pt>
                <c:pt idx="19">
                  <c:v>2.5178499999999673</c:v>
                </c:pt>
                <c:pt idx="20">
                  <c:v>2.1769029999999967</c:v>
                </c:pt>
                <c:pt idx="21">
                  <c:v>1.8700500000000153</c:v>
                </c:pt>
                <c:pt idx="22">
                  <c:v>1.5979019999999862</c:v>
                </c:pt>
                <c:pt idx="23">
                  <c:v>1.4520820000000001</c:v>
                </c:pt>
              </c:numCache>
            </c:numRef>
          </c:yVal>
          <c:smooth val="1"/>
        </c:ser>
        <c:ser>
          <c:idx val="0"/>
          <c:order val="1"/>
          <c:tx>
            <c:v>6-Sep</c:v>
          </c:tx>
          <c:marker>
            <c:symbol val="square"/>
            <c:size val="5"/>
            <c:spPr>
              <a:solidFill>
                <a:schemeClr val="accent1"/>
              </a:solidFill>
            </c:spPr>
          </c:marker>
          <c:xVal>
            <c:numRef>
              <c:f>'October event days'!$B$30:$B$53</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formatCode="d\-mmm\-yy">
                  <c:v>23</c:v>
                </c:pt>
                <c:pt idx="23">
                  <c:v>24</c:v>
                </c:pt>
              </c:numCache>
            </c:numRef>
          </c:xVal>
          <c:yVal>
            <c:numRef>
              <c:f>'October event days'!$D$30:$D$53</c:f>
              <c:numCache>
                <c:formatCode>General</c:formatCode>
                <c:ptCount val="24"/>
                <c:pt idx="0">
                  <c:v>1.2065029999999999</c:v>
                </c:pt>
                <c:pt idx="1">
                  <c:v>1.1665399999999999</c:v>
                </c:pt>
                <c:pt idx="2">
                  <c:v>1.1427120000000137</c:v>
                </c:pt>
                <c:pt idx="3">
                  <c:v>1.129637</c:v>
                </c:pt>
                <c:pt idx="4">
                  <c:v>1.1387130000000001</c:v>
                </c:pt>
                <c:pt idx="5">
                  <c:v>1.2213029999999998</c:v>
                </c:pt>
                <c:pt idx="6">
                  <c:v>1.4075159999999998</c:v>
                </c:pt>
                <c:pt idx="7">
                  <c:v>1.8234039999999998</c:v>
                </c:pt>
                <c:pt idx="8">
                  <c:v>2.4545319999999999</c:v>
                </c:pt>
                <c:pt idx="9">
                  <c:v>3.1691270000000356</c:v>
                </c:pt>
                <c:pt idx="10">
                  <c:v>3.7721870000000002</c:v>
                </c:pt>
                <c:pt idx="11">
                  <c:v>4.17225</c:v>
                </c:pt>
                <c:pt idx="12">
                  <c:v>4.4085660000000004</c:v>
                </c:pt>
                <c:pt idx="13">
                  <c:v>4.7589030000000001</c:v>
                </c:pt>
                <c:pt idx="14">
                  <c:v>4.9076469999999999</c:v>
                </c:pt>
                <c:pt idx="15">
                  <c:v>4.8616999999999999</c:v>
                </c:pt>
                <c:pt idx="16">
                  <c:v>4.5986900000000004</c:v>
                </c:pt>
                <c:pt idx="17">
                  <c:v>3.9525639999999767</c:v>
                </c:pt>
                <c:pt idx="18">
                  <c:v>3.251179</c:v>
                </c:pt>
                <c:pt idx="19">
                  <c:v>2.7575010000000302</c:v>
                </c:pt>
                <c:pt idx="20">
                  <c:v>2.3515539999999673</c:v>
                </c:pt>
                <c:pt idx="21">
                  <c:v>1.95983</c:v>
                </c:pt>
                <c:pt idx="22">
                  <c:v>1.6580330000000001</c:v>
                </c:pt>
                <c:pt idx="23">
                  <c:v>1.5067550000000001</c:v>
                </c:pt>
              </c:numCache>
            </c:numRef>
          </c:yVal>
          <c:smooth val="1"/>
        </c:ser>
        <c:ser>
          <c:idx val="1"/>
          <c:order val="2"/>
          <c:tx>
            <c:v>12-Oct</c:v>
          </c:tx>
          <c:marker>
            <c:symbol val="none"/>
          </c:marker>
          <c:xVal>
            <c:numRef>
              <c:f>'October event days'!$B$30:$B$53</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formatCode="d\-mmm\-yy">
                  <c:v>23</c:v>
                </c:pt>
                <c:pt idx="23">
                  <c:v>24</c:v>
                </c:pt>
              </c:numCache>
            </c:numRef>
          </c:xVal>
          <c:yVal>
            <c:numRef>
              <c:f>'October event days'!$E$30:$E$53</c:f>
              <c:numCache>
                <c:formatCode>General</c:formatCode>
                <c:ptCount val="24"/>
                <c:pt idx="0">
                  <c:v>1.163788</c:v>
                </c:pt>
                <c:pt idx="1">
                  <c:v>1.1271119999999999</c:v>
                </c:pt>
                <c:pt idx="2">
                  <c:v>1.0921749999999999</c:v>
                </c:pt>
                <c:pt idx="3">
                  <c:v>1.0898159999999999</c:v>
                </c:pt>
                <c:pt idx="4">
                  <c:v>1.0881909999999999</c:v>
                </c:pt>
                <c:pt idx="5">
                  <c:v>1.153956</c:v>
                </c:pt>
                <c:pt idx="6">
                  <c:v>1.3222739999999999</c:v>
                </c:pt>
                <c:pt idx="7">
                  <c:v>1.6214309999999998</c:v>
                </c:pt>
                <c:pt idx="8">
                  <c:v>2.083853</c:v>
                </c:pt>
                <c:pt idx="9">
                  <c:v>2.7058040000000001</c:v>
                </c:pt>
                <c:pt idx="10">
                  <c:v>3.3401640000000001</c:v>
                </c:pt>
                <c:pt idx="11">
                  <c:v>3.8343240000000001</c:v>
                </c:pt>
                <c:pt idx="12">
                  <c:v>4.1675229999999646</c:v>
                </c:pt>
                <c:pt idx="13">
                  <c:v>4.0884369999999945</c:v>
                </c:pt>
                <c:pt idx="14">
                  <c:v>4.1445219999999745</c:v>
                </c:pt>
                <c:pt idx="15">
                  <c:v>4.1064679999999996</c:v>
                </c:pt>
                <c:pt idx="16">
                  <c:v>3.8784999999999967</c:v>
                </c:pt>
                <c:pt idx="17">
                  <c:v>3.7627160000000002</c:v>
                </c:pt>
                <c:pt idx="18">
                  <c:v>3.0825459999999967</c:v>
                </c:pt>
                <c:pt idx="19">
                  <c:v>2.6080199999999998</c:v>
                </c:pt>
                <c:pt idx="20">
                  <c:v>2.1759579999999987</c:v>
                </c:pt>
                <c:pt idx="21">
                  <c:v>1.7817619999999827</c:v>
                </c:pt>
                <c:pt idx="22">
                  <c:v>1.5080870000000137</c:v>
                </c:pt>
                <c:pt idx="23">
                  <c:v>1.377713</c:v>
                </c:pt>
              </c:numCache>
            </c:numRef>
          </c:yVal>
          <c:smooth val="1"/>
        </c:ser>
        <c:ser>
          <c:idx val="2"/>
          <c:order val="3"/>
          <c:tx>
            <c:v>13-Oct</c:v>
          </c:tx>
          <c:marker>
            <c:symbol val="none"/>
          </c:marker>
          <c:xVal>
            <c:numRef>
              <c:f>'October event days'!$B$30:$B$53</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formatCode="d\-mmm\-yy">
                  <c:v>23</c:v>
                </c:pt>
                <c:pt idx="23">
                  <c:v>24</c:v>
                </c:pt>
              </c:numCache>
            </c:numRef>
          </c:xVal>
          <c:yVal>
            <c:numRef>
              <c:f>'October event days'!$F$30:$F$53</c:f>
              <c:numCache>
                <c:formatCode>General</c:formatCode>
                <c:ptCount val="24"/>
                <c:pt idx="0">
                  <c:v>1.2790239999999862</c:v>
                </c:pt>
                <c:pt idx="1">
                  <c:v>1.2156409999999978</c:v>
                </c:pt>
                <c:pt idx="2">
                  <c:v>1.182833</c:v>
                </c:pt>
                <c:pt idx="3">
                  <c:v>1.1747399999999999</c:v>
                </c:pt>
                <c:pt idx="4">
                  <c:v>1.166091</c:v>
                </c:pt>
                <c:pt idx="5">
                  <c:v>1.2314729999999998</c:v>
                </c:pt>
                <c:pt idx="6">
                  <c:v>1.4037649999999724</c:v>
                </c:pt>
                <c:pt idx="7">
                  <c:v>1.7161500000000001</c:v>
                </c:pt>
                <c:pt idx="8">
                  <c:v>2.3047339999999998</c:v>
                </c:pt>
                <c:pt idx="9">
                  <c:v>3.030849999999961</c:v>
                </c:pt>
                <c:pt idx="10">
                  <c:v>3.7560799999999968</c:v>
                </c:pt>
                <c:pt idx="11">
                  <c:v>4.2529430000000001</c:v>
                </c:pt>
                <c:pt idx="12">
                  <c:v>4.4406690000000939</c:v>
                </c:pt>
                <c:pt idx="13">
                  <c:v>4.1872769999999955</c:v>
                </c:pt>
                <c:pt idx="14">
                  <c:v>4.1182460000000001</c:v>
                </c:pt>
                <c:pt idx="15">
                  <c:v>4.0246979999999946</c:v>
                </c:pt>
                <c:pt idx="16">
                  <c:v>3.7516210000000001</c:v>
                </c:pt>
                <c:pt idx="17">
                  <c:v>3.5342979999999997</c:v>
                </c:pt>
                <c:pt idx="18">
                  <c:v>2.8932859999999967</c:v>
                </c:pt>
                <c:pt idx="19">
                  <c:v>2.4807039999999998</c:v>
                </c:pt>
                <c:pt idx="20">
                  <c:v>2.075834</c:v>
                </c:pt>
                <c:pt idx="21">
                  <c:v>1.7425939999999998</c:v>
                </c:pt>
                <c:pt idx="22">
                  <c:v>1.5044919999999862</c:v>
                </c:pt>
                <c:pt idx="23">
                  <c:v>1.3748389999999999</c:v>
                </c:pt>
              </c:numCache>
            </c:numRef>
          </c:yVal>
          <c:smooth val="1"/>
        </c:ser>
        <c:axId val="122562048"/>
        <c:axId val="122563968"/>
      </c:scatterChart>
      <c:valAx>
        <c:axId val="122562048"/>
        <c:scaling>
          <c:orientation val="minMax"/>
          <c:max val="24"/>
          <c:min val="1"/>
        </c:scaling>
        <c:axPos val="b"/>
        <c:title>
          <c:tx>
            <c:rich>
              <a:bodyPr/>
              <a:lstStyle/>
              <a:p>
                <a:pPr>
                  <a:defRPr/>
                </a:pPr>
                <a:r>
                  <a:rPr lang="en-US"/>
                  <a:t>Hour</a:t>
                </a:r>
              </a:p>
            </c:rich>
          </c:tx>
        </c:title>
        <c:numFmt formatCode="General" sourceLinked="1"/>
        <c:tickLblPos val="nextTo"/>
        <c:crossAx val="122563968"/>
        <c:crosses val="autoZero"/>
        <c:crossBetween val="midCat"/>
      </c:valAx>
      <c:valAx>
        <c:axId val="122563968"/>
        <c:scaling>
          <c:orientation val="minMax"/>
        </c:scaling>
        <c:axPos val="l"/>
        <c:majorGridlines/>
        <c:title>
          <c:tx>
            <c:rich>
              <a:bodyPr rot="-5400000" vert="horz"/>
              <a:lstStyle/>
              <a:p>
                <a:pPr>
                  <a:defRPr/>
                </a:pPr>
                <a:r>
                  <a:rPr lang="en-US"/>
                  <a:t>Whole-building load (kW)</a:t>
                </a:r>
              </a:p>
            </c:rich>
          </c:tx>
        </c:title>
        <c:numFmt formatCode="General" sourceLinked="1"/>
        <c:tickLblPos val="nextTo"/>
        <c:crossAx val="122562048"/>
        <c:crosses val="autoZero"/>
        <c:crossBetween val="midCat"/>
      </c:valAx>
    </c:plotArea>
    <c:legend>
      <c:legendPos val="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F2426-1851-4067-8597-66478500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56</Pages>
  <Words>12244</Words>
  <Characters>69793</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FSC Group</Company>
  <LinksUpToDate>false</LinksUpToDate>
  <CharactersWithSpaces>81874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Rohde</dc:creator>
  <cp:lastModifiedBy>Kathryn E Smith</cp:lastModifiedBy>
  <cp:revision>15</cp:revision>
  <cp:lastPrinted>2011-03-07T22:28:00Z</cp:lastPrinted>
  <dcterms:created xsi:type="dcterms:W3CDTF">2012-05-02T23:08:00Z</dcterms:created>
  <dcterms:modified xsi:type="dcterms:W3CDTF">2012-05-31T19:16:00Z</dcterms:modified>
</cp:coreProperties>
</file>