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bookmarkStart w:id="0" w:name="_GoBack"/>
      <w:bookmarkEnd w:id="0"/>
    </w:p>
    <w:p w:rsidR="00C62CAA" w:rsidRPr="001D4131" w:rsidRDefault="00C62CAA"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2A3CC8">
        <w:rPr>
          <w:rFonts w:ascii="Arial" w:hAnsi="Arial" w:cs="Arial"/>
          <w:b/>
          <w:u w:val="single"/>
        </w:rPr>
        <w:t>7.</w:t>
      </w:r>
      <w:r w:rsidRPr="00F759E8">
        <w:rPr>
          <w:rFonts w:ascii="Arial" w:hAnsi="Arial" w:cs="Arial"/>
          <w:b/>
          <w:u w:val="single"/>
        </w:rPr>
        <w:t>1:</w:t>
      </w:r>
    </w:p>
    <w:p w:rsidR="005F4287" w:rsidRPr="0031141C" w:rsidRDefault="005F4287" w:rsidP="005C6E7A">
      <w:pPr>
        <w:rPr>
          <w:rFonts w:ascii="Arial" w:hAnsi="Arial" w:cs="Arial"/>
        </w:rPr>
      </w:pPr>
    </w:p>
    <w:p w:rsidR="002A3CC8" w:rsidRPr="002A3CC8" w:rsidRDefault="002A3CC8" w:rsidP="002A3CC8">
      <w:pPr>
        <w:ind w:right="599"/>
        <w:rPr>
          <w:rFonts w:ascii="Arial" w:hAnsi="Arial" w:cs="Arial"/>
        </w:rPr>
      </w:pPr>
      <w:r w:rsidRPr="002A3CC8">
        <w:rPr>
          <w:rFonts w:ascii="Arial" w:hAnsi="Arial" w:cs="Arial"/>
        </w:rPr>
        <w:t>In A.11-11-002, SoCalGas/SDG&amp;E provided the following response to SCGC in response to SCGC-03:</w:t>
      </w:r>
    </w:p>
    <w:p w:rsidR="002A3CC8" w:rsidRPr="002A3CC8" w:rsidRDefault="002A3CC8" w:rsidP="002A3CC8">
      <w:pPr>
        <w:ind w:right="599"/>
        <w:rPr>
          <w:rFonts w:ascii="Arial" w:hAnsi="Arial" w:cs="Arial"/>
          <w:u w:val="single"/>
        </w:rPr>
      </w:pPr>
    </w:p>
    <w:p w:rsidR="002A3CC8" w:rsidRPr="002A3CC8" w:rsidRDefault="002A3CC8" w:rsidP="002A3CC8">
      <w:pPr>
        <w:rPr>
          <w:rFonts w:ascii="Arial" w:hAnsi="Arial" w:cs="Arial"/>
          <w:b/>
          <w:u w:val="single"/>
        </w:rPr>
      </w:pPr>
      <w:r w:rsidRPr="002A3CC8">
        <w:rPr>
          <w:rFonts w:ascii="Arial" w:hAnsi="Arial" w:cs="Arial"/>
        </w:rPr>
        <w:t xml:space="preserve"> </w:t>
      </w:r>
      <w:r w:rsidRPr="002A3CC8">
        <w:rPr>
          <w:rFonts w:ascii="Arial" w:hAnsi="Arial" w:cs="Arial"/>
          <w:b/>
          <w:u w:val="single"/>
        </w:rPr>
        <w:t>QUESTION 3.1:</w:t>
      </w:r>
    </w:p>
    <w:p w:rsidR="002A3CC8" w:rsidRPr="002A3CC8" w:rsidRDefault="002A3CC8" w:rsidP="002A3CC8">
      <w:pPr>
        <w:rPr>
          <w:rFonts w:ascii="Arial" w:hAnsi="Arial" w:cs="Arial"/>
        </w:rPr>
      </w:pPr>
    </w:p>
    <w:p w:rsidR="002A3CC8" w:rsidRPr="002A3CC8" w:rsidRDefault="002A3CC8" w:rsidP="002A3CC8">
      <w:pPr>
        <w:spacing w:line="360" w:lineRule="auto"/>
        <w:rPr>
          <w:rFonts w:ascii="Arial" w:hAnsi="Arial" w:cs="Arial"/>
        </w:rPr>
      </w:pPr>
      <w:r w:rsidRPr="002A3CC8">
        <w:rPr>
          <w:rFonts w:ascii="Arial" w:hAnsi="Arial" w:cs="Arial"/>
        </w:rPr>
        <w:t>Please provide 2010 and 2011 customer billing data for each of SoCalGas/SDG&amp;E’s TLS customers.  Customer information should be removed, substituted with a masked identification number.  Please provide this data electronically in Excel format (any Excel format is ok) or comma separate variables (csv).  Please provide the data in flat files using the following format:</w:t>
      </w:r>
    </w:p>
    <w:p w:rsidR="002A3CC8" w:rsidRPr="002A3CC8" w:rsidRDefault="002A3CC8" w:rsidP="002A3CC8">
      <w:pPr>
        <w:ind w:right="599"/>
        <w:rPr>
          <w:rFonts w:ascii="Arial" w:hAnsi="Arial" w:cs="Arial"/>
          <w:u w:val="single"/>
        </w:rPr>
      </w:pPr>
    </w:p>
    <w:tbl>
      <w:tblPr>
        <w:tblW w:w="9720" w:type="dxa"/>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shd w:val="clear" w:color="auto" w:fill="E6E6E6"/>
        <w:tblLook w:val="0000" w:firstRow="0" w:lastRow="0" w:firstColumn="0" w:lastColumn="0" w:noHBand="0" w:noVBand="0"/>
      </w:tblPr>
      <w:tblGrid>
        <w:gridCol w:w="1170"/>
        <w:gridCol w:w="763"/>
        <w:gridCol w:w="964"/>
        <w:gridCol w:w="810"/>
        <w:gridCol w:w="884"/>
        <w:gridCol w:w="1710"/>
        <w:gridCol w:w="1889"/>
        <w:gridCol w:w="1530"/>
      </w:tblGrid>
      <w:tr w:rsidR="002A3CC8" w:rsidRPr="002A3CC8" w:rsidTr="002A3CC8">
        <w:trPr>
          <w:trHeight w:val="255"/>
        </w:trPr>
        <w:tc>
          <w:tcPr>
            <w:tcW w:w="1170" w:type="dxa"/>
            <w:shd w:val="clear" w:color="auto" w:fill="E6E6E6"/>
            <w:noWrap/>
            <w:vAlign w:val="bottom"/>
          </w:tcPr>
          <w:p w:rsidR="002A3CC8" w:rsidRPr="002A3CC8" w:rsidRDefault="002A3CC8" w:rsidP="002928A7">
            <w:pPr>
              <w:jc w:val="center"/>
              <w:rPr>
                <w:rFonts w:ascii="Arial" w:hAnsi="Arial" w:cs="Arial"/>
              </w:rPr>
            </w:pPr>
            <w:r w:rsidRPr="002A3CC8">
              <w:rPr>
                <w:rFonts w:ascii="Arial" w:hAnsi="Arial" w:cs="Arial"/>
              </w:rPr>
              <w:t>Id. No.</w:t>
            </w:r>
          </w:p>
        </w:tc>
        <w:tc>
          <w:tcPr>
            <w:tcW w:w="763" w:type="dxa"/>
            <w:shd w:val="clear" w:color="auto" w:fill="E6E6E6"/>
            <w:noWrap/>
            <w:vAlign w:val="bottom"/>
          </w:tcPr>
          <w:p w:rsidR="002A3CC8" w:rsidRPr="002A3CC8" w:rsidRDefault="002A3CC8" w:rsidP="002928A7">
            <w:pPr>
              <w:jc w:val="center"/>
              <w:rPr>
                <w:rFonts w:ascii="Arial" w:hAnsi="Arial" w:cs="Arial"/>
              </w:rPr>
            </w:pPr>
            <w:r w:rsidRPr="002A3CC8">
              <w:rPr>
                <w:rFonts w:ascii="Arial" w:hAnsi="Arial" w:cs="Arial"/>
              </w:rPr>
              <w:t xml:space="preserve">Tariff </w:t>
            </w:r>
          </w:p>
        </w:tc>
        <w:tc>
          <w:tcPr>
            <w:tcW w:w="964" w:type="dxa"/>
            <w:shd w:val="clear" w:color="auto" w:fill="E6E6E6"/>
          </w:tcPr>
          <w:p w:rsidR="002A3CC8" w:rsidRDefault="002A3CC8" w:rsidP="002928A7">
            <w:pPr>
              <w:jc w:val="center"/>
              <w:rPr>
                <w:rFonts w:ascii="Arial" w:hAnsi="Arial" w:cs="Arial"/>
              </w:rPr>
            </w:pPr>
          </w:p>
          <w:p w:rsidR="002A3CC8" w:rsidRPr="002A3CC8" w:rsidRDefault="002A3CC8" w:rsidP="002928A7">
            <w:pPr>
              <w:jc w:val="center"/>
              <w:rPr>
                <w:rFonts w:ascii="Arial" w:hAnsi="Arial" w:cs="Arial"/>
              </w:rPr>
            </w:pPr>
            <w:r w:rsidRPr="002A3CC8">
              <w:rPr>
                <w:rFonts w:ascii="Arial" w:hAnsi="Arial" w:cs="Arial"/>
              </w:rPr>
              <w:t>Rate Design Option</w:t>
            </w:r>
          </w:p>
        </w:tc>
        <w:tc>
          <w:tcPr>
            <w:tcW w:w="810" w:type="dxa"/>
            <w:shd w:val="clear" w:color="auto" w:fill="E6E6E6"/>
            <w:noWrap/>
            <w:vAlign w:val="bottom"/>
          </w:tcPr>
          <w:p w:rsidR="002A3CC8" w:rsidRPr="002A3CC8" w:rsidRDefault="002A3CC8" w:rsidP="002928A7">
            <w:pPr>
              <w:jc w:val="center"/>
              <w:rPr>
                <w:rFonts w:ascii="Arial" w:hAnsi="Arial" w:cs="Arial"/>
              </w:rPr>
            </w:pPr>
            <w:r w:rsidRPr="002A3CC8">
              <w:rPr>
                <w:rFonts w:ascii="Arial" w:hAnsi="Arial" w:cs="Arial"/>
              </w:rPr>
              <w:t>Year</w:t>
            </w:r>
          </w:p>
        </w:tc>
        <w:tc>
          <w:tcPr>
            <w:tcW w:w="884" w:type="dxa"/>
            <w:shd w:val="clear" w:color="auto" w:fill="E6E6E6"/>
            <w:noWrap/>
            <w:vAlign w:val="bottom"/>
          </w:tcPr>
          <w:p w:rsidR="002A3CC8" w:rsidRPr="002A3CC8" w:rsidRDefault="002A3CC8" w:rsidP="002928A7">
            <w:pPr>
              <w:jc w:val="center"/>
              <w:rPr>
                <w:rFonts w:ascii="Arial" w:hAnsi="Arial" w:cs="Arial"/>
              </w:rPr>
            </w:pPr>
            <w:r w:rsidRPr="002A3CC8">
              <w:rPr>
                <w:rFonts w:ascii="Arial" w:hAnsi="Arial" w:cs="Arial"/>
              </w:rPr>
              <w:t>Month</w:t>
            </w:r>
          </w:p>
        </w:tc>
        <w:tc>
          <w:tcPr>
            <w:tcW w:w="1710" w:type="dxa"/>
            <w:shd w:val="clear" w:color="auto" w:fill="E6E6E6"/>
            <w:noWrap/>
            <w:vAlign w:val="bottom"/>
          </w:tcPr>
          <w:p w:rsidR="002A3CC8" w:rsidRPr="002A3CC8" w:rsidRDefault="002A3CC8" w:rsidP="002928A7">
            <w:pPr>
              <w:jc w:val="center"/>
              <w:rPr>
                <w:rFonts w:ascii="Arial" w:hAnsi="Arial" w:cs="Arial"/>
              </w:rPr>
            </w:pPr>
            <w:r w:rsidRPr="002A3CC8">
              <w:rPr>
                <w:rFonts w:ascii="Arial" w:hAnsi="Arial" w:cs="Arial"/>
              </w:rPr>
              <w:t>Monthly Total Metered Volumes (</w:t>
            </w:r>
            <w:proofErr w:type="spellStart"/>
            <w:r w:rsidRPr="002A3CC8">
              <w:rPr>
                <w:rFonts w:ascii="Arial" w:hAnsi="Arial" w:cs="Arial"/>
              </w:rPr>
              <w:t>Therms</w:t>
            </w:r>
            <w:proofErr w:type="spellEnd"/>
            <w:r w:rsidRPr="002A3CC8">
              <w:rPr>
                <w:rFonts w:ascii="Arial" w:hAnsi="Arial" w:cs="Arial"/>
              </w:rPr>
              <w:t>)</w:t>
            </w:r>
          </w:p>
        </w:tc>
        <w:tc>
          <w:tcPr>
            <w:tcW w:w="1889" w:type="dxa"/>
            <w:shd w:val="clear" w:color="auto" w:fill="E6E6E6"/>
            <w:noWrap/>
            <w:vAlign w:val="bottom"/>
          </w:tcPr>
          <w:p w:rsidR="002A3CC8" w:rsidRPr="002A3CC8" w:rsidRDefault="002A3CC8" w:rsidP="002928A7">
            <w:pPr>
              <w:jc w:val="center"/>
              <w:rPr>
                <w:rFonts w:ascii="Arial" w:hAnsi="Arial" w:cs="Arial"/>
              </w:rPr>
            </w:pPr>
            <w:r w:rsidRPr="002A3CC8">
              <w:rPr>
                <w:rFonts w:ascii="Arial" w:hAnsi="Arial" w:cs="Arial"/>
              </w:rPr>
              <w:t>Max Hourly Volume per Month (</w:t>
            </w:r>
            <w:proofErr w:type="spellStart"/>
            <w:r w:rsidRPr="002A3CC8">
              <w:rPr>
                <w:rFonts w:ascii="Arial" w:hAnsi="Arial" w:cs="Arial"/>
              </w:rPr>
              <w:t>Therms</w:t>
            </w:r>
            <w:proofErr w:type="spellEnd"/>
            <w:r w:rsidRPr="002A3CC8">
              <w:rPr>
                <w:rFonts w:ascii="Arial" w:hAnsi="Arial" w:cs="Arial"/>
              </w:rPr>
              <w:t>)</w:t>
            </w:r>
          </w:p>
        </w:tc>
        <w:tc>
          <w:tcPr>
            <w:tcW w:w="1530" w:type="dxa"/>
            <w:shd w:val="clear" w:color="auto" w:fill="E6E6E6"/>
            <w:noWrap/>
            <w:vAlign w:val="bottom"/>
          </w:tcPr>
          <w:p w:rsidR="002A3CC8" w:rsidRPr="002A3CC8" w:rsidRDefault="002A3CC8" w:rsidP="002928A7">
            <w:pPr>
              <w:jc w:val="center"/>
              <w:rPr>
                <w:rFonts w:ascii="Arial" w:hAnsi="Arial" w:cs="Arial"/>
              </w:rPr>
            </w:pPr>
            <w:r w:rsidRPr="002A3CC8">
              <w:rPr>
                <w:rFonts w:ascii="Arial" w:hAnsi="Arial" w:cs="Arial"/>
              </w:rPr>
              <w:t>No of Billing Days</w:t>
            </w:r>
          </w:p>
        </w:tc>
      </w:tr>
    </w:tbl>
    <w:p w:rsidR="002A3CC8" w:rsidRPr="002A3CC8" w:rsidRDefault="002A3CC8" w:rsidP="002A3CC8">
      <w:pPr>
        <w:ind w:right="599"/>
        <w:rPr>
          <w:rFonts w:ascii="Arial" w:hAnsi="Arial" w:cs="Arial"/>
          <w:u w:val="single"/>
        </w:rPr>
      </w:pPr>
    </w:p>
    <w:p w:rsidR="002A3CC8" w:rsidRPr="002A3CC8" w:rsidRDefault="002A3CC8" w:rsidP="002A3CC8">
      <w:pPr>
        <w:rPr>
          <w:rFonts w:ascii="Arial" w:hAnsi="Arial" w:cs="Arial"/>
          <w:b/>
          <w:u w:val="single"/>
        </w:rPr>
      </w:pPr>
      <w:r w:rsidRPr="002A3CC8">
        <w:rPr>
          <w:rFonts w:ascii="Arial" w:hAnsi="Arial" w:cs="Arial"/>
          <w:b/>
          <w:u w:val="single"/>
        </w:rPr>
        <w:t>RESPONSE 3.1:</w:t>
      </w:r>
    </w:p>
    <w:p w:rsidR="002A3CC8" w:rsidRPr="002A3CC8" w:rsidRDefault="002A3CC8" w:rsidP="002A3CC8">
      <w:pPr>
        <w:rPr>
          <w:rFonts w:ascii="Arial" w:hAnsi="Arial" w:cs="Arial"/>
        </w:rPr>
      </w:pPr>
    </w:p>
    <w:p w:rsidR="002A3CC8" w:rsidRPr="002A3CC8" w:rsidRDefault="002A3CC8" w:rsidP="002A3CC8">
      <w:pPr>
        <w:rPr>
          <w:rFonts w:ascii="Arial" w:hAnsi="Arial" w:cs="Arial"/>
        </w:rPr>
      </w:pPr>
      <w:r w:rsidRPr="002A3CC8">
        <w:rPr>
          <w:rFonts w:ascii="Arial" w:hAnsi="Arial" w:cs="Arial"/>
        </w:rPr>
        <w:t xml:space="preserve">Please see the attached Excel file.  Data were not provided separately by SoCalGas and SDG&amp;E so as to not violate the “15/15” rule on customer data confidentiality pursuant to Commission decision no. 97-10-031 which provides that "... information should be made up of at least 15 customers, and a </w:t>
      </w:r>
      <w:proofErr w:type="spellStart"/>
      <w:r w:rsidRPr="002A3CC8">
        <w:rPr>
          <w:rFonts w:ascii="Arial" w:hAnsi="Arial" w:cs="Arial"/>
        </w:rPr>
        <w:t>customers</w:t>
      </w:r>
      <w:proofErr w:type="spellEnd"/>
      <w:r w:rsidRPr="002A3CC8">
        <w:rPr>
          <w:rFonts w:ascii="Arial" w:hAnsi="Arial" w:cs="Arial"/>
        </w:rPr>
        <w:t xml:space="preserve"> load must be less than 15 percent of an aggregation category."  .  In limited instances, “Max Hourly Volume per Month” data were not available.</w:t>
      </w:r>
    </w:p>
    <w:p w:rsidR="002A3CC8" w:rsidRPr="002A3CC8" w:rsidRDefault="002A3CC8" w:rsidP="002A3CC8">
      <w:pPr>
        <w:rPr>
          <w:rFonts w:ascii="Arial" w:hAnsi="Arial" w:cs="Arial"/>
        </w:rPr>
      </w:pPr>
    </w:p>
    <w:p w:rsidR="002A3CC8" w:rsidRPr="002A3CC8" w:rsidRDefault="00270E49" w:rsidP="002A3CC8">
      <w:pPr>
        <w:rPr>
          <w:rFonts w:ascii="Arial" w:hAnsi="Arial" w:cs="Arial"/>
        </w:rPr>
      </w:pPr>
      <w:r w:rsidRPr="002A3CC8">
        <w:rPr>
          <w:rFonts w:ascii="Arial" w:hAnsi="Arial" w:cs="Arial"/>
        </w:rPr>
        <w:object w:dxaOrig="1814" w:dyaOrig="1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58.5pt" o:ole="">
            <v:imagedata r:id="rId9" o:title=""/>
          </v:shape>
          <o:OLEObject Type="Embed" ProgID="Excel.Sheet.12" ShapeID="_x0000_i1025" DrawAspect="Icon" ObjectID="_1515487478" r:id="rId10"/>
        </w:object>
      </w:r>
    </w:p>
    <w:p w:rsidR="002A3CC8" w:rsidRPr="002A3CC8" w:rsidRDefault="002A3CC8" w:rsidP="002A3CC8">
      <w:pPr>
        <w:rPr>
          <w:rFonts w:ascii="Arial" w:hAnsi="Arial" w:cs="Arial"/>
        </w:rPr>
      </w:pPr>
    </w:p>
    <w:p w:rsidR="00924832" w:rsidRPr="002A3CC8" w:rsidRDefault="002A3CC8" w:rsidP="002A3CC8">
      <w:pPr>
        <w:rPr>
          <w:rFonts w:ascii="Arial" w:hAnsi="Arial" w:cs="Arial"/>
        </w:rPr>
      </w:pPr>
      <w:r w:rsidRPr="002A3CC8">
        <w:rPr>
          <w:rFonts w:ascii="Arial" w:hAnsi="Arial" w:cs="Arial"/>
        </w:rPr>
        <w:t>Please update SoCalGas/SDG&amp;E’s response to SCGC-03, Q.3.1, by providing similar data for the most current 24 month period available.</w:t>
      </w:r>
    </w:p>
    <w:p w:rsidR="0031141C" w:rsidRPr="002A3CC8" w:rsidRDefault="0031141C" w:rsidP="005C6E7A">
      <w:pPr>
        <w:rPr>
          <w:rFonts w:ascii="Arial" w:hAnsi="Arial" w:cs="Arial"/>
          <w:b/>
          <w:u w:val="single"/>
        </w:rPr>
      </w:pPr>
    </w:p>
    <w:p w:rsidR="002A3CC8" w:rsidRDefault="002A3CC8" w:rsidP="005C6E7A">
      <w:pPr>
        <w:rPr>
          <w:rFonts w:ascii="Arial" w:hAnsi="Arial" w:cs="Arial"/>
          <w:b/>
          <w:u w:val="single"/>
        </w:rPr>
      </w:pPr>
    </w:p>
    <w:p w:rsidR="002A3CC8" w:rsidRDefault="002A3CC8" w:rsidP="005C6E7A">
      <w:pPr>
        <w:rPr>
          <w:rFonts w:ascii="Arial" w:hAnsi="Arial" w:cs="Arial"/>
          <w:b/>
          <w:u w:val="single"/>
        </w:rPr>
      </w:pPr>
    </w:p>
    <w:p w:rsidR="002A3CC8" w:rsidRDefault="002A3CC8" w:rsidP="005C6E7A">
      <w:pPr>
        <w:rPr>
          <w:rFonts w:ascii="Arial" w:hAnsi="Arial" w:cs="Arial"/>
          <w:b/>
          <w:u w:val="single"/>
        </w:rPr>
      </w:pPr>
    </w:p>
    <w:p w:rsidR="002A3CC8" w:rsidRDefault="002A3CC8"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2A3CC8">
        <w:rPr>
          <w:rFonts w:ascii="Arial" w:hAnsi="Arial" w:cs="Arial"/>
          <w:b/>
          <w:u w:val="single"/>
        </w:rPr>
        <w:t>7.</w:t>
      </w:r>
      <w:r w:rsidRPr="00F759E8">
        <w:rPr>
          <w:rFonts w:ascii="Arial" w:hAnsi="Arial" w:cs="Arial"/>
          <w:b/>
          <w:u w:val="single"/>
        </w:rPr>
        <w:t>1:</w:t>
      </w:r>
    </w:p>
    <w:p w:rsidR="006B5580" w:rsidRDefault="006B5580" w:rsidP="005C6E7A">
      <w:pPr>
        <w:rPr>
          <w:rFonts w:ascii="Arial" w:hAnsi="Arial" w:cs="Arial"/>
          <w:sz w:val="28"/>
          <w:szCs w:val="28"/>
        </w:rPr>
      </w:pPr>
    </w:p>
    <w:p w:rsidR="0012408C" w:rsidRPr="00D90D1C" w:rsidRDefault="00C36756" w:rsidP="0012408C">
      <w:pPr>
        <w:rPr>
          <w:rFonts w:ascii="Arial" w:hAnsi="Arial" w:cs="Arial"/>
          <w:color w:val="000000" w:themeColor="text1"/>
        </w:rPr>
      </w:pPr>
      <w:r w:rsidRPr="000B3D15">
        <w:rPr>
          <w:rFonts w:ascii="Arial" w:hAnsi="Arial" w:cs="Arial"/>
        </w:rPr>
        <w:t xml:space="preserve">Please see the attached Excel file.  Data </w:t>
      </w:r>
      <w:r w:rsidR="000E5574">
        <w:rPr>
          <w:rFonts w:ascii="Arial" w:hAnsi="Arial" w:cs="Arial"/>
        </w:rPr>
        <w:t>was</w:t>
      </w:r>
      <w:r w:rsidRPr="000B3D15">
        <w:rPr>
          <w:rFonts w:ascii="Arial" w:hAnsi="Arial" w:cs="Arial"/>
        </w:rPr>
        <w:t xml:space="preserve"> not provided separately by SoCalGas and SDG&amp;E so as to not violate the “15/15” rule on customer data confidentiality pursuant to Commission </w:t>
      </w:r>
      <w:r w:rsidR="004C5926">
        <w:rPr>
          <w:rFonts w:ascii="Arial" w:hAnsi="Arial" w:cs="Arial"/>
        </w:rPr>
        <w:t>D</w:t>
      </w:r>
      <w:r w:rsidRPr="000B3D15">
        <w:rPr>
          <w:rFonts w:ascii="Arial" w:hAnsi="Arial" w:cs="Arial"/>
        </w:rPr>
        <w:t>ecision 97-10-031 which provides that "... information should be made up of at least 15 customers, and a customer</w:t>
      </w:r>
      <w:r w:rsidR="00270E49" w:rsidRPr="000B3D15">
        <w:rPr>
          <w:rFonts w:ascii="Arial" w:hAnsi="Arial" w:cs="Arial"/>
        </w:rPr>
        <w:t>’</w:t>
      </w:r>
      <w:r w:rsidRPr="000B3D15">
        <w:rPr>
          <w:rFonts w:ascii="Arial" w:hAnsi="Arial" w:cs="Arial"/>
        </w:rPr>
        <w:t>s load must be less than 15 percent o</w:t>
      </w:r>
      <w:r w:rsidR="00A35394" w:rsidRPr="000B3D15">
        <w:rPr>
          <w:rFonts w:ascii="Arial" w:hAnsi="Arial" w:cs="Arial"/>
        </w:rPr>
        <w:t xml:space="preserve">f an aggregation category."  </w:t>
      </w:r>
      <w:r w:rsidRPr="000B3D15">
        <w:rPr>
          <w:rFonts w:ascii="Arial" w:hAnsi="Arial" w:cs="Arial"/>
        </w:rPr>
        <w:t xml:space="preserve">In limited instances, “Max Hourly Volume per Month” data </w:t>
      </w:r>
      <w:r w:rsidR="000E5574">
        <w:rPr>
          <w:rFonts w:ascii="Arial" w:hAnsi="Arial" w:cs="Arial"/>
        </w:rPr>
        <w:t>was</w:t>
      </w:r>
      <w:r w:rsidRPr="000B3D15">
        <w:rPr>
          <w:rFonts w:ascii="Arial" w:hAnsi="Arial" w:cs="Arial"/>
        </w:rPr>
        <w:t xml:space="preserve"> not available.</w:t>
      </w:r>
      <w:r w:rsidR="00270E49" w:rsidRPr="000B3D15">
        <w:rPr>
          <w:rFonts w:ascii="Arial" w:hAnsi="Arial" w:cs="Arial"/>
        </w:rPr>
        <w:t xml:space="preserve">  </w:t>
      </w:r>
      <w:r w:rsidR="005857E6" w:rsidRPr="000B3D15">
        <w:rPr>
          <w:rFonts w:ascii="Arial" w:hAnsi="Arial" w:cs="Arial"/>
        </w:rPr>
        <w:t>Zero means zero volumes and blank means that the data is not yet available.</w:t>
      </w:r>
      <w:r w:rsidR="0012408C">
        <w:rPr>
          <w:rFonts w:ascii="Arial" w:hAnsi="Arial" w:cs="Arial"/>
        </w:rPr>
        <w:t xml:space="preserve">  “Not available” means the data is not available </w:t>
      </w:r>
      <w:r w:rsidR="0012408C" w:rsidRPr="00D90D1C">
        <w:rPr>
          <w:rFonts w:ascii="Arial" w:hAnsi="Arial" w:cs="Arial"/>
          <w:color w:val="000000" w:themeColor="text1"/>
        </w:rPr>
        <w:t xml:space="preserve">because the facility does not have a communicating electronic measurement device. </w:t>
      </w:r>
      <w:r w:rsidR="0012408C">
        <w:rPr>
          <w:rFonts w:ascii="Arial" w:hAnsi="Arial" w:cs="Arial"/>
          <w:color w:val="000000" w:themeColor="text1"/>
        </w:rPr>
        <w:t xml:space="preserve"> </w:t>
      </w:r>
      <w:r w:rsidR="0012408C" w:rsidRPr="00D90D1C">
        <w:rPr>
          <w:rFonts w:ascii="Arial" w:hAnsi="Arial" w:cs="Arial"/>
          <w:color w:val="000000" w:themeColor="text1"/>
        </w:rPr>
        <w:t>Without the device</w:t>
      </w:r>
      <w:r w:rsidR="0012408C">
        <w:rPr>
          <w:rFonts w:ascii="Arial" w:hAnsi="Arial" w:cs="Arial"/>
          <w:color w:val="000000" w:themeColor="text1"/>
        </w:rPr>
        <w:t>,</w:t>
      </w:r>
      <w:r w:rsidR="0012408C" w:rsidRPr="00D90D1C">
        <w:rPr>
          <w:rFonts w:ascii="Arial" w:hAnsi="Arial" w:cs="Arial"/>
          <w:color w:val="000000" w:themeColor="text1"/>
        </w:rPr>
        <w:t xml:space="preserve"> SoCalGas does not possess hourly measurement data.</w:t>
      </w:r>
    </w:p>
    <w:p w:rsidR="00C36756" w:rsidRPr="000B3D15" w:rsidRDefault="00C36756" w:rsidP="00C36756">
      <w:pPr>
        <w:rPr>
          <w:rFonts w:ascii="Arial" w:hAnsi="Arial" w:cs="Arial"/>
        </w:rPr>
      </w:pPr>
    </w:p>
    <w:p w:rsidR="00F67377" w:rsidRDefault="00F67377" w:rsidP="00F67377">
      <w:pPr>
        <w:rPr>
          <w:rFonts w:ascii="Arial" w:hAnsi="Arial" w:cs="Arial"/>
          <w:b/>
          <w:u w:val="single"/>
        </w:rPr>
      </w:pPr>
    </w:p>
    <w:bookmarkStart w:id="1" w:name="_MON_1514876534"/>
    <w:bookmarkEnd w:id="1"/>
    <w:p w:rsidR="00A85689" w:rsidRDefault="001A241B" w:rsidP="004C0B63">
      <w:pPr>
        <w:rPr>
          <w:rFonts w:ascii="Arial" w:hAnsi="Arial" w:cs="Arial"/>
          <w:b/>
          <w:u w:val="single"/>
        </w:rPr>
      </w:pPr>
      <w:r w:rsidRPr="000B3D15">
        <w:rPr>
          <w:rFonts w:ascii="Arial" w:hAnsi="Arial" w:cs="Arial"/>
        </w:rPr>
        <w:object w:dxaOrig="2040" w:dyaOrig="1339">
          <v:shape id="_x0000_i1026" type="#_x0000_t75" style="width:102pt;height:67.5pt" o:ole="">
            <v:imagedata r:id="rId11" o:title=""/>
          </v:shape>
          <o:OLEObject Type="Embed" ProgID="Excel.Sheet.12" ShapeID="_x0000_i1026" DrawAspect="Icon" ObjectID="_1515487479" r:id="rId12"/>
        </w:object>
      </w:r>
      <w:r w:rsidR="00F67377">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2A3CC8" w:rsidRDefault="002A3CC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2A3CC8">
        <w:rPr>
          <w:rFonts w:ascii="Arial" w:hAnsi="Arial" w:cs="Arial"/>
          <w:b/>
          <w:u w:val="single"/>
        </w:rPr>
        <w:t>7.</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2A3CC8" w:rsidRPr="002A3CC8" w:rsidRDefault="002A3CC8" w:rsidP="002A3CC8">
      <w:pPr>
        <w:rPr>
          <w:rFonts w:ascii="Arial" w:hAnsi="Arial" w:cs="Arial"/>
        </w:rPr>
      </w:pPr>
      <w:r w:rsidRPr="002A3CC8">
        <w:rPr>
          <w:rFonts w:ascii="Arial" w:hAnsi="Arial" w:cs="Arial"/>
        </w:rPr>
        <w:t>With respect to Table 6, page 16:</w:t>
      </w:r>
    </w:p>
    <w:p w:rsidR="002A3CC8" w:rsidRDefault="002A3CC8" w:rsidP="002A3CC8">
      <w:pPr>
        <w:rPr>
          <w:rFonts w:ascii="Arial" w:hAnsi="Arial" w:cs="Arial"/>
        </w:rPr>
      </w:pPr>
    </w:p>
    <w:p w:rsidR="002A3CC8" w:rsidRPr="002A3CC8" w:rsidRDefault="002A3CC8" w:rsidP="002A3CC8">
      <w:pPr>
        <w:rPr>
          <w:rFonts w:ascii="Arial" w:hAnsi="Arial" w:cs="Arial"/>
        </w:rPr>
      </w:pPr>
      <w:r w:rsidRPr="002A3CC8">
        <w:rPr>
          <w:rFonts w:ascii="Arial" w:hAnsi="Arial" w:cs="Arial"/>
        </w:rPr>
        <w:t>7.2.1.</w:t>
      </w:r>
      <w:r w:rsidRPr="002A3CC8">
        <w:rPr>
          <w:rFonts w:ascii="Arial" w:hAnsi="Arial" w:cs="Arial"/>
        </w:rPr>
        <w:tab/>
        <w:t>Please update the table to include months through December 2015.</w:t>
      </w:r>
    </w:p>
    <w:p w:rsidR="002A3CC8" w:rsidRDefault="002A3CC8" w:rsidP="002A3CC8">
      <w:pPr>
        <w:rPr>
          <w:rFonts w:ascii="Arial" w:hAnsi="Arial" w:cs="Arial"/>
        </w:rPr>
      </w:pPr>
    </w:p>
    <w:p w:rsidR="002A3CC8" w:rsidRPr="002A3CC8" w:rsidRDefault="002A3CC8" w:rsidP="002A3CC8">
      <w:pPr>
        <w:ind w:left="720" w:hanging="720"/>
        <w:rPr>
          <w:rFonts w:ascii="Arial" w:hAnsi="Arial" w:cs="Arial"/>
        </w:rPr>
      </w:pPr>
      <w:r w:rsidRPr="002A3CC8">
        <w:rPr>
          <w:rFonts w:ascii="Arial" w:hAnsi="Arial" w:cs="Arial"/>
        </w:rPr>
        <w:t>7.2.2.</w:t>
      </w:r>
      <w:r w:rsidRPr="002A3CC8">
        <w:rPr>
          <w:rFonts w:ascii="Arial" w:hAnsi="Arial" w:cs="Arial"/>
        </w:rPr>
        <w:tab/>
        <w:t xml:space="preserve">Please calculate an average monthly rate for all of the TLS Reservation Service customers for each month of the period January 2013 through December 2015.  </w:t>
      </w:r>
    </w:p>
    <w:p w:rsidR="002A3CC8" w:rsidRDefault="002A3CC8" w:rsidP="002A3CC8">
      <w:pPr>
        <w:rPr>
          <w:rFonts w:ascii="Arial" w:hAnsi="Arial" w:cs="Arial"/>
        </w:rPr>
      </w:pPr>
    </w:p>
    <w:p w:rsidR="002A3CC8" w:rsidRPr="002A3CC8" w:rsidRDefault="002A3CC8" w:rsidP="002A3CC8">
      <w:pPr>
        <w:ind w:left="720" w:hanging="720"/>
        <w:rPr>
          <w:rFonts w:ascii="Arial" w:hAnsi="Arial" w:cs="Arial"/>
        </w:rPr>
      </w:pPr>
      <w:r w:rsidRPr="002A3CC8">
        <w:rPr>
          <w:rFonts w:ascii="Arial" w:hAnsi="Arial" w:cs="Arial"/>
        </w:rPr>
        <w:t>7.2.3.</w:t>
      </w:r>
      <w:r w:rsidRPr="002A3CC8">
        <w:rPr>
          <w:rFonts w:ascii="Arial" w:hAnsi="Arial" w:cs="Arial"/>
        </w:rPr>
        <w:tab/>
        <w:t xml:space="preserve">Please calculate the standard deviation of individual TLS RS customers’ average monthly rates relative to the average calculated in response to Q.7.2.2 for each month of the period January 2013 through December 2015.  </w:t>
      </w:r>
    </w:p>
    <w:p w:rsidR="002A3CC8" w:rsidRDefault="002A3CC8" w:rsidP="002A3CC8">
      <w:pPr>
        <w:rPr>
          <w:rFonts w:ascii="Arial" w:hAnsi="Arial" w:cs="Arial"/>
        </w:rPr>
      </w:pPr>
    </w:p>
    <w:p w:rsidR="005F4287" w:rsidRPr="0031141C" w:rsidRDefault="002A3CC8" w:rsidP="002A3CC8">
      <w:pPr>
        <w:ind w:left="720" w:hanging="720"/>
        <w:rPr>
          <w:rFonts w:ascii="Arial" w:hAnsi="Arial" w:cs="Arial"/>
        </w:rPr>
      </w:pPr>
      <w:r w:rsidRPr="002A3CC8">
        <w:rPr>
          <w:rFonts w:ascii="Arial" w:hAnsi="Arial" w:cs="Arial"/>
        </w:rPr>
        <w:t>7.2.4.</w:t>
      </w:r>
      <w:r w:rsidRPr="002A3CC8">
        <w:rPr>
          <w:rFonts w:ascii="Arial" w:hAnsi="Arial" w:cs="Arial"/>
        </w:rPr>
        <w:tab/>
        <w:t>Please provide the TLS volumetric rate for each month of the period, January 2013 through December 2015.</w:t>
      </w:r>
    </w:p>
    <w:p w:rsidR="00582C14" w:rsidRPr="0031141C" w:rsidRDefault="00582C14" w:rsidP="00F67377">
      <w:pPr>
        <w:rPr>
          <w:rFonts w:ascii="Arial" w:hAnsi="Arial" w:cs="Arial"/>
          <w:b/>
        </w:rPr>
      </w:pPr>
    </w:p>
    <w:p w:rsidR="002A3CC8" w:rsidRDefault="002A3CC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2A3CC8">
        <w:rPr>
          <w:rFonts w:ascii="Arial" w:hAnsi="Arial" w:cs="Arial"/>
          <w:b/>
          <w:u w:val="single"/>
        </w:rPr>
        <w:t>7.</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F67377" w:rsidP="005C6E7A">
      <w:pPr>
        <w:rPr>
          <w:rFonts w:ascii="Arial" w:hAnsi="Arial" w:cs="Arial"/>
          <w:sz w:val="28"/>
          <w:szCs w:val="28"/>
        </w:rPr>
      </w:pPr>
    </w:p>
    <w:p w:rsidR="00B9033B" w:rsidRPr="000B3D15" w:rsidRDefault="00B9033B" w:rsidP="001A241B">
      <w:pPr>
        <w:ind w:left="720" w:hanging="720"/>
        <w:rPr>
          <w:rFonts w:ascii="Arial" w:hAnsi="Arial" w:cs="Arial"/>
        </w:rPr>
      </w:pPr>
      <w:r w:rsidRPr="000B3D15">
        <w:rPr>
          <w:rFonts w:ascii="Arial" w:hAnsi="Arial" w:cs="Arial"/>
        </w:rPr>
        <w:t>7.2.1</w:t>
      </w:r>
      <w:r w:rsidRPr="000B3D15">
        <w:rPr>
          <w:rFonts w:ascii="Arial" w:hAnsi="Arial" w:cs="Arial"/>
        </w:rPr>
        <w:tab/>
        <w:t>See table below</w:t>
      </w:r>
      <w:r w:rsidR="004E70F1" w:rsidRPr="000B3D15">
        <w:rPr>
          <w:rFonts w:ascii="Arial" w:hAnsi="Arial" w:cs="Arial"/>
        </w:rPr>
        <w:t xml:space="preserve"> for data through November, 2015</w:t>
      </w:r>
      <w:r w:rsidRPr="000B3D15">
        <w:rPr>
          <w:rFonts w:ascii="Arial" w:hAnsi="Arial" w:cs="Arial"/>
        </w:rPr>
        <w:t>.  December 2015 data is unavailable and will be provided once data becomes available.</w:t>
      </w:r>
      <w:r w:rsidR="004E70F1" w:rsidRPr="000B3D15">
        <w:rPr>
          <w:rFonts w:ascii="Arial" w:hAnsi="Arial" w:cs="Arial"/>
        </w:rPr>
        <w:t xml:space="preserve">  In the process of updating the data, corrections were made.</w:t>
      </w:r>
    </w:p>
    <w:p w:rsidR="00B9033B" w:rsidRPr="000B3D15" w:rsidRDefault="00B9033B" w:rsidP="00B9033B">
      <w:pPr>
        <w:rPr>
          <w:rFonts w:ascii="Arial" w:hAnsi="Arial" w:cs="Arial"/>
        </w:rPr>
      </w:pPr>
    </w:p>
    <w:tbl>
      <w:tblPr>
        <w:tblW w:w="6840" w:type="dxa"/>
        <w:tblInd w:w="98" w:type="dxa"/>
        <w:tblLook w:val="04A0" w:firstRow="1" w:lastRow="0" w:firstColumn="1" w:lastColumn="0" w:noHBand="0" w:noVBand="1"/>
      </w:tblPr>
      <w:tblGrid>
        <w:gridCol w:w="5705"/>
        <w:gridCol w:w="1135"/>
      </w:tblGrid>
      <w:tr w:rsidR="00B9033B" w:rsidRPr="000B3D15" w:rsidTr="00B109CE">
        <w:trPr>
          <w:trHeight w:val="255"/>
        </w:trPr>
        <w:tc>
          <w:tcPr>
            <w:tcW w:w="6840" w:type="dxa"/>
            <w:gridSpan w:val="2"/>
            <w:tcBorders>
              <w:top w:val="single" w:sz="8" w:space="0" w:color="auto"/>
              <w:left w:val="single" w:sz="8" w:space="0" w:color="auto"/>
              <w:bottom w:val="nil"/>
              <w:right w:val="single" w:sz="8" w:space="0" w:color="000000"/>
            </w:tcBorders>
            <w:shd w:val="clear" w:color="000000" w:fill="FFFFFF"/>
            <w:noWrap/>
            <w:vAlign w:val="center"/>
            <w:hideMark/>
          </w:tcPr>
          <w:p w:rsidR="00B9033B" w:rsidRPr="000B3D15" w:rsidRDefault="00B9033B" w:rsidP="00B109CE">
            <w:pPr>
              <w:jc w:val="center"/>
              <w:rPr>
                <w:rFonts w:ascii="Arial" w:hAnsi="Arial" w:cs="Arial"/>
                <w:b/>
                <w:bCs/>
                <w:color w:val="000000"/>
                <w:sz w:val="16"/>
                <w:szCs w:val="16"/>
              </w:rPr>
            </w:pPr>
            <w:r w:rsidRPr="000B3D15">
              <w:rPr>
                <w:rFonts w:ascii="Arial" w:hAnsi="Arial" w:cs="Arial"/>
                <w:b/>
                <w:bCs/>
                <w:color w:val="000000"/>
                <w:sz w:val="16"/>
                <w:szCs w:val="16"/>
              </w:rPr>
              <w:t>Table 6:  TLS Reservation Revenue Report</w:t>
            </w:r>
          </w:p>
        </w:tc>
      </w:tr>
      <w:tr w:rsidR="00B9033B" w:rsidRPr="000B3D15" w:rsidTr="00B109CE">
        <w:trPr>
          <w:trHeight w:val="315"/>
        </w:trPr>
        <w:tc>
          <w:tcPr>
            <w:tcW w:w="6840" w:type="dxa"/>
            <w:gridSpan w:val="2"/>
            <w:tcBorders>
              <w:top w:val="nil"/>
              <w:left w:val="single" w:sz="8" w:space="0" w:color="auto"/>
              <w:bottom w:val="nil"/>
              <w:right w:val="single" w:sz="8" w:space="0" w:color="000000"/>
            </w:tcBorders>
            <w:shd w:val="clear" w:color="000000" w:fill="FFFFFF"/>
            <w:noWrap/>
            <w:vAlign w:val="center"/>
            <w:hideMark/>
          </w:tcPr>
          <w:p w:rsidR="00B9033B" w:rsidRPr="000B3D15" w:rsidRDefault="00B9033B" w:rsidP="00B109CE">
            <w:pPr>
              <w:jc w:val="center"/>
              <w:rPr>
                <w:rFonts w:ascii="Arial" w:hAnsi="Arial" w:cs="Arial"/>
                <w:b/>
                <w:bCs/>
                <w:color w:val="000000"/>
                <w:sz w:val="16"/>
                <w:szCs w:val="16"/>
              </w:rPr>
            </w:pPr>
            <w:r w:rsidRPr="000B3D15">
              <w:rPr>
                <w:rFonts w:ascii="Arial" w:hAnsi="Arial" w:cs="Arial"/>
                <w:b/>
                <w:bCs/>
                <w:color w:val="000000"/>
                <w:sz w:val="16"/>
                <w:szCs w:val="16"/>
              </w:rPr>
              <w:t>Intrastate Transmission Level Service  Transportation Revenues and Volumes</w:t>
            </w:r>
          </w:p>
        </w:tc>
      </w:tr>
      <w:tr w:rsidR="00B9033B" w:rsidRPr="000B3D15" w:rsidTr="00B109CE">
        <w:trPr>
          <w:trHeight w:val="270"/>
        </w:trPr>
        <w:tc>
          <w:tcPr>
            <w:tcW w:w="6840" w:type="dxa"/>
            <w:gridSpan w:val="2"/>
            <w:tcBorders>
              <w:top w:val="nil"/>
              <w:left w:val="single" w:sz="8" w:space="0" w:color="auto"/>
              <w:bottom w:val="single" w:sz="8" w:space="0" w:color="auto"/>
              <w:right w:val="single" w:sz="8" w:space="0" w:color="000000"/>
            </w:tcBorders>
            <w:shd w:val="clear" w:color="000000" w:fill="FFFFFF"/>
            <w:noWrap/>
            <w:vAlign w:val="center"/>
            <w:hideMark/>
          </w:tcPr>
          <w:p w:rsidR="00B9033B" w:rsidRPr="000B3D15" w:rsidRDefault="00B9033B" w:rsidP="00B109CE">
            <w:pPr>
              <w:jc w:val="center"/>
              <w:rPr>
                <w:rFonts w:ascii="Arial" w:hAnsi="Arial" w:cs="Arial"/>
                <w:b/>
                <w:bCs/>
                <w:color w:val="000000"/>
                <w:sz w:val="16"/>
                <w:szCs w:val="16"/>
              </w:rPr>
            </w:pPr>
            <w:r w:rsidRPr="000B3D15">
              <w:rPr>
                <w:rFonts w:ascii="Arial" w:hAnsi="Arial" w:cs="Arial"/>
                <w:b/>
                <w:bCs/>
                <w:color w:val="000000"/>
                <w:sz w:val="16"/>
                <w:szCs w:val="16"/>
              </w:rPr>
              <w:t>Time Period: 01/2013 (TCAP 2013 start) to 11/2015 (for SoCalGas and SDGE)</w:t>
            </w:r>
          </w:p>
        </w:tc>
      </w:tr>
      <w:tr w:rsidR="00B9033B" w:rsidRPr="000B3D15" w:rsidTr="00B109CE">
        <w:trPr>
          <w:trHeight w:val="255"/>
        </w:trPr>
        <w:tc>
          <w:tcPr>
            <w:tcW w:w="5705" w:type="dxa"/>
            <w:tcBorders>
              <w:top w:val="nil"/>
              <w:left w:val="single" w:sz="8" w:space="0" w:color="auto"/>
              <w:bottom w:val="nil"/>
              <w:right w:val="nil"/>
            </w:tcBorders>
            <w:shd w:val="clear" w:color="000000" w:fill="FFFFFF"/>
            <w:noWrap/>
            <w:vAlign w:val="bottom"/>
            <w:hideMark/>
          </w:tcPr>
          <w:p w:rsidR="00B9033B" w:rsidRPr="000B3D15" w:rsidRDefault="00B9033B" w:rsidP="00B109CE">
            <w:pPr>
              <w:rPr>
                <w:rFonts w:ascii="Arial" w:hAnsi="Arial" w:cs="Arial"/>
                <w:sz w:val="16"/>
                <w:szCs w:val="16"/>
              </w:rPr>
            </w:pPr>
            <w:r w:rsidRPr="000B3D15">
              <w:rPr>
                <w:rFonts w:ascii="Arial" w:hAnsi="Arial" w:cs="Arial"/>
                <w:sz w:val="16"/>
                <w:szCs w:val="16"/>
              </w:rPr>
              <w:t>Reservation Service Transmission Revenue ($000)</w:t>
            </w:r>
          </w:p>
        </w:tc>
        <w:tc>
          <w:tcPr>
            <w:tcW w:w="1135" w:type="dxa"/>
            <w:tcBorders>
              <w:top w:val="nil"/>
              <w:left w:val="nil"/>
              <w:bottom w:val="nil"/>
              <w:right w:val="single" w:sz="8" w:space="0" w:color="auto"/>
            </w:tcBorders>
            <w:shd w:val="clear" w:color="000000" w:fill="FFFFFF"/>
            <w:noWrap/>
            <w:vAlign w:val="bottom"/>
            <w:hideMark/>
          </w:tcPr>
          <w:p w:rsidR="00B9033B" w:rsidRPr="000B3D15" w:rsidRDefault="00B9033B" w:rsidP="00B109CE">
            <w:pPr>
              <w:jc w:val="center"/>
              <w:rPr>
                <w:rFonts w:ascii="Arial" w:hAnsi="Arial" w:cs="Arial"/>
                <w:sz w:val="16"/>
                <w:szCs w:val="16"/>
              </w:rPr>
            </w:pPr>
            <w:r w:rsidRPr="000B3D15">
              <w:rPr>
                <w:rFonts w:ascii="Arial" w:hAnsi="Arial" w:cs="Arial"/>
                <w:sz w:val="16"/>
                <w:szCs w:val="16"/>
              </w:rPr>
              <w:t xml:space="preserve">$153,797 </w:t>
            </w:r>
          </w:p>
        </w:tc>
      </w:tr>
      <w:tr w:rsidR="00B9033B" w:rsidRPr="000B3D15" w:rsidTr="00B109CE">
        <w:trPr>
          <w:trHeight w:val="270"/>
        </w:trPr>
        <w:tc>
          <w:tcPr>
            <w:tcW w:w="5705" w:type="dxa"/>
            <w:tcBorders>
              <w:top w:val="nil"/>
              <w:left w:val="single" w:sz="8" w:space="0" w:color="auto"/>
              <w:bottom w:val="single" w:sz="8" w:space="0" w:color="auto"/>
              <w:right w:val="nil"/>
            </w:tcBorders>
            <w:shd w:val="clear" w:color="000000" w:fill="FFFFFF"/>
            <w:noWrap/>
            <w:vAlign w:val="bottom"/>
            <w:hideMark/>
          </w:tcPr>
          <w:p w:rsidR="00B9033B" w:rsidRPr="000B3D15" w:rsidRDefault="00B9033B" w:rsidP="00B109CE">
            <w:pPr>
              <w:rPr>
                <w:rFonts w:ascii="Arial" w:hAnsi="Arial" w:cs="Arial"/>
                <w:sz w:val="16"/>
                <w:szCs w:val="16"/>
              </w:rPr>
            </w:pPr>
            <w:r w:rsidRPr="000B3D15">
              <w:rPr>
                <w:rFonts w:ascii="Arial" w:hAnsi="Arial" w:cs="Arial"/>
                <w:sz w:val="16"/>
                <w:szCs w:val="16"/>
              </w:rPr>
              <w:t>Volumes Mth</w:t>
            </w:r>
          </w:p>
        </w:tc>
        <w:tc>
          <w:tcPr>
            <w:tcW w:w="1135" w:type="dxa"/>
            <w:tcBorders>
              <w:top w:val="nil"/>
              <w:left w:val="nil"/>
              <w:bottom w:val="single" w:sz="8" w:space="0" w:color="auto"/>
              <w:right w:val="single" w:sz="8" w:space="0" w:color="auto"/>
            </w:tcBorders>
            <w:shd w:val="clear" w:color="000000" w:fill="FFFFFF"/>
            <w:noWrap/>
            <w:vAlign w:val="bottom"/>
            <w:hideMark/>
          </w:tcPr>
          <w:p w:rsidR="00B9033B" w:rsidRPr="000B3D15" w:rsidRDefault="00B9033B" w:rsidP="00B109CE">
            <w:pPr>
              <w:jc w:val="center"/>
              <w:rPr>
                <w:rFonts w:ascii="Arial" w:hAnsi="Arial" w:cs="Arial"/>
                <w:sz w:val="16"/>
                <w:szCs w:val="16"/>
              </w:rPr>
            </w:pPr>
            <w:r w:rsidRPr="000B3D15">
              <w:rPr>
                <w:rFonts w:ascii="Arial" w:hAnsi="Arial" w:cs="Arial"/>
                <w:sz w:val="16"/>
                <w:szCs w:val="16"/>
              </w:rPr>
              <w:t>6,072,337</w:t>
            </w:r>
          </w:p>
        </w:tc>
      </w:tr>
    </w:tbl>
    <w:p w:rsidR="00B9033B" w:rsidRPr="000B3D15" w:rsidRDefault="00B9033B" w:rsidP="00B9033B">
      <w:pPr>
        <w:rPr>
          <w:rFonts w:ascii="Arial" w:hAnsi="Arial" w:cs="Arial"/>
        </w:rPr>
      </w:pPr>
    </w:p>
    <w:p w:rsidR="00B9033B" w:rsidRDefault="00B9033B" w:rsidP="001A241B">
      <w:pPr>
        <w:ind w:left="720" w:hanging="720"/>
        <w:rPr>
          <w:rFonts w:ascii="Arial" w:hAnsi="Arial" w:cs="Arial"/>
        </w:rPr>
      </w:pPr>
      <w:r w:rsidRPr="000B3D15">
        <w:rPr>
          <w:rFonts w:ascii="Arial" w:hAnsi="Arial" w:cs="Arial"/>
        </w:rPr>
        <w:t>7.2.2</w:t>
      </w:r>
      <w:r w:rsidRPr="000B3D15">
        <w:rPr>
          <w:rFonts w:ascii="Arial" w:hAnsi="Arial" w:cs="Arial"/>
        </w:rPr>
        <w:tab/>
        <w:t>The attachment shows an average monthly rate for all of the TLS Reservation Service customers for each month of the period Janua</w:t>
      </w:r>
      <w:r w:rsidR="001A241B">
        <w:rPr>
          <w:rFonts w:ascii="Arial" w:hAnsi="Arial" w:cs="Arial"/>
        </w:rPr>
        <w:t>ry 2013 through November 2015.</w:t>
      </w:r>
    </w:p>
    <w:p w:rsidR="001A241B" w:rsidRPr="000B3D15" w:rsidRDefault="001A241B" w:rsidP="001A241B">
      <w:pPr>
        <w:ind w:left="720" w:hanging="720"/>
        <w:rPr>
          <w:rFonts w:ascii="Arial" w:hAnsi="Arial" w:cs="Arial"/>
        </w:rPr>
      </w:pPr>
    </w:p>
    <w:bookmarkStart w:id="2" w:name="_MON_1514877811"/>
    <w:bookmarkEnd w:id="2"/>
    <w:p w:rsidR="00B9033B" w:rsidRPr="000B3D15" w:rsidRDefault="004C5926" w:rsidP="00B9033B">
      <w:pPr>
        <w:rPr>
          <w:rFonts w:ascii="Arial" w:hAnsi="Arial" w:cs="Arial"/>
          <w:b/>
          <w:u w:val="single"/>
        </w:rPr>
      </w:pPr>
      <w:r w:rsidRPr="000B3D15">
        <w:rPr>
          <w:rFonts w:ascii="Arial" w:hAnsi="Arial" w:cs="Arial"/>
        </w:rPr>
        <w:object w:dxaOrig="2040" w:dyaOrig="1339">
          <v:shape id="_x0000_i1030" type="#_x0000_t75" style="width:102pt;height:67.5pt" o:ole="">
            <v:imagedata r:id="rId13" o:title=""/>
          </v:shape>
          <o:OLEObject Type="Embed" ProgID="Excel.Sheet.12" ShapeID="_x0000_i1030" DrawAspect="Icon" ObjectID="_1515487480" r:id="rId14"/>
        </w:object>
      </w:r>
    </w:p>
    <w:p w:rsidR="00B9033B" w:rsidRPr="000B3D15" w:rsidRDefault="00B9033B" w:rsidP="00B9033B">
      <w:pPr>
        <w:rPr>
          <w:rFonts w:ascii="Arial" w:hAnsi="Arial" w:cs="Arial"/>
        </w:rPr>
      </w:pPr>
    </w:p>
    <w:p w:rsidR="00B9033B" w:rsidRPr="000B3D15" w:rsidRDefault="00B9033B" w:rsidP="001A241B">
      <w:pPr>
        <w:ind w:left="720" w:hanging="720"/>
        <w:rPr>
          <w:rFonts w:ascii="Arial" w:hAnsi="Arial" w:cs="Arial"/>
          <w:b/>
          <w:u w:val="single"/>
        </w:rPr>
      </w:pPr>
      <w:r w:rsidRPr="000B3D15">
        <w:rPr>
          <w:rFonts w:ascii="Arial" w:hAnsi="Arial" w:cs="Arial"/>
        </w:rPr>
        <w:t>7.2.3</w:t>
      </w:r>
      <w:r w:rsidRPr="000B3D15">
        <w:rPr>
          <w:rFonts w:ascii="Arial" w:hAnsi="Arial" w:cs="Arial"/>
        </w:rPr>
        <w:tab/>
      </w:r>
      <w:r w:rsidR="001A241B">
        <w:rPr>
          <w:rFonts w:ascii="Arial" w:hAnsi="Arial" w:cs="Arial"/>
        </w:rPr>
        <w:t>SoCalGas and SDG&amp;E object to this request on the grounds that it seeks confidential customer information.</w:t>
      </w:r>
    </w:p>
    <w:p w:rsidR="00B9033B" w:rsidRPr="000B3D15" w:rsidRDefault="00B9033B" w:rsidP="00B9033B">
      <w:pPr>
        <w:rPr>
          <w:rFonts w:ascii="Arial" w:hAnsi="Arial" w:cs="Arial"/>
        </w:rPr>
      </w:pPr>
    </w:p>
    <w:p w:rsidR="00B9033B" w:rsidRPr="000B3D15" w:rsidRDefault="00B9033B" w:rsidP="00B9033B">
      <w:pPr>
        <w:ind w:left="720" w:hanging="720"/>
        <w:rPr>
          <w:rFonts w:ascii="Arial" w:hAnsi="Arial" w:cs="Arial"/>
        </w:rPr>
      </w:pPr>
      <w:r w:rsidRPr="000B3D15">
        <w:rPr>
          <w:rFonts w:ascii="Arial" w:hAnsi="Arial" w:cs="Arial"/>
        </w:rPr>
        <w:t>7.2.4</w:t>
      </w:r>
      <w:r w:rsidRPr="000B3D15">
        <w:rPr>
          <w:rFonts w:ascii="Arial" w:hAnsi="Arial" w:cs="Arial"/>
        </w:rPr>
        <w:tab/>
        <w:t>The TLS rates for each month of the period, January 2013 through December 2015 are attached.</w:t>
      </w:r>
    </w:p>
    <w:p w:rsidR="00B9033B" w:rsidRDefault="00B9033B" w:rsidP="00B9033B">
      <w:pPr>
        <w:ind w:left="720" w:hanging="720"/>
      </w:pPr>
    </w:p>
    <w:p w:rsidR="00B9033B" w:rsidRPr="004609E8" w:rsidRDefault="00B9033B" w:rsidP="00B9033B">
      <w:pPr>
        <w:ind w:left="720" w:hanging="720"/>
      </w:pPr>
      <w:r>
        <w:t xml:space="preserve"> </w:t>
      </w:r>
      <w:bookmarkStart w:id="3" w:name="_MON_1514878462"/>
      <w:bookmarkEnd w:id="3"/>
      <w:r w:rsidR="004C5926">
        <w:object w:dxaOrig="2040" w:dyaOrig="1339">
          <v:shape id="_x0000_i1032" type="#_x0000_t75" style="width:102pt;height:67.5pt" o:ole="">
            <v:imagedata r:id="rId15" o:title=""/>
          </v:shape>
          <o:OLEObject Type="Embed" ProgID="Excel.Sheet.12" ShapeID="_x0000_i1032" DrawAspect="Icon" ObjectID="_1515487481" r:id="rId16"/>
        </w:object>
      </w:r>
    </w:p>
    <w:p w:rsidR="00B9033B" w:rsidRDefault="00B9033B" w:rsidP="00B9033B"/>
    <w:p w:rsidR="00B9033B" w:rsidRDefault="00B9033B" w:rsidP="00B9033B"/>
    <w:p w:rsidR="00B9033B" w:rsidRDefault="00B9033B" w:rsidP="00B9033B"/>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2A3CC8" w:rsidRDefault="002A3CC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2A3CC8">
        <w:rPr>
          <w:rFonts w:ascii="Arial" w:hAnsi="Arial" w:cs="Arial"/>
          <w:b/>
          <w:u w:val="single"/>
        </w:rPr>
        <w:t>7.</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582C14" w:rsidRPr="0031141C" w:rsidRDefault="002A3CC8" w:rsidP="00F67377">
      <w:pPr>
        <w:rPr>
          <w:rFonts w:ascii="Arial" w:hAnsi="Arial" w:cs="Arial"/>
        </w:rPr>
      </w:pPr>
      <w:r w:rsidRPr="002A3CC8">
        <w:rPr>
          <w:rFonts w:ascii="Arial" w:hAnsi="Arial" w:cs="Arial"/>
        </w:rPr>
        <w:t xml:space="preserve">In the </w:t>
      </w:r>
      <w:r>
        <w:rPr>
          <w:rFonts w:ascii="Arial" w:hAnsi="Arial" w:cs="Arial"/>
        </w:rPr>
        <w:t>w</w:t>
      </w:r>
      <w:r w:rsidRPr="002A3CC8">
        <w:rPr>
          <w:rFonts w:ascii="Arial" w:hAnsi="Arial" w:cs="Arial"/>
        </w:rPr>
        <w:t>orkpapers, 2017 TCAP SCG RD Model.xlsx, at tab, “TLS”, cell N70 states “Per SA.”  Please provide the citation to the SA and a complete explanation of what portion of the worksheet is referred to by the contents in cell N70 and why the section of the SA governs or justifies this calculation.</w:t>
      </w:r>
    </w:p>
    <w:p w:rsidR="005F4287" w:rsidRPr="0031141C" w:rsidRDefault="005F4287" w:rsidP="00F67377">
      <w:pPr>
        <w:rPr>
          <w:rFonts w:ascii="Arial" w:hAnsi="Arial" w:cs="Arial"/>
        </w:rPr>
      </w:pPr>
    </w:p>
    <w:p w:rsidR="002A3CC8" w:rsidRDefault="002A3CC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2A3CC8">
        <w:rPr>
          <w:rFonts w:ascii="Arial" w:hAnsi="Arial" w:cs="Arial"/>
          <w:b/>
          <w:u w:val="single"/>
        </w:rPr>
        <w:t>7.</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F67377" w:rsidRPr="000B3D15" w:rsidRDefault="004D6265" w:rsidP="005C6E7A">
      <w:pPr>
        <w:rPr>
          <w:rFonts w:ascii="Arial" w:hAnsi="Arial" w:cs="Arial"/>
        </w:rPr>
      </w:pPr>
      <w:r w:rsidRPr="000B3D15">
        <w:rPr>
          <w:rFonts w:ascii="Arial" w:hAnsi="Arial" w:cs="Arial"/>
        </w:rPr>
        <w:t>The 2013 TCAP settlement agreement section II.B.3.B, removed the requirement to exclude any allocated base margin portions of the ITBA from the Reservation Rate Usage Charge.  Specifically, line 74 is impact</w:t>
      </w:r>
      <w:r w:rsidR="000B3D15">
        <w:rPr>
          <w:rFonts w:ascii="Arial" w:hAnsi="Arial" w:cs="Arial"/>
        </w:rPr>
        <w:t>ed</w:t>
      </w:r>
      <w:r w:rsidRPr="000B3D15">
        <w:rPr>
          <w:rFonts w:ascii="Arial" w:hAnsi="Arial" w:cs="Arial"/>
        </w:rPr>
        <w:t xml:space="preserve"> by the settlement language.</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2A3CC8" w:rsidRDefault="002A3CC8"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sidR="002A3CC8">
        <w:rPr>
          <w:rFonts w:ascii="Arial" w:hAnsi="Arial" w:cs="Arial"/>
          <w:b/>
          <w:u w:val="single"/>
        </w:rPr>
        <w:t>7.</w:t>
      </w:r>
      <w:r>
        <w:rPr>
          <w:rFonts w:ascii="Arial" w:hAnsi="Arial" w:cs="Arial"/>
          <w:b/>
          <w:u w:val="single"/>
        </w:rPr>
        <w:t>4</w:t>
      </w:r>
      <w:r w:rsidRPr="00F759E8">
        <w:rPr>
          <w:rFonts w:ascii="Arial" w:hAnsi="Arial" w:cs="Arial"/>
          <w:b/>
          <w:u w:val="single"/>
        </w:rPr>
        <w:t>:</w:t>
      </w:r>
    </w:p>
    <w:p w:rsidR="002A3CC8" w:rsidRDefault="002A3CC8" w:rsidP="00F67377">
      <w:pPr>
        <w:rPr>
          <w:rFonts w:ascii="Arial" w:hAnsi="Arial" w:cs="Arial"/>
        </w:rPr>
      </w:pPr>
    </w:p>
    <w:p w:rsidR="005F4287" w:rsidRPr="0031141C" w:rsidRDefault="002A3CC8" w:rsidP="00F67377">
      <w:pPr>
        <w:rPr>
          <w:rFonts w:ascii="Arial" w:hAnsi="Arial" w:cs="Arial"/>
        </w:rPr>
      </w:pPr>
      <w:r w:rsidRPr="002A3CC8">
        <w:rPr>
          <w:rFonts w:ascii="Arial" w:hAnsi="Arial" w:cs="Arial"/>
        </w:rPr>
        <w:t>In the workpaper, 2017 TCAP SCG RD Model.xlsx, at tab, “TLS”, cell N74 states “Removed per SA.”  Please provide the citation to the SA and a complete explanation of what portion of the worksheet is referred to by the contents in cell N74 and why the section of the SA governs or justifies this calculation.</w:t>
      </w:r>
    </w:p>
    <w:p w:rsidR="005F4287" w:rsidRPr="0031141C" w:rsidRDefault="005F4287" w:rsidP="00F67377">
      <w:pPr>
        <w:rPr>
          <w:rFonts w:ascii="Arial" w:hAnsi="Arial" w:cs="Arial"/>
        </w:rPr>
      </w:pPr>
    </w:p>
    <w:p w:rsidR="002A3CC8" w:rsidRDefault="002A3CC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2A3CC8">
        <w:rPr>
          <w:rFonts w:ascii="Arial" w:hAnsi="Arial" w:cs="Arial"/>
          <w:b/>
          <w:u w:val="single"/>
        </w:rPr>
        <w:t>7.</w:t>
      </w:r>
      <w:r>
        <w:rPr>
          <w:rFonts w:ascii="Arial" w:hAnsi="Arial" w:cs="Arial"/>
          <w:b/>
          <w:u w:val="single"/>
        </w:rPr>
        <w:t>4</w:t>
      </w:r>
      <w:r w:rsidRPr="00F759E8">
        <w:rPr>
          <w:rFonts w:ascii="Arial" w:hAnsi="Arial" w:cs="Arial"/>
          <w:b/>
          <w:u w:val="single"/>
        </w:rPr>
        <w:t>:</w:t>
      </w:r>
    </w:p>
    <w:p w:rsidR="00F67377" w:rsidRDefault="00F67377" w:rsidP="005C6E7A">
      <w:pPr>
        <w:rPr>
          <w:rFonts w:ascii="Arial" w:hAnsi="Arial" w:cs="Arial"/>
          <w:sz w:val="28"/>
          <w:szCs w:val="28"/>
        </w:rPr>
      </w:pPr>
    </w:p>
    <w:p w:rsidR="00F67377" w:rsidRPr="000B3D15" w:rsidRDefault="004D6265" w:rsidP="005C6E7A">
      <w:pPr>
        <w:rPr>
          <w:rFonts w:ascii="Arial" w:hAnsi="Arial" w:cs="Arial"/>
        </w:rPr>
      </w:pPr>
      <w:r w:rsidRPr="000B3D15">
        <w:rPr>
          <w:rFonts w:ascii="Arial" w:hAnsi="Arial" w:cs="Arial"/>
        </w:rPr>
        <w:t>See response to 7.3, above.</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2A3CC8" w:rsidRDefault="002A3CC8" w:rsidP="00F67377">
      <w:pPr>
        <w:rPr>
          <w:rFonts w:ascii="Arial" w:hAnsi="Arial" w:cs="Arial"/>
          <w:b/>
          <w:u w:val="single"/>
        </w:rPr>
      </w:pPr>
    </w:p>
    <w:p w:rsidR="00F67377" w:rsidRPr="0031141C" w:rsidRDefault="00F67377" w:rsidP="00F67377">
      <w:pPr>
        <w:rPr>
          <w:rFonts w:ascii="Arial" w:hAnsi="Arial" w:cs="Arial"/>
          <w:b/>
        </w:rPr>
      </w:pPr>
      <w:r w:rsidRPr="00F759E8">
        <w:rPr>
          <w:rFonts w:ascii="Arial" w:hAnsi="Arial" w:cs="Arial"/>
          <w:b/>
          <w:u w:val="single"/>
        </w:rPr>
        <w:t xml:space="preserve">QUESTION </w:t>
      </w:r>
      <w:r w:rsidR="002A3CC8">
        <w:rPr>
          <w:rFonts w:ascii="Arial" w:hAnsi="Arial" w:cs="Arial"/>
          <w:b/>
          <w:u w:val="single"/>
        </w:rPr>
        <w:t>7.</w:t>
      </w:r>
      <w:r>
        <w:rPr>
          <w:rFonts w:ascii="Arial" w:hAnsi="Arial" w:cs="Arial"/>
          <w:b/>
          <w:u w:val="single"/>
        </w:rPr>
        <w:t>5</w:t>
      </w:r>
      <w:r w:rsidRPr="00F759E8">
        <w:rPr>
          <w:rFonts w:ascii="Arial" w:hAnsi="Arial" w:cs="Arial"/>
          <w:b/>
          <w:u w:val="single"/>
        </w:rPr>
        <w:t>:</w:t>
      </w:r>
    </w:p>
    <w:p w:rsidR="005F4287" w:rsidRPr="0031141C" w:rsidRDefault="005F4287" w:rsidP="00F67377">
      <w:pPr>
        <w:rPr>
          <w:rFonts w:ascii="Arial" w:hAnsi="Arial" w:cs="Arial"/>
        </w:rPr>
      </w:pPr>
    </w:p>
    <w:p w:rsidR="002A3CC8" w:rsidRPr="002A3CC8" w:rsidRDefault="002A3CC8" w:rsidP="002A3CC8">
      <w:pPr>
        <w:rPr>
          <w:rFonts w:ascii="Arial" w:hAnsi="Arial" w:cs="Arial"/>
        </w:rPr>
      </w:pPr>
      <w:r w:rsidRPr="002A3CC8">
        <w:rPr>
          <w:rFonts w:ascii="Arial" w:hAnsi="Arial" w:cs="Arial"/>
        </w:rPr>
        <w:t>In the workpaper, 2017 TCAP SCG RD Model.xlsx, at tab, “TLS”, cells A84:A85 state “Capacity used to determine reservation rate = noncore-T plus portion of remaining capacity. Remaining capacity = system - core - noncore-D - noncore-T multiplied by (noncore-t / core+noncore-D+noncore-T)”:</w:t>
      </w:r>
    </w:p>
    <w:p w:rsidR="002A3CC8" w:rsidRDefault="002A3CC8" w:rsidP="002A3CC8">
      <w:pPr>
        <w:rPr>
          <w:rFonts w:ascii="Arial" w:hAnsi="Arial" w:cs="Arial"/>
        </w:rPr>
      </w:pPr>
    </w:p>
    <w:p w:rsidR="002A3CC8" w:rsidRPr="002A3CC8" w:rsidRDefault="002A3CC8" w:rsidP="002A3CC8">
      <w:pPr>
        <w:ind w:left="720" w:hanging="720"/>
        <w:rPr>
          <w:rFonts w:ascii="Arial" w:hAnsi="Arial" w:cs="Arial"/>
        </w:rPr>
      </w:pPr>
      <w:r w:rsidRPr="002A3CC8">
        <w:rPr>
          <w:rFonts w:ascii="Arial" w:hAnsi="Arial" w:cs="Arial"/>
        </w:rPr>
        <w:t>7.5.1.</w:t>
      </w:r>
      <w:r w:rsidRPr="002A3CC8">
        <w:rPr>
          <w:rFonts w:ascii="Arial" w:hAnsi="Arial" w:cs="Arial"/>
        </w:rPr>
        <w:tab/>
        <w:t>Please provide an explanation of why it might be appropriate to base a reservation rate for TLS on “remaining [system] capacity” as defined in cells A84:A85.</w:t>
      </w:r>
    </w:p>
    <w:p w:rsidR="002A3CC8" w:rsidRDefault="002A3CC8" w:rsidP="002A3CC8">
      <w:pPr>
        <w:rPr>
          <w:rFonts w:ascii="Arial" w:hAnsi="Arial" w:cs="Arial"/>
        </w:rPr>
      </w:pPr>
    </w:p>
    <w:p w:rsidR="002A3CC8" w:rsidRPr="002A3CC8" w:rsidRDefault="002A3CC8" w:rsidP="002A3CC8">
      <w:pPr>
        <w:ind w:left="720" w:hanging="720"/>
        <w:rPr>
          <w:rFonts w:ascii="Arial" w:hAnsi="Arial" w:cs="Arial"/>
        </w:rPr>
      </w:pPr>
      <w:r w:rsidRPr="002A3CC8">
        <w:rPr>
          <w:rFonts w:ascii="Arial" w:hAnsi="Arial" w:cs="Arial"/>
        </w:rPr>
        <w:t>7.5.2.</w:t>
      </w:r>
      <w:r w:rsidRPr="002A3CC8">
        <w:rPr>
          <w:rFonts w:ascii="Arial" w:hAnsi="Arial" w:cs="Arial"/>
        </w:rPr>
        <w:tab/>
        <w:t>Please provide all examples of other SoCalGas or SDG&amp;E rates that have demand or reservation charges that are based upon “remaining [system] capacity” as defined in cells A84:A85.</w:t>
      </w:r>
    </w:p>
    <w:p w:rsidR="002A3CC8" w:rsidRDefault="002A3CC8" w:rsidP="002A3CC8">
      <w:pPr>
        <w:rPr>
          <w:rFonts w:ascii="Arial" w:hAnsi="Arial" w:cs="Arial"/>
        </w:rPr>
      </w:pPr>
    </w:p>
    <w:p w:rsidR="002A3CC8" w:rsidRPr="002A3CC8" w:rsidRDefault="002A3CC8" w:rsidP="002A3CC8">
      <w:pPr>
        <w:ind w:left="720" w:hanging="720"/>
        <w:rPr>
          <w:rFonts w:ascii="Arial" w:hAnsi="Arial" w:cs="Arial"/>
        </w:rPr>
      </w:pPr>
      <w:r w:rsidRPr="002A3CC8">
        <w:rPr>
          <w:rFonts w:ascii="Arial" w:hAnsi="Arial" w:cs="Arial"/>
        </w:rPr>
        <w:t>7.5.3.</w:t>
      </w:r>
      <w:r w:rsidRPr="002A3CC8">
        <w:rPr>
          <w:rFonts w:ascii="Arial" w:hAnsi="Arial" w:cs="Arial"/>
        </w:rPr>
        <w:tab/>
        <w:t>Please provide all examples of other gas utilities or interstate pipelines that have demand or reservation charges that are based upon “remaining [system] capacity” as defined in cells A84:A85.</w:t>
      </w:r>
    </w:p>
    <w:p w:rsidR="002A3CC8" w:rsidRDefault="002A3CC8" w:rsidP="002A3CC8">
      <w:pPr>
        <w:rPr>
          <w:rFonts w:ascii="Arial" w:hAnsi="Arial" w:cs="Arial"/>
        </w:rPr>
      </w:pPr>
    </w:p>
    <w:p w:rsidR="00582C14" w:rsidRPr="0031141C" w:rsidRDefault="002A3CC8" w:rsidP="002A3CC8">
      <w:pPr>
        <w:ind w:left="720" w:hanging="720"/>
        <w:rPr>
          <w:rFonts w:ascii="Arial" w:hAnsi="Arial" w:cs="Arial"/>
        </w:rPr>
      </w:pPr>
      <w:r w:rsidRPr="002A3CC8">
        <w:rPr>
          <w:rFonts w:ascii="Arial" w:hAnsi="Arial" w:cs="Arial"/>
        </w:rPr>
        <w:t>7.5.4.</w:t>
      </w:r>
      <w:r w:rsidRPr="002A3CC8">
        <w:rPr>
          <w:rFonts w:ascii="Arial" w:hAnsi="Arial" w:cs="Arial"/>
        </w:rPr>
        <w:tab/>
        <w:t>Now that SoCalGas has had multiple year experience with the TLS rate, RS options, why doesn’t SoCalGas design the reservation charge on customer billing determinants as is done for every other rate schedule?</w:t>
      </w:r>
    </w:p>
    <w:p w:rsidR="00F67377" w:rsidRPr="0031141C" w:rsidRDefault="00F67377" w:rsidP="00F67377">
      <w:pPr>
        <w:rPr>
          <w:rFonts w:ascii="Arial" w:hAnsi="Arial" w:cs="Arial"/>
        </w:rPr>
      </w:pPr>
    </w:p>
    <w:p w:rsidR="002A3CC8" w:rsidRDefault="002A3CC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2A3CC8">
        <w:rPr>
          <w:rFonts w:ascii="Arial" w:hAnsi="Arial" w:cs="Arial"/>
          <w:b/>
          <w:u w:val="single"/>
        </w:rPr>
        <w:t>7.</w:t>
      </w:r>
      <w:r>
        <w:rPr>
          <w:rFonts w:ascii="Arial" w:hAnsi="Arial" w:cs="Arial"/>
          <w:b/>
          <w:u w:val="single"/>
        </w:rPr>
        <w:t>5</w:t>
      </w:r>
      <w:r w:rsidRPr="00F759E8">
        <w:rPr>
          <w:rFonts w:ascii="Arial" w:hAnsi="Arial" w:cs="Arial"/>
          <w:b/>
          <w:u w:val="single"/>
        </w:rPr>
        <w:t>:</w:t>
      </w:r>
    </w:p>
    <w:p w:rsidR="00F67377" w:rsidRDefault="00F67377" w:rsidP="005C6E7A">
      <w:pPr>
        <w:rPr>
          <w:rFonts w:ascii="Arial" w:hAnsi="Arial" w:cs="Arial"/>
          <w:sz w:val="28"/>
          <w:szCs w:val="28"/>
        </w:rPr>
      </w:pPr>
    </w:p>
    <w:p w:rsidR="00DF4210" w:rsidRPr="000B3D15" w:rsidRDefault="00651802" w:rsidP="00DF4210">
      <w:pPr>
        <w:ind w:left="720" w:hanging="720"/>
        <w:rPr>
          <w:rFonts w:ascii="Arial" w:hAnsi="Arial" w:cs="Arial"/>
        </w:rPr>
      </w:pPr>
      <w:r w:rsidRPr="000B3D15">
        <w:rPr>
          <w:rFonts w:ascii="Arial" w:hAnsi="Arial" w:cs="Arial"/>
        </w:rPr>
        <w:t>7.5.1</w:t>
      </w:r>
      <w:r w:rsidRPr="000B3D15">
        <w:rPr>
          <w:rFonts w:ascii="Arial" w:hAnsi="Arial" w:cs="Arial"/>
        </w:rPr>
        <w:tab/>
      </w:r>
      <w:r w:rsidR="00200285" w:rsidRPr="000B3D15">
        <w:rPr>
          <w:rFonts w:ascii="Arial" w:hAnsi="Arial" w:cs="Arial"/>
        </w:rPr>
        <w:t>SoCalGas and SDG&amp;E’s</w:t>
      </w:r>
      <w:r w:rsidR="007D5FD2" w:rsidRPr="000B3D15">
        <w:rPr>
          <w:rFonts w:ascii="Arial" w:hAnsi="Arial" w:cs="Arial"/>
        </w:rPr>
        <w:t xml:space="preserve"> figure represent</w:t>
      </w:r>
      <w:r w:rsidR="0036700B" w:rsidRPr="000B3D15">
        <w:rPr>
          <w:rFonts w:ascii="Arial" w:hAnsi="Arial" w:cs="Arial"/>
        </w:rPr>
        <w:t>s</w:t>
      </w:r>
      <w:r w:rsidR="007D5FD2" w:rsidRPr="000B3D15">
        <w:rPr>
          <w:rFonts w:ascii="Arial" w:hAnsi="Arial" w:cs="Arial"/>
        </w:rPr>
        <w:t xml:space="preserve"> the maximum amount of capacity that can be reserved for TLS customers on an annual, 365-day basis without jeopardizing core service.  </w:t>
      </w:r>
      <w:r w:rsidR="00DF4210">
        <w:rPr>
          <w:rFonts w:ascii="Arial" w:hAnsi="Arial" w:cs="Arial"/>
        </w:rPr>
        <w:t>Part of the interstate pipeline rate making process that was followed in determining the RS rate was to use the total capacity of the pipeline.  Interstate pipelines do this because they are</w:t>
      </w:r>
      <w:r w:rsidR="00DF4210" w:rsidRPr="000B3D15">
        <w:rPr>
          <w:rFonts w:ascii="Arial" w:hAnsi="Arial" w:cs="Arial"/>
        </w:rPr>
        <w:t xml:space="preserve"> not generally obligated to build pipeline capacity beyond that demanded (and </w:t>
      </w:r>
      <w:r w:rsidR="00DF4210">
        <w:rPr>
          <w:rFonts w:ascii="Arial" w:hAnsi="Arial" w:cs="Arial"/>
        </w:rPr>
        <w:t>contracted</w:t>
      </w:r>
      <w:r w:rsidR="00DF4210" w:rsidRPr="000B3D15">
        <w:rPr>
          <w:rFonts w:ascii="Arial" w:hAnsi="Arial" w:cs="Arial"/>
        </w:rPr>
        <w:t xml:space="preserve"> for) by its customers.  </w:t>
      </w:r>
      <w:r w:rsidR="00DF4210">
        <w:rPr>
          <w:rFonts w:ascii="Arial" w:hAnsi="Arial" w:cs="Arial"/>
        </w:rPr>
        <w:br/>
      </w:r>
      <w:r w:rsidR="00DF4210">
        <w:rPr>
          <w:rFonts w:ascii="Arial" w:hAnsi="Arial" w:cs="Arial"/>
        </w:rPr>
        <w:br/>
        <w:t>However, t</w:t>
      </w:r>
      <w:r w:rsidR="00DF4210" w:rsidRPr="000B3D15">
        <w:rPr>
          <w:rFonts w:ascii="Arial" w:hAnsi="Arial" w:cs="Arial"/>
        </w:rPr>
        <w:t xml:space="preserve">he Utilities are required by the Commission to build their system with sufficient capacity to meet the forecasted peak throughput of all the customers on their system.  While this </w:t>
      </w:r>
      <w:r w:rsidR="00DF4210">
        <w:rPr>
          <w:rFonts w:ascii="Arial" w:hAnsi="Arial" w:cs="Arial"/>
        </w:rPr>
        <w:t xml:space="preserve">helps make </w:t>
      </w:r>
      <w:r w:rsidR="00DF4210" w:rsidRPr="000B3D15">
        <w:rPr>
          <w:rFonts w:ascii="Arial" w:hAnsi="Arial" w:cs="Arial"/>
        </w:rPr>
        <w:t xml:space="preserve">the Utilities’ service extremely reliable, it also </w:t>
      </w:r>
      <w:r w:rsidR="00DF4210">
        <w:rPr>
          <w:rFonts w:ascii="Arial" w:hAnsi="Arial" w:cs="Arial"/>
        </w:rPr>
        <w:t>results in an amount of capacity that is available to TLS customers.</w:t>
      </w:r>
      <w:r w:rsidR="00DF4210">
        <w:rPr>
          <w:rFonts w:ascii="Arial" w:hAnsi="Arial" w:cs="Arial"/>
        </w:rPr>
        <w:br/>
      </w:r>
      <w:r w:rsidR="00DF4210">
        <w:rPr>
          <w:rFonts w:ascii="Arial" w:hAnsi="Arial" w:cs="Arial"/>
        </w:rPr>
        <w:br/>
      </w:r>
      <w:r w:rsidR="00DF4210" w:rsidRPr="000B3D15">
        <w:rPr>
          <w:rFonts w:ascii="Arial" w:hAnsi="Arial" w:cs="Arial"/>
        </w:rPr>
        <w:t xml:space="preserve">Thus, because SoCalGas and SDG&amp;E, unlike an interstate pipeline, are required to </w:t>
      </w:r>
      <w:r w:rsidR="00DF4210" w:rsidRPr="000B3D15">
        <w:rPr>
          <w:rFonts w:ascii="Arial" w:hAnsi="Arial" w:cs="Arial"/>
        </w:rPr>
        <w:lastRenderedPageBreak/>
        <w:t xml:space="preserve">have excess capacity </w:t>
      </w:r>
      <w:r w:rsidR="00FA7EE7">
        <w:rPr>
          <w:rFonts w:ascii="Arial" w:hAnsi="Arial" w:cs="Arial"/>
        </w:rPr>
        <w:t>on their</w:t>
      </w:r>
      <w:r w:rsidR="00DF4210" w:rsidRPr="000B3D15">
        <w:rPr>
          <w:rFonts w:ascii="Arial" w:hAnsi="Arial" w:cs="Arial"/>
        </w:rPr>
        <w:t xml:space="preserve"> system, it is appropriate to </w:t>
      </w:r>
      <w:r w:rsidR="00DF4210">
        <w:rPr>
          <w:rFonts w:ascii="Arial" w:hAnsi="Arial" w:cs="Arial"/>
        </w:rPr>
        <w:t>include</w:t>
      </w:r>
      <w:r w:rsidR="00DF4210" w:rsidRPr="002A3CC8">
        <w:rPr>
          <w:rFonts w:ascii="Arial" w:hAnsi="Arial" w:cs="Arial"/>
        </w:rPr>
        <w:t xml:space="preserve"> “remaining [system] capacity”</w:t>
      </w:r>
      <w:r w:rsidR="00DF4210">
        <w:rPr>
          <w:rFonts w:ascii="Arial" w:hAnsi="Arial" w:cs="Arial"/>
        </w:rPr>
        <w:t xml:space="preserve">; and, to </w:t>
      </w:r>
      <w:r w:rsidR="00DF4210" w:rsidRPr="000B3D15">
        <w:rPr>
          <w:rFonts w:ascii="Arial" w:hAnsi="Arial" w:cs="Arial"/>
        </w:rPr>
        <w:t>continue the current methodology</w:t>
      </w:r>
      <w:r w:rsidR="00DF4210">
        <w:rPr>
          <w:rFonts w:ascii="Arial" w:hAnsi="Arial" w:cs="Arial"/>
        </w:rPr>
        <w:t xml:space="preserve"> of using the system capacity, the core and noncore distribution demand forecast, and the remaining transmission capacity in determining the proposed RS rate that closes the regulatory gap. </w:t>
      </w:r>
    </w:p>
    <w:p w:rsidR="00B91D72" w:rsidRPr="000B3D15" w:rsidRDefault="00B91D72" w:rsidP="007D5FD2">
      <w:pPr>
        <w:autoSpaceDE w:val="0"/>
        <w:autoSpaceDN w:val="0"/>
        <w:adjustRightInd w:val="0"/>
        <w:ind w:firstLine="720"/>
        <w:rPr>
          <w:rFonts w:ascii="Arial" w:hAnsi="Arial" w:cs="Arial"/>
        </w:rPr>
      </w:pPr>
    </w:p>
    <w:p w:rsidR="00B91D72" w:rsidRPr="000B3D15" w:rsidRDefault="00B91D72" w:rsidP="008B7BCD">
      <w:pPr>
        <w:autoSpaceDE w:val="0"/>
        <w:autoSpaceDN w:val="0"/>
        <w:adjustRightInd w:val="0"/>
        <w:rPr>
          <w:rFonts w:ascii="Arial" w:hAnsi="Arial" w:cs="Arial"/>
        </w:rPr>
      </w:pPr>
      <w:r w:rsidRPr="000B3D15">
        <w:rPr>
          <w:rFonts w:ascii="Arial" w:hAnsi="Arial" w:cs="Arial"/>
        </w:rPr>
        <w:t>7.5.2</w:t>
      </w:r>
      <w:r w:rsidRPr="000B3D15">
        <w:rPr>
          <w:rFonts w:ascii="Arial" w:hAnsi="Arial" w:cs="Arial"/>
        </w:rPr>
        <w:tab/>
        <w:t xml:space="preserve">No other rate has a reservation charge </w:t>
      </w:r>
      <w:r w:rsidR="000C5C84" w:rsidRPr="000B3D15">
        <w:rPr>
          <w:rFonts w:ascii="Arial" w:hAnsi="Arial" w:cs="Arial"/>
        </w:rPr>
        <w:t>based on “remaining [system] capacity”</w:t>
      </w:r>
      <w:r w:rsidRPr="000B3D15">
        <w:rPr>
          <w:rFonts w:ascii="Arial" w:hAnsi="Arial" w:cs="Arial"/>
        </w:rPr>
        <w:t>.</w:t>
      </w:r>
      <w:r w:rsidR="006F3C6A" w:rsidRPr="000B3D15">
        <w:rPr>
          <w:rFonts w:ascii="Arial" w:hAnsi="Arial" w:cs="Arial"/>
        </w:rPr>
        <w:t xml:space="preserve"> </w:t>
      </w:r>
    </w:p>
    <w:p w:rsidR="00B91D72" w:rsidRPr="000B3D15" w:rsidRDefault="00B91D72" w:rsidP="007D5FD2">
      <w:pPr>
        <w:autoSpaceDE w:val="0"/>
        <w:autoSpaceDN w:val="0"/>
        <w:adjustRightInd w:val="0"/>
        <w:ind w:firstLine="720"/>
        <w:rPr>
          <w:rFonts w:ascii="Arial" w:hAnsi="Arial" w:cs="Arial"/>
        </w:rPr>
      </w:pPr>
    </w:p>
    <w:p w:rsidR="006F7F98" w:rsidRPr="000B3D15" w:rsidRDefault="00B91D72" w:rsidP="001A241B">
      <w:pPr>
        <w:ind w:left="720" w:hanging="720"/>
        <w:rPr>
          <w:rFonts w:ascii="Arial" w:hAnsi="Arial" w:cs="Arial"/>
        </w:rPr>
      </w:pPr>
      <w:r w:rsidRPr="000B3D15">
        <w:rPr>
          <w:rFonts w:ascii="Arial" w:hAnsi="Arial" w:cs="Arial"/>
        </w:rPr>
        <w:t>7.5.3</w:t>
      </w:r>
      <w:r w:rsidRPr="000B3D15">
        <w:rPr>
          <w:rFonts w:ascii="Arial" w:hAnsi="Arial" w:cs="Arial"/>
        </w:rPr>
        <w:tab/>
      </w:r>
      <w:r w:rsidR="0052499B" w:rsidRPr="000B3D15">
        <w:rPr>
          <w:rFonts w:ascii="Arial" w:hAnsi="Arial" w:cs="Arial"/>
        </w:rPr>
        <w:t xml:space="preserve">As discussed above in response to 7.5.1, </w:t>
      </w:r>
      <w:r w:rsidR="000B3D15">
        <w:rPr>
          <w:rFonts w:ascii="Arial" w:hAnsi="Arial" w:cs="Arial"/>
        </w:rPr>
        <w:t>the Commission-</w:t>
      </w:r>
      <w:r w:rsidR="00DB0226" w:rsidRPr="000B3D15">
        <w:rPr>
          <w:rFonts w:ascii="Arial" w:hAnsi="Arial" w:cs="Arial"/>
        </w:rPr>
        <w:t xml:space="preserve">approved </w:t>
      </w:r>
      <w:r w:rsidR="0052499B" w:rsidRPr="000B3D15">
        <w:rPr>
          <w:rFonts w:ascii="Arial" w:hAnsi="Arial" w:cs="Arial"/>
        </w:rPr>
        <w:t xml:space="preserve">utility rate structure is different than the structure of interstate pipeline rates </w:t>
      </w:r>
      <w:r w:rsidR="00DB0226" w:rsidRPr="000B3D15">
        <w:rPr>
          <w:rFonts w:ascii="Arial" w:hAnsi="Arial" w:cs="Arial"/>
        </w:rPr>
        <w:t xml:space="preserve">as </w:t>
      </w:r>
      <w:r w:rsidR="0052499B" w:rsidRPr="000B3D15">
        <w:rPr>
          <w:rFonts w:ascii="Arial" w:hAnsi="Arial" w:cs="Arial"/>
        </w:rPr>
        <w:t>interstate pipelines tend not to have the level of excess capacity built into their rates</w:t>
      </w:r>
      <w:r w:rsidR="00DB0226" w:rsidRPr="000B3D15">
        <w:rPr>
          <w:rFonts w:ascii="Arial" w:hAnsi="Arial" w:cs="Arial"/>
        </w:rPr>
        <w:t>.</w:t>
      </w:r>
      <w:r w:rsidR="0052499B" w:rsidRPr="000B3D15">
        <w:rPr>
          <w:rFonts w:ascii="Arial" w:hAnsi="Arial" w:cs="Arial"/>
        </w:rPr>
        <w:t xml:space="preserve"> </w:t>
      </w:r>
      <w:r w:rsidR="00760830" w:rsidRPr="000B3D15">
        <w:rPr>
          <w:rFonts w:ascii="Arial" w:hAnsi="Arial" w:cs="Arial"/>
        </w:rPr>
        <w:t xml:space="preserve"> As discussed in </w:t>
      </w:r>
      <w:r w:rsidR="001E1573" w:rsidRPr="000B3D15">
        <w:rPr>
          <w:rFonts w:ascii="Arial" w:hAnsi="Arial" w:cs="Arial"/>
        </w:rPr>
        <w:t>the SI FAR OFF Phase II decision (</w:t>
      </w:r>
      <w:r w:rsidR="00760830" w:rsidRPr="000B3D15">
        <w:rPr>
          <w:rFonts w:ascii="Arial" w:hAnsi="Arial" w:cs="Arial"/>
        </w:rPr>
        <w:t>D.06-12-031, pg. 125</w:t>
      </w:r>
      <w:r w:rsidR="001E1573" w:rsidRPr="000B3D15">
        <w:rPr>
          <w:rFonts w:ascii="Arial" w:hAnsi="Arial" w:cs="Arial"/>
        </w:rPr>
        <w:t>)</w:t>
      </w:r>
      <w:r w:rsidR="00760830" w:rsidRPr="000B3D15">
        <w:rPr>
          <w:rFonts w:ascii="Arial" w:hAnsi="Arial" w:cs="Arial"/>
        </w:rPr>
        <w:t>, “SoCalGas has the obligation to serve all end-users in its service territory.  Those who bypass to take service from a competing pipeline will no longer be paying anything to SoCalGas.  Due to the obligation to serve, SoCalGas is required to have a system design that is capable of serving all customers, including those who bypass the system, but may one day call on SoCalGas again to provide full or partial service.  As a utility service, certain facilities are needed in order to provide that service.”</w:t>
      </w:r>
    </w:p>
    <w:p w:rsidR="006F7F98" w:rsidRPr="000B3D15" w:rsidRDefault="006F7F98" w:rsidP="00964B00">
      <w:pPr>
        <w:rPr>
          <w:rFonts w:ascii="Arial" w:hAnsi="Arial" w:cs="Arial"/>
        </w:rPr>
      </w:pPr>
    </w:p>
    <w:p w:rsidR="00964B00" w:rsidRPr="000B3D15" w:rsidRDefault="00B91D72" w:rsidP="001A241B">
      <w:pPr>
        <w:ind w:left="720" w:hanging="720"/>
        <w:rPr>
          <w:rFonts w:ascii="Arial" w:hAnsi="Arial" w:cs="Arial"/>
        </w:rPr>
      </w:pPr>
      <w:r w:rsidRPr="000B3D15">
        <w:rPr>
          <w:rFonts w:ascii="Arial" w:hAnsi="Arial" w:cs="Arial"/>
        </w:rPr>
        <w:t>7.5.4</w:t>
      </w:r>
      <w:r w:rsidRPr="000B3D15">
        <w:rPr>
          <w:rFonts w:ascii="Arial" w:hAnsi="Arial" w:cs="Arial"/>
        </w:rPr>
        <w:tab/>
      </w:r>
      <w:r w:rsidR="00964B00" w:rsidRPr="000B3D15">
        <w:rPr>
          <w:rFonts w:ascii="Arial" w:hAnsi="Arial" w:cs="Arial"/>
        </w:rPr>
        <w:t xml:space="preserve">The TLS rate is fundamentally different than any other </w:t>
      </w:r>
      <w:r w:rsidR="00DF4210">
        <w:rPr>
          <w:rFonts w:ascii="Arial" w:hAnsi="Arial" w:cs="Arial"/>
        </w:rPr>
        <w:t xml:space="preserve">utility </w:t>
      </w:r>
      <w:r w:rsidR="00964B00" w:rsidRPr="000B3D15">
        <w:rPr>
          <w:rFonts w:ascii="Arial" w:hAnsi="Arial" w:cs="Arial"/>
        </w:rPr>
        <w:t>rate schedule.  SoCalGas was ordered by the Commission to redesign its rates for the purpose of closing or minimizing the “regulatory gap” created by the use of a volumetric rate design on SoCalGas’ system and the interstate pipelines’ use of rate design that recovers the fixed costs of the pipeline in a fixed charge and the variable costs through a volumetric charge (D.06-12-031, p.128).   </w:t>
      </w:r>
      <w:r w:rsidR="00FA7EE7">
        <w:rPr>
          <w:rFonts w:ascii="Arial" w:hAnsi="Arial" w:cs="Arial"/>
        </w:rPr>
        <w:t>As discussed above in response to 7.5.1, t</w:t>
      </w:r>
      <w:r w:rsidR="00964B00" w:rsidRPr="000B3D15">
        <w:rPr>
          <w:rFonts w:ascii="Arial" w:hAnsi="Arial" w:cs="Arial"/>
        </w:rPr>
        <w:t xml:space="preserve">he current </w:t>
      </w:r>
      <w:r w:rsidR="006F7F98" w:rsidRPr="000B3D15">
        <w:rPr>
          <w:rFonts w:ascii="Arial" w:hAnsi="Arial" w:cs="Arial"/>
        </w:rPr>
        <w:t xml:space="preserve">Commission approved </w:t>
      </w:r>
      <w:r w:rsidR="00964B00" w:rsidRPr="000B3D15">
        <w:rPr>
          <w:rFonts w:ascii="Arial" w:hAnsi="Arial" w:cs="Arial"/>
        </w:rPr>
        <w:t xml:space="preserve">methodology is designed to  mimic the interstate pipeline’s rate structure, with a lower fixed demand charge rate to recover fixed costs of capacity available for those customers with a resulting rate that is comparable to, and in most cases competitive with, an interstate pipeline’s rate.    Thus, because SoCalGas and SDG&amp;E, unlike an interstate pipeline, are required to have excess capacity </w:t>
      </w:r>
      <w:r w:rsidR="000E5574">
        <w:rPr>
          <w:rFonts w:ascii="Arial" w:hAnsi="Arial" w:cs="Arial"/>
        </w:rPr>
        <w:t>on their</w:t>
      </w:r>
      <w:r w:rsidR="00964B00" w:rsidRPr="000B3D15">
        <w:rPr>
          <w:rFonts w:ascii="Arial" w:hAnsi="Arial" w:cs="Arial"/>
        </w:rPr>
        <w:t xml:space="preserve"> system, it is appropriate to continue the current methodology.</w:t>
      </w:r>
    </w:p>
    <w:p w:rsidR="00B91D72" w:rsidRPr="00651802" w:rsidRDefault="00B91D72" w:rsidP="007D5FD2">
      <w:pPr>
        <w:autoSpaceDE w:val="0"/>
        <w:autoSpaceDN w:val="0"/>
        <w:adjustRightInd w:val="0"/>
        <w:ind w:firstLine="720"/>
      </w:pP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2A3CC8" w:rsidRDefault="002A3CC8"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2A3CC8">
        <w:rPr>
          <w:rFonts w:ascii="Arial" w:hAnsi="Arial" w:cs="Arial"/>
          <w:b/>
          <w:u w:val="single"/>
        </w:rPr>
        <w:t>7.</w:t>
      </w:r>
      <w:r>
        <w:rPr>
          <w:rFonts w:ascii="Arial" w:hAnsi="Arial" w:cs="Arial"/>
          <w:b/>
          <w:u w:val="single"/>
        </w:rPr>
        <w:t>6</w:t>
      </w:r>
      <w:r w:rsidRPr="00F759E8">
        <w:rPr>
          <w:rFonts w:ascii="Arial" w:hAnsi="Arial" w:cs="Arial"/>
          <w:b/>
          <w:u w:val="single"/>
        </w:rPr>
        <w:t>:</w:t>
      </w:r>
    </w:p>
    <w:p w:rsidR="00F67377" w:rsidRPr="0031141C" w:rsidRDefault="00F67377" w:rsidP="00F67377">
      <w:pPr>
        <w:rPr>
          <w:rFonts w:ascii="Arial" w:hAnsi="Arial" w:cs="Arial"/>
        </w:rPr>
      </w:pPr>
    </w:p>
    <w:p w:rsidR="002A3CC8" w:rsidRPr="002A3CC8" w:rsidRDefault="002A3CC8" w:rsidP="002A3CC8">
      <w:pPr>
        <w:rPr>
          <w:rFonts w:ascii="Arial" w:hAnsi="Arial" w:cs="Arial"/>
        </w:rPr>
      </w:pPr>
      <w:r w:rsidRPr="002A3CC8">
        <w:rPr>
          <w:rFonts w:ascii="Arial" w:hAnsi="Arial" w:cs="Arial"/>
        </w:rPr>
        <w:t xml:space="preserve">In the workpaper, 2017 TCAP SCG RD Model.xlsx, at tab, “TLS”, cells C209:F209 show a series of numbers.  </w:t>
      </w:r>
    </w:p>
    <w:p w:rsidR="002A3CC8" w:rsidRDefault="002A3CC8" w:rsidP="002A3CC8">
      <w:pPr>
        <w:rPr>
          <w:rFonts w:ascii="Arial" w:hAnsi="Arial" w:cs="Arial"/>
        </w:rPr>
      </w:pPr>
    </w:p>
    <w:p w:rsidR="002A3CC8" w:rsidRPr="002A3CC8" w:rsidRDefault="002A3CC8" w:rsidP="002A3CC8">
      <w:pPr>
        <w:rPr>
          <w:rFonts w:ascii="Arial" w:hAnsi="Arial" w:cs="Arial"/>
        </w:rPr>
      </w:pPr>
      <w:r w:rsidRPr="002A3CC8">
        <w:rPr>
          <w:rFonts w:ascii="Arial" w:hAnsi="Arial" w:cs="Arial"/>
        </w:rPr>
        <w:t>7.6.1.</w:t>
      </w:r>
      <w:r w:rsidRPr="002A3CC8">
        <w:rPr>
          <w:rFonts w:ascii="Arial" w:hAnsi="Arial" w:cs="Arial"/>
        </w:rPr>
        <w:tab/>
        <w:t>Please explain what these numbers represent.</w:t>
      </w:r>
    </w:p>
    <w:p w:rsidR="002A3CC8" w:rsidRDefault="002A3CC8" w:rsidP="002A3CC8">
      <w:pPr>
        <w:rPr>
          <w:rFonts w:ascii="Arial" w:hAnsi="Arial" w:cs="Arial"/>
        </w:rPr>
      </w:pPr>
    </w:p>
    <w:p w:rsidR="002A3CC8" w:rsidRPr="002A3CC8" w:rsidRDefault="002A3CC8" w:rsidP="002A3CC8">
      <w:pPr>
        <w:ind w:left="720" w:hanging="720"/>
        <w:rPr>
          <w:rFonts w:ascii="Arial" w:hAnsi="Arial" w:cs="Arial"/>
        </w:rPr>
      </w:pPr>
      <w:r w:rsidRPr="002A3CC8">
        <w:rPr>
          <w:rFonts w:ascii="Arial" w:hAnsi="Arial" w:cs="Arial"/>
        </w:rPr>
        <w:t>7.6.2.</w:t>
      </w:r>
      <w:r w:rsidRPr="002A3CC8">
        <w:rPr>
          <w:rFonts w:ascii="Arial" w:hAnsi="Arial" w:cs="Arial"/>
        </w:rPr>
        <w:tab/>
        <w:t>Please provide a derivation of the numbers and identify the source of data from which they were obtained.</w:t>
      </w:r>
    </w:p>
    <w:p w:rsidR="002A3CC8" w:rsidRDefault="002A3CC8" w:rsidP="002A3CC8">
      <w:pPr>
        <w:rPr>
          <w:rFonts w:ascii="Arial" w:hAnsi="Arial" w:cs="Arial"/>
        </w:rPr>
      </w:pPr>
    </w:p>
    <w:p w:rsidR="002A3CC8" w:rsidRPr="002A3CC8" w:rsidRDefault="002A3CC8" w:rsidP="002A3CC8">
      <w:pPr>
        <w:rPr>
          <w:rFonts w:ascii="Arial" w:hAnsi="Arial" w:cs="Arial"/>
        </w:rPr>
      </w:pPr>
      <w:r w:rsidRPr="002A3CC8">
        <w:rPr>
          <w:rFonts w:ascii="Arial" w:hAnsi="Arial" w:cs="Arial"/>
        </w:rPr>
        <w:t>7.6.3.</w:t>
      </w:r>
      <w:r w:rsidRPr="002A3CC8">
        <w:rPr>
          <w:rFonts w:ascii="Arial" w:hAnsi="Arial" w:cs="Arial"/>
        </w:rPr>
        <w:tab/>
        <w:t>Are these figures in anyway based upon recorded customer billing data?</w:t>
      </w:r>
    </w:p>
    <w:p w:rsidR="002A3CC8" w:rsidRDefault="002A3CC8" w:rsidP="002A3CC8">
      <w:pPr>
        <w:rPr>
          <w:rFonts w:ascii="Arial" w:hAnsi="Arial" w:cs="Arial"/>
        </w:rPr>
      </w:pPr>
    </w:p>
    <w:p w:rsidR="00582C14" w:rsidRPr="0031141C" w:rsidRDefault="002A3CC8" w:rsidP="002A3CC8">
      <w:pPr>
        <w:ind w:left="720" w:hanging="720"/>
        <w:rPr>
          <w:rFonts w:ascii="Arial" w:hAnsi="Arial" w:cs="Arial"/>
        </w:rPr>
      </w:pPr>
      <w:r w:rsidRPr="002A3CC8">
        <w:rPr>
          <w:rFonts w:ascii="Arial" w:hAnsi="Arial" w:cs="Arial"/>
        </w:rPr>
        <w:t>7.6.4.</w:t>
      </w:r>
      <w:r w:rsidRPr="002A3CC8">
        <w:rPr>
          <w:rFonts w:ascii="Arial" w:hAnsi="Arial" w:cs="Arial"/>
        </w:rPr>
        <w:tab/>
        <w:t>If the answer to the previous question is “yes,” please provide an explanation of how these figures relate to recorded billing data, including a statement of the customers schedules and relevant dates from which the data was taken.</w:t>
      </w:r>
    </w:p>
    <w:p w:rsidR="00F67377" w:rsidRPr="0031141C" w:rsidRDefault="00F67377" w:rsidP="00F67377">
      <w:pPr>
        <w:rPr>
          <w:rFonts w:ascii="Arial" w:hAnsi="Arial" w:cs="Arial"/>
        </w:rPr>
      </w:pPr>
    </w:p>
    <w:p w:rsidR="002A3CC8" w:rsidRDefault="002A3CC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2A3CC8">
        <w:rPr>
          <w:rFonts w:ascii="Arial" w:hAnsi="Arial" w:cs="Arial"/>
          <w:b/>
          <w:u w:val="single"/>
        </w:rPr>
        <w:t>7.</w:t>
      </w:r>
      <w:r>
        <w:rPr>
          <w:rFonts w:ascii="Arial" w:hAnsi="Arial" w:cs="Arial"/>
          <w:b/>
          <w:u w:val="single"/>
        </w:rPr>
        <w:t>6</w:t>
      </w:r>
      <w:r w:rsidRPr="00F759E8">
        <w:rPr>
          <w:rFonts w:ascii="Arial" w:hAnsi="Arial" w:cs="Arial"/>
          <w:b/>
          <w:u w:val="single"/>
        </w:rPr>
        <w:t>:</w:t>
      </w:r>
    </w:p>
    <w:p w:rsidR="00F67377" w:rsidRDefault="00F67377" w:rsidP="005C6E7A">
      <w:pPr>
        <w:rPr>
          <w:rFonts w:ascii="Arial" w:hAnsi="Arial" w:cs="Arial"/>
          <w:sz w:val="28"/>
          <w:szCs w:val="28"/>
        </w:rPr>
      </w:pPr>
    </w:p>
    <w:p w:rsidR="00F67377" w:rsidRPr="000B3D15" w:rsidRDefault="00625BDE" w:rsidP="00625BDE">
      <w:pPr>
        <w:ind w:left="720" w:hanging="720"/>
        <w:rPr>
          <w:rFonts w:ascii="Arial" w:hAnsi="Arial" w:cs="Arial"/>
        </w:rPr>
      </w:pPr>
      <w:r w:rsidRPr="000B3D15">
        <w:rPr>
          <w:rFonts w:ascii="Arial" w:hAnsi="Arial" w:cs="Arial"/>
        </w:rPr>
        <w:t>7.6.1</w:t>
      </w:r>
      <w:r w:rsidRPr="000B3D15">
        <w:rPr>
          <w:rFonts w:ascii="Arial" w:hAnsi="Arial" w:cs="Arial"/>
        </w:rPr>
        <w:tab/>
        <w:t>These numbers represent various open season scenarios and their impact on TLS revenue collections.  These numbers are illustrative and do not have any impact on TLS rates.</w:t>
      </w:r>
      <w:r w:rsidR="00F338F0" w:rsidRPr="000B3D15">
        <w:rPr>
          <w:rFonts w:ascii="Arial" w:hAnsi="Arial" w:cs="Arial"/>
        </w:rPr>
        <w:t xml:space="preserve">  These numbers are from the 2009 BCAP and are not used.</w:t>
      </w:r>
    </w:p>
    <w:p w:rsidR="00625BDE" w:rsidRPr="000B3D15" w:rsidRDefault="00625BDE" w:rsidP="00625BDE">
      <w:pPr>
        <w:ind w:left="720" w:hanging="720"/>
        <w:rPr>
          <w:rFonts w:ascii="Arial" w:hAnsi="Arial" w:cs="Arial"/>
        </w:rPr>
      </w:pPr>
    </w:p>
    <w:p w:rsidR="00625BDE" w:rsidRPr="000B3D15" w:rsidRDefault="00625BDE" w:rsidP="00625BDE">
      <w:pPr>
        <w:ind w:left="720" w:hanging="720"/>
        <w:rPr>
          <w:rFonts w:ascii="Arial" w:hAnsi="Arial" w:cs="Arial"/>
        </w:rPr>
      </w:pPr>
      <w:r w:rsidRPr="000B3D15">
        <w:rPr>
          <w:rFonts w:ascii="Arial" w:hAnsi="Arial" w:cs="Arial"/>
        </w:rPr>
        <w:t>7.6.2</w:t>
      </w:r>
      <w:r w:rsidRPr="000B3D15">
        <w:rPr>
          <w:rFonts w:ascii="Arial" w:hAnsi="Arial" w:cs="Arial"/>
        </w:rPr>
        <w:tab/>
        <w:t>The numbers are based certain scenarios (e.g., 0%, 25%, 50%, and 75% of reservation capacity sold during open season) of the overall capacity used to set the reservation rate in the initial implementation of the TLS rate in 2010.  The highlighted numbers have not been updated and this table is not used to calculate TLS rates.</w:t>
      </w:r>
    </w:p>
    <w:p w:rsidR="00625BDE" w:rsidRPr="000B3D15" w:rsidRDefault="00625BDE" w:rsidP="00625BDE">
      <w:pPr>
        <w:ind w:left="720" w:hanging="720"/>
        <w:rPr>
          <w:rFonts w:ascii="Arial" w:hAnsi="Arial" w:cs="Arial"/>
        </w:rPr>
      </w:pPr>
    </w:p>
    <w:p w:rsidR="00625BDE" w:rsidRPr="000B3D15" w:rsidRDefault="00625BDE" w:rsidP="00625BDE">
      <w:pPr>
        <w:ind w:left="720" w:hanging="720"/>
        <w:rPr>
          <w:rFonts w:ascii="Arial" w:hAnsi="Arial" w:cs="Arial"/>
        </w:rPr>
      </w:pPr>
      <w:r w:rsidRPr="000B3D15">
        <w:rPr>
          <w:rFonts w:ascii="Arial" w:hAnsi="Arial" w:cs="Arial"/>
        </w:rPr>
        <w:t>7.6.3</w:t>
      </w:r>
      <w:r w:rsidRPr="000B3D15">
        <w:rPr>
          <w:rFonts w:ascii="Arial" w:hAnsi="Arial" w:cs="Arial"/>
        </w:rPr>
        <w:tab/>
        <w:t>No, the figures are based on the scenarios listed in response to 7.6.2, above.</w:t>
      </w:r>
    </w:p>
    <w:p w:rsidR="00625BDE" w:rsidRPr="000B3D15" w:rsidRDefault="00625BDE" w:rsidP="00625BDE">
      <w:pPr>
        <w:ind w:left="720" w:hanging="720"/>
        <w:rPr>
          <w:rFonts w:ascii="Arial" w:hAnsi="Arial" w:cs="Arial"/>
        </w:rPr>
      </w:pPr>
    </w:p>
    <w:p w:rsidR="00625BDE" w:rsidRPr="000B3D15" w:rsidRDefault="00625BDE" w:rsidP="00625BDE">
      <w:pPr>
        <w:ind w:left="720" w:hanging="720"/>
        <w:rPr>
          <w:rFonts w:ascii="Arial" w:hAnsi="Arial" w:cs="Arial"/>
        </w:rPr>
      </w:pPr>
      <w:r w:rsidRPr="000B3D15">
        <w:rPr>
          <w:rFonts w:ascii="Arial" w:hAnsi="Arial" w:cs="Arial"/>
        </w:rPr>
        <w:t>7.6.4</w:t>
      </w:r>
      <w:r w:rsidRPr="000B3D15">
        <w:rPr>
          <w:rFonts w:ascii="Arial" w:hAnsi="Arial" w:cs="Arial"/>
        </w:rPr>
        <w:tab/>
        <w:t>N/A</w:t>
      </w:r>
      <w:r w:rsidR="000B3D15">
        <w:rPr>
          <w:rFonts w:ascii="Arial" w:hAnsi="Arial" w:cs="Arial"/>
        </w:rPr>
        <w:t>.</w: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2A3CC8" w:rsidRDefault="002A3CC8" w:rsidP="00F67377">
      <w:pPr>
        <w:rPr>
          <w:rFonts w:ascii="Arial" w:hAnsi="Arial" w:cs="Arial"/>
          <w:b/>
          <w:u w:val="single"/>
        </w:rPr>
      </w:pPr>
    </w:p>
    <w:p w:rsidR="00F67377" w:rsidRPr="0031141C" w:rsidRDefault="00F67377" w:rsidP="00F67377">
      <w:pPr>
        <w:rPr>
          <w:rFonts w:ascii="Arial" w:hAnsi="Arial" w:cs="Arial"/>
        </w:rPr>
      </w:pPr>
      <w:r w:rsidRPr="00F759E8">
        <w:rPr>
          <w:rFonts w:ascii="Arial" w:hAnsi="Arial" w:cs="Arial"/>
          <w:b/>
          <w:u w:val="single"/>
        </w:rPr>
        <w:t xml:space="preserve">QUESTION </w:t>
      </w:r>
      <w:r w:rsidR="002A3CC8">
        <w:rPr>
          <w:rFonts w:ascii="Arial" w:hAnsi="Arial" w:cs="Arial"/>
          <w:b/>
          <w:u w:val="single"/>
        </w:rPr>
        <w:t>7.</w:t>
      </w:r>
      <w:r>
        <w:rPr>
          <w:rFonts w:ascii="Arial" w:hAnsi="Arial" w:cs="Arial"/>
          <w:b/>
          <w:u w:val="single"/>
        </w:rPr>
        <w:t>7</w:t>
      </w:r>
      <w:r w:rsidRPr="00F759E8">
        <w:rPr>
          <w:rFonts w:ascii="Arial" w:hAnsi="Arial" w:cs="Arial"/>
          <w:b/>
          <w:u w:val="single"/>
        </w:rPr>
        <w:t>:</w:t>
      </w:r>
    </w:p>
    <w:p w:rsidR="00F67377" w:rsidRPr="0031141C" w:rsidRDefault="00F67377" w:rsidP="00F67377">
      <w:pPr>
        <w:rPr>
          <w:rFonts w:ascii="Arial" w:hAnsi="Arial" w:cs="Arial"/>
        </w:rPr>
      </w:pPr>
    </w:p>
    <w:p w:rsidR="002A3CC8" w:rsidRPr="002A3CC8" w:rsidRDefault="002A3CC8" w:rsidP="002A3CC8">
      <w:pPr>
        <w:rPr>
          <w:rFonts w:ascii="Arial" w:hAnsi="Arial" w:cs="Arial"/>
        </w:rPr>
      </w:pPr>
      <w:r w:rsidRPr="002A3CC8">
        <w:rPr>
          <w:rFonts w:ascii="Arial" w:hAnsi="Arial" w:cs="Arial"/>
        </w:rPr>
        <w:t>In the workpaper, 2017 TCAP SCG RD Model.xlsx, at tab, “TLS”, cells C222:C224 show a series of numbers.  SoCalGas claims that cell C224 represents a “usage rate” of volumetric total divided by the proposed expanded reservation capacity.</w:t>
      </w:r>
    </w:p>
    <w:p w:rsidR="002A3CC8" w:rsidRDefault="002A3CC8" w:rsidP="002A3CC8">
      <w:pPr>
        <w:rPr>
          <w:rFonts w:ascii="Arial" w:hAnsi="Arial" w:cs="Arial"/>
        </w:rPr>
      </w:pPr>
    </w:p>
    <w:p w:rsidR="002A3CC8" w:rsidRPr="002A3CC8" w:rsidRDefault="002A3CC8" w:rsidP="002A3CC8">
      <w:pPr>
        <w:rPr>
          <w:rFonts w:ascii="Arial" w:hAnsi="Arial" w:cs="Arial"/>
        </w:rPr>
      </w:pPr>
      <w:r w:rsidRPr="002A3CC8">
        <w:rPr>
          <w:rFonts w:ascii="Arial" w:hAnsi="Arial" w:cs="Arial"/>
        </w:rPr>
        <w:t>7.7.1.</w:t>
      </w:r>
      <w:r w:rsidRPr="002A3CC8">
        <w:rPr>
          <w:rFonts w:ascii="Arial" w:hAnsi="Arial" w:cs="Arial"/>
        </w:rPr>
        <w:tab/>
        <w:t>What is the significance of the figure in cell C224?</w:t>
      </w:r>
    </w:p>
    <w:p w:rsidR="002A3CC8" w:rsidRDefault="002A3CC8" w:rsidP="002A3CC8">
      <w:pPr>
        <w:rPr>
          <w:rFonts w:ascii="Arial" w:hAnsi="Arial" w:cs="Arial"/>
        </w:rPr>
      </w:pPr>
    </w:p>
    <w:p w:rsidR="00582C14" w:rsidRPr="0031141C" w:rsidRDefault="002A3CC8" w:rsidP="002A3CC8">
      <w:pPr>
        <w:ind w:left="720" w:hanging="720"/>
        <w:rPr>
          <w:rFonts w:ascii="Arial" w:hAnsi="Arial" w:cs="Arial"/>
        </w:rPr>
      </w:pPr>
      <w:r w:rsidRPr="002A3CC8">
        <w:rPr>
          <w:rFonts w:ascii="Arial" w:hAnsi="Arial" w:cs="Arial"/>
        </w:rPr>
        <w:t>7.7.2.</w:t>
      </w:r>
      <w:r w:rsidRPr="002A3CC8">
        <w:rPr>
          <w:rFonts w:ascii="Arial" w:hAnsi="Arial" w:cs="Arial"/>
        </w:rPr>
        <w:tab/>
        <w:t>What is the actual ratio of TLS RS customer volumetric flow to TLS RS customer reservation capacity based on recorded figures?</w:t>
      </w:r>
    </w:p>
    <w:p w:rsidR="00F67377" w:rsidRPr="0031141C" w:rsidRDefault="00F67377" w:rsidP="00F67377">
      <w:pPr>
        <w:rPr>
          <w:rFonts w:ascii="Arial" w:hAnsi="Arial" w:cs="Arial"/>
        </w:rPr>
      </w:pPr>
    </w:p>
    <w:p w:rsidR="002A3CC8" w:rsidRDefault="002A3CC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2A3CC8">
        <w:rPr>
          <w:rFonts w:ascii="Arial" w:hAnsi="Arial" w:cs="Arial"/>
          <w:b/>
          <w:u w:val="single"/>
        </w:rPr>
        <w:t>7.</w:t>
      </w:r>
      <w:r>
        <w:rPr>
          <w:rFonts w:ascii="Arial" w:hAnsi="Arial" w:cs="Arial"/>
          <w:b/>
          <w:u w:val="single"/>
        </w:rPr>
        <w:t>7</w:t>
      </w:r>
      <w:r w:rsidRPr="00F759E8">
        <w:rPr>
          <w:rFonts w:ascii="Arial" w:hAnsi="Arial" w:cs="Arial"/>
          <w:b/>
          <w:u w:val="single"/>
        </w:rPr>
        <w:t>:</w:t>
      </w:r>
    </w:p>
    <w:p w:rsidR="00F67377" w:rsidRDefault="00F67377" w:rsidP="005C6E7A">
      <w:pPr>
        <w:rPr>
          <w:rFonts w:ascii="Arial" w:hAnsi="Arial" w:cs="Arial"/>
          <w:sz w:val="28"/>
          <w:szCs w:val="28"/>
        </w:rPr>
      </w:pPr>
    </w:p>
    <w:p w:rsidR="00F67377" w:rsidRPr="000B3D15" w:rsidRDefault="00E26180" w:rsidP="0017448B">
      <w:pPr>
        <w:ind w:left="720" w:hanging="720"/>
        <w:rPr>
          <w:rFonts w:ascii="Arial" w:hAnsi="Arial" w:cs="Arial"/>
        </w:rPr>
      </w:pPr>
      <w:r w:rsidRPr="000B3D15">
        <w:rPr>
          <w:rFonts w:ascii="Arial" w:hAnsi="Arial" w:cs="Arial"/>
        </w:rPr>
        <w:t>7.7.1</w:t>
      </w:r>
      <w:r w:rsidRPr="000B3D15">
        <w:rPr>
          <w:rFonts w:ascii="Arial" w:hAnsi="Arial" w:cs="Arial"/>
        </w:rPr>
        <w:tab/>
        <w:t>As discussed in the response to 7.6, this table contains illustrative revenue impacts based on various scenarios.  This table is left over from the implementation of the TLS rate in 2010 and is not used to calculate TLS rates.</w:t>
      </w:r>
      <w:r w:rsidR="0017448B" w:rsidRPr="000B3D15">
        <w:rPr>
          <w:rFonts w:ascii="Arial" w:hAnsi="Arial" w:cs="Arial"/>
        </w:rPr>
        <w:t xml:space="preserve">  That being said, the figure in cell C224 is the amount of therms per Mtherms of reserved capacity.</w:t>
      </w:r>
    </w:p>
    <w:p w:rsidR="0017448B" w:rsidRPr="000B3D15" w:rsidRDefault="0017448B" w:rsidP="0017448B">
      <w:pPr>
        <w:ind w:left="720" w:hanging="720"/>
        <w:rPr>
          <w:rFonts w:ascii="Arial" w:hAnsi="Arial" w:cs="Arial"/>
        </w:rPr>
      </w:pPr>
    </w:p>
    <w:p w:rsidR="0017448B" w:rsidRPr="000B3D15" w:rsidRDefault="0017448B" w:rsidP="0017448B">
      <w:pPr>
        <w:ind w:left="720" w:hanging="720"/>
        <w:rPr>
          <w:rFonts w:ascii="Arial" w:hAnsi="Arial" w:cs="Arial"/>
        </w:rPr>
      </w:pPr>
      <w:r w:rsidRPr="000B3D15">
        <w:rPr>
          <w:rFonts w:ascii="Arial" w:hAnsi="Arial" w:cs="Arial"/>
        </w:rPr>
        <w:t>7.7.2</w:t>
      </w:r>
      <w:r w:rsidRPr="000B3D15">
        <w:rPr>
          <w:rFonts w:ascii="Arial" w:hAnsi="Arial" w:cs="Arial"/>
        </w:rPr>
        <w:tab/>
        <w:t>Cell M110 of the “TLS Rate” tab of the SCG RD model lists the ratio at 27%.</w:t>
      </w:r>
    </w:p>
    <w:sectPr w:rsidR="0017448B" w:rsidRPr="000B3D15" w:rsidSect="002E51D9">
      <w:headerReference w:type="default" r:id="rId17"/>
      <w:footerReference w:type="default" r:id="rId18"/>
      <w:pgSz w:w="12240" w:h="15840" w:code="1"/>
      <w:pgMar w:top="432" w:right="1152"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61D" w:rsidRDefault="0077361D">
      <w:r>
        <w:separator/>
      </w:r>
    </w:p>
  </w:endnote>
  <w:endnote w:type="continuationSeparator" w:id="0">
    <w:p w:rsidR="0077361D" w:rsidRDefault="0077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4C5926">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61D" w:rsidRDefault="0077361D">
      <w:r>
        <w:separator/>
      </w:r>
    </w:p>
  </w:footnote>
  <w:footnote w:type="continuationSeparator" w:id="0">
    <w:p w:rsidR="0077361D" w:rsidRDefault="00773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APPLICATION OF SOUTHERN CALIFORNIA GAS COMPANY</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AND SAN DIEGO GAS &amp; ELECTRIC COMPANY</w:t>
    </w:r>
  </w:p>
  <w:p w:rsidR="001E5C86" w:rsidRDefault="00267335" w:rsidP="00267335">
    <w:pPr>
      <w:autoSpaceDE w:val="0"/>
      <w:autoSpaceDN w:val="0"/>
      <w:adjustRightInd w:val="0"/>
      <w:jc w:val="center"/>
      <w:rPr>
        <w:rFonts w:ascii="Arial" w:hAnsi="Arial" w:cs="Arial"/>
        <w:b/>
      </w:rPr>
    </w:pPr>
    <w:r w:rsidRPr="00267335">
      <w:rPr>
        <w:rFonts w:ascii="Arial" w:hAnsi="Arial" w:cs="Arial"/>
        <w:b/>
      </w:rPr>
      <w:t>FOR AUTHORITY TO REV</w:t>
    </w:r>
    <w:r w:rsidR="001E5C86">
      <w:rPr>
        <w:rFonts w:ascii="Arial" w:hAnsi="Arial" w:cs="Arial"/>
        <w:b/>
      </w:rPr>
      <w:t>I</w:t>
    </w:r>
    <w:r w:rsidRPr="00267335">
      <w:rPr>
        <w:rFonts w:ascii="Arial" w:hAnsi="Arial" w:cs="Arial"/>
        <w:b/>
      </w:rPr>
      <w:t xml:space="preserve">SE THEIR NATURAL GAS RATES </w:t>
    </w:r>
  </w:p>
  <w:p w:rsidR="001E5C86" w:rsidRDefault="00267335" w:rsidP="00267335">
    <w:pPr>
      <w:autoSpaceDE w:val="0"/>
      <w:autoSpaceDN w:val="0"/>
      <w:adjustRightInd w:val="0"/>
      <w:jc w:val="center"/>
      <w:rPr>
        <w:rFonts w:ascii="Arial" w:hAnsi="Arial" w:cs="Arial"/>
        <w:b/>
      </w:rPr>
    </w:pPr>
    <w:r w:rsidRPr="00267335">
      <w:rPr>
        <w:rFonts w:ascii="Arial" w:hAnsi="Arial" w:cs="Arial"/>
        <w:b/>
      </w:rPr>
      <w:t xml:space="preserve">EFFECTIVE JANUARY 1, 2017 IN THEIR </w:t>
    </w:r>
  </w:p>
  <w:p w:rsidR="00267335" w:rsidRPr="00267335" w:rsidRDefault="00267335" w:rsidP="00267335">
    <w:pPr>
      <w:autoSpaceDE w:val="0"/>
      <w:autoSpaceDN w:val="0"/>
      <w:adjustRightInd w:val="0"/>
      <w:jc w:val="center"/>
      <w:rPr>
        <w:rFonts w:ascii="Arial" w:hAnsi="Arial" w:cs="Arial"/>
        <w:b/>
      </w:rPr>
    </w:pPr>
    <w:r w:rsidRPr="00267335">
      <w:rPr>
        <w:rFonts w:ascii="Arial" w:hAnsi="Arial" w:cs="Arial"/>
        <w:b/>
      </w:rPr>
      <w:t xml:space="preserve">TRIENNIAL COST ALLOCATION PROCEEDING </w:t>
    </w:r>
    <w:r w:rsidR="0086297C">
      <w:rPr>
        <w:rFonts w:ascii="Arial" w:hAnsi="Arial" w:cs="Arial"/>
        <w:b/>
      </w:rPr>
      <w:t>- PHASE 2</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w:t>
    </w:r>
    <w:r w:rsidR="004E625C">
      <w:rPr>
        <w:rFonts w:ascii="Arial" w:hAnsi="Arial" w:cs="Arial"/>
        <w:b/>
      </w:rPr>
      <w:t>5</w:t>
    </w:r>
    <w:r w:rsidRPr="00663B29">
      <w:rPr>
        <w:rFonts w:ascii="Arial" w:hAnsi="Arial" w:cs="Arial"/>
        <w:b/>
      </w:rPr>
      <w:t>-</w:t>
    </w:r>
    <w:r w:rsidR="004E625C">
      <w:rPr>
        <w:rFonts w:ascii="Arial" w:hAnsi="Arial" w:cs="Arial"/>
        <w:b/>
      </w:rPr>
      <w:t>07</w:t>
    </w:r>
    <w:r w:rsidRPr="00663B29">
      <w:rPr>
        <w:rFonts w:ascii="Arial" w:hAnsi="Arial" w:cs="Arial"/>
        <w:b/>
      </w:rPr>
      <w:t>-</w:t>
    </w:r>
    <w:r w:rsidR="001E5C86">
      <w:rPr>
        <w:rFonts w:ascii="Arial" w:hAnsi="Arial" w:cs="Arial"/>
        <w:b/>
      </w:rPr>
      <w:t>014</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7D0737">
      <w:rPr>
        <w:rFonts w:ascii="Arial" w:hAnsi="Arial" w:cs="Arial"/>
        <w:b/>
      </w:rPr>
      <w:t>7</w:t>
    </w:r>
    <w:r w:rsidR="007D0737" w:rsidRPr="007D0737">
      <w:rPr>
        <w:rFonts w:ascii="Arial" w:hAnsi="Arial" w:cs="Arial"/>
        <w:b/>
        <w:vertAlign w:val="superscript"/>
      </w:rPr>
      <w:t>TH</w:t>
    </w:r>
    <w:r w:rsidR="007D0737">
      <w:rPr>
        <w:rFonts w:ascii="Arial" w:hAnsi="Arial" w:cs="Arial"/>
        <w:b/>
      </w:rPr>
      <w:t xml:space="preserve"> DATA REQUEST FROM SOUTHERN CALIFORNIA GENERATION COALITION</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w:t>
    </w:r>
    <w:r w:rsidR="009B540D">
      <w:rPr>
        <w:rFonts w:ascii="Arial" w:hAnsi="Arial" w:cs="Arial"/>
        <w:b/>
      </w:rPr>
      <w:t>________</w:t>
    </w:r>
    <w:r>
      <w:rPr>
        <w:rFonts w:ascii="Arial" w:hAnsi="Arial" w:cs="Arial"/>
        <w:b/>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0">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9"/>
  </w:num>
  <w:num w:numId="3">
    <w:abstractNumId w:val="6"/>
  </w:num>
  <w:num w:numId="4">
    <w:abstractNumId w:val="17"/>
  </w:num>
  <w:num w:numId="5">
    <w:abstractNumId w:val="12"/>
  </w:num>
  <w:num w:numId="6">
    <w:abstractNumId w:val="16"/>
  </w:num>
  <w:num w:numId="7">
    <w:abstractNumId w:val="10"/>
  </w:num>
  <w:num w:numId="8">
    <w:abstractNumId w:val="18"/>
  </w:num>
  <w:num w:numId="9">
    <w:abstractNumId w:val="15"/>
  </w:num>
  <w:num w:numId="10">
    <w:abstractNumId w:val="7"/>
  </w:num>
  <w:num w:numId="11">
    <w:abstractNumId w:val="5"/>
  </w:num>
  <w:num w:numId="12">
    <w:abstractNumId w:val="3"/>
  </w:num>
  <w:num w:numId="13">
    <w:abstractNumId w:val="2"/>
  </w:num>
  <w:num w:numId="14">
    <w:abstractNumId w:val="13"/>
  </w:num>
  <w:num w:numId="15">
    <w:abstractNumId w:val="14"/>
  </w:num>
  <w:num w:numId="16">
    <w:abstractNumId w:val="11"/>
  </w:num>
  <w:num w:numId="17">
    <w:abstractNumId w:val="1"/>
  </w:num>
  <w:num w:numId="18">
    <w:abstractNumId w:val="8"/>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3BB5"/>
    <w:rsid w:val="00026804"/>
    <w:rsid w:val="000427F1"/>
    <w:rsid w:val="000445AE"/>
    <w:rsid w:val="000446FA"/>
    <w:rsid w:val="00050DEA"/>
    <w:rsid w:val="00054200"/>
    <w:rsid w:val="00062FD1"/>
    <w:rsid w:val="000973D6"/>
    <w:rsid w:val="000A7E5D"/>
    <w:rsid w:val="000B3D15"/>
    <w:rsid w:val="000C0E9E"/>
    <w:rsid w:val="000C2425"/>
    <w:rsid w:val="000C5C84"/>
    <w:rsid w:val="000D5EF6"/>
    <w:rsid w:val="000E2012"/>
    <w:rsid w:val="000E32F6"/>
    <w:rsid w:val="000E5574"/>
    <w:rsid w:val="000E5737"/>
    <w:rsid w:val="000F0C29"/>
    <w:rsid w:val="0012408C"/>
    <w:rsid w:val="00130F5D"/>
    <w:rsid w:val="00151F80"/>
    <w:rsid w:val="001576BC"/>
    <w:rsid w:val="00171E47"/>
    <w:rsid w:val="00171F7F"/>
    <w:rsid w:val="0017448B"/>
    <w:rsid w:val="001754B0"/>
    <w:rsid w:val="001A241B"/>
    <w:rsid w:val="001B2C3E"/>
    <w:rsid w:val="001D4131"/>
    <w:rsid w:val="001E1573"/>
    <w:rsid w:val="001E4A11"/>
    <w:rsid w:val="001E5C86"/>
    <w:rsid w:val="001F22D6"/>
    <w:rsid w:val="001F2F28"/>
    <w:rsid w:val="00200285"/>
    <w:rsid w:val="002021F9"/>
    <w:rsid w:val="00214711"/>
    <w:rsid w:val="00215B6F"/>
    <w:rsid w:val="00217318"/>
    <w:rsid w:val="00226D2A"/>
    <w:rsid w:val="002447CF"/>
    <w:rsid w:val="00267335"/>
    <w:rsid w:val="00270E49"/>
    <w:rsid w:val="002749B8"/>
    <w:rsid w:val="002A3CC8"/>
    <w:rsid w:val="002B7CDB"/>
    <w:rsid w:val="002C2AFC"/>
    <w:rsid w:val="002C432D"/>
    <w:rsid w:val="002C762B"/>
    <w:rsid w:val="002D7E7D"/>
    <w:rsid w:val="002E095B"/>
    <w:rsid w:val="002E51D9"/>
    <w:rsid w:val="00300C57"/>
    <w:rsid w:val="0031070C"/>
    <w:rsid w:val="0031141C"/>
    <w:rsid w:val="00335AB8"/>
    <w:rsid w:val="003405A5"/>
    <w:rsid w:val="00347ECE"/>
    <w:rsid w:val="0036700B"/>
    <w:rsid w:val="00367398"/>
    <w:rsid w:val="003C64AC"/>
    <w:rsid w:val="003E7642"/>
    <w:rsid w:val="00405FCB"/>
    <w:rsid w:val="00442D6C"/>
    <w:rsid w:val="00443AB5"/>
    <w:rsid w:val="00445088"/>
    <w:rsid w:val="004628EB"/>
    <w:rsid w:val="004710C7"/>
    <w:rsid w:val="00477651"/>
    <w:rsid w:val="004A11B8"/>
    <w:rsid w:val="004B00F4"/>
    <w:rsid w:val="004B1982"/>
    <w:rsid w:val="004C0B63"/>
    <w:rsid w:val="004C5926"/>
    <w:rsid w:val="004D1DD7"/>
    <w:rsid w:val="004D6265"/>
    <w:rsid w:val="004E361C"/>
    <w:rsid w:val="004E625C"/>
    <w:rsid w:val="004E70F1"/>
    <w:rsid w:val="00507F24"/>
    <w:rsid w:val="0052499B"/>
    <w:rsid w:val="00540BAC"/>
    <w:rsid w:val="005476B2"/>
    <w:rsid w:val="005757EF"/>
    <w:rsid w:val="00581DF1"/>
    <w:rsid w:val="00582C14"/>
    <w:rsid w:val="005857E6"/>
    <w:rsid w:val="00586657"/>
    <w:rsid w:val="005945FF"/>
    <w:rsid w:val="00596EB7"/>
    <w:rsid w:val="005A54EE"/>
    <w:rsid w:val="005C452D"/>
    <w:rsid w:val="005C5391"/>
    <w:rsid w:val="005C6E7A"/>
    <w:rsid w:val="005C762D"/>
    <w:rsid w:val="005F1AAE"/>
    <w:rsid w:val="005F4287"/>
    <w:rsid w:val="006177F4"/>
    <w:rsid w:val="00625BDE"/>
    <w:rsid w:val="0063481C"/>
    <w:rsid w:val="00636BCF"/>
    <w:rsid w:val="0064053C"/>
    <w:rsid w:val="00651802"/>
    <w:rsid w:val="0065774B"/>
    <w:rsid w:val="00657A12"/>
    <w:rsid w:val="00657ADE"/>
    <w:rsid w:val="00663B29"/>
    <w:rsid w:val="0067709F"/>
    <w:rsid w:val="00685B80"/>
    <w:rsid w:val="00686DC5"/>
    <w:rsid w:val="00687D80"/>
    <w:rsid w:val="00693014"/>
    <w:rsid w:val="006B0927"/>
    <w:rsid w:val="006B49A6"/>
    <w:rsid w:val="006B5580"/>
    <w:rsid w:val="006D2F9B"/>
    <w:rsid w:val="006E6D13"/>
    <w:rsid w:val="006F3C6A"/>
    <w:rsid w:val="006F7F98"/>
    <w:rsid w:val="007022E5"/>
    <w:rsid w:val="00717106"/>
    <w:rsid w:val="00724B83"/>
    <w:rsid w:val="00726B5A"/>
    <w:rsid w:val="00751C4C"/>
    <w:rsid w:val="007603F9"/>
    <w:rsid w:val="00760830"/>
    <w:rsid w:val="007638A3"/>
    <w:rsid w:val="00764EE6"/>
    <w:rsid w:val="0077361D"/>
    <w:rsid w:val="007758C7"/>
    <w:rsid w:val="00792FC7"/>
    <w:rsid w:val="00794553"/>
    <w:rsid w:val="00797B94"/>
    <w:rsid w:val="007B59E1"/>
    <w:rsid w:val="007D0737"/>
    <w:rsid w:val="007D5FD2"/>
    <w:rsid w:val="007E1BBA"/>
    <w:rsid w:val="0080163C"/>
    <w:rsid w:val="0081001C"/>
    <w:rsid w:val="00824A36"/>
    <w:rsid w:val="00846D35"/>
    <w:rsid w:val="00854D38"/>
    <w:rsid w:val="0086297C"/>
    <w:rsid w:val="00874121"/>
    <w:rsid w:val="00885ED8"/>
    <w:rsid w:val="008A0C1E"/>
    <w:rsid w:val="008A3929"/>
    <w:rsid w:val="008B0407"/>
    <w:rsid w:val="008B29B7"/>
    <w:rsid w:val="008B45FF"/>
    <w:rsid w:val="008B7BCD"/>
    <w:rsid w:val="008C558B"/>
    <w:rsid w:val="008F2A13"/>
    <w:rsid w:val="009014E2"/>
    <w:rsid w:val="00924832"/>
    <w:rsid w:val="00927C7F"/>
    <w:rsid w:val="009308B2"/>
    <w:rsid w:val="009353A5"/>
    <w:rsid w:val="00947DA8"/>
    <w:rsid w:val="00964B00"/>
    <w:rsid w:val="00967F6A"/>
    <w:rsid w:val="009742EE"/>
    <w:rsid w:val="00994689"/>
    <w:rsid w:val="009951BE"/>
    <w:rsid w:val="00996B85"/>
    <w:rsid w:val="009B0636"/>
    <w:rsid w:val="009B540D"/>
    <w:rsid w:val="009E04A7"/>
    <w:rsid w:val="009E2A12"/>
    <w:rsid w:val="009E6BC2"/>
    <w:rsid w:val="00A17B4A"/>
    <w:rsid w:val="00A21C4E"/>
    <w:rsid w:val="00A35394"/>
    <w:rsid w:val="00A540FF"/>
    <w:rsid w:val="00A558C1"/>
    <w:rsid w:val="00A65A2F"/>
    <w:rsid w:val="00A67A4C"/>
    <w:rsid w:val="00A76001"/>
    <w:rsid w:val="00A80D2C"/>
    <w:rsid w:val="00A85689"/>
    <w:rsid w:val="00A8757F"/>
    <w:rsid w:val="00A928A9"/>
    <w:rsid w:val="00AA7D9B"/>
    <w:rsid w:val="00AC3331"/>
    <w:rsid w:val="00AC79BC"/>
    <w:rsid w:val="00AE603A"/>
    <w:rsid w:val="00AF1AE8"/>
    <w:rsid w:val="00AF1FFF"/>
    <w:rsid w:val="00AF3427"/>
    <w:rsid w:val="00AF70D5"/>
    <w:rsid w:val="00B1595B"/>
    <w:rsid w:val="00B177D4"/>
    <w:rsid w:val="00B23DF8"/>
    <w:rsid w:val="00B30845"/>
    <w:rsid w:val="00B32CAC"/>
    <w:rsid w:val="00B50348"/>
    <w:rsid w:val="00B714F3"/>
    <w:rsid w:val="00B9033B"/>
    <w:rsid w:val="00B91D72"/>
    <w:rsid w:val="00B96433"/>
    <w:rsid w:val="00BB2092"/>
    <w:rsid w:val="00BC556D"/>
    <w:rsid w:val="00BD1AC1"/>
    <w:rsid w:val="00BD3336"/>
    <w:rsid w:val="00BE54FA"/>
    <w:rsid w:val="00C00BF1"/>
    <w:rsid w:val="00C141A5"/>
    <w:rsid w:val="00C27DF1"/>
    <w:rsid w:val="00C36756"/>
    <w:rsid w:val="00C4302A"/>
    <w:rsid w:val="00C44CE1"/>
    <w:rsid w:val="00C478AC"/>
    <w:rsid w:val="00C50AFA"/>
    <w:rsid w:val="00C6106E"/>
    <w:rsid w:val="00C62CAA"/>
    <w:rsid w:val="00C855A8"/>
    <w:rsid w:val="00CB1F14"/>
    <w:rsid w:val="00CB2B75"/>
    <w:rsid w:val="00CB3FD9"/>
    <w:rsid w:val="00CD1FF2"/>
    <w:rsid w:val="00CD2A4C"/>
    <w:rsid w:val="00CD3A2B"/>
    <w:rsid w:val="00D00E73"/>
    <w:rsid w:val="00D14DA0"/>
    <w:rsid w:val="00D27711"/>
    <w:rsid w:val="00D42A9F"/>
    <w:rsid w:val="00D51BAE"/>
    <w:rsid w:val="00D62B84"/>
    <w:rsid w:val="00D66C29"/>
    <w:rsid w:val="00D80DD1"/>
    <w:rsid w:val="00DB0226"/>
    <w:rsid w:val="00DB3DF1"/>
    <w:rsid w:val="00DC7478"/>
    <w:rsid w:val="00DF4210"/>
    <w:rsid w:val="00E00708"/>
    <w:rsid w:val="00E20F09"/>
    <w:rsid w:val="00E25E1B"/>
    <w:rsid w:val="00E26180"/>
    <w:rsid w:val="00E42C0C"/>
    <w:rsid w:val="00E44F2B"/>
    <w:rsid w:val="00E46E42"/>
    <w:rsid w:val="00E54E2E"/>
    <w:rsid w:val="00E62046"/>
    <w:rsid w:val="00E77426"/>
    <w:rsid w:val="00E802E5"/>
    <w:rsid w:val="00E82FDE"/>
    <w:rsid w:val="00E84D1A"/>
    <w:rsid w:val="00E86619"/>
    <w:rsid w:val="00EA0F7A"/>
    <w:rsid w:val="00EC4C69"/>
    <w:rsid w:val="00EC666E"/>
    <w:rsid w:val="00ED0B44"/>
    <w:rsid w:val="00ED0D66"/>
    <w:rsid w:val="00EE2B21"/>
    <w:rsid w:val="00EF0C48"/>
    <w:rsid w:val="00F01063"/>
    <w:rsid w:val="00F033B8"/>
    <w:rsid w:val="00F3113C"/>
    <w:rsid w:val="00F338F0"/>
    <w:rsid w:val="00F438E8"/>
    <w:rsid w:val="00F4620B"/>
    <w:rsid w:val="00F47E8C"/>
    <w:rsid w:val="00F66FE5"/>
    <w:rsid w:val="00F67377"/>
    <w:rsid w:val="00F759E8"/>
    <w:rsid w:val="00F86603"/>
    <w:rsid w:val="00F918F2"/>
    <w:rsid w:val="00F9456E"/>
    <w:rsid w:val="00FA7EE7"/>
    <w:rsid w:val="00FB1C4C"/>
    <w:rsid w:val="00FB2385"/>
    <w:rsid w:val="00FE6A1D"/>
    <w:rsid w:val="00FF1836"/>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CommentReference">
    <w:name w:val="annotation reference"/>
    <w:basedOn w:val="DefaultParagraphFont"/>
    <w:uiPriority w:val="99"/>
    <w:semiHidden/>
    <w:unhideWhenUsed/>
    <w:rsid w:val="000E5574"/>
    <w:rPr>
      <w:sz w:val="16"/>
      <w:szCs w:val="16"/>
    </w:rPr>
  </w:style>
  <w:style w:type="paragraph" w:styleId="CommentText">
    <w:name w:val="annotation text"/>
    <w:basedOn w:val="Normal"/>
    <w:link w:val="CommentTextChar"/>
    <w:uiPriority w:val="99"/>
    <w:semiHidden/>
    <w:unhideWhenUsed/>
    <w:rsid w:val="000E5574"/>
    <w:rPr>
      <w:sz w:val="20"/>
      <w:szCs w:val="20"/>
    </w:rPr>
  </w:style>
  <w:style w:type="character" w:customStyle="1" w:styleId="CommentTextChar">
    <w:name w:val="Comment Text Char"/>
    <w:basedOn w:val="DefaultParagraphFont"/>
    <w:link w:val="CommentText"/>
    <w:uiPriority w:val="99"/>
    <w:semiHidden/>
    <w:rsid w:val="000E5574"/>
  </w:style>
  <w:style w:type="paragraph" w:styleId="CommentSubject">
    <w:name w:val="annotation subject"/>
    <w:basedOn w:val="CommentText"/>
    <w:next w:val="CommentText"/>
    <w:link w:val="CommentSubjectChar"/>
    <w:uiPriority w:val="99"/>
    <w:semiHidden/>
    <w:unhideWhenUsed/>
    <w:rsid w:val="000E5574"/>
    <w:rPr>
      <w:b/>
      <w:bCs/>
    </w:rPr>
  </w:style>
  <w:style w:type="character" w:customStyle="1" w:styleId="CommentSubjectChar">
    <w:name w:val="Comment Subject Char"/>
    <w:basedOn w:val="CommentTextChar"/>
    <w:link w:val="CommentSubject"/>
    <w:uiPriority w:val="99"/>
    <w:semiHidden/>
    <w:rsid w:val="000E55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CommentReference">
    <w:name w:val="annotation reference"/>
    <w:basedOn w:val="DefaultParagraphFont"/>
    <w:uiPriority w:val="99"/>
    <w:semiHidden/>
    <w:unhideWhenUsed/>
    <w:rsid w:val="000E5574"/>
    <w:rPr>
      <w:sz w:val="16"/>
      <w:szCs w:val="16"/>
    </w:rPr>
  </w:style>
  <w:style w:type="paragraph" w:styleId="CommentText">
    <w:name w:val="annotation text"/>
    <w:basedOn w:val="Normal"/>
    <w:link w:val="CommentTextChar"/>
    <w:uiPriority w:val="99"/>
    <w:semiHidden/>
    <w:unhideWhenUsed/>
    <w:rsid w:val="000E5574"/>
    <w:rPr>
      <w:sz w:val="20"/>
      <w:szCs w:val="20"/>
    </w:rPr>
  </w:style>
  <w:style w:type="character" w:customStyle="1" w:styleId="CommentTextChar">
    <w:name w:val="Comment Text Char"/>
    <w:basedOn w:val="DefaultParagraphFont"/>
    <w:link w:val="CommentText"/>
    <w:uiPriority w:val="99"/>
    <w:semiHidden/>
    <w:rsid w:val="000E5574"/>
  </w:style>
  <w:style w:type="paragraph" w:styleId="CommentSubject">
    <w:name w:val="annotation subject"/>
    <w:basedOn w:val="CommentText"/>
    <w:next w:val="CommentText"/>
    <w:link w:val="CommentSubjectChar"/>
    <w:uiPriority w:val="99"/>
    <w:semiHidden/>
    <w:unhideWhenUsed/>
    <w:rsid w:val="000E5574"/>
    <w:rPr>
      <w:b/>
      <w:bCs/>
    </w:rPr>
  </w:style>
  <w:style w:type="character" w:customStyle="1" w:styleId="CommentSubjectChar">
    <w:name w:val="Comment Subject Char"/>
    <w:basedOn w:val="CommentTextChar"/>
    <w:link w:val="CommentSubject"/>
    <w:uiPriority w:val="99"/>
    <w:semiHidden/>
    <w:rsid w:val="000E55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93912">
      <w:bodyDiv w:val="1"/>
      <w:marLeft w:val="0"/>
      <w:marRight w:val="0"/>
      <w:marTop w:val="0"/>
      <w:marBottom w:val="0"/>
      <w:divBdr>
        <w:top w:val="none" w:sz="0" w:space="0" w:color="auto"/>
        <w:left w:val="none" w:sz="0" w:space="0" w:color="auto"/>
        <w:bottom w:val="none" w:sz="0" w:space="0" w:color="auto"/>
        <w:right w:val="none" w:sz="0" w:space="0" w:color="auto"/>
      </w:divBdr>
    </w:div>
    <w:div w:id="16137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Excel_Worksheet1.xls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852EE-17BF-4C1B-AB51-1BDF6C0A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1711</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5</cp:revision>
  <cp:lastPrinted>2005-06-11T17:39:00Z</cp:lastPrinted>
  <dcterms:created xsi:type="dcterms:W3CDTF">2016-01-27T22:14:00Z</dcterms:created>
  <dcterms:modified xsi:type="dcterms:W3CDTF">2016-01-28T19:58:00Z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