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p>
    <w:p w:rsidR="00962C18" w:rsidRDefault="00962C18"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QUESTION </w:t>
      </w:r>
      <w:r w:rsidR="00855411">
        <w:rPr>
          <w:rFonts w:ascii="Arial" w:hAnsi="Arial" w:cs="Arial"/>
          <w:b/>
          <w:u w:val="single"/>
        </w:rPr>
        <w:t>2.</w:t>
      </w:r>
      <w:r w:rsidRPr="00F759E8">
        <w:rPr>
          <w:rFonts w:ascii="Arial" w:hAnsi="Arial" w:cs="Arial"/>
          <w:b/>
          <w:u w:val="single"/>
        </w:rPr>
        <w:t>1:</w:t>
      </w:r>
    </w:p>
    <w:p w:rsidR="005F4287" w:rsidRPr="0031141C" w:rsidRDefault="005F4287" w:rsidP="005C6E7A">
      <w:pPr>
        <w:rPr>
          <w:rFonts w:ascii="Arial" w:hAnsi="Arial" w:cs="Arial"/>
        </w:rPr>
      </w:pPr>
    </w:p>
    <w:p w:rsidR="00855411" w:rsidRPr="00855411" w:rsidRDefault="00855411" w:rsidP="00855411">
      <w:pPr>
        <w:rPr>
          <w:rFonts w:ascii="Arial" w:hAnsi="Arial" w:cs="Arial"/>
        </w:rPr>
      </w:pPr>
      <w:r w:rsidRPr="00855411">
        <w:rPr>
          <w:rFonts w:ascii="Arial" w:hAnsi="Arial" w:cs="Arial"/>
        </w:rPr>
        <w:t>2.1.</w:t>
      </w:r>
      <w:r w:rsidRPr="00855411">
        <w:rPr>
          <w:rFonts w:ascii="Arial" w:hAnsi="Arial" w:cs="Arial"/>
        </w:rPr>
        <w:tab/>
        <w:t>With respect to Tuan Nguyen’s direct testimony at page 2, Table 1, please provide the following information for each local service zone listed in the table:</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w:t>
      </w:r>
      <w:r w:rsidRPr="00855411">
        <w:rPr>
          <w:rFonts w:ascii="Arial" w:hAnsi="Arial" w:cs="Arial"/>
        </w:rPr>
        <w:tab/>
        <w:t>Peak core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w:t>
      </w:r>
      <w:r w:rsidRPr="00855411">
        <w:rPr>
          <w:rFonts w:ascii="Arial" w:hAnsi="Arial" w:cs="Arial"/>
        </w:rPr>
        <w:tab/>
        <w:t>Peak core daily loads for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2.1.3.</w:t>
      </w:r>
      <w:r w:rsidRPr="00855411">
        <w:rPr>
          <w:rFonts w:ascii="Arial" w:hAnsi="Arial" w:cs="Arial"/>
        </w:rPr>
        <w:tab/>
        <w:t>Average core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2.1.4.</w:t>
      </w:r>
      <w:r w:rsidRPr="00855411">
        <w:rPr>
          <w:rFonts w:ascii="Arial" w:hAnsi="Arial" w:cs="Arial"/>
        </w:rPr>
        <w:tab/>
        <w:t>Average core daily loads for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2.1.5.</w:t>
      </w:r>
      <w:r w:rsidRPr="00855411">
        <w:rPr>
          <w:rFonts w:ascii="Arial" w:hAnsi="Arial" w:cs="Arial"/>
        </w:rPr>
        <w:tab/>
        <w:t>Standard deviation of core daily loads during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2.1.6.</w:t>
      </w:r>
      <w:r w:rsidRPr="00855411">
        <w:rPr>
          <w:rFonts w:ascii="Arial" w:hAnsi="Arial" w:cs="Arial"/>
        </w:rPr>
        <w:tab/>
        <w:t>Standard deviation of core daily loads during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2.1.7.</w:t>
      </w:r>
      <w:r w:rsidRPr="00855411">
        <w:rPr>
          <w:rFonts w:ascii="Arial" w:hAnsi="Arial" w:cs="Arial"/>
        </w:rPr>
        <w:tab/>
        <w:t>Number of core customers</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2.1.8.</w:t>
      </w:r>
      <w:r w:rsidRPr="00855411">
        <w:rPr>
          <w:rFonts w:ascii="Arial" w:hAnsi="Arial" w:cs="Arial"/>
        </w:rPr>
        <w:tab/>
        <w:t>Peak noncore commercial/industrial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2.1.9.</w:t>
      </w:r>
      <w:r w:rsidRPr="00855411">
        <w:rPr>
          <w:rFonts w:ascii="Arial" w:hAnsi="Arial" w:cs="Arial"/>
        </w:rPr>
        <w:tab/>
        <w:t>Peak noncore commercial/industrial daily loads for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2.1.10.</w:t>
      </w:r>
      <w:r w:rsidRPr="00855411">
        <w:rPr>
          <w:rFonts w:ascii="Arial" w:hAnsi="Arial" w:cs="Arial"/>
        </w:rPr>
        <w:tab/>
        <w:t>Average noncore commercial/industrial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2.1.11.</w:t>
      </w:r>
      <w:r w:rsidRPr="00855411">
        <w:rPr>
          <w:rFonts w:ascii="Arial" w:hAnsi="Arial" w:cs="Arial"/>
        </w:rPr>
        <w:tab/>
        <w:t>Average noncore commercial/industrial daily loads for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2.1.12.</w:t>
      </w:r>
      <w:r w:rsidRPr="00855411">
        <w:rPr>
          <w:rFonts w:ascii="Arial" w:hAnsi="Arial" w:cs="Arial"/>
        </w:rPr>
        <w:tab/>
        <w:t>Standard deviation of noncore commercial/industrial daily loads during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2.1.13.</w:t>
      </w:r>
      <w:r w:rsidRPr="00855411">
        <w:rPr>
          <w:rFonts w:ascii="Arial" w:hAnsi="Arial" w:cs="Arial"/>
        </w:rPr>
        <w:tab/>
        <w:t>Standard deviation of noncore commercial/industrial daily loads during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2.1.14.</w:t>
      </w:r>
      <w:r w:rsidRPr="00855411">
        <w:rPr>
          <w:rFonts w:ascii="Arial" w:hAnsi="Arial" w:cs="Arial"/>
        </w:rPr>
        <w:tab/>
        <w:t>Number of noncore commercial/industrial customers</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2.1.15.</w:t>
      </w:r>
      <w:r w:rsidRPr="00855411">
        <w:rPr>
          <w:rFonts w:ascii="Arial" w:hAnsi="Arial" w:cs="Arial"/>
        </w:rPr>
        <w:tab/>
        <w:t>Peak noncore electric generation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2.1.16.</w:t>
      </w:r>
      <w:r w:rsidRPr="00855411">
        <w:rPr>
          <w:rFonts w:ascii="Arial" w:hAnsi="Arial" w:cs="Arial"/>
        </w:rPr>
        <w:tab/>
        <w:t>Peak noncore electric generation daily loads for winter season</w:t>
      </w:r>
    </w:p>
    <w:p w:rsidR="00855411" w:rsidRDefault="00855411" w:rsidP="00855411">
      <w:pPr>
        <w:rPr>
          <w:rFonts w:ascii="Arial" w:hAnsi="Arial" w:cs="Arial"/>
        </w:rPr>
      </w:pPr>
    </w:p>
    <w:p w:rsidR="00855411" w:rsidRDefault="00855411" w:rsidP="00855411">
      <w:pPr>
        <w:rPr>
          <w:rFonts w:ascii="Arial" w:hAnsi="Arial" w:cs="Arial"/>
        </w:rPr>
      </w:pP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2.1.17.</w:t>
      </w:r>
      <w:r w:rsidRPr="00855411">
        <w:rPr>
          <w:rFonts w:ascii="Arial" w:hAnsi="Arial" w:cs="Arial"/>
        </w:rPr>
        <w:tab/>
        <w:t>Average noncore electric generation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2.1.18.</w:t>
      </w:r>
      <w:r w:rsidRPr="00855411">
        <w:rPr>
          <w:rFonts w:ascii="Arial" w:hAnsi="Arial" w:cs="Arial"/>
        </w:rPr>
        <w:tab/>
        <w:t>Average noncore electric generation daily loads for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2.1.19.</w:t>
      </w:r>
      <w:r w:rsidRPr="00855411">
        <w:rPr>
          <w:rFonts w:ascii="Arial" w:hAnsi="Arial" w:cs="Arial"/>
        </w:rPr>
        <w:tab/>
        <w:t>Standard deviation of noncore electric generation daily loads during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2.1.20.</w:t>
      </w:r>
      <w:r w:rsidRPr="00855411">
        <w:rPr>
          <w:rFonts w:ascii="Arial" w:hAnsi="Arial" w:cs="Arial"/>
        </w:rPr>
        <w:tab/>
        <w:t>Standard deviation of core daily loads noncore electric generation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2.1.21.</w:t>
      </w:r>
      <w:r w:rsidRPr="00855411">
        <w:rPr>
          <w:rFonts w:ascii="Arial" w:hAnsi="Arial" w:cs="Arial"/>
        </w:rPr>
        <w:tab/>
        <w:t>Number of noncore electric generation customers</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2.1.22.</w:t>
      </w:r>
      <w:r w:rsidRPr="00855411">
        <w:rPr>
          <w:rFonts w:ascii="Arial" w:hAnsi="Arial" w:cs="Arial"/>
        </w:rPr>
        <w:tab/>
        <w:t>Peak noncore cogeneration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2.1.23.</w:t>
      </w:r>
      <w:r w:rsidRPr="00855411">
        <w:rPr>
          <w:rFonts w:ascii="Arial" w:hAnsi="Arial" w:cs="Arial"/>
        </w:rPr>
        <w:tab/>
        <w:t>Peak noncore cogeneration daily loads for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2.1.24.</w:t>
      </w:r>
      <w:r w:rsidRPr="00855411">
        <w:rPr>
          <w:rFonts w:ascii="Arial" w:hAnsi="Arial" w:cs="Arial"/>
        </w:rPr>
        <w:tab/>
        <w:t>Average noncore cogeneration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2.1.25.</w:t>
      </w:r>
      <w:r w:rsidRPr="00855411">
        <w:rPr>
          <w:rFonts w:ascii="Arial" w:hAnsi="Arial" w:cs="Arial"/>
        </w:rPr>
        <w:tab/>
        <w:t>Average noncore cogeneration daily loads for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2.1.26.</w:t>
      </w:r>
      <w:r w:rsidRPr="00855411">
        <w:rPr>
          <w:rFonts w:ascii="Arial" w:hAnsi="Arial" w:cs="Arial"/>
        </w:rPr>
        <w:tab/>
        <w:t>Standard deviation of noncore cogeneration daily loads during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2.1.27.</w:t>
      </w:r>
      <w:r w:rsidRPr="00855411">
        <w:rPr>
          <w:rFonts w:ascii="Arial" w:hAnsi="Arial" w:cs="Arial"/>
        </w:rPr>
        <w:tab/>
        <w:t>Standard deviation of noncore cogeneration daily loads during winter season</w:t>
      </w:r>
    </w:p>
    <w:p w:rsidR="00855411" w:rsidRDefault="00855411" w:rsidP="00855411">
      <w:pPr>
        <w:rPr>
          <w:rFonts w:ascii="Arial" w:hAnsi="Arial" w:cs="Arial"/>
        </w:rPr>
      </w:pPr>
    </w:p>
    <w:p w:rsidR="00924832" w:rsidRPr="0031141C" w:rsidRDefault="00855411" w:rsidP="00855411">
      <w:pPr>
        <w:rPr>
          <w:rFonts w:ascii="Arial" w:hAnsi="Arial" w:cs="Arial"/>
        </w:rPr>
      </w:pPr>
      <w:r w:rsidRPr="00855411">
        <w:rPr>
          <w:rFonts w:ascii="Arial" w:hAnsi="Arial" w:cs="Arial"/>
        </w:rPr>
        <w:t>2.1.28.</w:t>
      </w:r>
      <w:r w:rsidRPr="00855411">
        <w:rPr>
          <w:rFonts w:ascii="Arial" w:hAnsi="Arial" w:cs="Arial"/>
        </w:rPr>
        <w:tab/>
        <w:t>Number of noncore cogeneration customers</w:t>
      </w:r>
    </w:p>
    <w:p w:rsidR="006847C9" w:rsidRDefault="006847C9">
      <w:pPr>
        <w:rPr>
          <w:rFonts w:ascii="Arial" w:hAnsi="Arial" w:cs="Arial"/>
          <w:b/>
          <w:u w:val="single"/>
        </w:rPr>
      </w:pPr>
      <w:r>
        <w:rPr>
          <w:rFonts w:ascii="Arial" w:hAnsi="Arial" w:cs="Arial"/>
          <w:b/>
          <w:u w:val="single"/>
        </w:rPr>
        <w:br w:type="page"/>
      </w:r>
    </w:p>
    <w:p w:rsidR="0031141C" w:rsidRDefault="0031141C" w:rsidP="005C6E7A">
      <w:pPr>
        <w:rPr>
          <w:rFonts w:ascii="Arial" w:hAnsi="Arial" w:cs="Arial"/>
          <w:b/>
          <w:u w:val="single"/>
        </w:rPr>
      </w:pPr>
    </w:p>
    <w:p w:rsidR="006847C9" w:rsidRDefault="006847C9"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RESPONSE </w:t>
      </w:r>
      <w:r w:rsidR="00855411">
        <w:rPr>
          <w:rFonts w:ascii="Arial" w:hAnsi="Arial" w:cs="Arial"/>
          <w:b/>
          <w:u w:val="single"/>
        </w:rPr>
        <w:t>2.1</w:t>
      </w:r>
      <w:r w:rsidRPr="00F759E8">
        <w:rPr>
          <w:rFonts w:ascii="Arial" w:hAnsi="Arial" w:cs="Arial"/>
          <w:b/>
          <w:u w:val="single"/>
        </w:rPr>
        <w:t>:</w:t>
      </w:r>
    </w:p>
    <w:p w:rsidR="00FC3861" w:rsidRDefault="00FC3861" w:rsidP="00F67377">
      <w:pPr>
        <w:rPr>
          <w:rFonts w:ascii="Arial" w:hAnsi="Arial" w:cs="Arial"/>
        </w:rPr>
      </w:pPr>
    </w:p>
    <w:p w:rsidR="00D73CD6" w:rsidRDefault="00D73CD6" w:rsidP="00D73CD6">
      <w:pPr>
        <w:rPr>
          <w:rFonts w:ascii="Arial" w:hAnsi="Arial" w:cs="Arial"/>
        </w:rPr>
      </w:pPr>
      <w:r w:rsidRPr="00982961">
        <w:rPr>
          <w:rFonts w:ascii="Arial" w:hAnsi="Arial" w:cs="Arial"/>
        </w:rPr>
        <w:t xml:space="preserve">SoCalGas and SDG&amp;E object to this request on the grounds that it seeks confidential customer data. </w:t>
      </w:r>
      <w:r>
        <w:rPr>
          <w:rFonts w:ascii="Arial" w:hAnsi="Arial" w:cs="Arial"/>
        </w:rPr>
        <w:t xml:space="preserve"> Information by</w:t>
      </w:r>
      <w:r w:rsidRPr="00982961">
        <w:rPr>
          <w:rFonts w:ascii="Arial" w:hAnsi="Arial" w:cs="Arial"/>
        </w:rPr>
        <w:t xml:space="preserve"> zone</w:t>
      </w:r>
      <w:r>
        <w:rPr>
          <w:rFonts w:ascii="Arial" w:hAnsi="Arial" w:cs="Arial"/>
        </w:rPr>
        <w:t>s</w:t>
      </w:r>
      <w:r w:rsidRPr="00982961">
        <w:rPr>
          <w:rFonts w:ascii="Arial" w:hAnsi="Arial" w:cs="Arial"/>
        </w:rPr>
        <w:t xml:space="preserve"> is not sufficiently aggregated</w:t>
      </w:r>
      <w:r w:rsidRPr="00D73CD6">
        <w:rPr>
          <w:rFonts w:ascii="Arial" w:hAnsi="Arial" w:cs="Arial"/>
        </w:rPr>
        <w:t xml:space="preserve"> </w:t>
      </w:r>
      <w:r>
        <w:rPr>
          <w:rFonts w:ascii="Arial" w:hAnsi="Arial" w:cs="Arial"/>
        </w:rPr>
        <w:t>for the EG market segment and some of the noncore cogeneration segment</w:t>
      </w:r>
      <w:r w:rsidR="00EE53D1">
        <w:rPr>
          <w:rFonts w:ascii="Arial" w:hAnsi="Arial" w:cs="Arial"/>
        </w:rPr>
        <w:t>.</w:t>
      </w:r>
      <w:r>
        <w:rPr>
          <w:rFonts w:ascii="Arial" w:hAnsi="Arial" w:cs="Arial"/>
        </w:rPr>
        <w:t xml:space="preserve">  </w:t>
      </w:r>
      <w:r w:rsidR="00097A8B" w:rsidRPr="005B07DE">
        <w:rPr>
          <w:rFonts w:ascii="Arial" w:hAnsi="Arial" w:cs="Arial"/>
          <w:sz w:val="22"/>
          <w:szCs w:val="22"/>
        </w:rPr>
        <w:t xml:space="preserve">Without waiving </w:t>
      </w:r>
      <w:r w:rsidR="00097A8B">
        <w:rPr>
          <w:rFonts w:ascii="Arial" w:hAnsi="Arial" w:cs="Arial"/>
          <w:sz w:val="22"/>
          <w:szCs w:val="22"/>
        </w:rPr>
        <w:t xml:space="preserve">this </w:t>
      </w:r>
      <w:r w:rsidR="00097A8B" w:rsidRPr="005B07DE">
        <w:rPr>
          <w:rFonts w:ascii="Arial" w:hAnsi="Arial" w:cs="Arial"/>
          <w:sz w:val="22"/>
          <w:szCs w:val="22"/>
        </w:rPr>
        <w:t>objection, and subject thereto, SoCalGas and SDG&amp;E respond as follows:</w:t>
      </w:r>
    </w:p>
    <w:p w:rsidR="00D73CD6" w:rsidRDefault="00D73CD6" w:rsidP="00D73CD6">
      <w:pPr>
        <w:rPr>
          <w:rFonts w:ascii="Arial" w:hAnsi="Arial" w:cs="Arial"/>
        </w:rPr>
      </w:pPr>
    </w:p>
    <w:p w:rsidR="00097A8B" w:rsidRDefault="00097A8B" w:rsidP="00097A8B">
      <w:pPr>
        <w:rPr>
          <w:rFonts w:ascii="Arial" w:hAnsi="Arial" w:cs="Arial"/>
        </w:rPr>
      </w:pPr>
      <w:r>
        <w:rPr>
          <w:rFonts w:ascii="Arial" w:hAnsi="Arial" w:cs="Arial"/>
        </w:rPr>
        <w:t xml:space="preserve">Please refer to the attached spreadsheet ‘SCGC DR2.1’ for Responses 2.1.1 through 2.1.28.  </w:t>
      </w:r>
      <w:r w:rsidRPr="00FC3861">
        <w:rPr>
          <w:rFonts w:ascii="Arial" w:hAnsi="Arial" w:cs="Arial"/>
        </w:rPr>
        <w:t xml:space="preserve">Responses to this data request are based on daily operational </w:t>
      </w:r>
      <w:r w:rsidR="00C458B9">
        <w:rPr>
          <w:rFonts w:ascii="Arial" w:hAnsi="Arial" w:cs="Arial"/>
        </w:rPr>
        <w:t xml:space="preserve">(i.e. not billing) </w:t>
      </w:r>
      <w:r w:rsidRPr="00FC3861">
        <w:rPr>
          <w:rFonts w:ascii="Arial" w:hAnsi="Arial" w:cs="Arial"/>
        </w:rPr>
        <w:t>data for the entire SoCalGas and SDG&amp;E gas transmission system</w:t>
      </w:r>
      <w:r w:rsidR="00C458B9">
        <w:rPr>
          <w:rFonts w:ascii="Arial" w:hAnsi="Arial" w:cs="Arial"/>
        </w:rPr>
        <w:t>, and should be considered as estimates for the noted time periods</w:t>
      </w:r>
      <w:r w:rsidRPr="00FC3861">
        <w:rPr>
          <w:rFonts w:ascii="Arial" w:hAnsi="Arial" w:cs="Arial"/>
        </w:rPr>
        <w:t>.</w:t>
      </w:r>
      <w:r w:rsidR="003A061C">
        <w:rPr>
          <w:rFonts w:ascii="Arial" w:hAnsi="Arial" w:cs="Arial"/>
        </w:rPr>
        <w:t xml:space="preserve">  Those responses which would divulge customer confidential data have been indicated with “CONFD”.</w:t>
      </w:r>
    </w:p>
    <w:p w:rsidR="00097A8B" w:rsidRDefault="00097A8B" w:rsidP="00097A8B">
      <w:pPr>
        <w:rPr>
          <w:rFonts w:ascii="Arial" w:hAnsi="Arial" w:cs="Arial"/>
        </w:rPr>
      </w:pPr>
    </w:p>
    <w:p w:rsidR="005A4B82" w:rsidRDefault="00FC3861" w:rsidP="00FC3861">
      <w:pPr>
        <w:rPr>
          <w:rFonts w:ascii="Arial" w:hAnsi="Arial" w:cs="Arial"/>
        </w:rPr>
      </w:pPr>
      <w:r w:rsidRPr="00B844C3">
        <w:rPr>
          <w:rFonts w:ascii="Arial" w:hAnsi="Arial" w:cs="Arial"/>
        </w:rPr>
        <w:t>For</w:t>
      </w:r>
      <w:r>
        <w:rPr>
          <w:rFonts w:ascii="Arial" w:hAnsi="Arial" w:cs="Arial"/>
        </w:rPr>
        <w:t xml:space="preserve"> the purposes of this response, SoCalGas and SDG&amp;E utilized the most recent full operating year.  “Summer” was defined as April through October, 2014, and “winter” as November 2014 through March 2015.  Customer counts were taken at 2014 year-end.</w:t>
      </w:r>
    </w:p>
    <w:p w:rsidR="00FC3861" w:rsidRDefault="00FC3861" w:rsidP="00F67377">
      <w:pPr>
        <w:rPr>
          <w:rFonts w:ascii="Arial" w:hAnsi="Arial" w:cs="Arial"/>
        </w:rPr>
      </w:pPr>
    </w:p>
    <w:p w:rsidR="00FC3861" w:rsidRDefault="00FC3861" w:rsidP="00F67377">
      <w:pPr>
        <w:rPr>
          <w:rFonts w:ascii="Arial" w:hAnsi="Arial" w:cs="Arial"/>
        </w:rPr>
      </w:pPr>
      <w:r>
        <w:rPr>
          <w:rFonts w:ascii="Arial" w:hAnsi="Arial" w:cs="Arial"/>
        </w:rPr>
        <w:t xml:space="preserve">Peak demand is the non-coincidental daily peak for each customer class across the entire system.  Average demand is the average of all days in the respective summer and winter months.  Standard deviation is taken from the daily demand in the respective summer and winter months.  These values </w:t>
      </w:r>
      <w:r w:rsidR="003A061C">
        <w:rPr>
          <w:rFonts w:ascii="Arial" w:hAnsi="Arial" w:cs="Arial"/>
        </w:rPr>
        <w:t>were</w:t>
      </w:r>
      <w:r>
        <w:rPr>
          <w:rFonts w:ascii="Arial" w:hAnsi="Arial" w:cs="Arial"/>
        </w:rPr>
        <w:t xml:space="preserve"> then allocated to the zones based on the methodology described below.</w:t>
      </w:r>
    </w:p>
    <w:p w:rsidR="00FC3861" w:rsidRDefault="00FC3861" w:rsidP="00F67377">
      <w:pPr>
        <w:rPr>
          <w:rFonts w:ascii="Arial" w:hAnsi="Arial" w:cs="Arial"/>
        </w:rPr>
      </w:pPr>
    </w:p>
    <w:p w:rsidR="00FC3861" w:rsidRDefault="00FC3861" w:rsidP="00F67377">
      <w:pPr>
        <w:rPr>
          <w:rFonts w:ascii="Arial" w:hAnsi="Arial" w:cs="Arial"/>
        </w:rPr>
      </w:pPr>
      <w:r>
        <w:rPr>
          <w:rFonts w:ascii="Arial" w:hAnsi="Arial" w:cs="Arial"/>
        </w:rPr>
        <w:t xml:space="preserve">Core load </w:t>
      </w:r>
      <w:r w:rsidR="003A061C">
        <w:rPr>
          <w:rFonts w:ascii="Arial" w:hAnsi="Arial" w:cs="Arial"/>
        </w:rPr>
        <w:t>was</w:t>
      </w:r>
      <w:r>
        <w:rPr>
          <w:rFonts w:ascii="Arial" w:hAnsi="Arial" w:cs="Arial"/>
        </w:rPr>
        <w:t xml:space="preserve"> allocated to each zone by </w:t>
      </w:r>
      <w:r w:rsidR="00F8608C">
        <w:rPr>
          <w:rFonts w:ascii="Arial" w:hAnsi="Arial" w:cs="Arial"/>
        </w:rPr>
        <w:t xml:space="preserve">the number of customers in each zone.  Noncore commercial/industrial load </w:t>
      </w:r>
      <w:r w:rsidR="003A061C">
        <w:rPr>
          <w:rFonts w:ascii="Arial" w:hAnsi="Arial" w:cs="Arial"/>
        </w:rPr>
        <w:t>was</w:t>
      </w:r>
      <w:r w:rsidR="00F8608C">
        <w:rPr>
          <w:rFonts w:ascii="Arial" w:hAnsi="Arial" w:cs="Arial"/>
        </w:rPr>
        <w:t xml:space="preserve"> </w:t>
      </w:r>
      <w:r w:rsidR="005E610E">
        <w:rPr>
          <w:rFonts w:ascii="Arial" w:hAnsi="Arial" w:cs="Arial"/>
        </w:rPr>
        <w:t xml:space="preserve">allocated using 2014 yearly aggregate demand.  Noncore cogeneration load </w:t>
      </w:r>
      <w:r w:rsidR="003A061C">
        <w:rPr>
          <w:rFonts w:ascii="Arial" w:hAnsi="Arial" w:cs="Arial"/>
        </w:rPr>
        <w:t>was</w:t>
      </w:r>
      <w:r w:rsidR="005E610E">
        <w:rPr>
          <w:rFonts w:ascii="Arial" w:hAnsi="Arial" w:cs="Arial"/>
        </w:rPr>
        <w:t xml:space="preserve"> allocated to each zone by the number of customers in each zone.</w:t>
      </w:r>
    </w:p>
    <w:p w:rsidR="00A85689" w:rsidRDefault="00A85689" w:rsidP="00440D93">
      <w:pPr>
        <w:rPr>
          <w:rFonts w:ascii="Arial" w:hAnsi="Arial" w:cs="Arial"/>
          <w:b/>
          <w:u w:val="single"/>
        </w:rPr>
      </w:pPr>
    </w:p>
    <w:p w:rsidR="00EE53D1" w:rsidRDefault="00EE53D1" w:rsidP="00440D93">
      <w:pPr>
        <w:rPr>
          <w:rFonts w:ascii="Arial" w:hAnsi="Arial" w:cs="Arial"/>
          <w:b/>
          <w:u w:val="single"/>
        </w:rPr>
      </w:pPr>
    </w:p>
    <w:bookmarkStart w:id="0" w:name="_GoBack"/>
    <w:p w:rsidR="00EE53D1" w:rsidRDefault="00E90E3C" w:rsidP="00440D93">
      <w:pPr>
        <w:rPr>
          <w:rFonts w:ascii="Arial" w:hAnsi="Arial" w:cs="Arial"/>
          <w:b/>
          <w:u w:val="single"/>
        </w:rPr>
      </w:pPr>
      <w:r>
        <w:rPr>
          <w:rFonts w:ascii="Arial" w:hAnsi="Arial" w:cs="Arial"/>
        </w:rPr>
        <w:object w:dxaOrig="204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2.05pt;height:65.75pt" o:ole="">
            <v:imagedata r:id="rId9" o:title=""/>
          </v:shape>
          <o:OLEObject Type="Embed" ProgID="Excel.Sheet.12" ShapeID="_x0000_i1032" DrawAspect="Icon" ObjectID="_1510747573" r:id="rId10"/>
        </w:object>
      </w:r>
      <w:bookmarkEnd w:id="0"/>
    </w:p>
    <w:sectPr w:rsidR="00EE53D1" w:rsidSect="0024147C">
      <w:headerReference w:type="default" r:id="rId11"/>
      <w:footerReference w:type="default" r:id="rId12"/>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D41" w:rsidRDefault="00B97D41">
      <w:r>
        <w:separator/>
      </w:r>
    </w:p>
  </w:endnote>
  <w:endnote w:type="continuationSeparator" w:id="0">
    <w:p w:rsidR="00B97D41" w:rsidRDefault="00B9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E90E3C">
      <w:rPr>
        <w:rStyle w:val="PageNumber"/>
        <w:rFonts w:ascii="Arial" w:hAnsi="Arial" w:cs="Arial"/>
        <w:noProof/>
      </w:rPr>
      <w:t>3</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D41" w:rsidRDefault="00B97D41">
      <w:r>
        <w:separator/>
      </w:r>
    </w:p>
  </w:footnote>
  <w:footnote w:type="continuationSeparator" w:id="0">
    <w:p w:rsidR="00B97D41" w:rsidRDefault="00B97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AA" w:rsidRPr="00C62CAA" w:rsidRDefault="00C62CAA" w:rsidP="00F9456E">
    <w:pPr>
      <w:pStyle w:val="Header"/>
      <w:jc w:val="center"/>
      <w:rPr>
        <w:rFonts w:ascii="Arial" w:hAnsi="Arial" w:cs="Arial"/>
        <w:b/>
        <w:sz w:val="12"/>
        <w:szCs w:val="12"/>
      </w:rPr>
    </w:pPr>
  </w:p>
  <w:p w:rsidR="00ED571B" w:rsidRDefault="00962C18" w:rsidP="00F9456E">
    <w:pPr>
      <w:pStyle w:val="Header"/>
      <w:jc w:val="center"/>
      <w:rPr>
        <w:rFonts w:ascii="Arial" w:hAnsi="Arial" w:cs="Arial"/>
        <w:b/>
      </w:rPr>
    </w:pPr>
    <w:r>
      <w:rPr>
        <w:rFonts w:ascii="Arial" w:hAnsi="Arial" w:cs="Arial"/>
        <w:b/>
      </w:rPr>
      <w:t>SAN DIEGO GAS &amp; ELECTRIC COMPANY</w:t>
    </w:r>
  </w:p>
  <w:p w:rsidR="00967F6A" w:rsidRDefault="005F1AAE" w:rsidP="00F9456E">
    <w:pPr>
      <w:pStyle w:val="Header"/>
      <w:jc w:val="center"/>
      <w:rPr>
        <w:rFonts w:ascii="Arial" w:hAnsi="Arial" w:cs="Arial"/>
        <w:b/>
      </w:rPr>
    </w:pPr>
    <w:r>
      <w:rPr>
        <w:rFonts w:ascii="Arial" w:hAnsi="Arial" w:cs="Arial"/>
        <w:b/>
      </w:rPr>
      <w:t>SOUTHERN CALIFORNIA GAS COMPANY</w:t>
    </w:r>
  </w:p>
  <w:p w:rsidR="0025292E" w:rsidRPr="0025292E" w:rsidRDefault="0025292E" w:rsidP="00F9456E">
    <w:pPr>
      <w:pStyle w:val="Header"/>
      <w:jc w:val="center"/>
      <w:rPr>
        <w:rFonts w:ascii="Arial" w:hAnsi="Arial" w:cs="Arial"/>
        <w:b/>
        <w:sz w:val="8"/>
        <w:szCs w:val="8"/>
      </w:rPr>
    </w:pPr>
  </w:p>
  <w:p w:rsidR="00ED571B" w:rsidRPr="00ED571B" w:rsidRDefault="00ED571B" w:rsidP="00F9456E">
    <w:pPr>
      <w:pStyle w:val="Header"/>
      <w:jc w:val="center"/>
      <w:rPr>
        <w:rFonts w:ascii="Arial" w:hAnsi="Arial" w:cs="Arial"/>
        <w:b/>
        <w:sz w:val="8"/>
        <w:szCs w:val="8"/>
      </w:rPr>
    </w:pPr>
  </w:p>
  <w:p w:rsidR="003D5514" w:rsidRDefault="003D5514" w:rsidP="00F9456E">
    <w:pPr>
      <w:pStyle w:val="Header"/>
      <w:jc w:val="center"/>
      <w:rPr>
        <w:rFonts w:ascii="Arial" w:hAnsi="Arial" w:cs="Arial"/>
        <w:b/>
      </w:rPr>
    </w:pPr>
    <w:r>
      <w:rPr>
        <w:rFonts w:ascii="Arial" w:hAnsi="Arial" w:cs="Arial"/>
        <w:b/>
      </w:rPr>
      <w:t xml:space="preserve">APPLICATION FOR AUTHORITY TO </w:t>
    </w:r>
  </w:p>
  <w:p w:rsidR="00AC2563" w:rsidRDefault="003D5514" w:rsidP="00F9456E">
    <w:pPr>
      <w:pStyle w:val="Header"/>
      <w:jc w:val="center"/>
      <w:rPr>
        <w:rFonts w:ascii="Arial" w:hAnsi="Arial" w:cs="Arial"/>
        <w:b/>
      </w:rPr>
    </w:pPr>
    <w:r>
      <w:rPr>
        <w:rFonts w:ascii="Arial" w:hAnsi="Arial" w:cs="Arial"/>
        <w:b/>
      </w:rPr>
      <w:t xml:space="preserve">REVISE </w:t>
    </w:r>
    <w:r w:rsidR="00440D93">
      <w:rPr>
        <w:rFonts w:ascii="Arial" w:hAnsi="Arial" w:cs="Arial"/>
        <w:b/>
      </w:rPr>
      <w:t xml:space="preserve">THEIR </w:t>
    </w:r>
    <w:r>
      <w:rPr>
        <w:rFonts w:ascii="Arial" w:hAnsi="Arial" w:cs="Arial"/>
        <w:b/>
      </w:rPr>
      <w:t>CURTAILMENT PROCEDURES</w:t>
    </w:r>
  </w:p>
  <w:p w:rsidR="003D5514" w:rsidRPr="003D5514" w:rsidRDefault="003D5514" w:rsidP="00F9456E">
    <w:pPr>
      <w:pStyle w:val="Header"/>
      <w:jc w:val="center"/>
      <w:rPr>
        <w:rFonts w:ascii="Arial" w:hAnsi="Arial" w:cs="Arial"/>
        <w:b/>
        <w:sz w:val="10"/>
        <w:szCs w:val="10"/>
      </w:rPr>
    </w:pPr>
  </w:p>
  <w:p w:rsidR="0024147C" w:rsidRDefault="0024147C" w:rsidP="00F9456E">
    <w:pPr>
      <w:pStyle w:val="Header"/>
      <w:jc w:val="center"/>
      <w:rPr>
        <w:rFonts w:ascii="Arial" w:hAnsi="Arial" w:cs="Arial"/>
        <w:b/>
      </w:rPr>
    </w:pPr>
    <w:r>
      <w:rPr>
        <w:rFonts w:ascii="Arial" w:hAnsi="Arial" w:cs="Arial"/>
        <w:b/>
      </w:rPr>
      <w:t>(A.1</w:t>
    </w:r>
    <w:r w:rsidR="006E3403">
      <w:rPr>
        <w:rFonts w:ascii="Arial" w:hAnsi="Arial" w:cs="Arial"/>
        <w:b/>
      </w:rPr>
      <w:t>5</w:t>
    </w:r>
    <w:r>
      <w:rPr>
        <w:rFonts w:ascii="Arial" w:hAnsi="Arial" w:cs="Arial"/>
        <w:b/>
      </w:rPr>
      <w:t>-0</w:t>
    </w:r>
    <w:r w:rsidR="008A5B5F">
      <w:rPr>
        <w:rFonts w:ascii="Arial" w:hAnsi="Arial" w:cs="Arial"/>
        <w:b/>
      </w:rPr>
      <w:t>6</w:t>
    </w:r>
    <w:r>
      <w:rPr>
        <w:rFonts w:ascii="Arial" w:hAnsi="Arial" w:cs="Arial"/>
        <w:b/>
      </w:rPr>
      <w:t>-</w:t>
    </w:r>
    <w:r w:rsidR="003A3232">
      <w:rPr>
        <w:rFonts w:ascii="Arial" w:hAnsi="Arial" w:cs="Arial"/>
        <w:b/>
      </w:rPr>
      <w:t>020</w:t>
    </w:r>
    <w:r>
      <w:rPr>
        <w:rFonts w:ascii="Arial" w:hAnsi="Arial" w:cs="Arial"/>
        <w:b/>
      </w:rPr>
      <w:t>)</w:t>
    </w:r>
  </w:p>
  <w:p w:rsidR="00967F6A" w:rsidRPr="00C178B5" w:rsidRDefault="00967F6A" w:rsidP="00F9456E">
    <w:pPr>
      <w:pStyle w:val="Header"/>
      <w:jc w:val="center"/>
      <w:rPr>
        <w:rFonts w:ascii="Arial" w:hAnsi="Arial" w:cs="Arial"/>
        <w:b/>
        <w:sz w:val="8"/>
        <w:szCs w:val="8"/>
      </w:rPr>
    </w:pPr>
  </w:p>
  <w:p w:rsidR="00967F6A" w:rsidRPr="00507F24" w:rsidRDefault="00AF3427" w:rsidP="00F9456E">
    <w:pPr>
      <w:pStyle w:val="Header"/>
      <w:jc w:val="center"/>
      <w:rPr>
        <w:rFonts w:ascii="Arial" w:hAnsi="Arial" w:cs="Arial"/>
        <w:b/>
      </w:rPr>
    </w:pPr>
    <w:r>
      <w:rPr>
        <w:rFonts w:ascii="Arial" w:hAnsi="Arial" w:cs="Arial"/>
        <w:b/>
      </w:rPr>
      <w:t>(</w:t>
    </w:r>
    <w:r w:rsidR="00855411">
      <w:rPr>
        <w:rFonts w:ascii="Arial" w:hAnsi="Arial" w:cs="Arial"/>
        <w:b/>
      </w:rPr>
      <w:t>2</w:t>
    </w:r>
    <w:r w:rsidR="00855411" w:rsidRPr="00855411">
      <w:rPr>
        <w:rFonts w:ascii="Arial" w:hAnsi="Arial" w:cs="Arial"/>
        <w:b/>
        <w:vertAlign w:val="superscript"/>
      </w:rPr>
      <w:t>ND</w:t>
    </w:r>
    <w:r w:rsidR="00855411">
      <w:rPr>
        <w:rFonts w:ascii="Arial" w:hAnsi="Arial" w:cs="Arial"/>
        <w:b/>
      </w:rPr>
      <w:t xml:space="preserve"> DATA REQU</w:t>
    </w:r>
    <w:r w:rsidR="00DF6C1E">
      <w:rPr>
        <w:rFonts w:ascii="Arial" w:hAnsi="Arial" w:cs="Arial"/>
        <w:b/>
      </w:rPr>
      <w:t>EST FROM SOUTHERN CALIFORNIA GENERATION</w:t>
    </w:r>
    <w:r w:rsidR="00855411">
      <w:rPr>
        <w:rFonts w:ascii="Arial" w:hAnsi="Arial" w:cs="Arial"/>
        <w:b/>
      </w:rPr>
      <w:t xml:space="preserve"> COALITION</w:t>
    </w:r>
    <w:r>
      <w:rPr>
        <w:rFonts w:ascii="Arial" w:hAnsi="Arial" w:cs="Arial"/>
        <w:b/>
      </w:rPr>
      <w:t>)</w:t>
    </w:r>
  </w:p>
  <w:p w:rsidR="00F9456E" w:rsidRDefault="00F9456E" w:rsidP="00F9456E">
    <w:pPr>
      <w:pStyle w:val="Header"/>
      <w:jc w:val="center"/>
      <w:rPr>
        <w:rFonts w:ascii="Arial" w:hAnsi="Arial" w:cs="Arial"/>
        <w:b/>
      </w:rPr>
    </w:pPr>
    <w:r>
      <w:rPr>
        <w:rFonts w:ascii="Arial" w:hAnsi="Arial" w:cs="Arial"/>
        <w:b/>
      </w:rPr>
      <w:t>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26D76A0"/>
    <w:multiLevelType w:val="multilevel"/>
    <w:tmpl w:val="FA9AB192"/>
    <w:lvl w:ilvl="0">
      <w:start w:val="1"/>
      <w:numFmt w:val="decimal"/>
      <w:lvlText w:val="2.%1."/>
      <w:lvlJc w:val="left"/>
      <w:pPr>
        <w:tabs>
          <w:tab w:val="num" w:pos="504"/>
        </w:tabs>
        <w:ind w:left="504" w:hanging="504"/>
      </w:pPr>
      <w:rPr>
        <w:rFonts w:hint="default"/>
      </w:rPr>
    </w:lvl>
    <w:lvl w:ilvl="1">
      <w:start w:val="1"/>
      <w:numFmt w:val="decimal"/>
      <w:lvlText w:val="2.%1.%2."/>
      <w:lvlJc w:val="left"/>
      <w:pPr>
        <w:tabs>
          <w:tab w:val="num" w:pos="1080"/>
        </w:tabs>
        <w:ind w:left="1080" w:hanging="720"/>
      </w:pPr>
      <w:rPr>
        <w:rFonts w:hint="default"/>
      </w:rPr>
    </w:lvl>
    <w:lvl w:ilvl="2">
      <w:start w:val="1"/>
      <w:numFmt w:val="decimal"/>
      <w:lvlText w:val="2.%1.%2.%3."/>
      <w:lvlJc w:val="left"/>
      <w:pPr>
        <w:tabs>
          <w:tab w:val="num" w:pos="1440"/>
        </w:tabs>
        <w:ind w:left="1224" w:hanging="504"/>
      </w:pPr>
      <w:rPr>
        <w:rFonts w:hint="default"/>
      </w:rPr>
    </w:lvl>
    <w:lvl w:ilvl="3">
      <w:start w:val="1"/>
      <w:numFmt w:val="decimal"/>
      <w:lvlText w:val="2.%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8E77107"/>
    <w:multiLevelType w:val="hybridMultilevel"/>
    <w:tmpl w:val="F5EAA66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nsid w:val="33126A01"/>
    <w:multiLevelType w:val="hybridMultilevel"/>
    <w:tmpl w:val="D5F49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3">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47C6200"/>
    <w:multiLevelType w:val="hybridMultilevel"/>
    <w:tmpl w:val="E08C0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3"/>
  </w:num>
  <w:num w:numId="3">
    <w:abstractNumId w:val="6"/>
  </w:num>
  <w:num w:numId="4">
    <w:abstractNumId w:val="21"/>
  </w:num>
  <w:num w:numId="5">
    <w:abstractNumId w:val="15"/>
  </w:num>
  <w:num w:numId="6">
    <w:abstractNumId w:val="20"/>
  </w:num>
  <w:num w:numId="7">
    <w:abstractNumId w:val="13"/>
  </w:num>
  <w:num w:numId="8">
    <w:abstractNumId w:val="22"/>
  </w:num>
  <w:num w:numId="9">
    <w:abstractNumId w:val="19"/>
  </w:num>
  <w:num w:numId="10">
    <w:abstractNumId w:val="7"/>
  </w:num>
  <w:num w:numId="11">
    <w:abstractNumId w:val="5"/>
  </w:num>
  <w:num w:numId="12">
    <w:abstractNumId w:val="3"/>
  </w:num>
  <w:num w:numId="13">
    <w:abstractNumId w:val="2"/>
  </w:num>
  <w:num w:numId="14">
    <w:abstractNumId w:val="17"/>
  </w:num>
  <w:num w:numId="15">
    <w:abstractNumId w:val="18"/>
  </w:num>
  <w:num w:numId="16">
    <w:abstractNumId w:val="14"/>
  </w:num>
  <w:num w:numId="17">
    <w:abstractNumId w:val="1"/>
  </w:num>
  <w:num w:numId="18">
    <w:abstractNumId w:val="10"/>
  </w:num>
  <w:num w:numId="19">
    <w:abstractNumId w:val="4"/>
  </w:num>
  <w:num w:numId="20">
    <w:abstractNumId w:val="12"/>
  </w:num>
  <w:num w:numId="21">
    <w:abstractNumId w:val="8"/>
  </w:num>
  <w:num w:numId="22">
    <w:abstractNumId w:val="11"/>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17952"/>
    <w:rsid w:val="00026804"/>
    <w:rsid w:val="000445AE"/>
    <w:rsid w:val="000446FA"/>
    <w:rsid w:val="00050DEA"/>
    <w:rsid w:val="00054200"/>
    <w:rsid w:val="00062FD1"/>
    <w:rsid w:val="0006615B"/>
    <w:rsid w:val="00085C07"/>
    <w:rsid w:val="000973D6"/>
    <w:rsid w:val="00097A8B"/>
    <w:rsid w:val="000C0E9E"/>
    <w:rsid w:val="000D5EF6"/>
    <w:rsid w:val="000E2012"/>
    <w:rsid w:val="000E32F6"/>
    <w:rsid w:val="000E5737"/>
    <w:rsid w:val="000F0C29"/>
    <w:rsid w:val="001000F7"/>
    <w:rsid w:val="00130F5D"/>
    <w:rsid w:val="00171E47"/>
    <w:rsid w:val="00171F7F"/>
    <w:rsid w:val="00174CE3"/>
    <w:rsid w:val="001754B0"/>
    <w:rsid w:val="00180444"/>
    <w:rsid w:val="001B2C3E"/>
    <w:rsid w:val="001D4131"/>
    <w:rsid w:val="001E4A11"/>
    <w:rsid w:val="001F0AB0"/>
    <w:rsid w:val="001F22D6"/>
    <w:rsid w:val="001F2F28"/>
    <w:rsid w:val="002021F9"/>
    <w:rsid w:val="0020720F"/>
    <w:rsid w:val="00214711"/>
    <w:rsid w:val="00215B6F"/>
    <w:rsid w:val="00217318"/>
    <w:rsid w:val="00234538"/>
    <w:rsid w:val="0024147C"/>
    <w:rsid w:val="002447CF"/>
    <w:rsid w:val="0025292E"/>
    <w:rsid w:val="00267FAD"/>
    <w:rsid w:val="002749B8"/>
    <w:rsid w:val="00284515"/>
    <w:rsid w:val="002C432D"/>
    <w:rsid w:val="002D7E7D"/>
    <w:rsid w:val="002E095B"/>
    <w:rsid w:val="002F607C"/>
    <w:rsid w:val="0030540E"/>
    <w:rsid w:val="0031070C"/>
    <w:rsid w:val="0031141C"/>
    <w:rsid w:val="00317537"/>
    <w:rsid w:val="00335AB8"/>
    <w:rsid w:val="003405A5"/>
    <w:rsid w:val="00347ECE"/>
    <w:rsid w:val="0036615C"/>
    <w:rsid w:val="00367398"/>
    <w:rsid w:val="003A061C"/>
    <w:rsid w:val="003A0A7E"/>
    <w:rsid w:val="003A3232"/>
    <w:rsid w:val="003B21B3"/>
    <w:rsid w:val="003C64AC"/>
    <w:rsid w:val="003D5514"/>
    <w:rsid w:val="003F17DE"/>
    <w:rsid w:val="00405FCB"/>
    <w:rsid w:val="00440D93"/>
    <w:rsid w:val="00442D6C"/>
    <w:rsid w:val="00443AB5"/>
    <w:rsid w:val="00444AB2"/>
    <w:rsid w:val="004628EB"/>
    <w:rsid w:val="004710C7"/>
    <w:rsid w:val="004779E9"/>
    <w:rsid w:val="004A11B8"/>
    <w:rsid w:val="004B00F4"/>
    <w:rsid w:val="004B1982"/>
    <w:rsid w:val="004D0CD7"/>
    <w:rsid w:val="004D1DD7"/>
    <w:rsid w:val="004E361C"/>
    <w:rsid w:val="00507F24"/>
    <w:rsid w:val="00514BC3"/>
    <w:rsid w:val="00515A78"/>
    <w:rsid w:val="005476B2"/>
    <w:rsid w:val="005757EF"/>
    <w:rsid w:val="00581DF1"/>
    <w:rsid w:val="00582C14"/>
    <w:rsid w:val="00585F4C"/>
    <w:rsid w:val="00586657"/>
    <w:rsid w:val="005945FF"/>
    <w:rsid w:val="00596EB7"/>
    <w:rsid w:val="005A4B82"/>
    <w:rsid w:val="005A54EE"/>
    <w:rsid w:val="005A79B7"/>
    <w:rsid w:val="005C452D"/>
    <w:rsid w:val="005C5391"/>
    <w:rsid w:val="005C6E7A"/>
    <w:rsid w:val="005D47FB"/>
    <w:rsid w:val="005E610E"/>
    <w:rsid w:val="005F1AAE"/>
    <w:rsid w:val="005F4287"/>
    <w:rsid w:val="006004DE"/>
    <w:rsid w:val="006013DC"/>
    <w:rsid w:val="00617664"/>
    <w:rsid w:val="006177F4"/>
    <w:rsid w:val="0063481C"/>
    <w:rsid w:val="00636BCF"/>
    <w:rsid w:val="0064053C"/>
    <w:rsid w:val="0065774B"/>
    <w:rsid w:val="00657A12"/>
    <w:rsid w:val="00657ADE"/>
    <w:rsid w:val="0066391C"/>
    <w:rsid w:val="006651FD"/>
    <w:rsid w:val="0067672C"/>
    <w:rsid w:val="0067709F"/>
    <w:rsid w:val="006847C9"/>
    <w:rsid w:val="00685B80"/>
    <w:rsid w:val="00686DC5"/>
    <w:rsid w:val="00687D80"/>
    <w:rsid w:val="00693014"/>
    <w:rsid w:val="006B0927"/>
    <w:rsid w:val="006B49A6"/>
    <w:rsid w:val="006B5580"/>
    <w:rsid w:val="006D1861"/>
    <w:rsid w:val="006E3403"/>
    <w:rsid w:val="006E6031"/>
    <w:rsid w:val="006E6D13"/>
    <w:rsid w:val="007022E5"/>
    <w:rsid w:val="00717106"/>
    <w:rsid w:val="007236CB"/>
    <w:rsid w:val="00724B83"/>
    <w:rsid w:val="00726B5A"/>
    <w:rsid w:val="00751C4C"/>
    <w:rsid w:val="007565C7"/>
    <w:rsid w:val="007603F9"/>
    <w:rsid w:val="00764EE6"/>
    <w:rsid w:val="007758C7"/>
    <w:rsid w:val="00791653"/>
    <w:rsid w:val="00792FC7"/>
    <w:rsid w:val="00793A1B"/>
    <w:rsid w:val="00794553"/>
    <w:rsid w:val="00797B94"/>
    <w:rsid w:val="007A6D5D"/>
    <w:rsid w:val="007B59E1"/>
    <w:rsid w:val="007E1BBA"/>
    <w:rsid w:val="0080163C"/>
    <w:rsid w:val="0081001C"/>
    <w:rsid w:val="00843EFE"/>
    <w:rsid w:val="00846D35"/>
    <w:rsid w:val="00854D38"/>
    <w:rsid w:val="00855411"/>
    <w:rsid w:val="008A0C1E"/>
    <w:rsid w:val="008A3929"/>
    <w:rsid w:val="008A5B5F"/>
    <w:rsid w:val="008B0407"/>
    <w:rsid w:val="008B29B7"/>
    <w:rsid w:val="008B45FF"/>
    <w:rsid w:val="008C089A"/>
    <w:rsid w:val="008C43F7"/>
    <w:rsid w:val="008C558B"/>
    <w:rsid w:val="008F2A13"/>
    <w:rsid w:val="009014E2"/>
    <w:rsid w:val="00906F9C"/>
    <w:rsid w:val="00924832"/>
    <w:rsid w:val="00927C7F"/>
    <w:rsid w:val="00930396"/>
    <w:rsid w:val="009308B2"/>
    <w:rsid w:val="009353A5"/>
    <w:rsid w:val="00962C18"/>
    <w:rsid w:val="00963276"/>
    <w:rsid w:val="00967F6A"/>
    <w:rsid w:val="009742EE"/>
    <w:rsid w:val="00982961"/>
    <w:rsid w:val="00994689"/>
    <w:rsid w:val="00994DB7"/>
    <w:rsid w:val="00996B85"/>
    <w:rsid w:val="009D42DA"/>
    <w:rsid w:val="009E04A7"/>
    <w:rsid w:val="009E2A12"/>
    <w:rsid w:val="009E6BC2"/>
    <w:rsid w:val="00A14ECF"/>
    <w:rsid w:val="00A17B4A"/>
    <w:rsid w:val="00A208D0"/>
    <w:rsid w:val="00A21C4E"/>
    <w:rsid w:val="00A27962"/>
    <w:rsid w:val="00A37409"/>
    <w:rsid w:val="00A540FF"/>
    <w:rsid w:val="00A558C1"/>
    <w:rsid w:val="00A638B6"/>
    <w:rsid w:val="00A65A2F"/>
    <w:rsid w:val="00A67A4C"/>
    <w:rsid w:val="00A76001"/>
    <w:rsid w:val="00A85689"/>
    <w:rsid w:val="00A86231"/>
    <w:rsid w:val="00A8757F"/>
    <w:rsid w:val="00AA0BE8"/>
    <w:rsid w:val="00AA7D9B"/>
    <w:rsid w:val="00AC0900"/>
    <w:rsid w:val="00AC2563"/>
    <w:rsid w:val="00AC3331"/>
    <w:rsid w:val="00AE603A"/>
    <w:rsid w:val="00AF1AE8"/>
    <w:rsid w:val="00AF1F6D"/>
    <w:rsid w:val="00AF1FFF"/>
    <w:rsid w:val="00AF3427"/>
    <w:rsid w:val="00AF70D5"/>
    <w:rsid w:val="00B1595B"/>
    <w:rsid w:val="00B17779"/>
    <w:rsid w:val="00B177D4"/>
    <w:rsid w:val="00B23DF8"/>
    <w:rsid w:val="00B30845"/>
    <w:rsid w:val="00B30CDB"/>
    <w:rsid w:val="00B32CAC"/>
    <w:rsid w:val="00B41033"/>
    <w:rsid w:val="00B50348"/>
    <w:rsid w:val="00B6054F"/>
    <w:rsid w:val="00B97D41"/>
    <w:rsid w:val="00BB2092"/>
    <w:rsid w:val="00BC556D"/>
    <w:rsid w:val="00BD1AC1"/>
    <w:rsid w:val="00BD3336"/>
    <w:rsid w:val="00BD3B6E"/>
    <w:rsid w:val="00BE54FA"/>
    <w:rsid w:val="00C00BF1"/>
    <w:rsid w:val="00C141A5"/>
    <w:rsid w:val="00C32A6F"/>
    <w:rsid w:val="00C4302A"/>
    <w:rsid w:val="00C44CE1"/>
    <w:rsid w:val="00C458B9"/>
    <w:rsid w:val="00C478AC"/>
    <w:rsid w:val="00C50AFA"/>
    <w:rsid w:val="00C6106E"/>
    <w:rsid w:val="00C62CAA"/>
    <w:rsid w:val="00C70153"/>
    <w:rsid w:val="00C712BD"/>
    <w:rsid w:val="00C84E25"/>
    <w:rsid w:val="00CB1F14"/>
    <w:rsid w:val="00CB3FD9"/>
    <w:rsid w:val="00CC2130"/>
    <w:rsid w:val="00CD2A4C"/>
    <w:rsid w:val="00CD3A2B"/>
    <w:rsid w:val="00CD7A74"/>
    <w:rsid w:val="00D009E9"/>
    <w:rsid w:val="00D00E73"/>
    <w:rsid w:val="00D14DA0"/>
    <w:rsid w:val="00D16D4E"/>
    <w:rsid w:val="00D27711"/>
    <w:rsid w:val="00D42A9F"/>
    <w:rsid w:val="00D51BAE"/>
    <w:rsid w:val="00D66C29"/>
    <w:rsid w:val="00D72BB2"/>
    <w:rsid w:val="00D73CD6"/>
    <w:rsid w:val="00DB3DF1"/>
    <w:rsid w:val="00DC0CE2"/>
    <w:rsid w:val="00DC7634"/>
    <w:rsid w:val="00DF6C1E"/>
    <w:rsid w:val="00E00708"/>
    <w:rsid w:val="00E164C3"/>
    <w:rsid w:val="00E20C6D"/>
    <w:rsid w:val="00E20F09"/>
    <w:rsid w:val="00E25E1B"/>
    <w:rsid w:val="00E31DFC"/>
    <w:rsid w:val="00E35DA7"/>
    <w:rsid w:val="00E42C0C"/>
    <w:rsid w:val="00E44F2B"/>
    <w:rsid w:val="00E5368D"/>
    <w:rsid w:val="00E54E2E"/>
    <w:rsid w:val="00E60979"/>
    <w:rsid w:val="00E77426"/>
    <w:rsid w:val="00E801D4"/>
    <w:rsid w:val="00E802E5"/>
    <w:rsid w:val="00E81A78"/>
    <w:rsid w:val="00E82FDE"/>
    <w:rsid w:val="00E86619"/>
    <w:rsid w:val="00E90E3C"/>
    <w:rsid w:val="00EA0F7A"/>
    <w:rsid w:val="00EA480B"/>
    <w:rsid w:val="00EC3224"/>
    <w:rsid w:val="00EC4C69"/>
    <w:rsid w:val="00EC666E"/>
    <w:rsid w:val="00ED0B44"/>
    <w:rsid w:val="00ED0D66"/>
    <w:rsid w:val="00ED571B"/>
    <w:rsid w:val="00EE53D1"/>
    <w:rsid w:val="00EF0C48"/>
    <w:rsid w:val="00EF55D4"/>
    <w:rsid w:val="00EF7676"/>
    <w:rsid w:val="00F01063"/>
    <w:rsid w:val="00F033B8"/>
    <w:rsid w:val="00F24C14"/>
    <w:rsid w:val="00F307F0"/>
    <w:rsid w:val="00F3113C"/>
    <w:rsid w:val="00F41B3D"/>
    <w:rsid w:val="00F438E8"/>
    <w:rsid w:val="00F47E8C"/>
    <w:rsid w:val="00F61F99"/>
    <w:rsid w:val="00F66FE5"/>
    <w:rsid w:val="00F67377"/>
    <w:rsid w:val="00F759E8"/>
    <w:rsid w:val="00F8608C"/>
    <w:rsid w:val="00F86603"/>
    <w:rsid w:val="00F918F2"/>
    <w:rsid w:val="00F9456E"/>
    <w:rsid w:val="00FB1C4C"/>
    <w:rsid w:val="00FB2385"/>
    <w:rsid w:val="00FC3861"/>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table" w:styleId="TableGrid">
    <w:name w:val="Table Grid"/>
    <w:basedOn w:val="TableNormal"/>
    <w:uiPriority w:val="59"/>
    <w:rsid w:val="003F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table" w:styleId="TableGrid">
    <w:name w:val="Table Grid"/>
    <w:basedOn w:val="TableNormal"/>
    <w:uiPriority w:val="59"/>
    <w:rsid w:val="003F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41340">
      <w:bodyDiv w:val="1"/>
      <w:marLeft w:val="0"/>
      <w:marRight w:val="0"/>
      <w:marTop w:val="0"/>
      <w:marBottom w:val="0"/>
      <w:divBdr>
        <w:top w:val="none" w:sz="0" w:space="0" w:color="auto"/>
        <w:left w:val="none" w:sz="0" w:space="0" w:color="auto"/>
        <w:bottom w:val="none" w:sz="0" w:space="0" w:color="auto"/>
        <w:right w:val="none" w:sz="0" w:space="0" w:color="auto"/>
      </w:divBdr>
    </w:div>
    <w:div w:id="408769253">
      <w:bodyDiv w:val="1"/>
      <w:marLeft w:val="0"/>
      <w:marRight w:val="0"/>
      <w:marTop w:val="0"/>
      <w:marBottom w:val="0"/>
      <w:divBdr>
        <w:top w:val="none" w:sz="0" w:space="0" w:color="auto"/>
        <w:left w:val="none" w:sz="0" w:space="0" w:color="auto"/>
        <w:bottom w:val="none" w:sz="0" w:space="0" w:color="auto"/>
        <w:right w:val="none" w:sz="0" w:space="0" w:color="auto"/>
      </w:divBdr>
    </w:div>
    <w:div w:id="698898164">
      <w:bodyDiv w:val="1"/>
      <w:marLeft w:val="0"/>
      <w:marRight w:val="0"/>
      <w:marTop w:val="0"/>
      <w:marBottom w:val="0"/>
      <w:divBdr>
        <w:top w:val="none" w:sz="0" w:space="0" w:color="auto"/>
        <w:left w:val="none" w:sz="0" w:space="0" w:color="auto"/>
        <w:bottom w:val="none" w:sz="0" w:space="0" w:color="auto"/>
        <w:right w:val="none" w:sz="0" w:space="0" w:color="auto"/>
      </w:divBdr>
    </w:div>
    <w:div w:id="148951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62FA1-D11D-4F82-9950-D243C769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534</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5</cp:revision>
  <cp:lastPrinted>2005-06-11T17:39:00Z</cp:lastPrinted>
  <dcterms:created xsi:type="dcterms:W3CDTF">2015-12-02T18:47:00Z</dcterms:created>
  <dcterms:modified xsi:type="dcterms:W3CDTF">2015-12-04T23:20:00Z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