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C7" w:rsidRDefault="00F829C7" w:rsidP="00F829C7">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Tagnipes, Jeorge S. [</w:t>
      </w:r>
      <w:hyperlink r:id="rId5" w:history="1">
        <w:r>
          <w:rPr>
            <w:rStyle w:val="Hyperlink"/>
            <w:rFonts w:ascii="Tahoma" w:hAnsi="Tahoma" w:cs="Tahoma"/>
            <w:sz w:val="20"/>
            <w:szCs w:val="20"/>
          </w:rPr>
          <w:t>mailto:jeorge.tagnipes@cpuc.ca.gov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April 07, 2016 3:45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Best, Carmen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Skala</w:t>
      </w:r>
      <w:proofErr w:type="spellEnd"/>
      <w:r>
        <w:rPr>
          <w:rFonts w:ascii="Tahoma" w:hAnsi="Tahoma" w:cs="Tahoma"/>
          <w:sz w:val="20"/>
          <w:szCs w:val="20"/>
        </w:rPr>
        <w:t>, Pete</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R.09-01-019 (RRIM Rehearing) Energy Division Response #04</w:t>
      </w:r>
    </w:p>
    <w:p w:rsidR="00F829C7" w:rsidRDefault="00F829C7" w:rsidP="00F829C7"/>
    <w:p w:rsidR="00F829C7" w:rsidRDefault="00F829C7" w:rsidP="00F829C7">
      <w:pPr>
        <w:rPr>
          <w:rFonts w:ascii="Palatino Linotype" w:hAnsi="Palatino Linotype"/>
        </w:rPr>
      </w:pPr>
      <w:r>
        <w:rPr>
          <w:rFonts w:ascii="Palatino Linotype" w:hAnsi="Palatino Linotype"/>
        </w:rPr>
        <w:t>Service List in R.09-01-019</w:t>
      </w:r>
    </w:p>
    <w:p w:rsidR="00F829C7" w:rsidRDefault="00F829C7" w:rsidP="00F829C7">
      <w:pPr>
        <w:pStyle w:val="Heading1"/>
        <w:spacing w:after="0"/>
        <w:rPr>
          <w:rFonts w:eastAsia="Times New Roman"/>
        </w:rPr>
      </w:pPr>
      <w:r>
        <w:rPr>
          <w:rFonts w:eastAsia="Times New Roman"/>
        </w:rPr>
        <w:t>Risk Reward Incentive Mechanism Rehearing – R.09-01-019</w:t>
      </w:r>
    </w:p>
    <w:p w:rsidR="00F829C7" w:rsidRDefault="00F829C7" w:rsidP="00F829C7">
      <w:pPr>
        <w:rPr>
          <w:rFonts w:ascii="Palatino Linotype" w:hAnsi="Palatino Linotype"/>
          <w:sz w:val="24"/>
          <w:szCs w:val="24"/>
        </w:rPr>
      </w:pPr>
      <w:r>
        <w:rPr>
          <w:rFonts w:ascii="Palatino Linotype" w:hAnsi="Palatino Linotype"/>
          <w:sz w:val="24"/>
          <w:szCs w:val="24"/>
        </w:rPr>
        <w:t>Energy Division Data Response 04</w:t>
      </w:r>
    </w:p>
    <w:p w:rsidR="00F829C7" w:rsidRDefault="00F829C7" w:rsidP="00F829C7">
      <w:pPr>
        <w:rPr>
          <w:rFonts w:ascii="Palatino Linotype" w:hAnsi="Palatino Linotype"/>
          <w:sz w:val="24"/>
          <w:szCs w:val="24"/>
        </w:rPr>
      </w:pPr>
      <w:r>
        <w:rPr>
          <w:rFonts w:ascii="Palatino Linotype" w:hAnsi="Palatino Linotype"/>
          <w:sz w:val="24"/>
          <w:szCs w:val="24"/>
        </w:rPr>
        <w:t>Updated:  4/7/2016</w:t>
      </w:r>
    </w:p>
    <w:p w:rsidR="00F829C7" w:rsidRDefault="00F829C7" w:rsidP="00F829C7">
      <w:pPr>
        <w:rPr>
          <w:rFonts w:ascii="Palatino Linotype" w:hAnsi="Palatino Linotype"/>
          <w:sz w:val="24"/>
          <w:szCs w:val="24"/>
        </w:rPr>
      </w:pPr>
      <w:r>
        <w:rPr>
          <w:rFonts w:ascii="Palatino Linotype" w:hAnsi="Palatino Linotype"/>
          <w:sz w:val="24"/>
          <w:szCs w:val="24"/>
        </w:rPr>
        <w:t xml:space="preserve">Intro:  PG&amp;E, SCE, SDG&amp;E/SCG, and ORA submitted data requests to the Energy Division for the 2006-2008 Risk Reward Incentive Mechanism Rehearing.  In an effort to ensure all parties have equal access to both the requested information and the responses, Energy Division requests the parties post these responses on their respective web sites and distribute the link to all parties in R. 09-01-019.  </w:t>
      </w:r>
    </w:p>
    <w:p w:rsidR="00624EA9" w:rsidRDefault="00624EA9" w:rsidP="00F829C7">
      <w:pPr>
        <w:rPr>
          <w:rFonts w:ascii="Palatino Linotype" w:hAnsi="Palatino Linotype"/>
          <w:sz w:val="24"/>
          <w:szCs w:val="24"/>
        </w:rPr>
      </w:pPr>
      <w:bookmarkStart w:id="0" w:name="_GoBack"/>
      <w:bookmarkEnd w:id="0"/>
    </w:p>
    <w:p w:rsidR="00624EA9" w:rsidRDefault="00624EA9" w:rsidP="00F829C7">
      <w:pPr>
        <w:rPr>
          <w:rFonts w:ascii="Palatino Linotype" w:hAnsi="Palatino Linotype"/>
          <w:sz w:val="24"/>
          <w:szCs w:val="24"/>
        </w:rPr>
      </w:pPr>
    </w:p>
    <w:tbl>
      <w:tblPr>
        <w:tblW w:w="0" w:type="auto"/>
        <w:tblCellMar>
          <w:left w:w="0" w:type="dxa"/>
          <w:right w:w="0" w:type="dxa"/>
        </w:tblCellMar>
        <w:tblLook w:val="04A0" w:firstRow="1" w:lastRow="0" w:firstColumn="1" w:lastColumn="0" w:noHBand="0" w:noVBand="1"/>
      </w:tblPr>
      <w:tblGrid>
        <w:gridCol w:w="336"/>
        <w:gridCol w:w="1465"/>
        <w:gridCol w:w="4350"/>
        <w:gridCol w:w="7745"/>
      </w:tblGrid>
      <w:tr w:rsidR="00F829C7" w:rsidTr="00F829C7">
        <w:trPr>
          <w:trHeight w:val="594"/>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Requesting Party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Question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Response</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Question 1: Did the Commission and/or the Energy Division submit the 2006-2008 Energy Efficiency Evaluation Report to the California Energy Commission (CEC) for use in the Integrated Energy Policy Report (IEPR)?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Yes</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lastRenderedPageBreak/>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If the answer to question 1 is yes, please provide any additional available information about the submission of the 2006-2008 Energy Efficiency Evaluation Report to the CEC, and the CEC’s use of the 2006-2008 Energy Efficiency Evaluation Report for the IEPR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 xml:space="preserve">The 2011 IEPR report states that “staff leveraged the CPUC’s most recent efforts to measure utility program savings.  The CPUC Energy Division’s evaluation-based estimates of program savings from 2006-2008 program cycle, as well as additional evaluation for 2009 programs, represent the most thorough and comprehensive effort to date”.  See page 110 of the </w:t>
            </w:r>
            <w:hyperlink r:id="rId6" w:history="1">
              <w:r>
                <w:rPr>
                  <w:rStyle w:val="Hyperlink"/>
                  <w:rFonts w:ascii="Palatino Linotype" w:hAnsi="Palatino Linotype"/>
                  <w:sz w:val="24"/>
                  <w:szCs w:val="24"/>
                </w:rPr>
                <w:t>report</w:t>
              </w:r>
            </w:hyperlink>
            <w:r>
              <w:rPr>
                <w:rFonts w:ascii="Palatino Linotype" w:hAnsi="Palatino Linotype"/>
                <w:sz w:val="24"/>
                <w:szCs w:val="24"/>
              </w:rPr>
              <w:t>.</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 xml:space="preserve">Question 3: Did the Commission and/or the Energy Division use or consider the 2006-2008 Energy Efficiency Evaluation Report for purposes other than the risk/reward incentive mechanism (RRIM) adopted in D.07-09-043, such as updating energy efficiency potential studies, including, but not limited to, the 2011 potential study under contract with Navigant Consulting?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 xml:space="preserve">Yes, the 2011 Potential model is calibrated to ex-post gross and net savings from the 2006-2008 EE Evaluation Report.  See page 20 of </w:t>
            </w:r>
            <w:hyperlink r:id="rId7" w:history="1">
              <w:r>
                <w:rPr>
                  <w:rStyle w:val="Hyperlink"/>
                  <w:rFonts w:ascii="Palatino Linotype" w:hAnsi="Palatino Linotype"/>
                  <w:sz w:val="24"/>
                  <w:szCs w:val="24"/>
                </w:rPr>
                <w:t>report</w:t>
              </w:r>
            </w:hyperlink>
            <w:r>
              <w:rPr>
                <w:rFonts w:ascii="Palatino Linotype" w:hAnsi="Palatino Linotype"/>
                <w:sz w:val="24"/>
                <w:szCs w:val="24"/>
              </w:rPr>
              <w:t>.</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 xml:space="preserve">If the answer to question 3 is yes, please list every purpose other than </w:t>
            </w:r>
            <w:r>
              <w:rPr>
                <w:rFonts w:ascii="Palatino Linotype" w:hAnsi="Palatino Linotype"/>
                <w:sz w:val="24"/>
                <w:szCs w:val="24"/>
              </w:rPr>
              <w:lastRenderedPageBreak/>
              <w:t>the RRIM for which the Commission and/or the Energy Division used the 2006-2008 Energy Efficiency Evaluation Report.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lastRenderedPageBreak/>
              <w:t xml:space="preserve">Energy Division also informed the Joint Agency Steering Committee (JASC) and the Demand Analysis Working Group (DAWG) of the </w:t>
            </w:r>
            <w:r>
              <w:rPr>
                <w:rFonts w:ascii="Palatino Linotype" w:hAnsi="Palatino Linotype"/>
                <w:sz w:val="24"/>
                <w:szCs w:val="24"/>
              </w:rPr>
              <w:lastRenderedPageBreak/>
              <w:t>2006-2008 Energy Efficiency Evaluation Report.</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lastRenderedPageBreak/>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Question 5: Did the Commission and/or the Energy Division submit the 2006-2008 Energy Efficiency Evaluation Report to the California Independent System Operator (CAISO) for use in the Transmission Planning Process (TPP)?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The CAISO started incorporating EE forecasts into their planning process for this most recent cycle, so the 2006-2008 results would not have been relevant.</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If the answer to question 5 is yes, please provide any additional available information about the submission of the 2006-2008 Energy Efficiency Evaluation Report to the CAISO and the CAISO’s use of the 2006-2008 Energy Efficiency Evaluation Report for the TPP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829C7" w:rsidRDefault="00F829C7">
            <w:pPr>
              <w:spacing w:after="200" w:line="276" w:lineRule="auto"/>
              <w:rPr>
                <w:rFonts w:ascii="Palatino Linotype" w:hAnsi="Palatino Linotype"/>
                <w:sz w:val="24"/>
                <w:szCs w:val="24"/>
              </w:rPr>
            </w:pP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SDGE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 xml:space="preserve">By email requesting the password for </w:t>
            </w:r>
            <w:r>
              <w:rPr>
                <w:rFonts w:ascii="Palatino Linotype" w:hAnsi="Palatino Linotype"/>
                <w:sz w:val="24"/>
                <w:szCs w:val="24"/>
              </w:rPr>
              <w:lastRenderedPageBreak/>
              <w:t>the Risk Reward Templates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color w:val="1F497D"/>
              </w:rPr>
              <w:lastRenderedPageBreak/>
              <w:t>VRTRRIM</w:t>
            </w:r>
          </w:p>
        </w:tc>
      </w:tr>
      <w:tr w:rsidR="00F829C7" w:rsidTr="00F829C7">
        <w:trPr>
          <w:trHeight w:val="6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lastRenderedPageBreak/>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SDGE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29C7" w:rsidRDefault="00F829C7">
            <w:pPr>
              <w:spacing w:after="200" w:line="276" w:lineRule="auto"/>
              <w:rPr>
                <w:rFonts w:ascii="Palatino Linotype" w:hAnsi="Palatino Linotype"/>
                <w:sz w:val="24"/>
                <w:szCs w:val="24"/>
              </w:rPr>
            </w:pPr>
            <w:r>
              <w:rPr>
                <w:rFonts w:ascii="Palatino Linotype" w:hAnsi="Palatino Linotype"/>
                <w:sz w:val="24"/>
                <w:szCs w:val="24"/>
              </w:rPr>
              <w:t>By email requesting guidance on how to import text files into Access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829C7" w:rsidRDefault="00F829C7">
            <w:pPr>
              <w:rPr>
                <w:rFonts w:ascii="Palatino Linotype" w:hAnsi="Palatino Linotype"/>
                <w:color w:val="1F497D"/>
              </w:rPr>
            </w:pPr>
            <w:r>
              <w:rPr>
                <w:rFonts w:ascii="Palatino Linotype" w:hAnsi="Palatino Linotype"/>
                <w:color w:val="1F497D"/>
              </w:rPr>
              <w:t>Open Access and click “External Data” and click “Text File”</w:t>
            </w:r>
          </w:p>
          <w:p w:rsidR="00F829C7" w:rsidRDefault="00F829C7">
            <w:pPr>
              <w:rPr>
                <w:rFonts w:ascii="Palatino Linotype" w:hAnsi="Palatino Linotype"/>
                <w:color w:val="1F497D"/>
              </w:rPr>
            </w:pPr>
            <w:r>
              <w:rPr>
                <w:noProof/>
              </w:rPr>
              <w:drawing>
                <wp:inline distT="0" distB="0" distL="0" distR="0" wp14:anchorId="4607A795" wp14:editId="2EB4D9A5">
                  <wp:extent cx="2844800" cy="1041400"/>
                  <wp:effectExtent l="0" t="0" r="0" b="6350"/>
                  <wp:docPr id="3" name="Picture 3" descr="cid:image001.png@01D190E4.19F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0E4.19F513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44800" cy="1041400"/>
                          </a:xfrm>
                          <a:prstGeom prst="rect">
                            <a:avLst/>
                          </a:prstGeom>
                          <a:noFill/>
                          <a:ln>
                            <a:noFill/>
                          </a:ln>
                        </pic:spPr>
                      </pic:pic>
                    </a:graphicData>
                  </a:graphic>
                </wp:inline>
              </w:drawing>
            </w:r>
          </w:p>
          <w:p w:rsidR="00F829C7" w:rsidRDefault="00F829C7">
            <w:pPr>
              <w:rPr>
                <w:rFonts w:ascii="Palatino Linotype" w:hAnsi="Palatino Linotype"/>
                <w:color w:val="1F497D"/>
              </w:rPr>
            </w:pPr>
            <w:r>
              <w:rPr>
                <w:rFonts w:ascii="Palatino Linotype" w:hAnsi="Palatino Linotype"/>
                <w:color w:val="1F497D"/>
              </w:rPr>
              <w:t>Then when I found the text files, I selected “Delimited” and for the delimiter it looked “pipe-delimited”</w:t>
            </w:r>
            <w:r>
              <w:t xml:space="preserve"> </w:t>
            </w:r>
            <w:r>
              <w:rPr>
                <w:noProof/>
              </w:rPr>
              <w:drawing>
                <wp:inline distT="0" distB="0" distL="0" distR="0" wp14:anchorId="6B0E5299" wp14:editId="1F83B89C">
                  <wp:extent cx="730250" cy="768350"/>
                  <wp:effectExtent l="0" t="0" r="0" b="0"/>
                  <wp:docPr id="2" name="Picture 2" descr="cid:image002.png@01D190E4.19F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90E4.19F513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0250" cy="768350"/>
                          </a:xfrm>
                          <a:prstGeom prst="rect">
                            <a:avLst/>
                          </a:prstGeom>
                          <a:noFill/>
                          <a:ln>
                            <a:noFill/>
                          </a:ln>
                        </pic:spPr>
                      </pic:pic>
                    </a:graphicData>
                  </a:graphic>
                </wp:inline>
              </w:drawing>
            </w:r>
            <w:r>
              <w:rPr>
                <w:rFonts w:ascii="Palatino Linotype" w:hAnsi="Palatino Linotype"/>
                <w:color w:val="1F497D"/>
              </w:rPr>
              <w:t> so I entered that in “other”:</w:t>
            </w:r>
          </w:p>
          <w:p w:rsidR="00F829C7" w:rsidRDefault="00F829C7">
            <w:pPr>
              <w:rPr>
                <w:rFonts w:ascii="Palatino Linotype" w:hAnsi="Palatino Linotype"/>
                <w:color w:val="1F497D"/>
              </w:rPr>
            </w:pPr>
          </w:p>
          <w:p w:rsidR="00F829C7" w:rsidRDefault="00F829C7">
            <w:pPr>
              <w:rPr>
                <w:rFonts w:ascii="Palatino Linotype" w:hAnsi="Palatino Linotype"/>
                <w:color w:val="1F497D"/>
              </w:rPr>
            </w:pPr>
            <w:r>
              <w:rPr>
                <w:noProof/>
              </w:rPr>
              <w:drawing>
                <wp:inline distT="0" distB="0" distL="0" distR="0" wp14:anchorId="1B4E0A45" wp14:editId="1BECCB7D">
                  <wp:extent cx="3276600" cy="2178050"/>
                  <wp:effectExtent l="0" t="0" r="0" b="0"/>
                  <wp:docPr id="1" name="Picture 1" descr="cid:image005.jpg@01D190E4.65790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190E4.65790B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76600" cy="2178050"/>
                          </a:xfrm>
                          <a:prstGeom prst="rect">
                            <a:avLst/>
                          </a:prstGeom>
                          <a:noFill/>
                          <a:ln>
                            <a:noFill/>
                          </a:ln>
                        </pic:spPr>
                      </pic:pic>
                    </a:graphicData>
                  </a:graphic>
                </wp:inline>
              </w:drawing>
            </w:r>
          </w:p>
          <w:p w:rsidR="00F829C7" w:rsidRDefault="00F829C7">
            <w:pPr>
              <w:spacing w:after="200" w:line="276" w:lineRule="auto"/>
              <w:rPr>
                <w:rFonts w:ascii="Palatino Linotype" w:hAnsi="Palatino Linotype"/>
                <w:sz w:val="24"/>
                <w:szCs w:val="24"/>
              </w:rPr>
            </w:pPr>
          </w:p>
        </w:tc>
      </w:tr>
    </w:tbl>
    <w:p w:rsidR="00F829C7" w:rsidRDefault="00F829C7" w:rsidP="00F829C7">
      <w:pPr>
        <w:rPr>
          <w:rFonts w:ascii="Palatino Linotype" w:hAnsi="Palatino Linotype"/>
          <w:sz w:val="24"/>
          <w:szCs w:val="24"/>
        </w:rPr>
      </w:pPr>
    </w:p>
    <w:p w:rsidR="00F829C7" w:rsidRDefault="00F829C7" w:rsidP="00F829C7">
      <w:pPr>
        <w:rPr>
          <w:rFonts w:ascii="Palatino Linotype" w:hAnsi="Palatino Linotype"/>
          <w:sz w:val="20"/>
          <w:szCs w:val="20"/>
        </w:rPr>
      </w:pPr>
      <w:r>
        <w:rPr>
          <w:rFonts w:ascii="Palatino Linotype" w:hAnsi="Palatino Linotype"/>
          <w:sz w:val="20"/>
          <w:szCs w:val="20"/>
        </w:rPr>
        <w:t xml:space="preserve">Jeorge S. Tagnipes </w:t>
      </w:r>
      <w:r>
        <w:rPr>
          <w:rFonts w:ascii="Palatino Linotype" w:hAnsi="Palatino Linotype"/>
          <w:color w:val="FF0000"/>
          <w:sz w:val="20"/>
          <w:szCs w:val="20"/>
        </w:rPr>
        <w:t>|</w:t>
      </w:r>
      <w:r>
        <w:rPr>
          <w:rFonts w:ascii="Palatino Linotype" w:hAnsi="Palatino Linotype"/>
          <w:sz w:val="20"/>
          <w:szCs w:val="20"/>
        </w:rPr>
        <w:t xml:space="preserve"> 415.703.2451 </w:t>
      </w:r>
      <w:r>
        <w:rPr>
          <w:rFonts w:ascii="Palatino Linotype" w:hAnsi="Palatino Linotype"/>
          <w:color w:val="FF0000"/>
          <w:sz w:val="20"/>
          <w:szCs w:val="20"/>
        </w:rPr>
        <w:t>|</w:t>
      </w:r>
      <w:r>
        <w:rPr>
          <w:rFonts w:ascii="Palatino Linotype" w:hAnsi="Palatino Linotype"/>
          <w:sz w:val="20"/>
          <w:szCs w:val="20"/>
        </w:rPr>
        <w:t xml:space="preserve"> </w:t>
      </w:r>
      <w:hyperlink r:id="rId14" w:history="1">
        <w:r>
          <w:rPr>
            <w:rStyle w:val="Hyperlink"/>
            <w:rFonts w:ascii="Palatino Linotype" w:hAnsi="Palatino Linotype"/>
            <w:sz w:val="20"/>
            <w:szCs w:val="20"/>
          </w:rPr>
          <w:t>jeorge.tagnipes@cpuc.ca.gov</w:t>
        </w:r>
      </w:hyperlink>
      <w:r>
        <w:rPr>
          <w:rFonts w:ascii="Palatino Linotype" w:hAnsi="Palatino Linotype"/>
          <w:color w:val="FF0000"/>
          <w:sz w:val="20"/>
          <w:szCs w:val="20"/>
        </w:rPr>
        <w:t>  |</w:t>
      </w:r>
      <w:r>
        <w:rPr>
          <w:rFonts w:ascii="Palatino Linotype" w:hAnsi="Palatino Linotype"/>
          <w:sz w:val="20"/>
          <w:szCs w:val="20"/>
        </w:rPr>
        <w:t xml:space="preserve"> Energy Division </w:t>
      </w:r>
      <w:r>
        <w:rPr>
          <w:rFonts w:ascii="Palatino Linotype" w:hAnsi="Palatino Linotype"/>
          <w:color w:val="FF0000"/>
          <w:sz w:val="20"/>
          <w:szCs w:val="20"/>
        </w:rPr>
        <w:t>|</w:t>
      </w:r>
      <w:r>
        <w:rPr>
          <w:rFonts w:ascii="Palatino Linotype" w:hAnsi="Palatino Linotype"/>
          <w:sz w:val="20"/>
          <w:szCs w:val="20"/>
        </w:rPr>
        <w:t xml:space="preserve"> </w:t>
      </w:r>
      <w:hyperlink r:id="rId15" w:history="1">
        <w:r>
          <w:rPr>
            <w:rStyle w:val="Hyperlink"/>
            <w:rFonts w:ascii="Palatino Linotype" w:hAnsi="Palatino Linotype"/>
            <w:sz w:val="20"/>
            <w:szCs w:val="20"/>
          </w:rPr>
          <w:t>www.cpuc.ca.gov/lap</w:t>
        </w:r>
      </w:hyperlink>
    </w:p>
    <w:p w:rsidR="009B20EB" w:rsidRPr="00F829C7" w:rsidRDefault="00624EA9">
      <w:pPr>
        <w:rPr>
          <w:sz w:val="16"/>
          <w:szCs w:val="16"/>
        </w:rPr>
      </w:pPr>
    </w:p>
    <w:sectPr w:rsidR="009B20EB" w:rsidRPr="00F829C7" w:rsidSect="00F829C7">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C7"/>
    <w:rsid w:val="00175181"/>
    <w:rsid w:val="00624EA9"/>
    <w:rsid w:val="00D858E9"/>
    <w:rsid w:val="00F8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C7"/>
    <w:pPr>
      <w:spacing w:after="0" w:line="240" w:lineRule="auto"/>
    </w:pPr>
    <w:rPr>
      <w:rFonts w:ascii="Calibri" w:hAnsi="Calibri" w:cs="Times New Roman"/>
    </w:rPr>
  </w:style>
  <w:style w:type="paragraph" w:styleId="Heading1">
    <w:name w:val="heading 1"/>
    <w:basedOn w:val="Normal"/>
    <w:link w:val="Heading1Char"/>
    <w:uiPriority w:val="9"/>
    <w:qFormat/>
    <w:rsid w:val="00F829C7"/>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C7"/>
    <w:rPr>
      <w:rFonts w:ascii="Cambria" w:hAnsi="Cambria" w:cs="Times New Roman"/>
      <w:b/>
      <w:bCs/>
      <w:kern w:val="36"/>
      <w:sz w:val="32"/>
      <w:szCs w:val="32"/>
    </w:rPr>
  </w:style>
  <w:style w:type="character" w:styleId="Hyperlink">
    <w:name w:val="Hyperlink"/>
    <w:basedOn w:val="DefaultParagraphFont"/>
    <w:uiPriority w:val="99"/>
    <w:semiHidden/>
    <w:unhideWhenUsed/>
    <w:rsid w:val="00F829C7"/>
    <w:rPr>
      <w:color w:val="0000FF"/>
      <w:u w:val="single"/>
    </w:rPr>
  </w:style>
  <w:style w:type="paragraph" w:styleId="BalloonText">
    <w:name w:val="Balloon Text"/>
    <w:basedOn w:val="Normal"/>
    <w:link w:val="BalloonTextChar"/>
    <w:uiPriority w:val="99"/>
    <w:semiHidden/>
    <w:unhideWhenUsed/>
    <w:rsid w:val="00F829C7"/>
    <w:rPr>
      <w:rFonts w:ascii="Tahoma" w:hAnsi="Tahoma" w:cs="Tahoma"/>
      <w:sz w:val="16"/>
      <w:szCs w:val="16"/>
    </w:rPr>
  </w:style>
  <w:style w:type="character" w:customStyle="1" w:styleId="BalloonTextChar">
    <w:name w:val="Balloon Text Char"/>
    <w:basedOn w:val="DefaultParagraphFont"/>
    <w:link w:val="BalloonText"/>
    <w:uiPriority w:val="99"/>
    <w:semiHidden/>
    <w:rsid w:val="00F82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C7"/>
    <w:pPr>
      <w:spacing w:after="0" w:line="240" w:lineRule="auto"/>
    </w:pPr>
    <w:rPr>
      <w:rFonts w:ascii="Calibri" w:hAnsi="Calibri" w:cs="Times New Roman"/>
    </w:rPr>
  </w:style>
  <w:style w:type="paragraph" w:styleId="Heading1">
    <w:name w:val="heading 1"/>
    <w:basedOn w:val="Normal"/>
    <w:link w:val="Heading1Char"/>
    <w:uiPriority w:val="9"/>
    <w:qFormat/>
    <w:rsid w:val="00F829C7"/>
    <w:pPr>
      <w:keepNext/>
      <w:spacing w:before="240" w:after="60" w:line="276" w:lineRule="auto"/>
      <w:outlineLvl w:val="0"/>
    </w:pPr>
    <w:rPr>
      <w:rFonts w:ascii="Cambria" w:hAnsi="Cambria"/>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9C7"/>
    <w:rPr>
      <w:rFonts w:ascii="Cambria" w:hAnsi="Cambria" w:cs="Times New Roman"/>
      <w:b/>
      <w:bCs/>
      <w:kern w:val="36"/>
      <w:sz w:val="32"/>
      <w:szCs w:val="32"/>
    </w:rPr>
  </w:style>
  <w:style w:type="character" w:styleId="Hyperlink">
    <w:name w:val="Hyperlink"/>
    <w:basedOn w:val="DefaultParagraphFont"/>
    <w:uiPriority w:val="99"/>
    <w:semiHidden/>
    <w:unhideWhenUsed/>
    <w:rsid w:val="00F829C7"/>
    <w:rPr>
      <w:color w:val="0000FF"/>
      <w:u w:val="single"/>
    </w:rPr>
  </w:style>
  <w:style w:type="paragraph" w:styleId="BalloonText">
    <w:name w:val="Balloon Text"/>
    <w:basedOn w:val="Normal"/>
    <w:link w:val="BalloonTextChar"/>
    <w:uiPriority w:val="99"/>
    <w:semiHidden/>
    <w:unhideWhenUsed/>
    <w:rsid w:val="00F829C7"/>
    <w:rPr>
      <w:rFonts w:ascii="Tahoma" w:hAnsi="Tahoma" w:cs="Tahoma"/>
      <w:sz w:val="16"/>
      <w:szCs w:val="16"/>
    </w:rPr>
  </w:style>
  <w:style w:type="character" w:customStyle="1" w:styleId="BalloonTextChar">
    <w:name w:val="Balloon Text Char"/>
    <w:basedOn w:val="DefaultParagraphFont"/>
    <w:link w:val="BalloonText"/>
    <w:uiPriority w:val="99"/>
    <w:semiHidden/>
    <w:rsid w:val="00F82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5.jpg@01D190E4.65790BF0" TargetMode="External"/><Relationship Id="rId3" Type="http://schemas.openxmlformats.org/officeDocument/2006/relationships/settings" Target="settings.xml"/><Relationship Id="rId7" Type="http://schemas.openxmlformats.org/officeDocument/2006/relationships/hyperlink" Target="http://www.cpuc.ca.gov/WorkArea/DownloadAsset.aspx?id=4020" TargetMode="External"/><Relationship Id="rId12" Type="http://schemas.openxmlformats.org/officeDocument/2006/relationships/image" Target="media/image3.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nergy.ca.gov/2011publications/CEC-100-2011-001/CEC-100-2011-001-CMF.pdf" TargetMode="External"/><Relationship Id="rId11" Type="http://schemas.openxmlformats.org/officeDocument/2006/relationships/image" Target="cid:image002.png@01D190E4.19F51390" TargetMode="External"/><Relationship Id="rId5" Type="http://schemas.openxmlformats.org/officeDocument/2006/relationships/hyperlink" Target="mailto:jeorge.tagnipes@cpuc.ca.gov" TargetMode="External"/><Relationship Id="rId15" Type="http://schemas.openxmlformats.org/officeDocument/2006/relationships/hyperlink" Target="http://www.cpuc.ca.gov/lap"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190E4.19F51390" TargetMode="External"/><Relationship Id="rId14" Type="http://schemas.openxmlformats.org/officeDocument/2006/relationships/hyperlink" Target="mailto:jeorge.tagnip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593</Words>
  <Characters>3382</Characters>
  <Application>Microsoft Office Word</Application>
  <DocSecurity>0</DocSecurity>
  <Lines>28</Lines>
  <Paragraphs>7</Paragraphs>
  <ScaleCrop>false</ScaleCrop>
  <Company>Sempra Energy</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afaustin</dc:creator>
  <cp:lastModifiedBy>afaustin</cp:lastModifiedBy>
  <cp:revision>2</cp:revision>
  <dcterms:created xsi:type="dcterms:W3CDTF">2016-04-11T17:37:00Z</dcterms:created>
  <dcterms:modified xsi:type="dcterms:W3CDTF">2016-04-11T17:43:00Z</dcterms:modified>
</cp:coreProperties>
</file>