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C62CAA" w:rsidRPr="001D4131" w:rsidRDefault="00C62CAA" w:rsidP="005C6E7A">
      <w:pPr>
        <w:rPr>
          <w:rFonts w:ascii="Arial" w:hAnsi="Arial" w:cs="Arial"/>
        </w:rPr>
      </w:pPr>
    </w:p>
    <w:p w:rsidR="00663B29" w:rsidRDefault="00663B29"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QUESTION 1:</w:t>
      </w:r>
    </w:p>
    <w:p w:rsidR="00BC61B4" w:rsidRDefault="00BC61B4" w:rsidP="00BC61B4">
      <w:pPr>
        <w:autoSpaceDE w:val="0"/>
        <w:autoSpaceDN w:val="0"/>
        <w:adjustRightInd w:val="0"/>
        <w:rPr>
          <w:rFonts w:ascii="Times" w:hAnsi="Times" w:cs="Times"/>
          <w:b/>
          <w:bCs/>
        </w:rPr>
      </w:pPr>
    </w:p>
    <w:p w:rsidR="00BC61B4" w:rsidRDefault="00676395" w:rsidP="00676395">
      <w:pPr>
        <w:autoSpaceDE w:val="0"/>
        <w:autoSpaceDN w:val="0"/>
        <w:adjustRightInd w:val="0"/>
        <w:rPr>
          <w:rFonts w:ascii="Arial" w:hAnsi="Arial" w:cs="Arial"/>
        </w:rPr>
      </w:pPr>
      <w:r w:rsidRPr="00676395">
        <w:rPr>
          <w:rFonts w:ascii="Arial" w:hAnsi="Arial" w:cs="Arial"/>
        </w:rPr>
        <w:t>This question is similar to ORA-15 Q1 except that it asks to verif</w:t>
      </w:r>
      <w:r>
        <w:rPr>
          <w:rFonts w:ascii="Arial" w:hAnsi="Arial" w:cs="Arial"/>
        </w:rPr>
        <w:t xml:space="preserve">y the historical investment for </w:t>
      </w:r>
      <w:r w:rsidRPr="00676395">
        <w:rPr>
          <w:rFonts w:ascii="Arial" w:hAnsi="Arial" w:cs="Arial"/>
        </w:rPr>
        <w:t>ACT 378 as shown in Table 4 of Mr.Chaudhury’s workpapers. At pages 15-16 of the above</w:t>
      </w:r>
      <w:r>
        <w:rPr>
          <w:rFonts w:ascii="Arial" w:hAnsi="Arial" w:cs="Arial"/>
        </w:rPr>
        <w:t xml:space="preserve"> </w:t>
      </w:r>
      <w:r w:rsidRPr="00676395">
        <w:rPr>
          <w:rFonts w:ascii="Arial" w:hAnsi="Arial" w:cs="Arial"/>
        </w:rPr>
        <w:t>subject regarding distribution-related marginal unit cost and marginal cost revenue,</w:t>
      </w:r>
      <w:r>
        <w:rPr>
          <w:rFonts w:ascii="Arial" w:hAnsi="Arial" w:cs="Arial"/>
        </w:rPr>
        <w:t xml:space="preserve"> </w:t>
      </w:r>
      <w:r w:rsidRPr="00676395">
        <w:rPr>
          <w:rFonts w:ascii="Arial" w:hAnsi="Arial" w:cs="Arial"/>
        </w:rPr>
        <w:t>SoCalGas/SDG&amp;E witness Mr. Chaudhury states : “The period for the regression analysis is 15</w:t>
      </w:r>
      <w:r>
        <w:rPr>
          <w:rFonts w:ascii="Arial" w:hAnsi="Arial" w:cs="Arial"/>
        </w:rPr>
        <w:t xml:space="preserve"> </w:t>
      </w:r>
      <w:r w:rsidRPr="00676395">
        <w:rPr>
          <w:rFonts w:ascii="Arial" w:hAnsi="Arial" w:cs="Arial"/>
        </w:rPr>
        <w:t>years: nine years of historical data (2005-2013) and six years of forecast data (2014-2019).” In</w:t>
      </w:r>
      <w:r>
        <w:rPr>
          <w:rFonts w:ascii="Arial" w:hAnsi="Arial" w:cs="Arial"/>
        </w:rPr>
        <w:t xml:space="preserve"> </w:t>
      </w:r>
      <w:r w:rsidRPr="00676395">
        <w:rPr>
          <w:rFonts w:ascii="Arial" w:hAnsi="Arial" w:cs="Arial"/>
        </w:rPr>
        <w:t>the SCG 2017 TCAP LRMC Distribution Costs excel spreadsheet workpapers, specifically at Tab</w:t>
      </w:r>
      <w:r>
        <w:rPr>
          <w:rFonts w:ascii="Arial" w:hAnsi="Arial" w:cs="Arial"/>
        </w:rPr>
        <w:t xml:space="preserve"> </w:t>
      </w:r>
      <w:r w:rsidRPr="00676395">
        <w:rPr>
          <w:rFonts w:ascii="Arial" w:hAnsi="Arial" w:cs="Arial"/>
        </w:rPr>
        <w:t>“Out Investment History” at Table 4: Load-Growth-Related Total, High &amp; Medium Pressure</w:t>
      </w:r>
      <w:r>
        <w:rPr>
          <w:rFonts w:ascii="Arial" w:hAnsi="Arial" w:cs="Arial"/>
        </w:rPr>
        <w:t xml:space="preserve"> </w:t>
      </w:r>
      <w:r w:rsidRPr="00676395">
        <w:rPr>
          <w:rFonts w:ascii="Arial" w:hAnsi="Arial" w:cs="Arial"/>
        </w:rPr>
        <w:t>Distribution Mains Historical Investments, the historical investment information on distribution</w:t>
      </w:r>
      <w:r>
        <w:rPr>
          <w:rFonts w:ascii="Arial" w:hAnsi="Arial" w:cs="Arial"/>
        </w:rPr>
        <w:t xml:space="preserve"> </w:t>
      </w:r>
      <w:r w:rsidRPr="00676395">
        <w:rPr>
          <w:rFonts w:ascii="Arial" w:hAnsi="Arial" w:cs="Arial"/>
        </w:rPr>
        <w:t>mains presented under excel columns BJ through BM and at excel rows 13 through 21 are</w:t>
      </w:r>
      <w:r>
        <w:rPr>
          <w:rFonts w:ascii="Arial" w:hAnsi="Arial" w:cs="Arial"/>
        </w:rPr>
        <w:t xml:space="preserve"> </w:t>
      </w:r>
      <w:r w:rsidRPr="00676395">
        <w:rPr>
          <w:rFonts w:ascii="Arial" w:hAnsi="Arial" w:cs="Arial"/>
        </w:rPr>
        <w:t>designated with the captions “New Business,” “Pressure Betterment,” “Contrib New Constr,”</w:t>
      </w:r>
      <w:r>
        <w:rPr>
          <w:rFonts w:ascii="Arial" w:hAnsi="Arial" w:cs="Arial"/>
        </w:rPr>
        <w:t xml:space="preserve"> </w:t>
      </w:r>
      <w:r w:rsidRPr="00676395">
        <w:rPr>
          <w:rFonts w:ascii="Arial" w:hAnsi="Arial" w:cs="Arial"/>
        </w:rPr>
        <w:t>“ACT 378 Mtr Reg Stn,” and “Annual Total.” The information in Table 4 are stated in 2017$.</w:t>
      </w:r>
      <w:r>
        <w:rPr>
          <w:rFonts w:ascii="Arial" w:hAnsi="Arial" w:cs="Arial"/>
        </w:rPr>
        <w:t xml:space="preserve">  </w:t>
      </w:r>
      <w:r w:rsidRPr="00676395">
        <w:rPr>
          <w:rFonts w:ascii="Arial" w:hAnsi="Arial" w:cs="Arial"/>
        </w:rPr>
        <w:t>The workpapers of Mr.Chaudhury also provides the factor to escalate prices from 2013-2017</w:t>
      </w:r>
      <w:r>
        <w:rPr>
          <w:rFonts w:ascii="Arial" w:hAnsi="Arial" w:cs="Arial"/>
        </w:rPr>
        <w:t xml:space="preserve"> </w:t>
      </w:r>
      <w:r w:rsidRPr="00676395">
        <w:rPr>
          <w:rFonts w:ascii="Arial" w:hAnsi="Arial" w:cs="Arial"/>
        </w:rPr>
        <w:t>applicable to capital, which is 1.0876. ORA notes that in the recent A.14-11-004 2016 GRC for</w:t>
      </w:r>
      <w:r>
        <w:rPr>
          <w:rFonts w:ascii="Arial" w:hAnsi="Arial" w:cs="Arial"/>
        </w:rPr>
        <w:t xml:space="preserve"> </w:t>
      </w:r>
      <w:r w:rsidRPr="00676395">
        <w:rPr>
          <w:rFonts w:ascii="Arial" w:hAnsi="Arial" w:cs="Arial"/>
        </w:rPr>
        <w:t>SoCalGas, SoCalGas witness on Gas Distribution capital expenditures (CAPEX) Frank Ayala</w:t>
      </w:r>
      <w:r>
        <w:rPr>
          <w:rFonts w:ascii="Arial" w:hAnsi="Arial" w:cs="Arial"/>
        </w:rPr>
        <w:t xml:space="preserve"> </w:t>
      </w:r>
      <w:r w:rsidRPr="00676395">
        <w:rPr>
          <w:rFonts w:ascii="Arial" w:hAnsi="Arial" w:cs="Arial"/>
        </w:rPr>
        <w:t>presented information on the 2009-2014 SoCalGas recorded capital expenditures for gas</w:t>
      </w:r>
      <w:r>
        <w:rPr>
          <w:rFonts w:ascii="Arial" w:hAnsi="Arial" w:cs="Arial"/>
        </w:rPr>
        <w:t xml:space="preserve"> distribution.</w:t>
      </w:r>
      <w:r>
        <w:rPr>
          <w:rStyle w:val="FootnoteReference"/>
          <w:rFonts w:ascii="Arial" w:hAnsi="Arial" w:cs="Arial"/>
        </w:rPr>
        <w:footnoteReference w:id="1"/>
      </w:r>
      <w:r w:rsidRPr="00676395">
        <w:rPr>
          <w:rFonts w:ascii="Arial" w:hAnsi="Arial" w:cs="Arial"/>
        </w:rPr>
        <w:t xml:space="preserve"> </w:t>
      </w:r>
      <w:r>
        <w:rPr>
          <w:rFonts w:ascii="Arial" w:hAnsi="Arial" w:cs="Arial"/>
        </w:rPr>
        <w:t xml:space="preserve"> </w:t>
      </w:r>
      <w:r w:rsidRPr="00676395">
        <w:rPr>
          <w:rFonts w:ascii="Arial" w:hAnsi="Arial" w:cs="Arial"/>
        </w:rPr>
        <w:t>The information in the SoCalGas GRC gas distribution CAPEX workpapers are</w:t>
      </w:r>
      <w:r>
        <w:rPr>
          <w:rFonts w:ascii="Arial" w:hAnsi="Arial" w:cs="Arial"/>
        </w:rPr>
        <w:t xml:space="preserve"> </w:t>
      </w:r>
      <w:r w:rsidRPr="00676395">
        <w:rPr>
          <w:rFonts w:ascii="Arial" w:hAnsi="Arial" w:cs="Arial"/>
        </w:rPr>
        <w:t>stated in 2013$.</w:t>
      </w:r>
    </w:p>
    <w:p w:rsidR="00BC61B4" w:rsidRDefault="00BC61B4" w:rsidP="00BC61B4">
      <w:pPr>
        <w:autoSpaceDE w:val="0"/>
        <w:autoSpaceDN w:val="0"/>
        <w:adjustRightInd w:val="0"/>
        <w:rPr>
          <w:rFonts w:ascii="Arial" w:hAnsi="Arial" w:cs="Arial"/>
        </w:rPr>
      </w:pPr>
    </w:p>
    <w:p w:rsidR="0031141C" w:rsidRDefault="00676395" w:rsidP="00676395">
      <w:pPr>
        <w:pStyle w:val="ListParagraph"/>
        <w:numPr>
          <w:ilvl w:val="0"/>
          <w:numId w:val="21"/>
        </w:numPr>
        <w:rPr>
          <w:rFonts w:ascii="Arial" w:hAnsi="Arial" w:cs="Arial"/>
        </w:rPr>
      </w:pPr>
      <w:r w:rsidRPr="00676395">
        <w:rPr>
          <w:rFonts w:ascii="Arial" w:hAnsi="Arial" w:cs="Arial"/>
        </w:rPr>
        <w:t>Please explain whether the information on historical investment for “ACT 378 Mtr Reg Stn” shown in excel column BM represent the SoCalGas actual recorded historical investment for the period 2005-2013 shown in Table 4. If not, please so confirm and state</w:t>
      </w:r>
      <w:r>
        <w:rPr>
          <w:rFonts w:ascii="Arial" w:hAnsi="Arial" w:cs="Arial"/>
        </w:rPr>
        <w:t xml:space="preserve"> </w:t>
      </w:r>
      <w:r w:rsidRPr="00676395">
        <w:rPr>
          <w:rFonts w:ascii="Arial" w:hAnsi="Arial" w:cs="Arial"/>
        </w:rPr>
        <w:t>what the costs shown represent.</w:t>
      </w:r>
    </w:p>
    <w:p w:rsidR="00676395" w:rsidRDefault="00676395" w:rsidP="00676395">
      <w:pPr>
        <w:pStyle w:val="ListParagraph"/>
        <w:numPr>
          <w:ilvl w:val="0"/>
          <w:numId w:val="21"/>
        </w:numPr>
        <w:rPr>
          <w:rFonts w:ascii="Arial" w:hAnsi="Arial" w:cs="Arial"/>
        </w:rPr>
      </w:pPr>
      <w:r w:rsidRPr="00676395">
        <w:rPr>
          <w:rFonts w:ascii="Arial" w:hAnsi="Arial" w:cs="Arial"/>
        </w:rPr>
        <w:t>ORA observed a material difference when it compared a portion of the historical investment for the period 2009-2013 for “ACT 378 Mtr Reg Stn” shown at Table 4 of Mr. Chaudhury’s workpapers against those shown in the 2016 GRC workpapers for Exhibit</w:t>
      </w:r>
      <w:r>
        <w:rPr>
          <w:rFonts w:ascii="Arial" w:hAnsi="Arial" w:cs="Arial"/>
        </w:rPr>
        <w:t xml:space="preserve"> </w:t>
      </w:r>
      <w:r w:rsidRPr="00676395">
        <w:rPr>
          <w:rFonts w:ascii="Arial" w:hAnsi="Arial" w:cs="Arial"/>
        </w:rPr>
        <w:t>SCG-04-CWP-R shown below:</w:t>
      </w:r>
    </w:p>
    <w:p w:rsidR="00676395" w:rsidRDefault="00676395" w:rsidP="00676395">
      <w:pPr>
        <w:rPr>
          <w:rFonts w:ascii="Arial" w:hAnsi="Arial" w:cs="Arial"/>
        </w:rPr>
      </w:pPr>
    </w:p>
    <w:p w:rsidR="00676395" w:rsidRDefault="00676395" w:rsidP="00676395">
      <w:pPr>
        <w:rPr>
          <w:rFonts w:ascii="Arial" w:hAnsi="Arial" w:cs="Arial"/>
        </w:rPr>
      </w:pPr>
    </w:p>
    <w:p w:rsidR="00676395" w:rsidRDefault="00676395" w:rsidP="00676395">
      <w:pPr>
        <w:rPr>
          <w:rFonts w:ascii="Arial" w:hAnsi="Arial" w:cs="Arial"/>
        </w:rPr>
      </w:pPr>
    </w:p>
    <w:p w:rsidR="00676395" w:rsidRDefault="00676395" w:rsidP="00676395">
      <w:pPr>
        <w:rPr>
          <w:rFonts w:ascii="Arial" w:hAnsi="Arial" w:cs="Arial"/>
        </w:rPr>
      </w:pPr>
    </w:p>
    <w:p w:rsidR="00676395" w:rsidRDefault="00676395" w:rsidP="00676395">
      <w:pPr>
        <w:rPr>
          <w:rFonts w:ascii="Arial" w:hAnsi="Arial" w:cs="Arial"/>
        </w:rPr>
      </w:pPr>
    </w:p>
    <w:p w:rsidR="00676395" w:rsidRDefault="00676395" w:rsidP="00676395">
      <w:pPr>
        <w:rPr>
          <w:rFonts w:ascii="Arial" w:hAnsi="Arial" w:cs="Arial"/>
        </w:rPr>
      </w:pPr>
    </w:p>
    <w:p w:rsidR="00676395" w:rsidRDefault="00676395" w:rsidP="00676395">
      <w:pPr>
        <w:rPr>
          <w:rFonts w:ascii="Arial" w:hAnsi="Arial" w:cs="Arial"/>
        </w:rPr>
      </w:pPr>
    </w:p>
    <w:p w:rsidR="00676395" w:rsidRDefault="00676395" w:rsidP="00676395">
      <w:pPr>
        <w:rPr>
          <w:rFonts w:ascii="Arial" w:hAnsi="Arial" w:cs="Arial"/>
        </w:rPr>
      </w:pPr>
    </w:p>
    <w:p w:rsidR="00676395" w:rsidRDefault="00676395" w:rsidP="00676395">
      <w:pPr>
        <w:rPr>
          <w:rFonts w:ascii="Arial" w:hAnsi="Arial" w:cs="Arial"/>
        </w:rPr>
      </w:pPr>
    </w:p>
    <w:p w:rsidR="00676395" w:rsidRDefault="00676395" w:rsidP="00676395">
      <w:pPr>
        <w:rPr>
          <w:rFonts w:ascii="Arial" w:hAnsi="Arial" w:cs="Arial"/>
        </w:rPr>
      </w:pPr>
    </w:p>
    <w:p w:rsidR="00676395" w:rsidRDefault="00676395" w:rsidP="00676395">
      <w:pPr>
        <w:rPr>
          <w:rFonts w:ascii="Arial" w:hAnsi="Arial" w:cs="Arial"/>
        </w:rPr>
      </w:pPr>
    </w:p>
    <w:p w:rsidR="00676395" w:rsidRPr="00676395" w:rsidRDefault="00676395" w:rsidP="00676395">
      <w:pPr>
        <w:kinsoku w:val="0"/>
        <w:overflowPunct w:val="0"/>
        <w:autoSpaceDE w:val="0"/>
        <w:autoSpaceDN w:val="0"/>
        <w:adjustRightInd w:val="0"/>
        <w:spacing w:before="3"/>
        <w:rPr>
          <w:sz w:val="19"/>
          <w:szCs w:val="19"/>
        </w:rPr>
      </w:pPr>
    </w:p>
    <w:tbl>
      <w:tblPr>
        <w:tblW w:w="0" w:type="auto"/>
        <w:tblLayout w:type="fixed"/>
        <w:tblCellMar>
          <w:left w:w="0" w:type="dxa"/>
          <w:right w:w="0" w:type="dxa"/>
        </w:tblCellMar>
        <w:tblLook w:val="0000" w:firstRow="0" w:lastRow="0" w:firstColumn="0" w:lastColumn="0" w:noHBand="0" w:noVBand="0"/>
      </w:tblPr>
      <w:tblGrid>
        <w:gridCol w:w="919"/>
        <w:gridCol w:w="1345"/>
        <w:gridCol w:w="1295"/>
        <w:gridCol w:w="1353"/>
        <w:gridCol w:w="1302"/>
        <w:gridCol w:w="1315"/>
        <w:gridCol w:w="1329"/>
      </w:tblGrid>
      <w:tr w:rsidR="00676395" w:rsidRPr="00676395" w:rsidTr="00676395">
        <w:trPr>
          <w:trHeight w:hRule="exact" w:val="286"/>
        </w:trPr>
        <w:tc>
          <w:tcPr>
            <w:tcW w:w="919" w:type="dxa"/>
            <w:tcBorders>
              <w:top w:val="single" w:sz="7" w:space="0" w:color="000000"/>
              <w:left w:val="single" w:sz="7"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29" w:line="242" w:lineRule="exact"/>
              <w:ind w:left="99"/>
            </w:pPr>
            <w:r w:rsidRPr="00676395">
              <w:rPr>
                <w:rFonts w:ascii="Calibri" w:hAnsi="Calibri" w:cs="Calibri"/>
                <w:b/>
                <w:bCs/>
                <w:sz w:val="20"/>
                <w:szCs w:val="20"/>
              </w:rPr>
              <w:t>Table</w:t>
            </w:r>
            <w:r w:rsidRPr="00676395">
              <w:rPr>
                <w:rFonts w:ascii="Calibri" w:hAnsi="Calibri" w:cs="Calibri"/>
                <w:b/>
                <w:bCs/>
                <w:spacing w:val="-6"/>
                <w:sz w:val="20"/>
                <w:szCs w:val="20"/>
              </w:rPr>
              <w:t xml:space="preserve"> </w:t>
            </w:r>
            <w:r w:rsidRPr="00676395">
              <w:rPr>
                <w:rFonts w:ascii="Calibri" w:hAnsi="Calibri" w:cs="Calibri"/>
                <w:b/>
                <w:bCs/>
                <w:sz w:val="20"/>
                <w:szCs w:val="20"/>
              </w:rPr>
              <w:t>4</w:t>
            </w:r>
          </w:p>
        </w:tc>
        <w:tc>
          <w:tcPr>
            <w:tcW w:w="7939" w:type="dxa"/>
            <w:gridSpan w:val="6"/>
            <w:tcBorders>
              <w:top w:val="single" w:sz="7" w:space="0" w:color="000000"/>
              <w:left w:val="single" w:sz="3" w:space="0" w:color="000000"/>
              <w:bottom w:val="single" w:sz="3" w:space="0" w:color="000000"/>
              <w:right w:val="single" w:sz="7" w:space="0" w:color="000000"/>
            </w:tcBorders>
          </w:tcPr>
          <w:p w:rsidR="00676395" w:rsidRPr="00676395" w:rsidRDefault="00676395" w:rsidP="00676395">
            <w:pPr>
              <w:kinsoku w:val="0"/>
              <w:overflowPunct w:val="0"/>
              <w:autoSpaceDE w:val="0"/>
              <w:autoSpaceDN w:val="0"/>
              <w:adjustRightInd w:val="0"/>
              <w:spacing w:before="29" w:line="242" w:lineRule="exact"/>
              <w:ind w:left="3"/>
              <w:jc w:val="center"/>
            </w:pPr>
            <w:r w:rsidRPr="00676395">
              <w:rPr>
                <w:rFonts w:ascii="Calibri" w:hAnsi="Calibri" w:cs="Calibri"/>
                <w:b/>
                <w:bCs/>
                <w:sz w:val="20"/>
                <w:szCs w:val="20"/>
              </w:rPr>
              <w:t>Total</w:t>
            </w:r>
            <w:r w:rsidRPr="00676395">
              <w:rPr>
                <w:rFonts w:ascii="Calibri" w:hAnsi="Calibri" w:cs="Calibri"/>
                <w:b/>
                <w:bCs/>
                <w:spacing w:val="-11"/>
                <w:sz w:val="20"/>
                <w:szCs w:val="20"/>
              </w:rPr>
              <w:t xml:space="preserve"> </w:t>
            </w:r>
            <w:r w:rsidRPr="00676395">
              <w:rPr>
                <w:rFonts w:ascii="Calibri" w:hAnsi="Calibri" w:cs="Calibri"/>
                <w:b/>
                <w:bCs/>
                <w:sz w:val="20"/>
                <w:szCs w:val="20"/>
              </w:rPr>
              <w:t>Distribution</w:t>
            </w:r>
            <w:r w:rsidRPr="00676395">
              <w:rPr>
                <w:rFonts w:ascii="Calibri" w:hAnsi="Calibri" w:cs="Calibri"/>
                <w:b/>
                <w:bCs/>
                <w:spacing w:val="-9"/>
                <w:sz w:val="20"/>
                <w:szCs w:val="20"/>
              </w:rPr>
              <w:t xml:space="preserve"> </w:t>
            </w:r>
            <w:r w:rsidRPr="00676395">
              <w:rPr>
                <w:rFonts w:ascii="Calibri" w:hAnsi="Calibri" w:cs="Calibri"/>
                <w:b/>
                <w:bCs/>
                <w:sz w:val="20"/>
                <w:szCs w:val="20"/>
              </w:rPr>
              <w:t>Mains</w:t>
            </w:r>
          </w:p>
        </w:tc>
      </w:tr>
      <w:tr w:rsidR="00676395" w:rsidRPr="00676395" w:rsidTr="00676395">
        <w:trPr>
          <w:trHeight w:hRule="exact" w:val="285"/>
        </w:trPr>
        <w:tc>
          <w:tcPr>
            <w:tcW w:w="919" w:type="dxa"/>
            <w:vMerge w:val="restart"/>
            <w:tcBorders>
              <w:top w:val="single" w:sz="3" w:space="0" w:color="000000"/>
              <w:left w:val="single" w:sz="7" w:space="0" w:color="000000"/>
              <w:bottom w:val="nil"/>
              <w:right w:val="single" w:sz="3" w:space="0" w:color="000000"/>
            </w:tcBorders>
          </w:tcPr>
          <w:p w:rsidR="00676395" w:rsidRPr="00676395" w:rsidRDefault="00676395" w:rsidP="00676395">
            <w:pPr>
              <w:kinsoku w:val="0"/>
              <w:overflowPunct w:val="0"/>
              <w:autoSpaceDE w:val="0"/>
              <w:autoSpaceDN w:val="0"/>
              <w:adjustRightInd w:val="0"/>
              <w:spacing w:before="2"/>
              <w:rPr>
                <w:sz w:val="23"/>
                <w:szCs w:val="23"/>
              </w:rPr>
            </w:pPr>
          </w:p>
          <w:p w:rsidR="00676395" w:rsidRPr="00676395" w:rsidRDefault="00676395" w:rsidP="00676395">
            <w:pPr>
              <w:kinsoku w:val="0"/>
              <w:overflowPunct w:val="0"/>
              <w:autoSpaceDE w:val="0"/>
              <w:autoSpaceDN w:val="0"/>
              <w:adjustRightInd w:val="0"/>
              <w:ind w:left="270"/>
            </w:pPr>
            <w:r w:rsidRPr="00676395">
              <w:rPr>
                <w:rFonts w:ascii="Calibri" w:hAnsi="Calibri" w:cs="Calibri"/>
                <w:spacing w:val="-1"/>
                <w:sz w:val="20"/>
                <w:szCs w:val="20"/>
                <w:u w:val="single"/>
              </w:rPr>
              <w:t>Year</w:t>
            </w:r>
          </w:p>
        </w:tc>
        <w:tc>
          <w:tcPr>
            <w:tcW w:w="1345" w:type="dxa"/>
            <w:tcBorders>
              <w:top w:val="single" w:sz="3" w:space="0" w:color="000000"/>
              <w:left w:val="single" w:sz="3" w:space="0" w:color="000000"/>
              <w:bottom w:val="nil"/>
              <w:right w:val="nil"/>
            </w:tcBorders>
          </w:tcPr>
          <w:p w:rsidR="00676395" w:rsidRPr="00676395" w:rsidRDefault="00676395" w:rsidP="00676395">
            <w:pPr>
              <w:kinsoku w:val="0"/>
              <w:overflowPunct w:val="0"/>
              <w:autoSpaceDE w:val="0"/>
              <w:autoSpaceDN w:val="0"/>
              <w:adjustRightInd w:val="0"/>
              <w:spacing w:before="12"/>
              <w:ind w:right="15"/>
              <w:jc w:val="center"/>
            </w:pPr>
            <w:r w:rsidRPr="00676395">
              <w:rPr>
                <w:rFonts w:ascii="Calibri" w:hAnsi="Calibri" w:cs="Calibri"/>
                <w:sz w:val="20"/>
                <w:szCs w:val="20"/>
              </w:rPr>
              <w:t>New</w:t>
            </w:r>
          </w:p>
        </w:tc>
        <w:tc>
          <w:tcPr>
            <w:tcW w:w="1295" w:type="dxa"/>
            <w:tcBorders>
              <w:top w:val="single" w:sz="3" w:space="0" w:color="000000"/>
              <w:left w:val="nil"/>
              <w:bottom w:val="nil"/>
              <w:right w:val="nil"/>
            </w:tcBorders>
          </w:tcPr>
          <w:p w:rsidR="00676395" w:rsidRPr="00676395" w:rsidRDefault="00676395" w:rsidP="00676395">
            <w:pPr>
              <w:kinsoku w:val="0"/>
              <w:overflowPunct w:val="0"/>
              <w:autoSpaceDE w:val="0"/>
              <w:autoSpaceDN w:val="0"/>
              <w:adjustRightInd w:val="0"/>
              <w:spacing w:before="12"/>
              <w:ind w:left="297"/>
            </w:pPr>
            <w:r w:rsidRPr="00676395">
              <w:rPr>
                <w:rFonts w:ascii="Calibri" w:hAnsi="Calibri" w:cs="Calibri"/>
                <w:sz w:val="20"/>
                <w:szCs w:val="20"/>
              </w:rPr>
              <w:t>Pressure</w:t>
            </w:r>
          </w:p>
        </w:tc>
        <w:tc>
          <w:tcPr>
            <w:tcW w:w="1353" w:type="dxa"/>
            <w:tcBorders>
              <w:top w:val="single" w:sz="3" w:space="0" w:color="000000"/>
              <w:left w:val="nil"/>
              <w:bottom w:val="nil"/>
              <w:right w:val="nil"/>
            </w:tcBorders>
          </w:tcPr>
          <w:p w:rsidR="00676395" w:rsidRPr="00676395" w:rsidRDefault="00676395" w:rsidP="00676395">
            <w:pPr>
              <w:kinsoku w:val="0"/>
              <w:overflowPunct w:val="0"/>
              <w:autoSpaceDE w:val="0"/>
              <w:autoSpaceDN w:val="0"/>
              <w:adjustRightInd w:val="0"/>
              <w:spacing w:before="12"/>
              <w:ind w:left="368"/>
            </w:pPr>
            <w:r w:rsidRPr="00676395">
              <w:rPr>
                <w:rFonts w:ascii="Calibri" w:hAnsi="Calibri" w:cs="Calibri"/>
                <w:sz w:val="20"/>
                <w:szCs w:val="20"/>
              </w:rPr>
              <w:t>Contrib.</w:t>
            </w:r>
          </w:p>
        </w:tc>
        <w:tc>
          <w:tcPr>
            <w:tcW w:w="1302" w:type="dxa"/>
            <w:tcBorders>
              <w:top w:val="single" w:sz="3" w:space="0" w:color="000000"/>
              <w:left w:val="nil"/>
              <w:bottom w:val="nil"/>
              <w:right w:val="nil"/>
            </w:tcBorders>
          </w:tcPr>
          <w:p w:rsidR="00676395" w:rsidRPr="00676395" w:rsidRDefault="00676395" w:rsidP="00676395">
            <w:pPr>
              <w:kinsoku w:val="0"/>
              <w:overflowPunct w:val="0"/>
              <w:autoSpaceDE w:val="0"/>
              <w:autoSpaceDN w:val="0"/>
              <w:adjustRightInd w:val="0"/>
              <w:spacing w:before="12"/>
              <w:ind w:left="318"/>
            </w:pPr>
            <w:r w:rsidRPr="00676395">
              <w:rPr>
                <w:rFonts w:ascii="Calibri" w:hAnsi="Calibri" w:cs="Calibri"/>
                <w:spacing w:val="-1"/>
                <w:sz w:val="20"/>
                <w:szCs w:val="20"/>
              </w:rPr>
              <w:t>ACT</w:t>
            </w:r>
            <w:r w:rsidRPr="00676395">
              <w:rPr>
                <w:rFonts w:ascii="Calibri" w:hAnsi="Calibri" w:cs="Calibri"/>
                <w:spacing w:val="-8"/>
                <w:sz w:val="20"/>
                <w:szCs w:val="20"/>
              </w:rPr>
              <w:t xml:space="preserve"> </w:t>
            </w:r>
            <w:r w:rsidRPr="00676395">
              <w:rPr>
                <w:rFonts w:ascii="Calibri" w:hAnsi="Calibri" w:cs="Calibri"/>
                <w:sz w:val="20"/>
                <w:szCs w:val="20"/>
              </w:rPr>
              <w:t>378</w:t>
            </w:r>
          </w:p>
        </w:tc>
        <w:tc>
          <w:tcPr>
            <w:tcW w:w="1315" w:type="dxa"/>
            <w:tcBorders>
              <w:top w:val="single" w:sz="3" w:space="0" w:color="000000"/>
              <w:left w:val="nil"/>
              <w:bottom w:val="nil"/>
              <w:right w:val="nil"/>
            </w:tcBorders>
          </w:tcPr>
          <w:p w:rsidR="00676395" w:rsidRPr="00676395" w:rsidRDefault="00676395" w:rsidP="00676395">
            <w:pPr>
              <w:kinsoku w:val="0"/>
              <w:overflowPunct w:val="0"/>
              <w:autoSpaceDE w:val="0"/>
              <w:autoSpaceDN w:val="0"/>
              <w:adjustRightInd w:val="0"/>
              <w:spacing w:before="12"/>
              <w:ind w:left="364"/>
            </w:pPr>
            <w:r w:rsidRPr="00676395">
              <w:rPr>
                <w:rFonts w:ascii="Calibri" w:hAnsi="Calibri" w:cs="Calibri"/>
                <w:sz w:val="20"/>
                <w:szCs w:val="20"/>
              </w:rPr>
              <w:t>Annual</w:t>
            </w:r>
          </w:p>
        </w:tc>
        <w:tc>
          <w:tcPr>
            <w:tcW w:w="1329" w:type="dxa"/>
            <w:tcBorders>
              <w:top w:val="single" w:sz="3" w:space="0" w:color="000000"/>
              <w:left w:val="nil"/>
              <w:bottom w:val="nil"/>
              <w:right w:val="single" w:sz="7" w:space="0" w:color="000000"/>
            </w:tcBorders>
          </w:tcPr>
          <w:p w:rsidR="00676395" w:rsidRPr="00676395" w:rsidRDefault="00676395" w:rsidP="00676395">
            <w:pPr>
              <w:kinsoku w:val="0"/>
              <w:overflowPunct w:val="0"/>
              <w:autoSpaceDE w:val="0"/>
              <w:autoSpaceDN w:val="0"/>
              <w:adjustRightInd w:val="0"/>
              <w:spacing w:before="12"/>
              <w:ind w:left="193"/>
            </w:pPr>
            <w:r w:rsidRPr="00676395">
              <w:rPr>
                <w:rFonts w:ascii="Calibri" w:hAnsi="Calibri" w:cs="Calibri"/>
                <w:b/>
                <w:bCs/>
                <w:sz w:val="20"/>
                <w:szCs w:val="20"/>
              </w:rPr>
              <w:t>Cumulative</w:t>
            </w:r>
          </w:p>
        </w:tc>
      </w:tr>
      <w:tr w:rsidR="00676395" w:rsidRPr="00676395" w:rsidTr="00676395">
        <w:trPr>
          <w:trHeight w:hRule="exact" w:val="254"/>
        </w:trPr>
        <w:tc>
          <w:tcPr>
            <w:tcW w:w="919" w:type="dxa"/>
            <w:vMerge/>
            <w:tcBorders>
              <w:top w:val="single" w:sz="3" w:space="0" w:color="000000"/>
              <w:left w:val="single" w:sz="7" w:space="0" w:color="000000"/>
              <w:bottom w:val="nil"/>
              <w:right w:val="single" w:sz="3" w:space="0" w:color="000000"/>
            </w:tcBorders>
          </w:tcPr>
          <w:p w:rsidR="00676395" w:rsidRPr="00676395" w:rsidRDefault="00676395" w:rsidP="00676395">
            <w:pPr>
              <w:kinsoku w:val="0"/>
              <w:overflowPunct w:val="0"/>
              <w:autoSpaceDE w:val="0"/>
              <w:autoSpaceDN w:val="0"/>
              <w:adjustRightInd w:val="0"/>
              <w:spacing w:before="12"/>
              <w:ind w:left="193"/>
            </w:pPr>
          </w:p>
        </w:tc>
        <w:tc>
          <w:tcPr>
            <w:tcW w:w="1345" w:type="dxa"/>
            <w:tcBorders>
              <w:top w:val="nil"/>
              <w:left w:val="single" w:sz="3" w:space="0" w:color="000000"/>
              <w:bottom w:val="nil"/>
              <w:right w:val="nil"/>
            </w:tcBorders>
          </w:tcPr>
          <w:p w:rsidR="00676395" w:rsidRPr="00676395" w:rsidRDefault="00676395" w:rsidP="00676395">
            <w:pPr>
              <w:kinsoku w:val="0"/>
              <w:overflowPunct w:val="0"/>
              <w:autoSpaceDE w:val="0"/>
              <w:autoSpaceDN w:val="0"/>
              <w:adjustRightInd w:val="0"/>
              <w:spacing w:line="231" w:lineRule="exact"/>
              <w:ind w:left="311"/>
            </w:pPr>
            <w:r w:rsidRPr="00676395">
              <w:rPr>
                <w:rFonts w:ascii="Calibri" w:hAnsi="Calibri" w:cs="Calibri"/>
                <w:sz w:val="20"/>
                <w:szCs w:val="20"/>
                <w:u w:val="single"/>
              </w:rPr>
              <w:t>Business</w:t>
            </w:r>
          </w:p>
        </w:tc>
        <w:tc>
          <w:tcPr>
            <w:tcW w:w="129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77"/>
            </w:pPr>
            <w:r w:rsidRPr="00676395">
              <w:rPr>
                <w:rFonts w:ascii="Calibri" w:hAnsi="Calibri" w:cs="Calibri"/>
                <w:spacing w:val="-1"/>
                <w:sz w:val="20"/>
                <w:szCs w:val="20"/>
                <w:u w:val="single"/>
              </w:rPr>
              <w:t>Betterment</w:t>
            </w:r>
          </w:p>
        </w:tc>
        <w:tc>
          <w:tcPr>
            <w:tcW w:w="1353"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221"/>
            </w:pPr>
            <w:r w:rsidRPr="00676395">
              <w:rPr>
                <w:rFonts w:ascii="Calibri" w:hAnsi="Calibri" w:cs="Calibri"/>
                <w:sz w:val="20"/>
                <w:szCs w:val="20"/>
                <w:u w:val="single"/>
              </w:rPr>
              <w:t>New</w:t>
            </w:r>
            <w:r w:rsidRPr="00676395">
              <w:rPr>
                <w:rFonts w:ascii="Calibri" w:hAnsi="Calibri" w:cs="Calibri"/>
                <w:spacing w:val="-10"/>
                <w:sz w:val="20"/>
                <w:szCs w:val="20"/>
                <w:u w:val="single"/>
              </w:rPr>
              <w:t xml:space="preserve"> </w:t>
            </w:r>
            <w:r w:rsidRPr="00676395">
              <w:rPr>
                <w:rFonts w:ascii="Calibri" w:hAnsi="Calibri" w:cs="Calibri"/>
                <w:spacing w:val="-1"/>
                <w:sz w:val="20"/>
                <w:szCs w:val="20"/>
                <w:u w:val="single"/>
              </w:rPr>
              <w:t>Constr</w:t>
            </w:r>
          </w:p>
        </w:tc>
        <w:tc>
          <w:tcPr>
            <w:tcW w:w="1302"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46"/>
            </w:pPr>
            <w:r w:rsidRPr="00676395">
              <w:rPr>
                <w:rFonts w:ascii="Calibri" w:hAnsi="Calibri" w:cs="Calibri"/>
                <w:sz w:val="20"/>
                <w:szCs w:val="20"/>
                <w:u w:val="single"/>
              </w:rPr>
              <w:t>Mtr,</w:t>
            </w:r>
            <w:r w:rsidRPr="00676395">
              <w:rPr>
                <w:rFonts w:ascii="Calibri" w:hAnsi="Calibri" w:cs="Calibri"/>
                <w:spacing w:val="-5"/>
                <w:sz w:val="20"/>
                <w:szCs w:val="20"/>
                <w:u w:val="single"/>
              </w:rPr>
              <w:t xml:space="preserve"> </w:t>
            </w:r>
            <w:r w:rsidRPr="00676395">
              <w:rPr>
                <w:rFonts w:ascii="Calibri" w:hAnsi="Calibri" w:cs="Calibri"/>
                <w:spacing w:val="-1"/>
                <w:sz w:val="20"/>
                <w:szCs w:val="20"/>
                <w:u w:val="single"/>
              </w:rPr>
              <w:t>Reg</w:t>
            </w:r>
            <w:r w:rsidRPr="00676395">
              <w:rPr>
                <w:rFonts w:ascii="Calibri" w:hAnsi="Calibri" w:cs="Calibri"/>
                <w:spacing w:val="-5"/>
                <w:sz w:val="20"/>
                <w:szCs w:val="20"/>
                <w:u w:val="single"/>
              </w:rPr>
              <w:t xml:space="preserve"> </w:t>
            </w:r>
            <w:r w:rsidRPr="00676395">
              <w:rPr>
                <w:rFonts w:ascii="Calibri" w:hAnsi="Calibri" w:cs="Calibri"/>
                <w:sz w:val="20"/>
                <w:szCs w:val="20"/>
                <w:u w:val="single"/>
              </w:rPr>
              <w:t>Stn</w:t>
            </w:r>
          </w:p>
        </w:tc>
        <w:tc>
          <w:tcPr>
            <w:tcW w:w="131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right="9"/>
              <w:jc w:val="center"/>
            </w:pPr>
            <w:r w:rsidRPr="00676395">
              <w:rPr>
                <w:rFonts w:ascii="Calibri" w:hAnsi="Calibri" w:cs="Calibri"/>
                <w:spacing w:val="-1"/>
                <w:sz w:val="20"/>
                <w:szCs w:val="20"/>
                <w:u w:val="single"/>
              </w:rPr>
              <w:t>Total</w:t>
            </w:r>
          </w:p>
        </w:tc>
        <w:tc>
          <w:tcPr>
            <w:tcW w:w="1329" w:type="dxa"/>
            <w:tcBorders>
              <w:top w:val="nil"/>
              <w:left w:val="nil"/>
              <w:bottom w:val="nil"/>
              <w:right w:val="single" w:sz="7" w:space="0" w:color="000000"/>
            </w:tcBorders>
          </w:tcPr>
          <w:p w:rsidR="00676395" w:rsidRPr="00676395" w:rsidRDefault="00676395" w:rsidP="00676395">
            <w:pPr>
              <w:kinsoku w:val="0"/>
              <w:overflowPunct w:val="0"/>
              <w:autoSpaceDE w:val="0"/>
              <w:autoSpaceDN w:val="0"/>
              <w:adjustRightInd w:val="0"/>
              <w:spacing w:line="231" w:lineRule="exact"/>
              <w:ind w:left="11"/>
              <w:jc w:val="center"/>
            </w:pPr>
            <w:r w:rsidRPr="00676395">
              <w:rPr>
                <w:rFonts w:ascii="Calibri" w:hAnsi="Calibri" w:cs="Calibri"/>
                <w:b/>
                <w:bCs/>
                <w:sz w:val="20"/>
                <w:szCs w:val="20"/>
                <w:u w:val="single"/>
              </w:rPr>
              <w:t>Total</w:t>
            </w:r>
          </w:p>
        </w:tc>
      </w:tr>
      <w:tr w:rsidR="00676395" w:rsidRPr="00676395" w:rsidTr="00676395">
        <w:trPr>
          <w:trHeight w:hRule="exact" w:val="256"/>
        </w:trPr>
        <w:tc>
          <w:tcPr>
            <w:tcW w:w="919" w:type="dxa"/>
            <w:tcBorders>
              <w:top w:val="nil"/>
              <w:left w:val="single" w:sz="7" w:space="0" w:color="000000"/>
              <w:bottom w:val="nil"/>
              <w:right w:val="single" w:sz="3" w:space="0" w:color="000000"/>
            </w:tcBorders>
          </w:tcPr>
          <w:p w:rsidR="00676395" w:rsidRPr="00676395" w:rsidRDefault="00676395" w:rsidP="00676395">
            <w:pPr>
              <w:kinsoku w:val="0"/>
              <w:overflowPunct w:val="0"/>
              <w:autoSpaceDE w:val="0"/>
              <w:autoSpaceDN w:val="0"/>
              <w:adjustRightInd w:val="0"/>
              <w:spacing w:line="231" w:lineRule="exact"/>
              <w:ind w:left="248"/>
            </w:pPr>
            <w:r w:rsidRPr="00676395">
              <w:rPr>
                <w:rFonts w:ascii="Calibri" w:hAnsi="Calibri" w:cs="Calibri"/>
                <w:sz w:val="20"/>
                <w:szCs w:val="20"/>
              </w:rPr>
              <w:t>2005</w:t>
            </w:r>
          </w:p>
        </w:tc>
        <w:tc>
          <w:tcPr>
            <w:tcW w:w="1345" w:type="dxa"/>
            <w:tcBorders>
              <w:top w:val="nil"/>
              <w:left w:val="single" w:sz="3" w:space="0" w:color="000000"/>
              <w:bottom w:val="nil"/>
              <w:right w:val="nil"/>
            </w:tcBorders>
          </w:tcPr>
          <w:p w:rsidR="00676395" w:rsidRPr="00676395" w:rsidRDefault="00676395" w:rsidP="00676395">
            <w:pPr>
              <w:kinsoku w:val="0"/>
              <w:overflowPunct w:val="0"/>
              <w:autoSpaceDE w:val="0"/>
              <w:autoSpaceDN w:val="0"/>
              <w:adjustRightInd w:val="0"/>
              <w:spacing w:line="231" w:lineRule="exact"/>
              <w:ind w:left="154"/>
            </w:pPr>
            <w:r w:rsidRPr="00676395">
              <w:rPr>
                <w:rFonts w:ascii="Calibri" w:hAnsi="Calibri" w:cs="Calibri"/>
                <w:color w:val="660066"/>
                <w:sz w:val="20"/>
                <w:szCs w:val="20"/>
              </w:rPr>
              <w:t>130,600,833</w:t>
            </w:r>
          </w:p>
        </w:tc>
        <w:tc>
          <w:tcPr>
            <w:tcW w:w="129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94"/>
            </w:pPr>
            <w:r w:rsidRPr="00676395">
              <w:rPr>
                <w:rFonts w:ascii="Calibri" w:hAnsi="Calibri" w:cs="Calibri"/>
                <w:color w:val="660066"/>
                <w:sz w:val="20"/>
                <w:szCs w:val="20"/>
              </w:rPr>
              <w:t>68,569,217</w:t>
            </w:r>
          </w:p>
        </w:tc>
        <w:tc>
          <w:tcPr>
            <w:tcW w:w="1353"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228"/>
            </w:pPr>
            <w:r w:rsidRPr="00676395">
              <w:rPr>
                <w:rFonts w:ascii="Calibri" w:hAnsi="Calibri" w:cs="Calibri"/>
                <w:color w:val="660066"/>
                <w:sz w:val="20"/>
                <w:szCs w:val="20"/>
              </w:rPr>
              <w:t>(3,755,464)</w:t>
            </w:r>
          </w:p>
        </w:tc>
        <w:tc>
          <w:tcPr>
            <w:tcW w:w="1302"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251"/>
            </w:pPr>
            <w:r w:rsidRPr="00676395">
              <w:rPr>
                <w:rFonts w:ascii="Calibri" w:hAnsi="Calibri" w:cs="Calibri"/>
                <w:sz w:val="20"/>
                <w:szCs w:val="20"/>
              </w:rPr>
              <w:t>4,468,683</w:t>
            </w:r>
          </w:p>
        </w:tc>
        <w:tc>
          <w:tcPr>
            <w:tcW w:w="131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46"/>
            </w:pPr>
            <w:r w:rsidRPr="00676395">
              <w:rPr>
                <w:rFonts w:ascii="Calibri" w:hAnsi="Calibri" w:cs="Calibri"/>
                <w:sz w:val="20"/>
                <w:szCs w:val="20"/>
              </w:rPr>
              <w:t>199,883,269</w:t>
            </w:r>
          </w:p>
        </w:tc>
        <w:tc>
          <w:tcPr>
            <w:tcW w:w="1329" w:type="dxa"/>
            <w:tcBorders>
              <w:top w:val="nil"/>
              <w:left w:val="nil"/>
              <w:bottom w:val="nil"/>
              <w:right w:val="single" w:sz="7" w:space="0" w:color="000000"/>
            </w:tcBorders>
          </w:tcPr>
          <w:p w:rsidR="00676395" w:rsidRPr="00676395" w:rsidRDefault="00676395" w:rsidP="00676395">
            <w:pPr>
              <w:kinsoku w:val="0"/>
              <w:overflowPunct w:val="0"/>
              <w:autoSpaceDE w:val="0"/>
              <w:autoSpaceDN w:val="0"/>
              <w:adjustRightInd w:val="0"/>
              <w:spacing w:line="231" w:lineRule="exact"/>
              <w:ind w:left="159"/>
            </w:pPr>
            <w:r w:rsidRPr="00676395">
              <w:rPr>
                <w:rFonts w:ascii="Calibri" w:hAnsi="Calibri" w:cs="Calibri"/>
                <w:sz w:val="20"/>
                <w:szCs w:val="20"/>
              </w:rPr>
              <w:t>199,883,269</w:t>
            </w:r>
          </w:p>
        </w:tc>
      </w:tr>
      <w:tr w:rsidR="00676395" w:rsidRPr="00676395" w:rsidTr="00676395">
        <w:trPr>
          <w:trHeight w:hRule="exact" w:val="256"/>
        </w:trPr>
        <w:tc>
          <w:tcPr>
            <w:tcW w:w="919" w:type="dxa"/>
            <w:tcBorders>
              <w:top w:val="nil"/>
              <w:left w:val="single" w:sz="7" w:space="0" w:color="000000"/>
              <w:bottom w:val="nil"/>
              <w:right w:val="single" w:sz="3" w:space="0" w:color="000000"/>
            </w:tcBorders>
          </w:tcPr>
          <w:p w:rsidR="00676395" w:rsidRPr="00676395" w:rsidRDefault="00676395" w:rsidP="00676395">
            <w:pPr>
              <w:kinsoku w:val="0"/>
              <w:overflowPunct w:val="0"/>
              <w:autoSpaceDE w:val="0"/>
              <w:autoSpaceDN w:val="0"/>
              <w:adjustRightInd w:val="0"/>
              <w:spacing w:line="232" w:lineRule="exact"/>
              <w:ind w:left="248"/>
            </w:pPr>
            <w:r w:rsidRPr="00676395">
              <w:rPr>
                <w:rFonts w:ascii="Calibri" w:hAnsi="Calibri" w:cs="Calibri"/>
                <w:sz w:val="20"/>
                <w:szCs w:val="20"/>
              </w:rPr>
              <w:t>2006</w:t>
            </w:r>
          </w:p>
        </w:tc>
        <w:tc>
          <w:tcPr>
            <w:tcW w:w="1345" w:type="dxa"/>
            <w:tcBorders>
              <w:top w:val="nil"/>
              <w:left w:val="single" w:sz="3" w:space="0" w:color="000000"/>
              <w:bottom w:val="nil"/>
              <w:right w:val="nil"/>
            </w:tcBorders>
          </w:tcPr>
          <w:p w:rsidR="00676395" w:rsidRPr="00676395" w:rsidRDefault="00676395" w:rsidP="00676395">
            <w:pPr>
              <w:kinsoku w:val="0"/>
              <w:overflowPunct w:val="0"/>
              <w:autoSpaceDE w:val="0"/>
              <w:autoSpaceDN w:val="0"/>
              <w:adjustRightInd w:val="0"/>
              <w:spacing w:line="232" w:lineRule="exact"/>
              <w:ind w:left="154"/>
            </w:pPr>
            <w:r w:rsidRPr="00676395">
              <w:rPr>
                <w:rFonts w:ascii="Calibri" w:hAnsi="Calibri" w:cs="Calibri"/>
                <w:color w:val="660066"/>
                <w:sz w:val="20"/>
                <w:szCs w:val="20"/>
              </w:rPr>
              <w:t>140,308,251</w:t>
            </w:r>
          </w:p>
        </w:tc>
        <w:tc>
          <w:tcPr>
            <w:tcW w:w="129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2" w:lineRule="exact"/>
              <w:ind w:left="194"/>
            </w:pPr>
            <w:r w:rsidRPr="00676395">
              <w:rPr>
                <w:rFonts w:ascii="Calibri" w:hAnsi="Calibri" w:cs="Calibri"/>
                <w:color w:val="660066"/>
                <w:sz w:val="20"/>
                <w:szCs w:val="20"/>
              </w:rPr>
              <w:t>75,974,323</w:t>
            </w:r>
          </w:p>
        </w:tc>
        <w:tc>
          <w:tcPr>
            <w:tcW w:w="1353"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2" w:lineRule="exact"/>
              <w:ind w:left="178"/>
            </w:pPr>
            <w:r w:rsidRPr="00676395">
              <w:rPr>
                <w:rFonts w:ascii="Calibri" w:hAnsi="Calibri" w:cs="Calibri"/>
                <w:color w:val="660066"/>
                <w:sz w:val="20"/>
                <w:szCs w:val="20"/>
              </w:rPr>
              <w:t>(16,001,924)</w:t>
            </w:r>
          </w:p>
        </w:tc>
        <w:tc>
          <w:tcPr>
            <w:tcW w:w="1302"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2" w:lineRule="exact"/>
              <w:ind w:left="251"/>
            </w:pPr>
            <w:r w:rsidRPr="00676395">
              <w:rPr>
                <w:rFonts w:ascii="Calibri" w:hAnsi="Calibri" w:cs="Calibri"/>
                <w:sz w:val="20"/>
                <w:szCs w:val="20"/>
              </w:rPr>
              <w:t>9,609,107</w:t>
            </w:r>
          </w:p>
        </w:tc>
        <w:tc>
          <w:tcPr>
            <w:tcW w:w="131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2" w:lineRule="exact"/>
              <w:ind w:left="146"/>
            </w:pPr>
            <w:r w:rsidRPr="00676395">
              <w:rPr>
                <w:rFonts w:ascii="Calibri" w:hAnsi="Calibri" w:cs="Calibri"/>
                <w:sz w:val="20"/>
                <w:szCs w:val="20"/>
              </w:rPr>
              <w:t>209,889,757</w:t>
            </w:r>
          </w:p>
        </w:tc>
        <w:tc>
          <w:tcPr>
            <w:tcW w:w="1329" w:type="dxa"/>
            <w:tcBorders>
              <w:top w:val="nil"/>
              <w:left w:val="nil"/>
              <w:bottom w:val="nil"/>
              <w:right w:val="single" w:sz="7" w:space="0" w:color="000000"/>
            </w:tcBorders>
          </w:tcPr>
          <w:p w:rsidR="00676395" w:rsidRPr="00676395" w:rsidRDefault="00676395" w:rsidP="00676395">
            <w:pPr>
              <w:kinsoku w:val="0"/>
              <w:overflowPunct w:val="0"/>
              <w:autoSpaceDE w:val="0"/>
              <w:autoSpaceDN w:val="0"/>
              <w:adjustRightInd w:val="0"/>
              <w:spacing w:line="232" w:lineRule="exact"/>
              <w:ind w:left="159"/>
            </w:pPr>
            <w:r w:rsidRPr="00676395">
              <w:rPr>
                <w:rFonts w:ascii="Calibri" w:hAnsi="Calibri" w:cs="Calibri"/>
                <w:sz w:val="20"/>
                <w:szCs w:val="20"/>
              </w:rPr>
              <w:t>409,773,026</w:t>
            </w:r>
          </w:p>
        </w:tc>
      </w:tr>
      <w:tr w:rsidR="00676395" w:rsidRPr="00676395" w:rsidTr="00676395">
        <w:trPr>
          <w:trHeight w:hRule="exact" w:val="254"/>
        </w:trPr>
        <w:tc>
          <w:tcPr>
            <w:tcW w:w="919" w:type="dxa"/>
            <w:tcBorders>
              <w:top w:val="nil"/>
              <w:left w:val="single" w:sz="7" w:space="0" w:color="000000"/>
              <w:bottom w:val="nil"/>
              <w:right w:val="single" w:sz="3" w:space="0" w:color="000000"/>
            </w:tcBorders>
          </w:tcPr>
          <w:p w:rsidR="00676395" w:rsidRPr="00676395" w:rsidRDefault="00676395" w:rsidP="00676395">
            <w:pPr>
              <w:kinsoku w:val="0"/>
              <w:overflowPunct w:val="0"/>
              <w:autoSpaceDE w:val="0"/>
              <w:autoSpaceDN w:val="0"/>
              <w:adjustRightInd w:val="0"/>
              <w:spacing w:line="231" w:lineRule="exact"/>
              <w:ind w:left="248"/>
            </w:pPr>
            <w:r w:rsidRPr="00676395">
              <w:rPr>
                <w:rFonts w:ascii="Calibri" w:hAnsi="Calibri" w:cs="Calibri"/>
                <w:sz w:val="20"/>
                <w:szCs w:val="20"/>
              </w:rPr>
              <w:t>2007</w:t>
            </w:r>
          </w:p>
        </w:tc>
        <w:tc>
          <w:tcPr>
            <w:tcW w:w="1345" w:type="dxa"/>
            <w:tcBorders>
              <w:top w:val="nil"/>
              <w:left w:val="single" w:sz="3" w:space="0" w:color="000000"/>
              <w:bottom w:val="nil"/>
              <w:right w:val="nil"/>
            </w:tcBorders>
          </w:tcPr>
          <w:p w:rsidR="00676395" w:rsidRPr="00676395" w:rsidRDefault="00676395" w:rsidP="00676395">
            <w:pPr>
              <w:kinsoku w:val="0"/>
              <w:overflowPunct w:val="0"/>
              <w:autoSpaceDE w:val="0"/>
              <w:autoSpaceDN w:val="0"/>
              <w:adjustRightInd w:val="0"/>
              <w:spacing w:line="231" w:lineRule="exact"/>
              <w:ind w:left="205"/>
            </w:pPr>
            <w:r w:rsidRPr="00676395">
              <w:rPr>
                <w:rFonts w:ascii="Calibri" w:hAnsi="Calibri" w:cs="Calibri"/>
                <w:color w:val="660066"/>
                <w:sz w:val="20"/>
                <w:szCs w:val="20"/>
              </w:rPr>
              <w:t>97,059,456</w:t>
            </w:r>
          </w:p>
        </w:tc>
        <w:tc>
          <w:tcPr>
            <w:tcW w:w="129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94"/>
            </w:pPr>
            <w:r w:rsidRPr="00676395">
              <w:rPr>
                <w:rFonts w:ascii="Calibri" w:hAnsi="Calibri" w:cs="Calibri"/>
                <w:color w:val="660066"/>
                <w:sz w:val="20"/>
                <w:szCs w:val="20"/>
              </w:rPr>
              <w:t>47,815,313</w:t>
            </w:r>
          </w:p>
        </w:tc>
        <w:tc>
          <w:tcPr>
            <w:tcW w:w="1353"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305"/>
            </w:pPr>
            <w:r w:rsidRPr="00676395">
              <w:rPr>
                <w:rFonts w:ascii="Calibri" w:hAnsi="Calibri" w:cs="Calibri"/>
                <w:color w:val="660066"/>
                <w:sz w:val="20"/>
                <w:szCs w:val="20"/>
              </w:rPr>
              <w:t>(170,565)</w:t>
            </w:r>
          </w:p>
        </w:tc>
        <w:tc>
          <w:tcPr>
            <w:tcW w:w="1302"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251"/>
            </w:pPr>
            <w:r w:rsidRPr="00676395">
              <w:rPr>
                <w:rFonts w:ascii="Calibri" w:hAnsi="Calibri" w:cs="Calibri"/>
                <w:sz w:val="20"/>
                <w:szCs w:val="20"/>
              </w:rPr>
              <w:t>5,959,329</w:t>
            </w:r>
          </w:p>
        </w:tc>
        <w:tc>
          <w:tcPr>
            <w:tcW w:w="131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46"/>
            </w:pPr>
            <w:r w:rsidRPr="00676395">
              <w:rPr>
                <w:rFonts w:ascii="Calibri" w:hAnsi="Calibri" w:cs="Calibri"/>
                <w:sz w:val="20"/>
                <w:szCs w:val="20"/>
              </w:rPr>
              <w:t>150,663,533</w:t>
            </w:r>
          </w:p>
        </w:tc>
        <w:tc>
          <w:tcPr>
            <w:tcW w:w="1329" w:type="dxa"/>
            <w:tcBorders>
              <w:top w:val="nil"/>
              <w:left w:val="nil"/>
              <w:bottom w:val="nil"/>
              <w:right w:val="single" w:sz="7" w:space="0" w:color="000000"/>
            </w:tcBorders>
          </w:tcPr>
          <w:p w:rsidR="00676395" w:rsidRPr="00676395" w:rsidRDefault="00676395" w:rsidP="00676395">
            <w:pPr>
              <w:kinsoku w:val="0"/>
              <w:overflowPunct w:val="0"/>
              <w:autoSpaceDE w:val="0"/>
              <w:autoSpaceDN w:val="0"/>
              <w:adjustRightInd w:val="0"/>
              <w:spacing w:line="231" w:lineRule="exact"/>
              <w:ind w:left="159"/>
            </w:pPr>
            <w:r w:rsidRPr="00676395">
              <w:rPr>
                <w:rFonts w:ascii="Calibri" w:hAnsi="Calibri" w:cs="Calibri"/>
                <w:sz w:val="20"/>
                <w:szCs w:val="20"/>
              </w:rPr>
              <w:t>560,436,559</w:t>
            </w:r>
          </w:p>
        </w:tc>
      </w:tr>
      <w:tr w:rsidR="00676395" w:rsidRPr="00676395" w:rsidTr="00676395">
        <w:trPr>
          <w:trHeight w:hRule="exact" w:val="254"/>
        </w:trPr>
        <w:tc>
          <w:tcPr>
            <w:tcW w:w="919" w:type="dxa"/>
            <w:tcBorders>
              <w:top w:val="nil"/>
              <w:left w:val="single" w:sz="7" w:space="0" w:color="000000"/>
              <w:bottom w:val="nil"/>
              <w:right w:val="single" w:sz="3" w:space="0" w:color="000000"/>
            </w:tcBorders>
          </w:tcPr>
          <w:p w:rsidR="00676395" w:rsidRPr="00676395" w:rsidRDefault="00676395" w:rsidP="00676395">
            <w:pPr>
              <w:kinsoku w:val="0"/>
              <w:overflowPunct w:val="0"/>
              <w:autoSpaceDE w:val="0"/>
              <w:autoSpaceDN w:val="0"/>
              <w:adjustRightInd w:val="0"/>
              <w:spacing w:line="231" w:lineRule="exact"/>
              <w:ind w:left="248"/>
            </w:pPr>
            <w:r w:rsidRPr="00676395">
              <w:rPr>
                <w:rFonts w:ascii="Calibri" w:hAnsi="Calibri" w:cs="Calibri"/>
                <w:sz w:val="20"/>
                <w:szCs w:val="20"/>
              </w:rPr>
              <w:t>2008</w:t>
            </w:r>
          </w:p>
        </w:tc>
        <w:tc>
          <w:tcPr>
            <w:tcW w:w="1345" w:type="dxa"/>
            <w:tcBorders>
              <w:top w:val="nil"/>
              <w:left w:val="single" w:sz="3" w:space="0" w:color="000000"/>
              <w:bottom w:val="nil"/>
              <w:right w:val="nil"/>
            </w:tcBorders>
          </w:tcPr>
          <w:p w:rsidR="00676395" w:rsidRPr="00676395" w:rsidRDefault="00676395" w:rsidP="00676395">
            <w:pPr>
              <w:kinsoku w:val="0"/>
              <w:overflowPunct w:val="0"/>
              <w:autoSpaceDE w:val="0"/>
              <w:autoSpaceDN w:val="0"/>
              <w:adjustRightInd w:val="0"/>
              <w:spacing w:line="231" w:lineRule="exact"/>
              <w:ind w:left="205"/>
            </w:pPr>
            <w:r w:rsidRPr="00676395">
              <w:rPr>
                <w:rFonts w:ascii="Calibri" w:hAnsi="Calibri" w:cs="Calibri"/>
                <w:color w:val="660066"/>
                <w:sz w:val="20"/>
                <w:szCs w:val="20"/>
              </w:rPr>
              <w:t>29,741,732</w:t>
            </w:r>
          </w:p>
        </w:tc>
        <w:tc>
          <w:tcPr>
            <w:tcW w:w="129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94"/>
            </w:pPr>
            <w:r w:rsidRPr="00676395">
              <w:rPr>
                <w:rFonts w:ascii="Calibri" w:hAnsi="Calibri" w:cs="Calibri"/>
                <w:color w:val="660066"/>
                <w:sz w:val="20"/>
                <w:szCs w:val="20"/>
              </w:rPr>
              <w:t>47,542,052</w:t>
            </w:r>
          </w:p>
        </w:tc>
        <w:tc>
          <w:tcPr>
            <w:tcW w:w="1353"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305"/>
            </w:pPr>
            <w:r w:rsidRPr="00676395">
              <w:rPr>
                <w:rFonts w:ascii="Calibri" w:hAnsi="Calibri" w:cs="Calibri"/>
                <w:color w:val="660066"/>
                <w:sz w:val="20"/>
                <w:szCs w:val="20"/>
              </w:rPr>
              <w:t>(391,549)</w:t>
            </w:r>
          </w:p>
        </w:tc>
        <w:tc>
          <w:tcPr>
            <w:tcW w:w="1302"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251"/>
            </w:pPr>
            <w:r w:rsidRPr="00676395">
              <w:rPr>
                <w:rFonts w:ascii="Calibri" w:hAnsi="Calibri" w:cs="Calibri"/>
                <w:sz w:val="20"/>
                <w:szCs w:val="20"/>
              </w:rPr>
              <w:t>6,948,113</w:t>
            </w:r>
          </w:p>
        </w:tc>
        <w:tc>
          <w:tcPr>
            <w:tcW w:w="131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96"/>
            </w:pPr>
            <w:r w:rsidRPr="00676395">
              <w:rPr>
                <w:rFonts w:ascii="Calibri" w:hAnsi="Calibri" w:cs="Calibri"/>
                <w:sz w:val="20"/>
                <w:szCs w:val="20"/>
              </w:rPr>
              <w:t>83,840,348</w:t>
            </w:r>
          </w:p>
        </w:tc>
        <w:tc>
          <w:tcPr>
            <w:tcW w:w="1329" w:type="dxa"/>
            <w:tcBorders>
              <w:top w:val="nil"/>
              <w:left w:val="nil"/>
              <w:bottom w:val="nil"/>
              <w:right w:val="single" w:sz="7" w:space="0" w:color="000000"/>
            </w:tcBorders>
          </w:tcPr>
          <w:p w:rsidR="00676395" w:rsidRPr="00676395" w:rsidRDefault="00676395" w:rsidP="00676395">
            <w:pPr>
              <w:kinsoku w:val="0"/>
              <w:overflowPunct w:val="0"/>
              <w:autoSpaceDE w:val="0"/>
              <w:autoSpaceDN w:val="0"/>
              <w:adjustRightInd w:val="0"/>
              <w:spacing w:line="231" w:lineRule="exact"/>
              <w:ind w:left="159"/>
            </w:pPr>
            <w:r w:rsidRPr="00676395">
              <w:rPr>
                <w:rFonts w:ascii="Calibri" w:hAnsi="Calibri" w:cs="Calibri"/>
                <w:sz w:val="20"/>
                <w:szCs w:val="20"/>
              </w:rPr>
              <w:t>644,276,907</w:t>
            </w:r>
          </w:p>
        </w:tc>
      </w:tr>
      <w:tr w:rsidR="00676395" w:rsidRPr="00676395" w:rsidTr="00676395">
        <w:trPr>
          <w:trHeight w:hRule="exact" w:val="256"/>
        </w:trPr>
        <w:tc>
          <w:tcPr>
            <w:tcW w:w="919" w:type="dxa"/>
            <w:tcBorders>
              <w:top w:val="nil"/>
              <w:left w:val="single" w:sz="7" w:space="0" w:color="000000"/>
              <w:bottom w:val="nil"/>
              <w:right w:val="single" w:sz="3" w:space="0" w:color="000000"/>
            </w:tcBorders>
          </w:tcPr>
          <w:p w:rsidR="00676395" w:rsidRPr="00676395" w:rsidRDefault="00676395" w:rsidP="00676395">
            <w:pPr>
              <w:kinsoku w:val="0"/>
              <w:overflowPunct w:val="0"/>
              <w:autoSpaceDE w:val="0"/>
              <w:autoSpaceDN w:val="0"/>
              <w:adjustRightInd w:val="0"/>
              <w:spacing w:line="231" w:lineRule="exact"/>
              <w:ind w:left="248"/>
            </w:pPr>
            <w:r w:rsidRPr="00676395">
              <w:rPr>
                <w:rFonts w:ascii="Calibri" w:hAnsi="Calibri" w:cs="Calibri"/>
                <w:sz w:val="20"/>
                <w:szCs w:val="20"/>
              </w:rPr>
              <w:t>2009</w:t>
            </w:r>
          </w:p>
        </w:tc>
        <w:tc>
          <w:tcPr>
            <w:tcW w:w="1345" w:type="dxa"/>
            <w:tcBorders>
              <w:top w:val="nil"/>
              <w:left w:val="single" w:sz="3" w:space="0" w:color="000000"/>
              <w:bottom w:val="nil"/>
              <w:right w:val="nil"/>
            </w:tcBorders>
          </w:tcPr>
          <w:p w:rsidR="00676395" w:rsidRPr="00676395" w:rsidRDefault="00676395" w:rsidP="00676395">
            <w:pPr>
              <w:kinsoku w:val="0"/>
              <w:overflowPunct w:val="0"/>
              <w:autoSpaceDE w:val="0"/>
              <w:autoSpaceDN w:val="0"/>
              <w:adjustRightInd w:val="0"/>
              <w:spacing w:line="231" w:lineRule="exact"/>
              <w:ind w:left="205"/>
            </w:pPr>
            <w:r w:rsidRPr="00676395">
              <w:rPr>
                <w:rFonts w:ascii="Calibri" w:hAnsi="Calibri" w:cs="Calibri"/>
                <w:color w:val="660066"/>
                <w:sz w:val="20"/>
                <w:szCs w:val="20"/>
              </w:rPr>
              <w:t>15,311,812</w:t>
            </w:r>
          </w:p>
        </w:tc>
        <w:tc>
          <w:tcPr>
            <w:tcW w:w="129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94"/>
            </w:pPr>
            <w:r w:rsidRPr="00676395">
              <w:rPr>
                <w:rFonts w:ascii="Calibri" w:hAnsi="Calibri" w:cs="Calibri"/>
                <w:color w:val="660066"/>
                <w:sz w:val="20"/>
                <w:szCs w:val="20"/>
              </w:rPr>
              <w:t>36,443,478</w:t>
            </w:r>
          </w:p>
        </w:tc>
        <w:tc>
          <w:tcPr>
            <w:tcW w:w="1353"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305"/>
            </w:pPr>
            <w:r w:rsidRPr="00676395">
              <w:rPr>
                <w:rFonts w:ascii="Calibri" w:hAnsi="Calibri" w:cs="Calibri"/>
                <w:color w:val="660066"/>
                <w:sz w:val="20"/>
                <w:szCs w:val="20"/>
              </w:rPr>
              <w:t>(313,498)</w:t>
            </w:r>
          </w:p>
        </w:tc>
        <w:tc>
          <w:tcPr>
            <w:tcW w:w="1302"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251"/>
            </w:pPr>
            <w:r w:rsidRPr="00676395">
              <w:rPr>
                <w:rFonts w:ascii="Calibri" w:hAnsi="Calibri" w:cs="Calibri"/>
                <w:sz w:val="20"/>
                <w:szCs w:val="20"/>
              </w:rPr>
              <w:t>4,350,817</w:t>
            </w:r>
          </w:p>
        </w:tc>
        <w:tc>
          <w:tcPr>
            <w:tcW w:w="131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96"/>
            </w:pPr>
            <w:r w:rsidRPr="00676395">
              <w:rPr>
                <w:rFonts w:ascii="Calibri" w:hAnsi="Calibri" w:cs="Calibri"/>
                <w:sz w:val="20"/>
                <w:szCs w:val="20"/>
              </w:rPr>
              <w:t>55,792,608</w:t>
            </w:r>
          </w:p>
        </w:tc>
        <w:tc>
          <w:tcPr>
            <w:tcW w:w="1329" w:type="dxa"/>
            <w:tcBorders>
              <w:top w:val="nil"/>
              <w:left w:val="nil"/>
              <w:bottom w:val="nil"/>
              <w:right w:val="single" w:sz="7" w:space="0" w:color="000000"/>
            </w:tcBorders>
          </w:tcPr>
          <w:p w:rsidR="00676395" w:rsidRPr="00676395" w:rsidRDefault="00676395" w:rsidP="00676395">
            <w:pPr>
              <w:kinsoku w:val="0"/>
              <w:overflowPunct w:val="0"/>
              <w:autoSpaceDE w:val="0"/>
              <w:autoSpaceDN w:val="0"/>
              <w:adjustRightInd w:val="0"/>
              <w:spacing w:line="231" w:lineRule="exact"/>
              <w:ind w:left="159"/>
            </w:pPr>
            <w:r w:rsidRPr="00676395">
              <w:rPr>
                <w:rFonts w:ascii="Calibri" w:hAnsi="Calibri" w:cs="Calibri"/>
                <w:sz w:val="20"/>
                <w:szCs w:val="20"/>
              </w:rPr>
              <w:t>700,069,515</w:t>
            </w:r>
          </w:p>
        </w:tc>
      </w:tr>
      <w:tr w:rsidR="00676395" w:rsidRPr="00676395" w:rsidTr="00676395">
        <w:trPr>
          <w:trHeight w:hRule="exact" w:val="256"/>
        </w:trPr>
        <w:tc>
          <w:tcPr>
            <w:tcW w:w="919" w:type="dxa"/>
            <w:tcBorders>
              <w:top w:val="nil"/>
              <w:left w:val="single" w:sz="7" w:space="0" w:color="000000"/>
              <w:bottom w:val="nil"/>
              <w:right w:val="single" w:sz="3" w:space="0" w:color="000000"/>
            </w:tcBorders>
          </w:tcPr>
          <w:p w:rsidR="00676395" w:rsidRPr="00676395" w:rsidRDefault="00676395" w:rsidP="00676395">
            <w:pPr>
              <w:kinsoku w:val="0"/>
              <w:overflowPunct w:val="0"/>
              <w:autoSpaceDE w:val="0"/>
              <w:autoSpaceDN w:val="0"/>
              <w:adjustRightInd w:val="0"/>
              <w:spacing w:line="232" w:lineRule="exact"/>
              <w:ind w:left="248"/>
            </w:pPr>
            <w:r w:rsidRPr="00676395">
              <w:rPr>
                <w:rFonts w:ascii="Calibri" w:hAnsi="Calibri" w:cs="Calibri"/>
                <w:sz w:val="20"/>
                <w:szCs w:val="20"/>
              </w:rPr>
              <w:t>2010</w:t>
            </w:r>
          </w:p>
        </w:tc>
        <w:tc>
          <w:tcPr>
            <w:tcW w:w="1345" w:type="dxa"/>
            <w:tcBorders>
              <w:top w:val="nil"/>
              <w:left w:val="single" w:sz="3" w:space="0" w:color="000000"/>
              <w:bottom w:val="nil"/>
              <w:right w:val="nil"/>
            </w:tcBorders>
          </w:tcPr>
          <w:p w:rsidR="00676395" w:rsidRPr="00676395" w:rsidRDefault="00676395" w:rsidP="00676395">
            <w:pPr>
              <w:kinsoku w:val="0"/>
              <w:overflowPunct w:val="0"/>
              <w:autoSpaceDE w:val="0"/>
              <w:autoSpaceDN w:val="0"/>
              <w:adjustRightInd w:val="0"/>
              <w:spacing w:line="232" w:lineRule="exact"/>
              <w:ind w:left="258"/>
            </w:pPr>
            <w:r w:rsidRPr="00676395">
              <w:rPr>
                <w:rFonts w:ascii="Calibri" w:hAnsi="Calibri" w:cs="Calibri"/>
                <w:color w:val="660066"/>
                <w:sz w:val="20"/>
                <w:szCs w:val="20"/>
              </w:rPr>
              <w:t>9,949,237</w:t>
            </w:r>
          </w:p>
        </w:tc>
        <w:tc>
          <w:tcPr>
            <w:tcW w:w="129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2" w:lineRule="exact"/>
              <w:ind w:left="194"/>
            </w:pPr>
            <w:r w:rsidRPr="00676395">
              <w:rPr>
                <w:rFonts w:ascii="Calibri" w:hAnsi="Calibri" w:cs="Calibri"/>
                <w:color w:val="660066"/>
                <w:sz w:val="20"/>
                <w:szCs w:val="20"/>
              </w:rPr>
              <w:t>34,403,550</w:t>
            </w:r>
          </w:p>
        </w:tc>
        <w:tc>
          <w:tcPr>
            <w:tcW w:w="1353"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2" w:lineRule="exact"/>
              <w:ind w:left="305"/>
            </w:pPr>
            <w:r w:rsidRPr="00676395">
              <w:rPr>
                <w:rFonts w:ascii="Calibri" w:hAnsi="Calibri" w:cs="Calibri"/>
                <w:color w:val="660066"/>
                <w:sz w:val="20"/>
                <w:szCs w:val="20"/>
              </w:rPr>
              <w:t>(734,630)</w:t>
            </w:r>
          </w:p>
        </w:tc>
        <w:tc>
          <w:tcPr>
            <w:tcW w:w="1302"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2" w:lineRule="exact"/>
              <w:ind w:left="251"/>
            </w:pPr>
            <w:r w:rsidRPr="00676395">
              <w:rPr>
                <w:rFonts w:ascii="Calibri" w:hAnsi="Calibri" w:cs="Calibri"/>
                <w:sz w:val="20"/>
                <w:szCs w:val="20"/>
              </w:rPr>
              <w:t>5,742,870</w:t>
            </w:r>
          </w:p>
        </w:tc>
        <w:tc>
          <w:tcPr>
            <w:tcW w:w="131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2" w:lineRule="exact"/>
              <w:ind w:left="196"/>
            </w:pPr>
            <w:r w:rsidRPr="00676395">
              <w:rPr>
                <w:rFonts w:ascii="Calibri" w:hAnsi="Calibri" w:cs="Calibri"/>
                <w:sz w:val="20"/>
                <w:szCs w:val="20"/>
              </w:rPr>
              <w:t>49,361,027</w:t>
            </w:r>
          </w:p>
        </w:tc>
        <w:tc>
          <w:tcPr>
            <w:tcW w:w="1329" w:type="dxa"/>
            <w:tcBorders>
              <w:top w:val="nil"/>
              <w:left w:val="nil"/>
              <w:bottom w:val="nil"/>
              <w:right w:val="single" w:sz="7" w:space="0" w:color="000000"/>
            </w:tcBorders>
          </w:tcPr>
          <w:p w:rsidR="00676395" w:rsidRPr="00676395" w:rsidRDefault="00676395" w:rsidP="00676395">
            <w:pPr>
              <w:kinsoku w:val="0"/>
              <w:overflowPunct w:val="0"/>
              <w:autoSpaceDE w:val="0"/>
              <w:autoSpaceDN w:val="0"/>
              <w:adjustRightInd w:val="0"/>
              <w:spacing w:line="232" w:lineRule="exact"/>
              <w:ind w:left="159"/>
            </w:pPr>
            <w:r w:rsidRPr="00676395">
              <w:rPr>
                <w:rFonts w:ascii="Calibri" w:hAnsi="Calibri" w:cs="Calibri"/>
                <w:sz w:val="20"/>
                <w:szCs w:val="20"/>
              </w:rPr>
              <w:t>749,430,542</w:t>
            </w:r>
          </w:p>
        </w:tc>
      </w:tr>
      <w:tr w:rsidR="00676395" w:rsidRPr="00676395" w:rsidTr="00676395">
        <w:trPr>
          <w:trHeight w:hRule="exact" w:val="254"/>
        </w:trPr>
        <w:tc>
          <w:tcPr>
            <w:tcW w:w="919" w:type="dxa"/>
            <w:tcBorders>
              <w:top w:val="nil"/>
              <w:left w:val="single" w:sz="7" w:space="0" w:color="000000"/>
              <w:bottom w:val="nil"/>
              <w:right w:val="single" w:sz="3" w:space="0" w:color="000000"/>
            </w:tcBorders>
          </w:tcPr>
          <w:p w:rsidR="00676395" w:rsidRPr="00676395" w:rsidRDefault="00676395" w:rsidP="00676395">
            <w:pPr>
              <w:kinsoku w:val="0"/>
              <w:overflowPunct w:val="0"/>
              <w:autoSpaceDE w:val="0"/>
              <w:autoSpaceDN w:val="0"/>
              <w:adjustRightInd w:val="0"/>
              <w:spacing w:line="231" w:lineRule="exact"/>
              <w:ind w:left="248"/>
            </w:pPr>
            <w:r w:rsidRPr="00676395">
              <w:rPr>
                <w:rFonts w:ascii="Calibri" w:hAnsi="Calibri" w:cs="Calibri"/>
                <w:sz w:val="20"/>
                <w:szCs w:val="20"/>
              </w:rPr>
              <w:t>2011</w:t>
            </w:r>
          </w:p>
        </w:tc>
        <w:tc>
          <w:tcPr>
            <w:tcW w:w="1345" w:type="dxa"/>
            <w:tcBorders>
              <w:top w:val="nil"/>
              <w:left w:val="single" w:sz="3" w:space="0" w:color="000000"/>
              <w:bottom w:val="nil"/>
              <w:right w:val="nil"/>
            </w:tcBorders>
          </w:tcPr>
          <w:p w:rsidR="00676395" w:rsidRPr="00676395" w:rsidRDefault="00676395" w:rsidP="00676395">
            <w:pPr>
              <w:kinsoku w:val="0"/>
              <w:overflowPunct w:val="0"/>
              <w:autoSpaceDE w:val="0"/>
              <w:autoSpaceDN w:val="0"/>
              <w:adjustRightInd w:val="0"/>
              <w:spacing w:line="231" w:lineRule="exact"/>
              <w:ind w:left="205"/>
            </w:pPr>
            <w:r w:rsidRPr="00676395">
              <w:rPr>
                <w:rFonts w:ascii="Calibri" w:hAnsi="Calibri" w:cs="Calibri"/>
                <w:color w:val="660066"/>
                <w:sz w:val="20"/>
                <w:szCs w:val="20"/>
              </w:rPr>
              <w:t>12,421,550</w:t>
            </w:r>
          </w:p>
        </w:tc>
        <w:tc>
          <w:tcPr>
            <w:tcW w:w="129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247"/>
            </w:pPr>
            <w:r w:rsidRPr="00676395">
              <w:rPr>
                <w:rFonts w:ascii="Calibri" w:hAnsi="Calibri" w:cs="Calibri"/>
                <w:color w:val="660066"/>
                <w:sz w:val="20"/>
                <w:szCs w:val="20"/>
              </w:rPr>
              <w:t>5,698,970</w:t>
            </w:r>
          </w:p>
        </w:tc>
        <w:tc>
          <w:tcPr>
            <w:tcW w:w="1353"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36"/>
              <w:jc w:val="center"/>
            </w:pPr>
            <w:r w:rsidRPr="00676395">
              <w:rPr>
                <w:rFonts w:ascii="Calibri" w:hAnsi="Calibri" w:cs="Calibri"/>
                <w:color w:val="660066"/>
                <w:sz w:val="20"/>
                <w:szCs w:val="20"/>
              </w:rPr>
              <w:t>0</w:t>
            </w:r>
          </w:p>
        </w:tc>
        <w:tc>
          <w:tcPr>
            <w:tcW w:w="1302"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251"/>
            </w:pPr>
            <w:r w:rsidRPr="00676395">
              <w:rPr>
                <w:rFonts w:ascii="Calibri" w:hAnsi="Calibri" w:cs="Calibri"/>
                <w:sz w:val="20"/>
                <w:szCs w:val="20"/>
              </w:rPr>
              <w:t>7,429,092</w:t>
            </w:r>
          </w:p>
        </w:tc>
        <w:tc>
          <w:tcPr>
            <w:tcW w:w="131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96"/>
            </w:pPr>
            <w:r w:rsidRPr="00676395">
              <w:rPr>
                <w:rFonts w:ascii="Calibri" w:hAnsi="Calibri" w:cs="Calibri"/>
                <w:sz w:val="20"/>
                <w:szCs w:val="20"/>
              </w:rPr>
              <w:t>25,549,612</w:t>
            </w:r>
          </w:p>
        </w:tc>
        <w:tc>
          <w:tcPr>
            <w:tcW w:w="1329" w:type="dxa"/>
            <w:tcBorders>
              <w:top w:val="nil"/>
              <w:left w:val="nil"/>
              <w:bottom w:val="nil"/>
              <w:right w:val="single" w:sz="7" w:space="0" w:color="000000"/>
            </w:tcBorders>
          </w:tcPr>
          <w:p w:rsidR="00676395" w:rsidRPr="00676395" w:rsidRDefault="00676395" w:rsidP="00676395">
            <w:pPr>
              <w:kinsoku w:val="0"/>
              <w:overflowPunct w:val="0"/>
              <w:autoSpaceDE w:val="0"/>
              <w:autoSpaceDN w:val="0"/>
              <w:adjustRightInd w:val="0"/>
              <w:spacing w:line="231" w:lineRule="exact"/>
              <w:ind w:left="159"/>
            </w:pPr>
            <w:r w:rsidRPr="00676395">
              <w:rPr>
                <w:rFonts w:ascii="Calibri" w:hAnsi="Calibri" w:cs="Calibri"/>
                <w:sz w:val="20"/>
                <w:szCs w:val="20"/>
              </w:rPr>
              <w:t>774,980,154</w:t>
            </w:r>
          </w:p>
        </w:tc>
      </w:tr>
      <w:tr w:rsidR="00676395" w:rsidRPr="00676395" w:rsidTr="00676395">
        <w:trPr>
          <w:trHeight w:hRule="exact" w:val="254"/>
        </w:trPr>
        <w:tc>
          <w:tcPr>
            <w:tcW w:w="919" w:type="dxa"/>
            <w:tcBorders>
              <w:top w:val="nil"/>
              <w:left w:val="single" w:sz="7" w:space="0" w:color="000000"/>
              <w:bottom w:val="nil"/>
              <w:right w:val="single" w:sz="3" w:space="0" w:color="000000"/>
            </w:tcBorders>
          </w:tcPr>
          <w:p w:rsidR="00676395" w:rsidRPr="00676395" w:rsidRDefault="00676395" w:rsidP="00676395">
            <w:pPr>
              <w:kinsoku w:val="0"/>
              <w:overflowPunct w:val="0"/>
              <w:autoSpaceDE w:val="0"/>
              <w:autoSpaceDN w:val="0"/>
              <w:adjustRightInd w:val="0"/>
              <w:spacing w:line="231" w:lineRule="exact"/>
              <w:ind w:left="248"/>
            </w:pPr>
            <w:r w:rsidRPr="00676395">
              <w:rPr>
                <w:rFonts w:ascii="Calibri" w:hAnsi="Calibri" w:cs="Calibri"/>
                <w:sz w:val="20"/>
                <w:szCs w:val="20"/>
              </w:rPr>
              <w:t>2012</w:t>
            </w:r>
          </w:p>
        </w:tc>
        <w:tc>
          <w:tcPr>
            <w:tcW w:w="1345" w:type="dxa"/>
            <w:tcBorders>
              <w:top w:val="nil"/>
              <w:left w:val="single" w:sz="3" w:space="0" w:color="000000"/>
              <w:bottom w:val="nil"/>
              <w:right w:val="nil"/>
            </w:tcBorders>
          </w:tcPr>
          <w:p w:rsidR="00676395" w:rsidRPr="00676395" w:rsidRDefault="00676395" w:rsidP="00676395">
            <w:pPr>
              <w:kinsoku w:val="0"/>
              <w:overflowPunct w:val="0"/>
              <w:autoSpaceDE w:val="0"/>
              <w:autoSpaceDN w:val="0"/>
              <w:adjustRightInd w:val="0"/>
              <w:spacing w:line="231" w:lineRule="exact"/>
              <w:ind w:left="205"/>
            </w:pPr>
            <w:r w:rsidRPr="00676395">
              <w:rPr>
                <w:rFonts w:ascii="Calibri" w:hAnsi="Calibri" w:cs="Calibri"/>
                <w:color w:val="660066"/>
                <w:sz w:val="20"/>
                <w:szCs w:val="20"/>
              </w:rPr>
              <w:t>13,165,722</w:t>
            </w:r>
          </w:p>
        </w:tc>
        <w:tc>
          <w:tcPr>
            <w:tcW w:w="129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94"/>
            </w:pPr>
            <w:r w:rsidRPr="00676395">
              <w:rPr>
                <w:rFonts w:ascii="Calibri" w:hAnsi="Calibri" w:cs="Calibri"/>
                <w:color w:val="660066"/>
                <w:sz w:val="20"/>
                <w:szCs w:val="20"/>
              </w:rPr>
              <w:t>13,972,011</w:t>
            </w:r>
          </w:p>
        </w:tc>
        <w:tc>
          <w:tcPr>
            <w:tcW w:w="1353"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36"/>
              <w:jc w:val="center"/>
            </w:pPr>
            <w:r w:rsidRPr="00676395">
              <w:rPr>
                <w:rFonts w:ascii="Calibri" w:hAnsi="Calibri" w:cs="Calibri"/>
                <w:color w:val="660066"/>
                <w:sz w:val="20"/>
                <w:szCs w:val="20"/>
              </w:rPr>
              <w:t>0</w:t>
            </w:r>
          </w:p>
        </w:tc>
        <w:tc>
          <w:tcPr>
            <w:tcW w:w="1302"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251"/>
            </w:pPr>
            <w:r w:rsidRPr="00676395">
              <w:rPr>
                <w:rFonts w:ascii="Calibri" w:hAnsi="Calibri" w:cs="Calibri"/>
                <w:sz w:val="20"/>
                <w:szCs w:val="20"/>
              </w:rPr>
              <w:t>8,139,388</w:t>
            </w:r>
          </w:p>
        </w:tc>
        <w:tc>
          <w:tcPr>
            <w:tcW w:w="131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96"/>
            </w:pPr>
            <w:r w:rsidRPr="00676395">
              <w:rPr>
                <w:rFonts w:ascii="Calibri" w:hAnsi="Calibri" w:cs="Calibri"/>
                <w:sz w:val="20"/>
                <w:szCs w:val="20"/>
              </w:rPr>
              <w:t>35,277,122</w:t>
            </w:r>
          </w:p>
        </w:tc>
        <w:tc>
          <w:tcPr>
            <w:tcW w:w="1329" w:type="dxa"/>
            <w:tcBorders>
              <w:top w:val="nil"/>
              <w:left w:val="nil"/>
              <w:bottom w:val="nil"/>
              <w:right w:val="single" w:sz="7" w:space="0" w:color="000000"/>
            </w:tcBorders>
          </w:tcPr>
          <w:p w:rsidR="00676395" w:rsidRPr="00676395" w:rsidRDefault="00676395" w:rsidP="00676395">
            <w:pPr>
              <w:kinsoku w:val="0"/>
              <w:overflowPunct w:val="0"/>
              <w:autoSpaceDE w:val="0"/>
              <w:autoSpaceDN w:val="0"/>
              <w:adjustRightInd w:val="0"/>
              <w:spacing w:line="231" w:lineRule="exact"/>
              <w:ind w:left="159"/>
            </w:pPr>
            <w:r w:rsidRPr="00676395">
              <w:rPr>
                <w:rFonts w:ascii="Calibri" w:hAnsi="Calibri" w:cs="Calibri"/>
                <w:sz w:val="20"/>
                <w:szCs w:val="20"/>
              </w:rPr>
              <w:t>810,257,275</w:t>
            </w:r>
          </w:p>
        </w:tc>
      </w:tr>
      <w:tr w:rsidR="00676395" w:rsidRPr="00676395" w:rsidTr="00676395">
        <w:trPr>
          <w:trHeight w:hRule="exact" w:val="256"/>
        </w:trPr>
        <w:tc>
          <w:tcPr>
            <w:tcW w:w="919" w:type="dxa"/>
            <w:tcBorders>
              <w:top w:val="nil"/>
              <w:left w:val="single" w:sz="7" w:space="0" w:color="000000"/>
              <w:bottom w:val="nil"/>
              <w:right w:val="single" w:sz="3" w:space="0" w:color="000000"/>
            </w:tcBorders>
          </w:tcPr>
          <w:p w:rsidR="00676395" w:rsidRPr="00676395" w:rsidRDefault="00676395" w:rsidP="00676395">
            <w:pPr>
              <w:kinsoku w:val="0"/>
              <w:overflowPunct w:val="0"/>
              <w:autoSpaceDE w:val="0"/>
              <w:autoSpaceDN w:val="0"/>
              <w:adjustRightInd w:val="0"/>
              <w:spacing w:line="231" w:lineRule="exact"/>
              <w:ind w:left="248"/>
            </w:pPr>
            <w:r w:rsidRPr="00676395">
              <w:rPr>
                <w:rFonts w:ascii="Calibri" w:hAnsi="Calibri" w:cs="Calibri"/>
                <w:sz w:val="20"/>
                <w:szCs w:val="20"/>
              </w:rPr>
              <w:t>2013</w:t>
            </w:r>
          </w:p>
        </w:tc>
        <w:tc>
          <w:tcPr>
            <w:tcW w:w="1345" w:type="dxa"/>
            <w:tcBorders>
              <w:top w:val="nil"/>
              <w:left w:val="single" w:sz="3" w:space="0" w:color="000000"/>
              <w:bottom w:val="nil"/>
              <w:right w:val="nil"/>
            </w:tcBorders>
          </w:tcPr>
          <w:p w:rsidR="00676395" w:rsidRPr="00676395" w:rsidRDefault="00676395" w:rsidP="00676395">
            <w:pPr>
              <w:kinsoku w:val="0"/>
              <w:overflowPunct w:val="0"/>
              <w:autoSpaceDE w:val="0"/>
              <w:autoSpaceDN w:val="0"/>
              <w:adjustRightInd w:val="0"/>
              <w:spacing w:line="231" w:lineRule="exact"/>
              <w:ind w:left="205"/>
            </w:pPr>
            <w:r w:rsidRPr="00676395">
              <w:rPr>
                <w:rFonts w:ascii="Calibri" w:hAnsi="Calibri" w:cs="Calibri"/>
                <w:color w:val="660066"/>
                <w:sz w:val="20"/>
                <w:szCs w:val="20"/>
              </w:rPr>
              <w:t>17,147,077</w:t>
            </w:r>
          </w:p>
        </w:tc>
        <w:tc>
          <w:tcPr>
            <w:tcW w:w="129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247"/>
            </w:pPr>
            <w:r w:rsidRPr="00676395">
              <w:rPr>
                <w:rFonts w:ascii="Calibri" w:hAnsi="Calibri" w:cs="Calibri"/>
                <w:color w:val="660066"/>
                <w:sz w:val="20"/>
                <w:szCs w:val="20"/>
              </w:rPr>
              <w:t>1,008,112</w:t>
            </w:r>
          </w:p>
        </w:tc>
        <w:tc>
          <w:tcPr>
            <w:tcW w:w="1353"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468"/>
            </w:pPr>
            <w:r w:rsidRPr="00676395">
              <w:rPr>
                <w:rFonts w:ascii="Calibri" w:hAnsi="Calibri" w:cs="Calibri"/>
                <w:color w:val="660066"/>
                <w:sz w:val="20"/>
                <w:szCs w:val="20"/>
              </w:rPr>
              <w:t>3,112</w:t>
            </w:r>
          </w:p>
        </w:tc>
        <w:tc>
          <w:tcPr>
            <w:tcW w:w="1302"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251"/>
            </w:pPr>
            <w:r w:rsidRPr="00676395">
              <w:rPr>
                <w:rFonts w:ascii="Calibri" w:hAnsi="Calibri" w:cs="Calibri"/>
                <w:sz w:val="20"/>
                <w:szCs w:val="20"/>
              </w:rPr>
              <w:t>7,950,652</w:t>
            </w:r>
          </w:p>
        </w:tc>
        <w:tc>
          <w:tcPr>
            <w:tcW w:w="1315" w:type="dxa"/>
            <w:tcBorders>
              <w:top w:val="nil"/>
              <w:left w:val="nil"/>
              <w:bottom w:val="nil"/>
              <w:right w:val="nil"/>
            </w:tcBorders>
          </w:tcPr>
          <w:p w:rsidR="00676395" w:rsidRPr="00676395" w:rsidRDefault="00676395" w:rsidP="00676395">
            <w:pPr>
              <w:kinsoku w:val="0"/>
              <w:overflowPunct w:val="0"/>
              <w:autoSpaceDE w:val="0"/>
              <w:autoSpaceDN w:val="0"/>
              <w:adjustRightInd w:val="0"/>
              <w:spacing w:line="231" w:lineRule="exact"/>
              <w:ind w:left="196"/>
            </w:pPr>
            <w:r w:rsidRPr="00676395">
              <w:rPr>
                <w:rFonts w:ascii="Calibri" w:hAnsi="Calibri" w:cs="Calibri"/>
                <w:sz w:val="20"/>
                <w:szCs w:val="20"/>
              </w:rPr>
              <w:t>26,108,954</w:t>
            </w:r>
          </w:p>
        </w:tc>
        <w:tc>
          <w:tcPr>
            <w:tcW w:w="1329" w:type="dxa"/>
            <w:tcBorders>
              <w:top w:val="nil"/>
              <w:left w:val="nil"/>
              <w:bottom w:val="nil"/>
              <w:right w:val="single" w:sz="7" w:space="0" w:color="000000"/>
            </w:tcBorders>
          </w:tcPr>
          <w:p w:rsidR="00676395" w:rsidRPr="00676395" w:rsidRDefault="00676395" w:rsidP="00676395">
            <w:pPr>
              <w:kinsoku w:val="0"/>
              <w:overflowPunct w:val="0"/>
              <w:autoSpaceDE w:val="0"/>
              <w:autoSpaceDN w:val="0"/>
              <w:adjustRightInd w:val="0"/>
              <w:spacing w:line="231" w:lineRule="exact"/>
              <w:ind w:left="159"/>
            </w:pPr>
            <w:r w:rsidRPr="00676395">
              <w:rPr>
                <w:rFonts w:ascii="Calibri" w:hAnsi="Calibri" w:cs="Calibri"/>
                <w:sz w:val="20"/>
                <w:szCs w:val="20"/>
              </w:rPr>
              <w:t>836,366,229</w:t>
            </w:r>
          </w:p>
        </w:tc>
      </w:tr>
      <w:tr w:rsidR="00676395" w:rsidRPr="00676395" w:rsidTr="00676395">
        <w:trPr>
          <w:trHeight w:hRule="exact" w:val="235"/>
        </w:trPr>
        <w:tc>
          <w:tcPr>
            <w:tcW w:w="919" w:type="dxa"/>
            <w:tcBorders>
              <w:top w:val="nil"/>
              <w:left w:val="single" w:sz="7" w:space="0" w:color="000000"/>
              <w:bottom w:val="nil"/>
              <w:right w:val="single" w:sz="3" w:space="0" w:color="000000"/>
            </w:tcBorders>
          </w:tcPr>
          <w:p w:rsidR="00676395" w:rsidRPr="00676395" w:rsidRDefault="00676395" w:rsidP="00676395">
            <w:pPr>
              <w:kinsoku w:val="0"/>
              <w:overflowPunct w:val="0"/>
              <w:autoSpaceDE w:val="0"/>
              <w:autoSpaceDN w:val="0"/>
              <w:adjustRightInd w:val="0"/>
              <w:spacing w:line="232" w:lineRule="exact"/>
              <w:ind w:left="248"/>
            </w:pPr>
            <w:r w:rsidRPr="00676395">
              <w:rPr>
                <w:rFonts w:ascii="Calibri" w:hAnsi="Calibri" w:cs="Calibri"/>
                <w:sz w:val="20"/>
                <w:szCs w:val="20"/>
              </w:rPr>
              <w:t>2014</w:t>
            </w:r>
          </w:p>
        </w:tc>
        <w:tc>
          <w:tcPr>
            <w:tcW w:w="1345" w:type="dxa"/>
            <w:tcBorders>
              <w:top w:val="nil"/>
              <w:left w:val="single" w:sz="3" w:space="0" w:color="000000"/>
              <w:bottom w:val="single" w:sz="3" w:space="0" w:color="000000"/>
              <w:right w:val="nil"/>
            </w:tcBorders>
          </w:tcPr>
          <w:p w:rsidR="00676395" w:rsidRPr="00676395" w:rsidRDefault="00676395" w:rsidP="00676395">
            <w:pPr>
              <w:kinsoku w:val="0"/>
              <w:overflowPunct w:val="0"/>
              <w:autoSpaceDE w:val="0"/>
              <w:autoSpaceDN w:val="0"/>
              <w:adjustRightInd w:val="0"/>
              <w:spacing w:line="230" w:lineRule="exact"/>
              <w:ind w:right="16"/>
              <w:jc w:val="center"/>
            </w:pPr>
            <w:r w:rsidRPr="00676395">
              <w:rPr>
                <w:rFonts w:ascii="Calibri" w:hAnsi="Calibri" w:cs="Calibri"/>
                <w:color w:val="660066"/>
                <w:sz w:val="20"/>
                <w:szCs w:val="20"/>
              </w:rPr>
              <w:t>0</w:t>
            </w:r>
          </w:p>
        </w:tc>
        <w:tc>
          <w:tcPr>
            <w:tcW w:w="1295" w:type="dxa"/>
            <w:tcBorders>
              <w:top w:val="nil"/>
              <w:left w:val="nil"/>
              <w:bottom w:val="single" w:sz="3" w:space="0" w:color="000000"/>
              <w:right w:val="nil"/>
            </w:tcBorders>
          </w:tcPr>
          <w:p w:rsidR="00676395" w:rsidRPr="00676395" w:rsidRDefault="00676395" w:rsidP="00676395">
            <w:pPr>
              <w:kinsoku w:val="0"/>
              <w:overflowPunct w:val="0"/>
              <w:autoSpaceDE w:val="0"/>
              <w:autoSpaceDN w:val="0"/>
              <w:adjustRightInd w:val="0"/>
              <w:spacing w:line="230" w:lineRule="exact"/>
              <w:ind w:left="5"/>
              <w:jc w:val="center"/>
            </w:pPr>
            <w:r w:rsidRPr="00676395">
              <w:rPr>
                <w:rFonts w:ascii="Calibri" w:hAnsi="Calibri" w:cs="Calibri"/>
                <w:color w:val="660066"/>
                <w:sz w:val="20"/>
                <w:szCs w:val="20"/>
              </w:rPr>
              <w:t>0</w:t>
            </w:r>
          </w:p>
        </w:tc>
        <w:tc>
          <w:tcPr>
            <w:tcW w:w="1353" w:type="dxa"/>
            <w:tcBorders>
              <w:top w:val="nil"/>
              <w:left w:val="nil"/>
              <w:bottom w:val="single" w:sz="3" w:space="0" w:color="000000"/>
              <w:right w:val="nil"/>
            </w:tcBorders>
          </w:tcPr>
          <w:p w:rsidR="00676395" w:rsidRPr="00676395" w:rsidRDefault="00676395" w:rsidP="00676395">
            <w:pPr>
              <w:kinsoku w:val="0"/>
              <w:overflowPunct w:val="0"/>
              <w:autoSpaceDE w:val="0"/>
              <w:autoSpaceDN w:val="0"/>
              <w:adjustRightInd w:val="0"/>
              <w:spacing w:line="230" w:lineRule="exact"/>
              <w:ind w:left="36"/>
              <w:jc w:val="center"/>
            </w:pPr>
            <w:r w:rsidRPr="00676395">
              <w:rPr>
                <w:rFonts w:ascii="Calibri" w:hAnsi="Calibri" w:cs="Calibri"/>
                <w:color w:val="660066"/>
                <w:sz w:val="20"/>
                <w:szCs w:val="20"/>
              </w:rPr>
              <w:t>0</w:t>
            </w:r>
          </w:p>
        </w:tc>
        <w:tc>
          <w:tcPr>
            <w:tcW w:w="1302" w:type="dxa"/>
            <w:tcBorders>
              <w:top w:val="nil"/>
              <w:left w:val="nil"/>
              <w:bottom w:val="single" w:sz="3" w:space="0" w:color="000000"/>
              <w:right w:val="nil"/>
            </w:tcBorders>
          </w:tcPr>
          <w:p w:rsidR="00676395" w:rsidRPr="00676395" w:rsidRDefault="00676395" w:rsidP="00676395">
            <w:pPr>
              <w:autoSpaceDE w:val="0"/>
              <w:autoSpaceDN w:val="0"/>
              <w:adjustRightInd w:val="0"/>
            </w:pPr>
          </w:p>
        </w:tc>
        <w:tc>
          <w:tcPr>
            <w:tcW w:w="1315" w:type="dxa"/>
            <w:tcBorders>
              <w:top w:val="nil"/>
              <w:left w:val="nil"/>
              <w:bottom w:val="single" w:sz="3" w:space="0" w:color="000000"/>
              <w:right w:val="nil"/>
            </w:tcBorders>
          </w:tcPr>
          <w:p w:rsidR="00676395" w:rsidRPr="00676395" w:rsidRDefault="00676395" w:rsidP="00676395">
            <w:pPr>
              <w:autoSpaceDE w:val="0"/>
              <w:autoSpaceDN w:val="0"/>
              <w:adjustRightInd w:val="0"/>
            </w:pPr>
          </w:p>
        </w:tc>
        <w:tc>
          <w:tcPr>
            <w:tcW w:w="1329" w:type="dxa"/>
            <w:tcBorders>
              <w:top w:val="nil"/>
              <w:left w:val="nil"/>
              <w:bottom w:val="single" w:sz="3" w:space="0" w:color="000000"/>
              <w:right w:val="single" w:sz="7" w:space="0" w:color="000000"/>
            </w:tcBorders>
          </w:tcPr>
          <w:p w:rsidR="00676395" w:rsidRPr="00676395" w:rsidRDefault="00676395" w:rsidP="00676395">
            <w:pPr>
              <w:autoSpaceDE w:val="0"/>
              <w:autoSpaceDN w:val="0"/>
              <w:adjustRightInd w:val="0"/>
            </w:pPr>
          </w:p>
        </w:tc>
      </w:tr>
      <w:tr w:rsidR="00676395" w:rsidRPr="00676395" w:rsidTr="00676395">
        <w:trPr>
          <w:trHeight w:hRule="exact" w:val="286"/>
        </w:trPr>
        <w:tc>
          <w:tcPr>
            <w:tcW w:w="919" w:type="dxa"/>
            <w:tcBorders>
              <w:top w:val="nil"/>
              <w:left w:val="single" w:sz="7" w:space="0" w:color="000000"/>
              <w:bottom w:val="single" w:sz="7" w:space="0" w:color="000000"/>
              <w:right w:val="single" w:sz="3" w:space="0" w:color="000000"/>
            </w:tcBorders>
          </w:tcPr>
          <w:p w:rsidR="00676395" w:rsidRPr="00676395" w:rsidRDefault="00676395" w:rsidP="00676395">
            <w:pPr>
              <w:kinsoku w:val="0"/>
              <w:overflowPunct w:val="0"/>
              <w:autoSpaceDE w:val="0"/>
              <w:autoSpaceDN w:val="0"/>
              <w:adjustRightInd w:val="0"/>
              <w:spacing w:before="31"/>
              <w:ind w:left="243"/>
            </w:pPr>
            <w:r w:rsidRPr="00676395">
              <w:rPr>
                <w:rFonts w:ascii="Calibri" w:hAnsi="Calibri" w:cs="Calibri"/>
                <w:spacing w:val="-1"/>
                <w:sz w:val="20"/>
                <w:szCs w:val="20"/>
              </w:rPr>
              <w:t>Total</w:t>
            </w:r>
          </w:p>
        </w:tc>
        <w:tc>
          <w:tcPr>
            <w:tcW w:w="1345" w:type="dxa"/>
            <w:tcBorders>
              <w:top w:val="single" w:sz="3" w:space="0" w:color="000000"/>
              <w:left w:val="single" w:sz="3" w:space="0" w:color="000000"/>
              <w:bottom w:val="single" w:sz="7" w:space="0" w:color="000000"/>
              <w:right w:val="nil"/>
            </w:tcBorders>
          </w:tcPr>
          <w:p w:rsidR="00676395" w:rsidRPr="00676395" w:rsidRDefault="00676395" w:rsidP="00676395">
            <w:pPr>
              <w:kinsoku w:val="0"/>
              <w:overflowPunct w:val="0"/>
              <w:autoSpaceDE w:val="0"/>
              <w:autoSpaceDN w:val="0"/>
              <w:adjustRightInd w:val="0"/>
              <w:spacing w:before="27"/>
              <w:ind w:left="154"/>
            </w:pPr>
            <w:r w:rsidRPr="00676395">
              <w:rPr>
                <w:rFonts w:ascii="Calibri" w:hAnsi="Calibri" w:cs="Calibri"/>
                <w:sz w:val="20"/>
                <w:szCs w:val="20"/>
              </w:rPr>
              <w:t>465,705,671</w:t>
            </w:r>
          </w:p>
        </w:tc>
        <w:tc>
          <w:tcPr>
            <w:tcW w:w="1295" w:type="dxa"/>
            <w:tcBorders>
              <w:top w:val="single" w:sz="3" w:space="0" w:color="000000"/>
              <w:left w:val="nil"/>
              <w:bottom w:val="single" w:sz="7" w:space="0" w:color="000000"/>
              <w:right w:val="nil"/>
            </w:tcBorders>
          </w:tcPr>
          <w:p w:rsidR="00676395" w:rsidRPr="00676395" w:rsidRDefault="00676395" w:rsidP="00676395">
            <w:pPr>
              <w:kinsoku w:val="0"/>
              <w:overflowPunct w:val="0"/>
              <w:autoSpaceDE w:val="0"/>
              <w:autoSpaceDN w:val="0"/>
              <w:adjustRightInd w:val="0"/>
              <w:spacing w:before="27"/>
              <w:ind w:left="143"/>
            </w:pPr>
            <w:r w:rsidRPr="00676395">
              <w:rPr>
                <w:rFonts w:ascii="Calibri" w:hAnsi="Calibri" w:cs="Calibri"/>
                <w:sz w:val="20"/>
                <w:szCs w:val="20"/>
              </w:rPr>
              <w:t>331,427,026</w:t>
            </w:r>
          </w:p>
        </w:tc>
        <w:tc>
          <w:tcPr>
            <w:tcW w:w="1353" w:type="dxa"/>
            <w:tcBorders>
              <w:top w:val="single" w:sz="3" w:space="0" w:color="000000"/>
              <w:left w:val="nil"/>
              <w:bottom w:val="single" w:sz="7" w:space="0" w:color="000000"/>
              <w:right w:val="nil"/>
            </w:tcBorders>
          </w:tcPr>
          <w:p w:rsidR="00676395" w:rsidRPr="00676395" w:rsidRDefault="00676395" w:rsidP="00676395">
            <w:pPr>
              <w:kinsoku w:val="0"/>
              <w:overflowPunct w:val="0"/>
              <w:autoSpaceDE w:val="0"/>
              <w:autoSpaceDN w:val="0"/>
              <w:adjustRightInd w:val="0"/>
              <w:spacing w:before="27"/>
              <w:ind w:left="178"/>
            </w:pPr>
            <w:r w:rsidRPr="00676395">
              <w:rPr>
                <w:rFonts w:ascii="Calibri" w:hAnsi="Calibri" w:cs="Calibri"/>
                <w:sz w:val="20"/>
                <w:szCs w:val="20"/>
              </w:rPr>
              <w:t>(21,364,518)</w:t>
            </w:r>
          </w:p>
        </w:tc>
        <w:tc>
          <w:tcPr>
            <w:tcW w:w="1302" w:type="dxa"/>
            <w:tcBorders>
              <w:top w:val="single" w:sz="3" w:space="0" w:color="000000"/>
              <w:left w:val="nil"/>
              <w:bottom w:val="single" w:sz="7" w:space="0" w:color="000000"/>
              <w:right w:val="nil"/>
            </w:tcBorders>
          </w:tcPr>
          <w:p w:rsidR="00676395" w:rsidRPr="00676395" w:rsidRDefault="00676395" w:rsidP="00676395">
            <w:pPr>
              <w:kinsoku w:val="0"/>
              <w:overflowPunct w:val="0"/>
              <w:autoSpaceDE w:val="0"/>
              <w:autoSpaceDN w:val="0"/>
              <w:adjustRightInd w:val="0"/>
              <w:spacing w:before="27"/>
              <w:ind w:left="198"/>
            </w:pPr>
            <w:r w:rsidRPr="00676395">
              <w:rPr>
                <w:rFonts w:ascii="Calibri" w:hAnsi="Calibri" w:cs="Calibri"/>
                <w:sz w:val="20"/>
                <w:szCs w:val="20"/>
              </w:rPr>
              <w:t>60,598,050</w:t>
            </w:r>
          </w:p>
        </w:tc>
        <w:tc>
          <w:tcPr>
            <w:tcW w:w="2644" w:type="dxa"/>
            <w:gridSpan w:val="2"/>
            <w:tcBorders>
              <w:top w:val="single" w:sz="3" w:space="0" w:color="000000"/>
              <w:left w:val="nil"/>
              <w:bottom w:val="single" w:sz="7" w:space="0" w:color="000000"/>
              <w:right w:val="single" w:sz="7" w:space="0" w:color="000000"/>
            </w:tcBorders>
          </w:tcPr>
          <w:p w:rsidR="00676395" w:rsidRPr="00676395" w:rsidRDefault="00676395" w:rsidP="00676395">
            <w:pPr>
              <w:kinsoku w:val="0"/>
              <w:overflowPunct w:val="0"/>
              <w:autoSpaceDE w:val="0"/>
              <w:autoSpaceDN w:val="0"/>
              <w:adjustRightInd w:val="0"/>
              <w:spacing w:before="27"/>
              <w:ind w:left="146"/>
            </w:pPr>
            <w:r w:rsidRPr="00676395">
              <w:rPr>
                <w:rFonts w:ascii="Calibri" w:hAnsi="Calibri" w:cs="Calibri"/>
                <w:sz w:val="20"/>
                <w:szCs w:val="20"/>
              </w:rPr>
              <w:t>836,366,229</w:t>
            </w:r>
          </w:p>
        </w:tc>
      </w:tr>
    </w:tbl>
    <w:p w:rsidR="00676395" w:rsidRDefault="00676395" w:rsidP="00676395">
      <w:pPr>
        <w:rPr>
          <w:rFonts w:ascii="Arial" w:hAnsi="Arial" w:cs="Arial"/>
        </w:rPr>
      </w:pPr>
    </w:p>
    <w:p w:rsidR="00676395" w:rsidRPr="00676395" w:rsidRDefault="00676395" w:rsidP="00676395">
      <w:pPr>
        <w:autoSpaceDE w:val="0"/>
        <w:autoSpaceDN w:val="0"/>
        <w:adjustRightInd w:val="0"/>
        <w:rPr>
          <w:rFonts w:ascii="Arial" w:hAnsi="Arial" w:cs="Arial"/>
        </w:rPr>
      </w:pPr>
      <w:r w:rsidRPr="00676395">
        <w:rPr>
          <w:rFonts w:ascii="Arial" w:hAnsi="Arial" w:cs="Arial"/>
        </w:rPr>
        <w:t>Portion of Table 4 above for “ACT378 Mtr Reg Stn” are reformatted to be comparable to SCG-04-CWP-R Table on gas distribution CAPEX:</w:t>
      </w:r>
    </w:p>
    <w:p w:rsidR="00676395" w:rsidRDefault="00676395" w:rsidP="00676395">
      <w:pPr>
        <w:rPr>
          <w:rFonts w:ascii="Arial" w:hAnsi="Arial" w:cs="Arial"/>
        </w:rPr>
      </w:pPr>
      <w:r w:rsidRPr="00676395">
        <w:rPr>
          <w:rFonts w:ascii="Arial" w:hAnsi="Arial" w:cs="Arial"/>
        </w:rPr>
        <w:t>(in Thousands of 2017 Dollars)</w:t>
      </w:r>
    </w:p>
    <w:p w:rsidR="00676395" w:rsidRDefault="00676395" w:rsidP="00676395">
      <w:pPr>
        <w:rPr>
          <w:rFonts w:ascii="Arial" w:hAnsi="Arial" w:cs="Arial"/>
        </w:rPr>
      </w:pPr>
    </w:p>
    <w:p w:rsidR="00676395" w:rsidRPr="00676395" w:rsidRDefault="00676395" w:rsidP="00676395">
      <w:pPr>
        <w:kinsoku w:val="0"/>
        <w:overflowPunct w:val="0"/>
        <w:autoSpaceDE w:val="0"/>
        <w:autoSpaceDN w:val="0"/>
        <w:adjustRightInd w:val="0"/>
        <w:spacing w:before="8"/>
        <w:rPr>
          <w:sz w:val="6"/>
          <w:szCs w:val="6"/>
        </w:rPr>
      </w:pPr>
    </w:p>
    <w:tbl>
      <w:tblPr>
        <w:tblW w:w="0" w:type="auto"/>
        <w:tblInd w:w="110" w:type="dxa"/>
        <w:tblLayout w:type="fixed"/>
        <w:tblCellMar>
          <w:left w:w="0" w:type="dxa"/>
          <w:right w:w="0" w:type="dxa"/>
        </w:tblCellMar>
        <w:tblLook w:val="0000" w:firstRow="0" w:lastRow="0" w:firstColumn="0" w:lastColumn="0" w:noHBand="0" w:noVBand="0"/>
      </w:tblPr>
      <w:tblGrid>
        <w:gridCol w:w="1380"/>
        <w:gridCol w:w="1380"/>
        <w:gridCol w:w="1380"/>
        <w:gridCol w:w="1380"/>
        <w:gridCol w:w="1380"/>
        <w:gridCol w:w="1380"/>
      </w:tblGrid>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Description</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2009</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2010</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2011</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2012</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2013</w:t>
            </w:r>
          </w:p>
        </w:tc>
      </w:tr>
      <w:tr w:rsidR="00676395" w:rsidRPr="00676395">
        <w:trPr>
          <w:trHeight w:hRule="exact" w:val="252"/>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line="242" w:lineRule="exact"/>
              <w:jc w:val="center"/>
            </w:pPr>
            <w:r w:rsidRPr="00676395">
              <w:rPr>
                <w:rFonts w:ascii="Calibri" w:hAnsi="Calibri" w:cs="Calibri"/>
                <w:sz w:val="20"/>
                <w:szCs w:val="20"/>
              </w:rPr>
              <w:t>(a)</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line="242" w:lineRule="exact"/>
              <w:jc w:val="center"/>
            </w:pPr>
            <w:r w:rsidRPr="00676395">
              <w:rPr>
                <w:rFonts w:ascii="Calibri" w:hAnsi="Calibri" w:cs="Calibri"/>
                <w:sz w:val="20"/>
                <w:szCs w:val="20"/>
              </w:rPr>
              <w:t>(b)</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line="242" w:lineRule="exact"/>
              <w:jc w:val="center"/>
            </w:pPr>
            <w:r w:rsidRPr="00676395">
              <w:rPr>
                <w:rFonts w:ascii="Calibri" w:hAnsi="Calibri" w:cs="Calibri"/>
                <w:sz w:val="20"/>
                <w:szCs w:val="20"/>
              </w:rPr>
              <w:t>(c)</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line="242" w:lineRule="exact"/>
              <w:jc w:val="center"/>
            </w:pPr>
            <w:r w:rsidRPr="00676395">
              <w:rPr>
                <w:rFonts w:ascii="Calibri" w:hAnsi="Calibri" w:cs="Calibri"/>
                <w:sz w:val="20"/>
                <w:szCs w:val="20"/>
              </w:rPr>
              <w:t>(d)</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line="242" w:lineRule="exact"/>
              <w:ind w:right="1"/>
              <w:jc w:val="center"/>
            </w:pPr>
            <w:r w:rsidRPr="00676395">
              <w:rPr>
                <w:rFonts w:ascii="Calibri" w:hAnsi="Calibri" w:cs="Calibri"/>
                <w:spacing w:val="-1"/>
                <w:sz w:val="20"/>
                <w:szCs w:val="20"/>
              </w:rPr>
              <w:t>(e)</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line="242" w:lineRule="exact"/>
              <w:ind w:right="1"/>
              <w:jc w:val="center"/>
            </w:pPr>
            <w:r w:rsidRPr="00676395">
              <w:rPr>
                <w:rFonts w:ascii="Calibri" w:hAnsi="Calibri" w:cs="Calibri"/>
                <w:spacing w:val="-1"/>
                <w:sz w:val="20"/>
                <w:szCs w:val="20"/>
              </w:rPr>
              <w:t>(f)</w:t>
            </w:r>
          </w:p>
        </w:tc>
      </w:tr>
      <w:tr w:rsidR="00676395" w:rsidRPr="00676395">
        <w:trPr>
          <w:trHeight w:hRule="exact" w:val="499"/>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3" w:lineRule="exact"/>
              <w:jc w:val="center"/>
              <w:rPr>
                <w:rFonts w:ascii="Calibri" w:hAnsi="Calibri" w:cs="Calibri"/>
                <w:sz w:val="20"/>
                <w:szCs w:val="20"/>
              </w:rPr>
            </w:pPr>
            <w:r w:rsidRPr="00676395">
              <w:rPr>
                <w:rFonts w:ascii="Calibri" w:hAnsi="Calibri" w:cs="Calibri"/>
                <w:spacing w:val="-1"/>
                <w:sz w:val="20"/>
                <w:szCs w:val="20"/>
              </w:rPr>
              <w:t>ACT</w:t>
            </w:r>
            <w:r w:rsidRPr="00676395">
              <w:rPr>
                <w:rFonts w:ascii="Calibri" w:hAnsi="Calibri" w:cs="Calibri"/>
                <w:spacing w:val="-6"/>
                <w:sz w:val="20"/>
                <w:szCs w:val="20"/>
              </w:rPr>
              <w:t xml:space="preserve"> </w:t>
            </w:r>
            <w:r w:rsidRPr="00676395">
              <w:rPr>
                <w:rFonts w:ascii="Calibri" w:hAnsi="Calibri" w:cs="Calibri"/>
                <w:sz w:val="20"/>
                <w:szCs w:val="20"/>
              </w:rPr>
              <w:t>378</w:t>
            </w:r>
            <w:r w:rsidRPr="00676395">
              <w:rPr>
                <w:rFonts w:ascii="Calibri" w:hAnsi="Calibri" w:cs="Calibri"/>
                <w:spacing w:val="-5"/>
                <w:sz w:val="20"/>
                <w:szCs w:val="20"/>
              </w:rPr>
              <w:t xml:space="preserve"> </w:t>
            </w:r>
            <w:r w:rsidRPr="00676395">
              <w:rPr>
                <w:rFonts w:ascii="Calibri" w:hAnsi="Calibri" w:cs="Calibri"/>
                <w:sz w:val="20"/>
                <w:szCs w:val="20"/>
              </w:rPr>
              <w:t>Mtr</w:t>
            </w:r>
          </w:p>
          <w:p w:rsidR="00676395" w:rsidRPr="00676395" w:rsidRDefault="00676395" w:rsidP="00676395">
            <w:pPr>
              <w:kinsoku w:val="0"/>
              <w:overflowPunct w:val="0"/>
              <w:autoSpaceDE w:val="0"/>
              <w:autoSpaceDN w:val="0"/>
              <w:adjustRightInd w:val="0"/>
              <w:spacing w:line="243" w:lineRule="exact"/>
              <w:ind w:right="1"/>
              <w:jc w:val="center"/>
            </w:pPr>
            <w:r w:rsidRPr="00676395">
              <w:rPr>
                <w:rFonts w:ascii="Calibri" w:hAnsi="Calibri" w:cs="Calibri"/>
                <w:spacing w:val="-1"/>
                <w:sz w:val="20"/>
                <w:szCs w:val="20"/>
              </w:rPr>
              <w:t>Reg</w:t>
            </w:r>
            <w:r w:rsidRPr="00676395">
              <w:rPr>
                <w:rFonts w:ascii="Calibri" w:hAnsi="Calibri" w:cs="Calibri"/>
                <w:spacing w:val="-6"/>
                <w:sz w:val="20"/>
                <w:szCs w:val="20"/>
              </w:rPr>
              <w:t xml:space="preserve"> </w:t>
            </w:r>
            <w:r w:rsidRPr="00676395">
              <w:rPr>
                <w:rFonts w:ascii="Calibri" w:hAnsi="Calibri" w:cs="Calibri"/>
                <w:sz w:val="20"/>
                <w:szCs w:val="20"/>
              </w:rPr>
              <w:t>Stn</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ind w:left="406"/>
            </w:pPr>
            <w:r w:rsidRPr="00676395">
              <w:rPr>
                <w:rFonts w:ascii="Calibri" w:hAnsi="Calibri" w:cs="Calibri"/>
                <w:sz w:val="20"/>
                <w:szCs w:val="20"/>
              </w:rPr>
              <w:t>$4,351</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ind w:left="406"/>
            </w:pPr>
            <w:r w:rsidRPr="00676395">
              <w:rPr>
                <w:rFonts w:ascii="Calibri" w:hAnsi="Calibri" w:cs="Calibri"/>
                <w:sz w:val="20"/>
                <w:szCs w:val="20"/>
              </w:rPr>
              <w:t>$5,742</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ind w:left="407"/>
            </w:pPr>
            <w:r w:rsidRPr="00676395">
              <w:rPr>
                <w:rFonts w:ascii="Calibri" w:hAnsi="Calibri" w:cs="Calibri"/>
                <w:sz w:val="20"/>
                <w:szCs w:val="20"/>
              </w:rPr>
              <w:t>$7,429</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ind w:left="407"/>
            </w:pPr>
            <w:r w:rsidRPr="00676395">
              <w:rPr>
                <w:rFonts w:ascii="Calibri" w:hAnsi="Calibri" w:cs="Calibri"/>
                <w:sz w:val="20"/>
                <w:szCs w:val="20"/>
              </w:rPr>
              <w:t>$8,139</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ind w:left="407"/>
            </w:pPr>
            <w:r w:rsidRPr="00676395">
              <w:rPr>
                <w:rFonts w:ascii="Calibri" w:hAnsi="Calibri" w:cs="Calibri"/>
                <w:sz w:val="20"/>
                <w:szCs w:val="20"/>
              </w:rPr>
              <w:t>$7,951</w:t>
            </w:r>
          </w:p>
        </w:tc>
      </w:tr>
    </w:tbl>
    <w:p w:rsidR="00676395" w:rsidRDefault="00676395" w:rsidP="00676395">
      <w:pPr>
        <w:rPr>
          <w:rFonts w:ascii="Arial" w:hAnsi="Arial" w:cs="Arial"/>
        </w:rPr>
      </w:pPr>
    </w:p>
    <w:p w:rsidR="00676395" w:rsidRPr="00676395" w:rsidRDefault="00676395" w:rsidP="00676395">
      <w:pPr>
        <w:autoSpaceDE w:val="0"/>
        <w:autoSpaceDN w:val="0"/>
        <w:adjustRightInd w:val="0"/>
        <w:rPr>
          <w:rFonts w:ascii="Arial" w:hAnsi="Arial" w:cs="Arial"/>
        </w:rPr>
      </w:pPr>
      <w:r w:rsidRPr="00676395">
        <w:rPr>
          <w:rFonts w:ascii="Arial" w:hAnsi="Arial" w:cs="Arial"/>
        </w:rPr>
        <w:t>From SCG-04-CWP-R on Gas Distribution</w:t>
      </w:r>
    </w:p>
    <w:p w:rsidR="00676395" w:rsidRPr="00676395" w:rsidRDefault="00676395" w:rsidP="00676395">
      <w:pPr>
        <w:autoSpaceDE w:val="0"/>
        <w:autoSpaceDN w:val="0"/>
        <w:adjustRightInd w:val="0"/>
        <w:rPr>
          <w:rFonts w:ascii="Arial" w:hAnsi="Arial" w:cs="Arial"/>
        </w:rPr>
      </w:pPr>
      <w:r w:rsidRPr="00676395">
        <w:rPr>
          <w:rFonts w:ascii="Arial" w:hAnsi="Arial" w:cs="Arial"/>
        </w:rPr>
        <w:t>2009-2013 SoCalGas’ Recorded Capital Expenditures</w:t>
      </w:r>
    </w:p>
    <w:p w:rsidR="00676395" w:rsidRDefault="00676395" w:rsidP="00676395">
      <w:pPr>
        <w:rPr>
          <w:rFonts w:ascii="Arial" w:hAnsi="Arial" w:cs="Arial"/>
        </w:rPr>
      </w:pPr>
      <w:r w:rsidRPr="00676395">
        <w:rPr>
          <w:rFonts w:ascii="Arial" w:hAnsi="Arial" w:cs="Arial"/>
        </w:rPr>
        <w:t>(in Thousands of 2013 Dollars)</w:t>
      </w:r>
    </w:p>
    <w:p w:rsidR="00676395" w:rsidRDefault="00676395" w:rsidP="00676395">
      <w:pPr>
        <w:rPr>
          <w:rFonts w:ascii="Arial" w:hAnsi="Arial" w:cs="Arial"/>
        </w:rPr>
      </w:pPr>
    </w:p>
    <w:p w:rsidR="00676395" w:rsidRPr="00676395" w:rsidRDefault="00676395" w:rsidP="00676395">
      <w:pPr>
        <w:kinsoku w:val="0"/>
        <w:overflowPunct w:val="0"/>
        <w:autoSpaceDE w:val="0"/>
        <w:autoSpaceDN w:val="0"/>
        <w:adjustRightInd w:val="0"/>
        <w:spacing w:before="1"/>
        <w:rPr>
          <w:sz w:val="9"/>
          <w:szCs w:val="9"/>
        </w:rPr>
      </w:pPr>
    </w:p>
    <w:tbl>
      <w:tblPr>
        <w:tblW w:w="0" w:type="auto"/>
        <w:tblInd w:w="110" w:type="dxa"/>
        <w:tblLayout w:type="fixed"/>
        <w:tblCellMar>
          <w:left w:w="0" w:type="dxa"/>
          <w:right w:w="0" w:type="dxa"/>
        </w:tblCellMar>
        <w:tblLook w:val="0000" w:firstRow="0" w:lastRow="0" w:firstColumn="0" w:lastColumn="0" w:noHBand="0" w:noVBand="0"/>
      </w:tblPr>
      <w:tblGrid>
        <w:gridCol w:w="1380"/>
        <w:gridCol w:w="1380"/>
        <w:gridCol w:w="1380"/>
        <w:gridCol w:w="1380"/>
        <w:gridCol w:w="1380"/>
        <w:gridCol w:w="1380"/>
      </w:tblGrid>
      <w:tr w:rsidR="00676395" w:rsidRPr="00676395">
        <w:trPr>
          <w:trHeight w:hRule="exact" w:val="252"/>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line="242" w:lineRule="exact"/>
              <w:ind w:left="104"/>
            </w:pPr>
            <w:r w:rsidRPr="00676395">
              <w:rPr>
                <w:rFonts w:ascii="Calibri" w:hAnsi="Calibri" w:cs="Calibri"/>
                <w:sz w:val="20"/>
                <w:szCs w:val="20"/>
              </w:rPr>
              <w:t>Description</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line="242" w:lineRule="exact"/>
              <w:ind w:left="104"/>
            </w:pPr>
            <w:r w:rsidRPr="00676395">
              <w:rPr>
                <w:rFonts w:ascii="Calibri" w:hAnsi="Calibri" w:cs="Calibri"/>
                <w:sz w:val="20"/>
                <w:szCs w:val="20"/>
              </w:rPr>
              <w:t>2009</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line="242" w:lineRule="exact"/>
              <w:ind w:left="104"/>
            </w:pPr>
            <w:r w:rsidRPr="00676395">
              <w:rPr>
                <w:rFonts w:ascii="Calibri" w:hAnsi="Calibri" w:cs="Calibri"/>
                <w:sz w:val="20"/>
                <w:szCs w:val="20"/>
              </w:rPr>
              <w:t>2010</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line="242" w:lineRule="exact"/>
              <w:ind w:left="104"/>
            </w:pPr>
            <w:r w:rsidRPr="00676395">
              <w:rPr>
                <w:rFonts w:ascii="Calibri" w:hAnsi="Calibri" w:cs="Calibri"/>
                <w:sz w:val="20"/>
                <w:szCs w:val="20"/>
              </w:rPr>
              <w:t>2011</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line="242" w:lineRule="exact"/>
              <w:ind w:left="104"/>
            </w:pPr>
            <w:r w:rsidRPr="00676395">
              <w:rPr>
                <w:rFonts w:ascii="Calibri" w:hAnsi="Calibri" w:cs="Calibri"/>
                <w:sz w:val="20"/>
                <w:szCs w:val="20"/>
              </w:rPr>
              <w:t>2012</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line="242" w:lineRule="exact"/>
              <w:ind w:left="104"/>
            </w:pPr>
            <w:r w:rsidRPr="00676395">
              <w:rPr>
                <w:rFonts w:ascii="Calibri" w:hAnsi="Calibri" w:cs="Calibri"/>
                <w:sz w:val="20"/>
                <w:szCs w:val="20"/>
              </w:rPr>
              <w:t>2013</w:t>
            </w:r>
          </w:p>
        </w:tc>
      </w:tr>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jc w:val="center"/>
            </w:pPr>
            <w:r w:rsidRPr="00676395">
              <w:rPr>
                <w:rFonts w:ascii="Calibri" w:hAnsi="Calibri" w:cs="Calibri"/>
                <w:sz w:val="20"/>
                <w:szCs w:val="20"/>
              </w:rPr>
              <w:t>(a)</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jc w:val="center"/>
            </w:pPr>
            <w:r w:rsidRPr="00676395">
              <w:rPr>
                <w:rFonts w:ascii="Calibri" w:hAnsi="Calibri" w:cs="Calibri"/>
                <w:sz w:val="20"/>
                <w:szCs w:val="20"/>
              </w:rPr>
              <w:t>(b)</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jc w:val="center"/>
            </w:pPr>
            <w:r w:rsidRPr="00676395">
              <w:rPr>
                <w:rFonts w:ascii="Calibri" w:hAnsi="Calibri" w:cs="Calibri"/>
                <w:sz w:val="20"/>
                <w:szCs w:val="20"/>
              </w:rPr>
              <w:t>(c)</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jc w:val="center"/>
            </w:pPr>
            <w:r w:rsidRPr="00676395">
              <w:rPr>
                <w:rFonts w:ascii="Calibri" w:hAnsi="Calibri" w:cs="Calibri"/>
                <w:sz w:val="20"/>
                <w:szCs w:val="20"/>
              </w:rPr>
              <w:t>(d)</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right="1"/>
              <w:jc w:val="center"/>
            </w:pPr>
            <w:r w:rsidRPr="00676395">
              <w:rPr>
                <w:rFonts w:ascii="Calibri" w:hAnsi="Calibri" w:cs="Calibri"/>
                <w:spacing w:val="-1"/>
                <w:sz w:val="20"/>
                <w:szCs w:val="20"/>
              </w:rPr>
              <w:t>(e)</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right="1"/>
              <w:jc w:val="center"/>
            </w:pPr>
            <w:r w:rsidRPr="00676395">
              <w:rPr>
                <w:rFonts w:ascii="Calibri" w:hAnsi="Calibri" w:cs="Calibri"/>
                <w:spacing w:val="-1"/>
                <w:sz w:val="20"/>
                <w:szCs w:val="20"/>
              </w:rPr>
              <w:t>(f)</w:t>
            </w:r>
          </w:p>
        </w:tc>
      </w:tr>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1.Meters</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$20,116</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$19,024</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$17,572</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$16,474</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$18,987</w:t>
            </w:r>
          </w:p>
        </w:tc>
      </w:tr>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2.Regulators</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$4,282</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$4,454</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$4,756</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$4,321</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$6,826</w:t>
            </w:r>
          </w:p>
        </w:tc>
      </w:tr>
      <w:tr w:rsidR="00676395" w:rsidRPr="00676395">
        <w:trPr>
          <w:trHeight w:hRule="exact" w:val="499"/>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right="170"/>
            </w:pPr>
            <w:r w:rsidRPr="00676395">
              <w:rPr>
                <w:rFonts w:ascii="Calibri" w:hAnsi="Calibri" w:cs="Calibri"/>
                <w:spacing w:val="-1"/>
                <w:sz w:val="20"/>
                <w:szCs w:val="20"/>
              </w:rPr>
              <w:t>3.Total</w:t>
            </w:r>
            <w:r w:rsidRPr="00676395">
              <w:rPr>
                <w:rFonts w:ascii="Calibri" w:hAnsi="Calibri" w:cs="Calibri"/>
                <w:spacing w:val="-6"/>
                <w:sz w:val="20"/>
                <w:szCs w:val="20"/>
              </w:rPr>
              <w:t xml:space="preserve"> </w:t>
            </w:r>
            <w:r w:rsidRPr="00676395">
              <w:rPr>
                <w:rFonts w:ascii="Calibri" w:hAnsi="Calibri" w:cs="Calibri"/>
                <w:sz w:val="20"/>
                <w:szCs w:val="20"/>
              </w:rPr>
              <w:t>Mtr</w:t>
            </w:r>
            <w:r w:rsidRPr="00676395">
              <w:rPr>
                <w:rFonts w:ascii="Calibri" w:hAnsi="Calibri" w:cs="Calibri"/>
                <w:spacing w:val="-5"/>
                <w:sz w:val="20"/>
                <w:szCs w:val="20"/>
              </w:rPr>
              <w:t xml:space="preserve"> </w:t>
            </w:r>
            <w:r w:rsidRPr="00676395">
              <w:rPr>
                <w:rFonts w:ascii="Calibri" w:hAnsi="Calibri" w:cs="Calibri"/>
                <w:sz w:val="20"/>
                <w:szCs w:val="20"/>
              </w:rPr>
              <w:t>&amp;</w:t>
            </w:r>
            <w:r w:rsidRPr="00676395">
              <w:rPr>
                <w:rFonts w:ascii="Calibri" w:hAnsi="Calibri" w:cs="Calibri"/>
                <w:spacing w:val="26"/>
                <w:w w:val="99"/>
                <w:sz w:val="20"/>
                <w:szCs w:val="20"/>
              </w:rPr>
              <w:t xml:space="preserve"> </w:t>
            </w:r>
            <w:r w:rsidRPr="00676395">
              <w:rPr>
                <w:rFonts w:ascii="Calibri" w:hAnsi="Calibri" w:cs="Calibri"/>
                <w:sz w:val="20"/>
                <w:szCs w:val="20"/>
              </w:rPr>
              <w:t>Regulators</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$24,398</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$23,478</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$22,328</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$20,795</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$25,813</w:t>
            </w:r>
          </w:p>
        </w:tc>
      </w:tr>
    </w:tbl>
    <w:p w:rsidR="00676395" w:rsidRDefault="00676395" w:rsidP="00676395">
      <w:pPr>
        <w:rPr>
          <w:rFonts w:ascii="Arial" w:hAnsi="Arial" w:cs="Arial"/>
        </w:rPr>
      </w:pPr>
    </w:p>
    <w:p w:rsidR="00676395" w:rsidRDefault="00676395" w:rsidP="00676395">
      <w:pPr>
        <w:autoSpaceDE w:val="0"/>
        <w:autoSpaceDN w:val="0"/>
        <w:adjustRightInd w:val="0"/>
        <w:rPr>
          <w:rFonts w:ascii="Arial" w:hAnsi="Arial" w:cs="Arial"/>
        </w:rPr>
      </w:pPr>
    </w:p>
    <w:p w:rsidR="00676395" w:rsidRDefault="00676395" w:rsidP="00676395">
      <w:pPr>
        <w:autoSpaceDE w:val="0"/>
        <w:autoSpaceDN w:val="0"/>
        <w:adjustRightInd w:val="0"/>
        <w:rPr>
          <w:rFonts w:ascii="Arial" w:hAnsi="Arial" w:cs="Arial"/>
        </w:rPr>
      </w:pPr>
    </w:p>
    <w:p w:rsidR="00676395" w:rsidRDefault="00676395" w:rsidP="00676395">
      <w:pPr>
        <w:autoSpaceDE w:val="0"/>
        <w:autoSpaceDN w:val="0"/>
        <w:adjustRightInd w:val="0"/>
        <w:rPr>
          <w:rFonts w:ascii="Arial" w:hAnsi="Arial" w:cs="Arial"/>
        </w:rPr>
      </w:pPr>
    </w:p>
    <w:p w:rsidR="00676395" w:rsidRDefault="00676395" w:rsidP="00676395">
      <w:pPr>
        <w:autoSpaceDE w:val="0"/>
        <w:autoSpaceDN w:val="0"/>
        <w:adjustRightInd w:val="0"/>
        <w:rPr>
          <w:rFonts w:ascii="Arial" w:hAnsi="Arial" w:cs="Arial"/>
        </w:rPr>
      </w:pPr>
    </w:p>
    <w:p w:rsidR="00676395" w:rsidRDefault="00676395" w:rsidP="00676395">
      <w:pPr>
        <w:autoSpaceDE w:val="0"/>
        <w:autoSpaceDN w:val="0"/>
        <w:adjustRightInd w:val="0"/>
        <w:rPr>
          <w:rFonts w:ascii="Arial" w:hAnsi="Arial" w:cs="Arial"/>
        </w:rPr>
      </w:pPr>
    </w:p>
    <w:p w:rsidR="00676395" w:rsidRDefault="00676395" w:rsidP="00676395">
      <w:pPr>
        <w:autoSpaceDE w:val="0"/>
        <w:autoSpaceDN w:val="0"/>
        <w:adjustRightInd w:val="0"/>
        <w:rPr>
          <w:rFonts w:ascii="Arial" w:hAnsi="Arial" w:cs="Arial"/>
        </w:rPr>
      </w:pPr>
    </w:p>
    <w:p w:rsidR="00676395" w:rsidRPr="00676395" w:rsidRDefault="00676395" w:rsidP="00676395">
      <w:pPr>
        <w:autoSpaceDE w:val="0"/>
        <w:autoSpaceDN w:val="0"/>
        <w:adjustRightInd w:val="0"/>
        <w:rPr>
          <w:rFonts w:ascii="Arial" w:hAnsi="Arial" w:cs="Arial"/>
        </w:rPr>
      </w:pPr>
      <w:r w:rsidRPr="00676395">
        <w:rPr>
          <w:rFonts w:ascii="Arial" w:hAnsi="Arial" w:cs="Arial"/>
        </w:rPr>
        <w:t>ORA restated the above in 2017$ using SoCalGas factor for capital of 1.0876 shown below:</w:t>
      </w:r>
    </w:p>
    <w:p w:rsidR="00676395" w:rsidRDefault="00676395" w:rsidP="00676395">
      <w:pPr>
        <w:rPr>
          <w:rFonts w:ascii="Arial" w:hAnsi="Arial" w:cs="Arial"/>
        </w:rPr>
      </w:pPr>
      <w:r w:rsidRPr="00676395">
        <w:rPr>
          <w:rFonts w:ascii="Arial" w:hAnsi="Arial" w:cs="Arial"/>
        </w:rPr>
        <w:t>(in Thousands of 2017 Dollars)</w:t>
      </w:r>
    </w:p>
    <w:p w:rsidR="00676395" w:rsidRDefault="00676395" w:rsidP="00676395">
      <w:pPr>
        <w:rPr>
          <w:rFonts w:ascii="Arial" w:hAnsi="Arial" w:cs="Arial"/>
        </w:rPr>
      </w:pPr>
    </w:p>
    <w:p w:rsidR="00676395" w:rsidRPr="00676395" w:rsidRDefault="00676395" w:rsidP="00676395">
      <w:pPr>
        <w:kinsoku w:val="0"/>
        <w:overflowPunct w:val="0"/>
        <w:autoSpaceDE w:val="0"/>
        <w:autoSpaceDN w:val="0"/>
        <w:adjustRightInd w:val="0"/>
        <w:spacing w:before="3"/>
        <w:rPr>
          <w:sz w:val="12"/>
          <w:szCs w:val="12"/>
        </w:rPr>
      </w:pPr>
    </w:p>
    <w:tbl>
      <w:tblPr>
        <w:tblW w:w="0" w:type="auto"/>
        <w:tblInd w:w="110" w:type="dxa"/>
        <w:tblLayout w:type="fixed"/>
        <w:tblCellMar>
          <w:left w:w="0" w:type="dxa"/>
          <w:right w:w="0" w:type="dxa"/>
        </w:tblCellMar>
        <w:tblLook w:val="0000" w:firstRow="0" w:lastRow="0" w:firstColumn="0" w:lastColumn="0" w:noHBand="0" w:noVBand="0"/>
      </w:tblPr>
      <w:tblGrid>
        <w:gridCol w:w="1380"/>
        <w:gridCol w:w="1380"/>
        <w:gridCol w:w="1380"/>
        <w:gridCol w:w="1380"/>
        <w:gridCol w:w="1380"/>
        <w:gridCol w:w="1380"/>
      </w:tblGrid>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Description</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2009</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2010</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2011</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2012</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2013</w:t>
            </w:r>
          </w:p>
        </w:tc>
      </w:tr>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jc w:val="center"/>
            </w:pPr>
            <w:r w:rsidRPr="00676395">
              <w:rPr>
                <w:rFonts w:ascii="Calibri" w:hAnsi="Calibri" w:cs="Calibri"/>
                <w:sz w:val="20"/>
                <w:szCs w:val="20"/>
              </w:rPr>
              <w:t>(a)</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jc w:val="center"/>
            </w:pPr>
            <w:r w:rsidRPr="00676395">
              <w:rPr>
                <w:rFonts w:ascii="Calibri" w:hAnsi="Calibri" w:cs="Calibri"/>
                <w:sz w:val="20"/>
                <w:szCs w:val="20"/>
              </w:rPr>
              <w:t>(b)</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jc w:val="center"/>
            </w:pPr>
            <w:r w:rsidRPr="00676395">
              <w:rPr>
                <w:rFonts w:ascii="Calibri" w:hAnsi="Calibri" w:cs="Calibri"/>
                <w:sz w:val="20"/>
                <w:szCs w:val="20"/>
              </w:rPr>
              <w:t>(c)</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jc w:val="center"/>
            </w:pPr>
            <w:r w:rsidRPr="00676395">
              <w:rPr>
                <w:rFonts w:ascii="Calibri" w:hAnsi="Calibri" w:cs="Calibri"/>
                <w:sz w:val="20"/>
                <w:szCs w:val="20"/>
              </w:rPr>
              <w:t>(d)</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right="1"/>
              <w:jc w:val="center"/>
            </w:pPr>
            <w:r w:rsidRPr="00676395">
              <w:rPr>
                <w:rFonts w:ascii="Calibri" w:hAnsi="Calibri" w:cs="Calibri"/>
                <w:spacing w:val="-1"/>
                <w:sz w:val="20"/>
                <w:szCs w:val="20"/>
              </w:rPr>
              <w:t>(e)</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right="1"/>
              <w:jc w:val="center"/>
            </w:pPr>
            <w:r w:rsidRPr="00676395">
              <w:rPr>
                <w:rFonts w:ascii="Calibri" w:hAnsi="Calibri" w:cs="Calibri"/>
                <w:spacing w:val="-1"/>
                <w:sz w:val="20"/>
                <w:szCs w:val="20"/>
              </w:rPr>
              <w:t>(f)</w:t>
            </w:r>
          </w:p>
        </w:tc>
      </w:tr>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1.Meters</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$21,878</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$20,691</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$19,111</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$17,917</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$20,650</w:t>
            </w:r>
          </w:p>
        </w:tc>
      </w:tr>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w:t>
            </w:r>
            <w:r w:rsidRPr="00676395">
              <w:rPr>
                <w:rFonts w:ascii="Calibri" w:hAnsi="Calibri" w:cs="Calibri"/>
                <w:spacing w:val="-11"/>
                <w:sz w:val="20"/>
                <w:szCs w:val="20"/>
              </w:rPr>
              <w:t xml:space="preserve"> </w:t>
            </w:r>
            <w:r w:rsidRPr="00676395">
              <w:rPr>
                <w:rFonts w:ascii="Calibri" w:hAnsi="Calibri" w:cs="Calibri"/>
                <w:sz w:val="20"/>
                <w:szCs w:val="20"/>
              </w:rPr>
              <w:t>Regulators</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$4,657</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$4,844</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$5,173</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$4,700</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$7,424</w:t>
            </w:r>
          </w:p>
        </w:tc>
      </w:tr>
      <w:tr w:rsidR="00676395" w:rsidRPr="00676395">
        <w:trPr>
          <w:trHeight w:hRule="exact" w:val="499"/>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right="170"/>
            </w:pPr>
            <w:r w:rsidRPr="00676395">
              <w:rPr>
                <w:rFonts w:ascii="Calibri" w:hAnsi="Calibri" w:cs="Calibri"/>
                <w:spacing w:val="-1"/>
                <w:sz w:val="20"/>
                <w:szCs w:val="20"/>
              </w:rPr>
              <w:t>3.Total</w:t>
            </w:r>
            <w:r w:rsidRPr="00676395">
              <w:rPr>
                <w:rFonts w:ascii="Calibri" w:hAnsi="Calibri" w:cs="Calibri"/>
                <w:spacing w:val="-6"/>
                <w:sz w:val="20"/>
                <w:szCs w:val="20"/>
              </w:rPr>
              <w:t xml:space="preserve"> </w:t>
            </w:r>
            <w:r w:rsidRPr="00676395">
              <w:rPr>
                <w:rFonts w:ascii="Calibri" w:hAnsi="Calibri" w:cs="Calibri"/>
                <w:sz w:val="20"/>
                <w:szCs w:val="20"/>
              </w:rPr>
              <w:t>Mtr</w:t>
            </w:r>
            <w:r w:rsidRPr="00676395">
              <w:rPr>
                <w:rFonts w:ascii="Calibri" w:hAnsi="Calibri" w:cs="Calibri"/>
                <w:spacing w:val="-5"/>
                <w:sz w:val="20"/>
                <w:szCs w:val="20"/>
              </w:rPr>
              <w:t xml:space="preserve"> </w:t>
            </w:r>
            <w:r w:rsidRPr="00676395">
              <w:rPr>
                <w:rFonts w:ascii="Calibri" w:hAnsi="Calibri" w:cs="Calibri"/>
                <w:sz w:val="20"/>
                <w:szCs w:val="20"/>
              </w:rPr>
              <w:t>&amp;</w:t>
            </w:r>
            <w:r w:rsidRPr="00676395">
              <w:rPr>
                <w:rFonts w:ascii="Calibri" w:hAnsi="Calibri" w:cs="Calibri"/>
                <w:spacing w:val="26"/>
                <w:w w:val="99"/>
                <w:sz w:val="20"/>
                <w:szCs w:val="20"/>
              </w:rPr>
              <w:t xml:space="preserve"> </w:t>
            </w:r>
            <w:r w:rsidRPr="00676395">
              <w:rPr>
                <w:rFonts w:ascii="Calibri" w:hAnsi="Calibri" w:cs="Calibri"/>
                <w:sz w:val="20"/>
                <w:szCs w:val="20"/>
              </w:rPr>
              <w:t>Regulators</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$26,535</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$25,535</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$24,284</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$22,617</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$28,074</w:t>
            </w:r>
          </w:p>
        </w:tc>
      </w:tr>
    </w:tbl>
    <w:p w:rsidR="00676395" w:rsidRDefault="00676395" w:rsidP="00676395">
      <w:pPr>
        <w:rPr>
          <w:rFonts w:ascii="Arial" w:hAnsi="Arial" w:cs="Arial"/>
        </w:rPr>
      </w:pPr>
    </w:p>
    <w:p w:rsidR="00676395" w:rsidRPr="00676395" w:rsidRDefault="00676395" w:rsidP="00676395">
      <w:pPr>
        <w:autoSpaceDE w:val="0"/>
        <w:autoSpaceDN w:val="0"/>
        <w:adjustRightInd w:val="0"/>
        <w:rPr>
          <w:rFonts w:ascii="Arial" w:hAnsi="Arial" w:cs="Arial"/>
        </w:rPr>
      </w:pPr>
      <w:r w:rsidRPr="00676395">
        <w:rPr>
          <w:rFonts w:ascii="Arial" w:hAnsi="Arial" w:cs="Arial"/>
        </w:rPr>
        <w:t>There is a material difference between the two sets of data on historical distribution investment on</w:t>
      </w:r>
      <w:r>
        <w:rPr>
          <w:rFonts w:ascii="Arial" w:hAnsi="Arial" w:cs="Arial"/>
        </w:rPr>
        <w:t xml:space="preserve"> </w:t>
      </w:r>
      <w:r w:rsidRPr="00676395">
        <w:rPr>
          <w:rFonts w:ascii="Arial" w:hAnsi="Arial" w:cs="Arial"/>
        </w:rPr>
        <w:t>“ACT 378 Mtr Reg Stn” and “Total Meters &amp; Regulators” observed as shown below:</w:t>
      </w:r>
    </w:p>
    <w:p w:rsidR="00676395" w:rsidRPr="00676395" w:rsidRDefault="00676395" w:rsidP="00676395">
      <w:pPr>
        <w:rPr>
          <w:rFonts w:ascii="Arial" w:hAnsi="Arial" w:cs="Arial"/>
        </w:rPr>
      </w:pPr>
      <w:r w:rsidRPr="00676395">
        <w:rPr>
          <w:rFonts w:ascii="Arial" w:hAnsi="Arial" w:cs="Arial"/>
        </w:rPr>
        <w:t>(in Thousands of 2017 Dollars)</w:t>
      </w:r>
    </w:p>
    <w:p w:rsidR="00676395" w:rsidRDefault="00676395" w:rsidP="00676395">
      <w:pPr>
        <w:rPr>
          <w:rFonts w:ascii="Arial" w:hAnsi="Arial" w:cs="Arial"/>
        </w:rPr>
      </w:pPr>
    </w:p>
    <w:p w:rsidR="00676395" w:rsidRPr="00676395" w:rsidRDefault="00676395" w:rsidP="00676395">
      <w:pPr>
        <w:kinsoku w:val="0"/>
        <w:overflowPunct w:val="0"/>
        <w:autoSpaceDE w:val="0"/>
        <w:autoSpaceDN w:val="0"/>
        <w:adjustRightInd w:val="0"/>
        <w:spacing w:before="4"/>
        <w:rPr>
          <w:sz w:val="9"/>
          <w:szCs w:val="9"/>
        </w:rPr>
      </w:pPr>
    </w:p>
    <w:tbl>
      <w:tblPr>
        <w:tblW w:w="0" w:type="auto"/>
        <w:tblInd w:w="110" w:type="dxa"/>
        <w:tblLayout w:type="fixed"/>
        <w:tblCellMar>
          <w:left w:w="0" w:type="dxa"/>
          <w:right w:w="0" w:type="dxa"/>
        </w:tblCellMar>
        <w:tblLook w:val="0000" w:firstRow="0" w:lastRow="0" w:firstColumn="0" w:lastColumn="0" w:noHBand="0" w:noVBand="0"/>
      </w:tblPr>
      <w:tblGrid>
        <w:gridCol w:w="1380"/>
        <w:gridCol w:w="1380"/>
        <w:gridCol w:w="1380"/>
        <w:gridCol w:w="1380"/>
        <w:gridCol w:w="1380"/>
        <w:gridCol w:w="1380"/>
      </w:tblGrid>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Description</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2009</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2010</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2011</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2012</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2013</w:t>
            </w:r>
          </w:p>
        </w:tc>
      </w:tr>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jc w:val="center"/>
            </w:pPr>
            <w:r w:rsidRPr="00676395">
              <w:rPr>
                <w:rFonts w:ascii="Calibri" w:hAnsi="Calibri" w:cs="Calibri"/>
                <w:sz w:val="20"/>
                <w:szCs w:val="20"/>
              </w:rPr>
              <w:t>(a)</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jc w:val="center"/>
            </w:pPr>
            <w:r w:rsidRPr="00676395">
              <w:rPr>
                <w:rFonts w:ascii="Calibri" w:hAnsi="Calibri" w:cs="Calibri"/>
                <w:sz w:val="20"/>
                <w:szCs w:val="20"/>
              </w:rPr>
              <w:t>(b)</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jc w:val="center"/>
            </w:pPr>
            <w:r w:rsidRPr="00676395">
              <w:rPr>
                <w:rFonts w:ascii="Calibri" w:hAnsi="Calibri" w:cs="Calibri"/>
                <w:sz w:val="20"/>
                <w:szCs w:val="20"/>
              </w:rPr>
              <w:t>(c)</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jc w:val="center"/>
            </w:pPr>
            <w:r w:rsidRPr="00676395">
              <w:rPr>
                <w:rFonts w:ascii="Calibri" w:hAnsi="Calibri" w:cs="Calibri"/>
                <w:sz w:val="20"/>
                <w:szCs w:val="20"/>
              </w:rPr>
              <w:t>(d)</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right="1"/>
              <w:jc w:val="center"/>
            </w:pPr>
            <w:r w:rsidRPr="00676395">
              <w:rPr>
                <w:rFonts w:ascii="Calibri" w:hAnsi="Calibri" w:cs="Calibri"/>
                <w:spacing w:val="-1"/>
                <w:sz w:val="20"/>
                <w:szCs w:val="20"/>
              </w:rPr>
              <w:t>(e)</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right="1"/>
              <w:jc w:val="center"/>
            </w:pPr>
            <w:r w:rsidRPr="00676395">
              <w:rPr>
                <w:rFonts w:ascii="Calibri" w:hAnsi="Calibri" w:cs="Calibri"/>
                <w:spacing w:val="-1"/>
                <w:sz w:val="20"/>
                <w:szCs w:val="20"/>
              </w:rPr>
              <w:t>(f)</w:t>
            </w:r>
          </w:p>
        </w:tc>
      </w:tr>
      <w:tr w:rsidR="00676395" w:rsidRPr="00676395">
        <w:trPr>
          <w:trHeight w:hRule="exact" w:val="499"/>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202" w:right="205" w:firstLine="50"/>
            </w:pPr>
            <w:r w:rsidRPr="00676395">
              <w:rPr>
                <w:rFonts w:ascii="Calibri" w:hAnsi="Calibri" w:cs="Calibri"/>
                <w:sz w:val="20"/>
                <w:szCs w:val="20"/>
              </w:rPr>
              <w:t>1.</w:t>
            </w:r>
            <w:r w:rsidRPr="00676395">
              <w:rPr>
                <w:rFonts w:ascii="Calibri" w:hAnsi="Calibri" w:cs="Calibri"/>
                <w:spacing w:val="-4"/>
                <w:sz w:val="20"/>
                <w:szCs w:val="20"/>
              </w:rPr>
              <w:t xml:space="preserve"> </w:t>
            </w:r>
            <w:r w:rsidRPr="00676395">
              <w:rPr>
                <w:rFonts w:ascii="Calibri" w:hAnsi="Calibri" w:cs="Calibri"/>
                <w:spacing w:val="-1"/>
                <w:sz w:val="20"/>
                <w:szCs w:val="20"/>
              </w:rPr>
              <w:t>ACT</w:t>
            </w:r>
            <w:r w:rsidRPr="00676395">
              <w:rPr>
                <w:rFonts w:ascii="Calibri" w:hAnsi="Calibri" w:cs="Calibri"/>
                <w:spacing w:val="-5"/>
                <w:sz w:val="20"/>
                <w:szCs w:val="20"/>
              </w:rPr>
              <w:t xml:space="preserve"> </w:t>
            </w:r>
            <w:r w:rsidRPr="00676395">
              <w:rPr>
                <w:rFonts w:ascii="Calibri" w:hAnsi="Calibri" w:cs="Calibri"/>
                <w:sz w:val="20"/>
                <w:szCs w:val="20"/>
              </w:rPr>
              <w:t>378</w:t>
            </w:r>
            <w:r w:rsidRPr="00676395">
              <w:rPr>
                <w:rFonts w:ascii="Calibri" w:hAnsi="Calibri" w:cs="Calibri"/>
                <w:spacing w:val="24"/>
                <w:w w:val="99"/>
                <w:sz w:val="20"/>
                <w:szCs w:val="20"/>
              </w:rPr>
              <w:t xml:space="preserve"> </w:t>
            </w:r>
            <w:r w:rsidRPr="00676395">
              <w:rPr>
                <w:rFonts w:ascii="Calibri" w:hAnsi="Calibri" w:cs="Calibri"/>
                <w:sz w:val="20"/>
                <w:szCs w:val="20"/>
              </w:rPr>
              <w:t>Mtr</w:t>
            </w:r>
            <w:r w:rsidRPr="00676395">
              <w:rPr>
                <w:rFonts w:ascii="Calibri" w:hAnsi="Calibri" w:cs="Calibri"/>
                <w:spacing w:val="-5"/>
                <w:sz w:val="20"/>
                <w:szCs w:val="20"/>
              </w:rPr>
              <w:t xml:space="preserve"> </w:t>
            </w:r>
            <w:r w:rsidRPr="00676395">
              <w:rPr>
                <w:rFonts w:ascii="Calibri" w:hAnsi="Calibri" w:cs="Calibri"/>
                <w:spacing w:val="-1"/>
                <w:sz w:val="20"/>
                <w:szCs w:val="20"/>
              </w:rPr>
              <w:t>Reg</w:t>
            </w:r>
            <w:r w:rsidRPr="00676395">
              <w:rPr>
                <w:rFonts w:ascii="Calibri" w:hAnsi="Calibri" w:cs="Calibri"/>
                <w:spacing w:val="-4"/>
                <w:sz w:val="20"/>
                <w:szCs w:val="20"/>
              </w:rPr>
              <w:t xml:space="preserve"> </w:t>
            </w:r>
            <w:r w:rsidRPr="00676395">
              <w:rPr>
                <w:rFonts w:ascii="Calibri" w:hAnsi="Calibri" w:cs="Calibri"/>
                <w:sz w:val="20"/>
                <w:szCs w:val="20"/>
              </w:rPr>
              <w:t>Stn</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$4,351</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$5,742</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$7,429</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$8,139</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$7,951</w:t>
            </w:r>
          </w:p>
        </w:tc>
      </w:tr>
      <w:tr w:rsidR="00676395" w:rsidRPr="00676395">
        <w:trPr>
          <w:trHeight w:hRule="exact" w:val="497"/>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right="124"/>
            </w:pPr>
            <w:r w:rsidRPr="00676395">
              <w:rPr>
                <w:rFonts w:ascii="Calibri" w:hAnsi="Calibri" w:cs="Calibri"/>
                <w:sz w:val="20"/>
                <w:szCs w:val="20"/>
              </w:rPr>
              <w:t>2.</w:t>
            </w:r>
            <w:r w:rsidRPr="00676395">
              <w:rPr>
                <w:rFonts w:ascii="Calibri" w:hAnsi="Calibri" w:cs="Calibri"/>
                <w:spacing w:val="-4"/>
                <w:sz w:val="20"/>
                <w:szCs w:val="20"/>
              </w:rPr>
              <w:t xml:space="preserve"> </w:t>
            </w:r>
            <w:r w:rsidRPr="00676395">
              <w:rPr>
                <w:rFonts w:ascii="Calibri" w:hAnsi="Calibri" w:cs="Calibri"/>
                <w:spacing w:val="-1"/>
                <w:sz w:val="20"/>
                <w:szCs w:val="20"/>
              </w:rPr>
              <w:t>Total</w:t>
            </w:r>
            <w:r w:rsidRPr="00676395">
              <w:rPr>
                <w:rFonts w:ascii="Calibri" w:hAnsi="Calibri" w:cs="Calibri"/>
                <w:spacing w:val="-3"/>
                <w:sz w:val="20"/>
                <w:szCs w:val="20"/>
              </w:rPr>
              <w:t xml:space="preserve"> </w:t>
            </w:r>
            <w:r w:rsidRPr="00676395">
              <w:rPr>
                <w:rFonts w:ascii="Calibri" w:hAnsi="Calibri" w:cs="Calibri"/>
                <w:sz w:val="20"/>
                <w:szCs w:val="20"/>
              </w:rPr>
              <w:t>Mtr</w:t>
            </w:r>
            <w:r w:rsidRPr="00676395">
              <w:rPr>
                <w:rFonts w:ascii="Calibri" w:hAnsi="Calibri" w:cs="Calibri"/>
                <w:spacing w:val="-4"/>
                <w:sz w:val="20"/>
                <w:szCs w:val="20"/>
              </w:rPr>
              <w:t xml:space="preserve"> </w:t>
            </w:r>
            <w:r w:rsidRPr="00676395">
              <w:rPr>
                <w:rFonts w:ascii="Calibri" w:hAnsi="Calibri" w:cs="Calibri"/>
                <w:sz w:val="20"/>
                <w:szCs w:val="20"/>
              </w:rPr>
              <w:t>&amp;</w:t>
            </w:r>
            <w:r w:rsidRPr="00676395">
              <w:rPr>
                <w:rFonts w:ascii="Calibri" w:hAnsi="Calibri" w:cs="Calibri"/>
                <w:spacing w:val="24"/>
                <w:w w:val="99"/>
                <w:sz w:val="20"/>
                <w:szCs w:val="20"/>
              </w:rPr>
              <w:t xml:space="preserve"> </w:t>
            </w:r>
            <w:r w:rsidRPr="00676395">
              <w:rPr>
                <w:rFonts w:ascii="Calibri" w:hAnsi="Calibri" w:cs="Calibri"/>
                <w:sz w:val="20"/>
                <w:szCs w:val="20"/>
              </w:rPr>
              <w:t>Regulators</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$26,535</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$25,535</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$24,284</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$22,617</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$28,074</w:t>
            </w:r>
          </w:p>
        </w:tc>
      </w:tr>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3.</w:t>
            </w:r>
            <w:r w:rsidRPr="00676395">
              <w:rPr>
                <w:rFonts w:ascii="Calibri" w:hAnsi="Calibri" w:cs="Calibri"/>
                <w:spacing w:val="-10"/>
                <w:sz w:val="20"/>
                <w:szCs w:val="20"/>
              </w:rPr>
              <w:t xml:space="preserve"> </w:t>
            </w:r>
            <w:r w:rsidRPr="00676395">
              <w:rPr>
                <w:rFonts w:ascii="Calibri" w:hAnsi="Calibri" w:cs="Calibri"/>
                <w:sz w:val="20"/>
                <w:szCs w:val="20"/>
              </w:rPr>
              <w:t>Difference</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$22,184</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$19,792</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$16,855</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$14,477</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$20,124</w:t>
            </w:r>
          </w:p>
        </w:tc>
      </w:tr>
    </w:tbl>
    <w:p w:rsidR="00676395" w:rsidRDefault="00676395" w:rsidP="00676395">
      <w:pPr>
        <w:rPr>
          <w:rFonts w:ascii="Arial" w:hAnsi="Arial" w:cs="Arial"/>
        </w:rPr>
      </w:pPr>
    </w:p>
    <w:p w:rsidR="00676395" w:rsidRDefault="00676395" w:rsidP="00676395">
      <w:pPr>
        <w:autoSpaceDE w:val="0"/>
        <w:autoSpaceDN w:val="0"/>
        <w:adjustRightInd w:val="0"/>
        <w:rPr>
          <w:rFonts w:ascii="Arial" w:hAnsi="Arial" w:cs="Arial"/>
        </w:rPr>
      </w:pPr>
      <w:r w:rsidRPr="00676395">
        <w:rPr>
          <w:rFonts w:ascii="Arial" w:hAnsi="Arial" w:cs="Arial"/>
        </w:rPr>
        <w:t>However, compared against only “</w:t>
      </w:r>
      <w:r w:rsidR="00950017" w:rsidRPr="00676395">
        <w:rPr>
          <w:rFonts w:ascii="Arial" w:hAnsi="Arial" w:cs="Arial"/>
        </w:rPr>
        <w:t>Regulators, “the</w:t>
      </w:r>
      <w:r w:rsidRPr="00676395">
        <w:rPr>
          <w:rFonts w:ascii="Arial" w:hAnsi="Arial" w:cs="Arial"/>
        </w:rPr>
        <w:t xml:space="preserve"> difference observed between “ACT 378 Mtr</w:t>
      </w:r>
      <w:r>
        <w:rPr>
          <w:rFonts w:ascii="Arial" w:hAnsi="Arial" w:cs="Arial"/>
        </w:rPr>
        <w:t xml:space="preserve"> </w:t>
      </w:r>
      <w:r w:rsidRPr="00676395">
        <w:rPr>
          <w:rFonts w:ascii="Arial" w:hAnsi="Arial" w:cs="Arial"/>
        </w:rPr>
        <w:t>Reg Stn” and just “Regulators appear to be less such that “ACT 378 Mtr Reg Stn” could represent</w:t>
      </w:r>
      <w:r>
        <w:rPr>
          <w:rFonts w:ascii="Arial" w:hAnsi="Arial" w:cs="Arial"/>
        </w:rPr>
        <w:t xml:space="preserve"> </w:t>
      </w:r>
      <w:r w:rsidRPr="00676395">
        <w:rPr>
          <w:rFonts w:ascii="Arial" w:hAnsi="Arial" w:cs="Arial"/>
        </w:rPr>
        <w:t>only the historical investment in regulators, as shown below:</w:t>
      </w:r>
    </w:p>
    <w:p w:rsidR="00676395" w:rsidRPr="00676395" w:rsidRDefault="00676395" w:rsidP="00676395">
      <w:pPr>
        <w:rPr>
          <w:rFonts w:ascii="Arial" w:hAnsi="Arial" w:cs="Arial"/>
        </w:rPr>
      </w:pPr>
      <w:r w:rsidRPr="00676395">
        <w:rPr>
          <w:rFonts w:ascii="Arial" w:hAnsi="Arial" w:cs="Arial"/>
        </w:rPr>
        <w:t>(in Thousands of 2017 Dollars)</w:t>
      </w:r>
    </w:p>
    <w:p w:rsidR="00676395" w:rsidRDefault="00676395" w:rsidP="00676395">
      <w:pPr>
        <w:autoSpaceDE w:val="0"/>
        <w:autoSpaceDN w:val="0"/>
        <w:adjustRightInd w:val="0"/>
        <w:rPr>
          <w:rFonts w:ascii="Arial" w:hAnsi="Arial" w:cs="Arial"/>
        </w:rPr>
      </w:pPr>
    </w:p>
    <w:p w:rsidR="00676395" w:rsidRPr="00676395" w:rsidRDefault="00676395" w:rsidP="00676395">
      <w:pPr>
        <w:kinsoku w:val="0"/>
        <w:overflowPunct w:val="0"/>
        <w:autoSpaceDE w:val="0"/>
        <w:autoSpaceDN w:val="0"/>
        <w:adjustRightInd w:val="0"/>
        <w:spacing w:before="11"/>
        <w:rPr>
          <w:sz w:val="6"/>
          <w:szCs w:val="6"/>
        </w:rPr>
      </w:pPr>
    </w:p>
    <w:tbl>
      <w:tblPr>
        <w:tblW w:w="0" w:type="auto"/>
        <w:tblInd w:w="110" w:type="dxa"/>
        <w:tblLayout w:type="fixed"/>
        <w:tblCellMar>
          <w:left w:w="0" w:type="dxa"/>
          <w:right w:w="0" w:type="dxa"/>
        </w:tblCellMar>
        <w:tblLook w:val="0000" w:firstRow="0" w:lastRow="0" w:firstColumn="0" w:lastColumn="0" w:noHBand="0" w:noVBand="0"/>
      </w:tblPr>
      <w:tblGrid>
        <w:gridCol w:w="1380"/>
        <w:gridCol w:w="1380"/>
        <w:gridCol w:w="1380"/>
        <w:gridCol w:w="1380"/>
        <w:gridCol w:w="1380"/>
        <w:gridCol w:w="1380"/>
      </w:tblGrid>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Description</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2009</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2010</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2011</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2012</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2013</w:t>
            </w:r>
          </w:p>
        </w:tc>
      </w:tr>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jc w:val="center"/>
            </w:pPr>
            <w:r w:rsidRPr="00676395">
              <w:rPr>
                <w:rFonts w:ascii="Calibri" w:hAnsi="Calibri" w:cs="Calibri"/>
                <w:sz w:val="20"/>
                <w:szCs w:val="20"/>
              </w:rPr>
              <w:t>(a)</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jc w:val="center"/>
            </w:pPr>
            <w:r w:rsidRPr="00676395">
              <w:rPr>
                <w:rFonts w:ascii="Calibri" w:hAnsi="Calibri" w:cs="Calibri"/>
                <w:sz w:val="20"/>
                <w:szCs w:val="20"/>
              </w:rPr>
              <w:t>(b)</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jc w:val="center"/>
            </w:pPr>
            <w:r w:rsidRPr="00676395">
              <w:rPr>
                <w:rFonts w:ascii="Calibri" w:hAnsi="Calibri" w:cs="Calibri"/>
                <w:sz w:val="20"/>
                <w:szCs w:val="20"/>
              </w:rPr>
              <w:t>(c)</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jc w:val="center"/>
            </w:pPr>
            <w:r w:rsidRPr="00676395">
              <w:rPr>
                <w:rFonts w:ascii="Calibri" w:hAnsi="Calibri" w:cs="Calibri"/>
                <w:sz w:val="20"/>
                <w:szCs w:val="20"/>
              </w:rPr>
              <w:t>(d)</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right="1"/>
              <w:jc w:val="center"/>
            </w:pPr>
            <w:r w:rsidRPr="00676395">
              <w:rPr>
                <w:rFonts w:ascii="Calibri" w:hAnsi="Calibri" w:cs="Calibri"/>
                <w:spacing w:val="-1"/>
                <w:sz w:val="20"/>
                <w:szCs w:val="20"/>
              </w:rPr>
              <w:t>(e)</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right="1"/>
              <w:jc w:val="center"/>
            </w:pPr>
            <w:r w:rsidRPr="00676395">
              <w:rPr>
                <w:rFonts w:ascii="Calibri" w:hAnsi="Calibri" w:cs="Calibri"/>
                <w:spacing w:val="-1"/>
                <w:sz w:val="20"/>
                <w:szCs w:val="20"/>
              </w:rPr>
              <w:t>(f)</w:t>
            </w:r>
          </w:p>
        </w:tc>
      </w:tr>
      <w:tr w:rsidR="00676395" w:rsidRPr="00676395">
        <w:trPr>
          <w:trHeight w:hRule="exact" w:val="497"/>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202" w:right="205" w:firstLine="50"/>
            </w:pPr>
            <w:r w:rsidRPr="00676395">
              <w:rPr>
                <w:rFonts w:ascii="Calibri" w:hAnsi="Calibri" w:cs="Calibri"/>
                <w:sz w:val="20"/>
                <w:szCs w:val="20"/>
              </w:rPr>
              <w:t>1.</w:t>
            </w:r>
            <w:r w:rsidRPr="00676395">
              <w:rPr>
                <w:rFonts w:ascii="Calibri" w:hAnsi="Calibri" w:cs="Calibri"/>
                <w:spacing w:val="-4"/>
                <w:sz w:val="20"/>
                <w:szCs w:val="20"/>
              </w:rPr>
              <w:t xml:space="preserve"> </w:t>
            </w:r>
            <w:r w:rsidRPr="00676395">
              <w:rPr>
                <w:rFonts w:ascii="Calibri" w:hAnsi="Calibri" w:cs="Calibri"/>
                <w:spacing w:val="-1"/>
                <w:sz w:val="20"/>
                <w:szCs w:val="20"/>
              </w:rPr>
              <w:t>ACT</w:t>
            </w:r>
            <w:r w:rsidRPr="00676395">
              <w:rPr>
                <w:rFonts w:ascii="Calibri" w:hAnsi="Calibri" w:cs="Calibri"/>
                <w:spacing w:val="-5"/>
                <w:sz w:val="20"/>
                <w:szCs w:val="20"/>
              </w:rPr>
              <w:t xml:space="preserve"> </w:t>
            </w:r>
            <w:r w:rsidRPr="00676395">
              <w:rPr>
                <w:rFonts w:ascii="Calibri" w:hAnsi="Calibri" w:cs="Calibri"/>
                <w:sz w:val="20"/>
                <w:szCs w:val="20"/>
              </w:rPr>
              <w:t>378</w:t>
            </w:r>
            <w:r w:rsidRPr="00676395">
              <w:rPr>
                <w:rFonts w:ascii="Calibri" w:hAnsi="Calibri" w:cs="Calibri"/>
                <w:spacing w:val="24"/>
                <w:w w:val="99"/>
                <w:sz w:val="20"/>
                <w:szCs w:val="20"/>
              </w:rPr>
              <w:t xml:space="preserve"> </w:t>
            </w:r>
            <w:r w:rsidRPr="00676395">
              <w:rPr>
                <w:rFonts w:ascii="Calibri" w:hAnsi="Calibri" w:cs="Calibri"/>
                <w:sz w:val="20"/>
                <w:szCs w:val="20"/>
              </w:rPr>
              <w:t>Mtr</w:t>
            </w:r>
            <w:r w:rsidRPr="00676395">
              <w:rPr>
                <w:rFonts w:ascii="Calibri" w:hAnsi="Calibri" w:cs="Calibri"/>
                <w:spacing w:val="-5"/>
                <w:sz w:val="20"/>
                <w:szCs w:val="20"/>
              </w:rPr>
              <w:t xml:space="preserve"> </w:t>
            </w:r>
            <w:r w:rsidRPr="00676395">
              <w:rPr>
                <w:rFonts w:ascii="Calibri" w:hAnsi="Calibri" w:cs="Calibri"/>
                <w:spacing w:val="-1"/>
                <w:sz w:val="20"/>
                <w:szCs w:val="20"/>
              </w:rPr>
              <w:t>Reg</w:t>
            </w:r>
            <w:r w:rsidRPr="00676395">
              <w:rPr>
                <w:rFonts w:ascii="Calibri" w:hAnsi="Calibri" w:cs="Calibri"/>
                <w:spacing w:val="-4"/>
                <w:sz w:val="20"/>
                <w:szCs w:val="20"/>
              </w:rPr>
              <w:t xml:space="preserve"> </w:t>
            </w:r>
            <w:r w:rsidRPr="00676395">
              <w:rPr>
                <w:rFonts w:ascii="Calibri" w:hAnsi="Calibri" w:cs="Calibri"/>
                <w:sz w:val="20"/>
                <w:szCs w:val="20"/>
              </w:rPr>
              <w:t>Stn</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$4,351</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$5,742</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$7,429</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$8,139</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$7,951</w:t>
            </w:r>
          </w:p>
        </w:tc>
      </w:tr>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2.</w:t>
            </w:r>
            <w:r w:rsidRPr="00676395">
              <w:rPr>
                <w:rFonts w:ascii="Calibri" w:hAnsi="Calibri" w:cs="Calibri"/>
                <w:spacing w:val="-11"/>
                <w:sz w:val="20"/>
                <w:szCs w:val="20"/>
              </w:rPr>
              <w:t xml:space="preserve"> </w:t>
            </w:r>
            <w:r w:rsidRPr="00676395">
              <w:rPr>
                <w:rFonts w:ascii="Calibri" w:hAnsi="Calibri" w:cs="Calibri"/>
                <w:sz w:val="20"/>
                <w:szCs w:val="20"/>
              </w:rPr>
              <w:t>Regulators</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$4,657</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$4,844</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$5,173</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$4,700</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spacing w:before="3" w:line="242" w:lineRule="exact"/>
              <w:ind w:left="104"/>
            </w:pPr>
            <w:r w:rsidRPr="00676395">
              <w:rPr>
                <w:rFonts w:ascii="Calibri" w:hAnsi="Calibri" w:cs="Calibri"/>
                <w:sz w:val="20"/>
                <w:szCs w:val="20"/>
              </w:rPr>
              <w:t>$7,424</w:t>
            </w:r>
          </w:p>
        </w:tc>
      </w:tr>
      <w:tr w:rsidR="00676395" w:rsidRPr="00676395">
        <w:trPr>
          <w:trHeight w:hRule="exact" w:val="254"/>
        </w:trPr>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3.</w:t>
            </w:r>
            <w:r w:rsidRPr="00676395">
              <w:rPr>
                <w:rFonts w:ascii="Calibri" w:hAnsi="Calibri" w:cs="Calibri"/>
                <w:spacing w:val="-10"/>
                <w:sz w:val="20"/>
                <w:szCs w:val="20"/>
              </w:rPr>
              <w:t xml:space="preserve"> </w:t>
            </w:r>
            <w:r w:rsidRPr="00676395">
              <w:rPr>
                <w:rFonts w:ascii="Calibri" w:hAnsi="Calibri" w:cs="Calibri"/>
                <w:sz w:val="20"/>
                <w:szCs w:val="20"/>
              </w:rPr>
              <w:t>Difference</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$306</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pacing w:val="-1"/>
                <w:sz w:val="20"/>
                <w:szCs w:val="20"/>
              </w:rPr>
              <w:t>($899)</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($2,256)</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z w:val="20"/>
                <w:szCs w:val="20"/>
              </w:rPr>
              <w:t>($3,440)</w:t>
            </w:r>
          </w:p>
        </w:tc>
        <w:tc>
          <w:tcPr>
            <w:tcW w:w="1380" w:type="dxa"/>
            <w:tcBorders>
              <w:top w:val="single" w:sz="3" w:space="0" w:color="000000"/>
              <w:left w:val="single" w:sz="3" w:space="0" w:color="000000"/>
              <w:bottom w:val="single" w:sz="3" w:space="0" w:color="000000"/>
              <w:right w:val="single" w:sz="3" w:space="0" w:color="000000"/>
            </w:tcBorders>
          </w:tcPr>
          <w:p w:rsidR="00676395" w:rsidRPr="00676395" w:rsidRDefault="00676395" w:rsidP="00676395">
            <w:pPr>
              <w:kinsoku w:val="0"/>
              <w:overflowPunct w:val="0"/>
              <w:autoSpaceDE w:val="0"/>
              <w:autoSpaceDN w:val="0"/>
              <w:adjustRightInd w:val="0"/>
              <w:ind w:left="104"/>
            </w:pPr>
            <w:r w:rsidRPr="00676395">
              <w:rPr>
                <w:rFonts w:ascii="Calibri" w:hAnsi="Calibri" w:cs="Calibri"/>
                <w:spacing w:val="-1"/>
                <w:sz w:val="20"/>
                <w:szCs w:val="20"/>
              </w:rPr>
              <w:t>($527)</w:t>
            </w:r>
          </w:p>
        </w:tc>
      </w:tr>
    </w:tbl>
    <w:p w:rsidR="00676395" w:rsidRDefault="00676395" w:rsidP="00676395">
      <w:pPr>
        <w:autoSpaceDE w:val="0"/>
        <w:autoSpaceDN w:val="0"/>
        <w:adjustRightInd w:val="0"/>
        <w:rPr>
          <w:rFonts w:ascii="Arial" w:hAnsi="Arial" w:cs="Arial"/>
        </w:rPr>
      </w:pPr>
    </w:p>
    <w:p w:rsidR="00676395" w:rsidRPr="00676395" w:rsidRDefault="00676395" w:rsidP="00676395">
      <w:pPr>
        <w:autoSpaceDE w:val="0"/>
        <w:autoSpaceDN w:val="0"/>
        <w:adjustRightInd w:val="0"/>
        <w:rPr>
          <w:rFonts w:ascii="Arial" w:hAnsi="Arial" w:cs="Arial"/>
        </w:rPr>
      </w:pPr>
      <w:r w:rsidRPr="00676395">
        <w:rPr>
          <w:rFonts w:ascii="Arial" w:hAnsi="Arial" w:cs="Arial"/>
        </w:rPr>
        <w:t>Please provide an explanation on why there could be a material difference between the two sets of</w:t>
      </w:r>
      <w:r>
        <w:rPr>
          <w:rFonts w:ascii="Arial" w:hAnsi="Arial" w:cs="Arial"/>
        </w:rPr>
        <w:t xml:space="preserve"> </w:t>
      </w:r>
      <w:r w:rsidRPr="00676395">
        <w:rPr>
          <w:rFonts w:ascii="Arial" w:hAnsi="Arial" w:cs="Arial"/>
        </w:rPr>
        <w:t>data on historical distribution investment on “ACT 378 Mtr Reg Stn” as described above. Please</w:t>
      </w:r>
      <w:r>
        <w:rPr>
          <w:rFonts w:ascii="Arial" w:hAnsi="Arial" w:cs="Arial"/>
        </w:rPr>
        <w:t xml:space="preserve"> </w:t>
      </w:r>
      <w:r w:rsidRPr="00676395">
        <w:rPr>
          <w:rFonts w:ascii="Arial" w:hAnsi="Arial" w:cs="Arial"/>
        </w:rPr>
        <w:t>provide the necessary information to support the basis of your explanation.</w:t>
      </w:r>
    </w:p>
    <w:p w:rsidR="00676395" w:rsidRDefault="00676395">
      <w:pPr>
        <w:rPr>
          <w:rFonts w:ascii="Arial" w:hAnsi="Arial" w:cs="Arial"/>
          <w:b/>
          <w:u w:val="single"/>
        </w:rPr>
      </w:pPr>
      <w:r>
        <w:rPr>
          <w:rFonts w:ascii="Arial" w:hAnsi="Arial" w:cs="Arial"/>
          <w:b/>
          <w:u w:val="single"/>
        </w:rPr>
        <w:br w:type="page"/>
      </w:r>
    </w:p>
    <w:p w:rsidR="00BC61B4" w:rsidRDefault="00BC61B4" w:rsidP="005C6E7A">
      <w:pPr>
        <w:rPr>
          <w:rFonts w:ascii="Arial" w:hAnsi="Arial" w:cs="Arial"/>
          <w:b/>
          <w:u w:val="single"/>
        </w:rPr>
      </w:pPr>
    </w:p>
    <w:p w:rsidR="004D4862" w:rsidRDefault="00F759E8" w:rsidP="004D4862">
      <w:pPr>
        <w:rPr>
          <w:rFonts w:ascii="Arial" w:hAnsi="Arial" w:cs="Arial"/>
          <w:b/>
          <w:u w:val="single"/>
        </w:rPr>
      </w:pPr>
      <w:r w:rsidRPr="00F759E8">
        <w:rPr>
          <w:rFonts w:ascii="Arial" w:hAnsi="Arial" w:cs="Arial"/>
          <w:b/>
          <w:u w:val="single"/>
        </w:rPr>
        <w:t>RESPONSE 1:</w:t>
      </w:r>
      <w:r w:rsidR="004D4862">
        <w:rPr>
          <w:rFonts w:ascii="Arial" w:hAnsi="Arial" w:cs="Arial"/>
          <w:b/>
          <w:u w:val="single"/>
        </w:rPr>
        <w:t xml:space="preserve"> </w:t>
      </w:r>
    </w:p>
    <w:p w:rsidR="004D4862" w:rsidRDefault="004D4862" w:rsidP="004D4862">
      <w:pPr>
        <w:rPr>
          <w:rFonts w:ascii="Arial" w:hAnsi="Arial" w:cs="Arial"/>
          <w:b/>
          <w:u w:val="single"/>
        </w:rPr>
      </w:pPr>
    </w:p>
    <w:p w:rsidR="00295F0C" w:rsidRDefault="00364A5B" w:rsidP="004D4862">
      <w:pPr>
        <w:pStyle w:val="ListParagraph"/>
        <w:numPr>
          <w:ilvl w:val="0"/>
          <w:numId w:val="25"/>
        </w:numPr>
        <w:autoSpaceDE w:val="0"/>
        <w:autoSpaceDN w:val="0"/>
        <w:adjustRightInd w:val="0"/>
        <w:rPr>
          <w:rFonts w:ascii="Arial" w:hAnsi="Arial" w:cs="Arial"/>
        </w:rPr>
      </w:pPr>
      <w:r>
        <w:rPr>
          <w:rFonts w:ascii="Arial" w:hAnsi="Arial" w:cs="Arial"/>
        </w:rPr>
        <w:t>T</w:t>
      </w:r>
      <w:r w:rsidRPr="00676395">
        <w:rPr>
          <w:rFonts w:ascii="Arial" w:hAnsi="Arial" w:cs="Arial"/>
        </w:rPr>
        <w:t xml:space="preserve">he information on historical investment for “ACT 378 </w:t>
      </w:r>
      <w:proofErr w:type="spellStart"/>
      <w:r w:rsidRPr="00676395">
        <w:rPr>
          <w:rFonts w:ascii="Arial" w:hAnsi="Arial" w:cs="Arial"/>
        </w:rPr>
        <w:t>Mtr</w:t>
      </w:r>
      <w:proofErr w:type="spellEnd"/>
      <w:r w:rsidRPr="00676395">
        <w:rPr>
          <w:rFonts w:ascii="Arial" w:hAnsi="Arial" w:cs="Arial"/>
        </w:rPr>
        <w:t xml:space="preserve"> </w:t>
      </w:r>
      <w:proofErr w:type="spellStart"/>
      <w:r w:rsidRPr="00676395">
        <w:rPr>
          <w:rFonts w:ascii="Arial" w:hAnsi="Arial" w:cs="Arial"/>
        </w:rPr>
        <w:t>Reg</w:t>
      </w:r>
      <w:proofErr w:type="spellEnd"/>
      <w:r w:rsidRPr="00676395">
        <w:rPr>
          <w:rFonts w:ascii="Arial" w:hAnsi="Arial" w:cs="Arial"/>
        </w:rPr>
        <w:t xml:space="preserve"> </w:t>
      </w:r>
      <w:proofErr w:type="spellStart"/>
      <w:r w:rsidRPr="00676395">
        <w:rPr>
          <w:rFonts w:ascii="Arial" w:hAnsi="Arial" w:cs="Arial"/>
        </w:rPr>
        <w:t>Stn</w:t>
      </w:r>
      <w:proofErr w:type="spellEnd"/>
      <w:r w:rsidRPr="00676395">
        <w:rPr>
          <w:rFonts w:ascii="Arial" w:hAnsi="Arial" w:cs="Arial"/>
        </w:rPr>
        <w:t xml:space="preserve">” shown in </w:t>
      </w:r>
      <w:r w:rsidR="00906B3F">
        <w:rPr>
          <w:rFonts w:ascii="Arial" w:hAnsi="Arial" w:cs="Arial"/>
        </w:rPr>
        <w:t>E</w:t>
      </w:r>
      <w:r w:rsidR="00906B3F" w:rsidRPr="00676395">
        <w:rPr>
          <w:rFonts w:ascii="Arial" w:hAnsi="Arial" w:cs="Arial"/>
        </w:rPr>
        <w:t xml:space="preserve">xcel </w:t>
      </w:r>
      <w:r w:rsidRPr="00676395">
        <w:rPr>
          <w:rFonts w:ascii="Arial" w:hAnsi="Arial" w:cs="Arial"/>
        </w:rPr>
        <w:t xml:space="preserve">column BM </w:t>
      </w:r>
      <w:r>
        <w:rPr>
          <w:rFonts w:ascii="Arial" w:hAnsi="Arial" w:cs="Arial"/>
        </w:rPr>
        <w:t xml:space="preserve">in Table 4 for the period 2005-2013 </w:t>
      </w:r>
      <w:r w:rsidRPr="00676395">
        <w:rPr>
          <w:rFonts w:ascii="Arial" w:hAnsi="Arial" w:cs="Arial"/>
        </w:rPr>
        <w:t>represent</w:t>
      </w:r>
      <w:r w:rsidR="00906B3F">
        <w:rPr>
          <w:rFonts w:ascii="Arial" w:hAnsi="Arial" w:cs="Arial"/>
        </w:rPr>
        <w:t>s</w:t>
      </w:r>
      <w:r w:rsidRPr="00676395">
        <w:rPr>
          <w:rFonts w:ascii="Arial" w:hAnsi="Arial" w:cs="Arial"/>
        </w:rPr>
        <w:t xml:space="preserve"> SoCalGas</w:t>
      </w:r>
      <w:r>
        <w:rPr>
          <w:rFonts w:ascii="Arial" w:hAnsi="Arial" w:cs="Arial"/>
        </w:rPr>
        <w:t>’</w:t>
      </w:r>
      <w:r w:rsidRPr="00676395">
        <w:rPr>
          <w:rFonts w:ascii="Arial" w:hAnsi="Arial" w:cs="Arial"/>
        </w:rPr>
        <w:t xml:space="preserve"> actual recorded historical investment </w:t>
      </w:r>
      <w:r>
        <w:rPr>
          <w:rFonts w:ascii="Arial" w:hAnsi="Arial" w:cs="Arial"/>
        </w:rPr>
        <w:t xml:space="preserve">costs escalated to 2017$ by </w:t>
      </w:r>
      <w:r w:rsidR="002F4A54">
        <w:rPr>
          <w:rFonts w:ascii="Arial" w:hAnsi="Arial" w:cs="Arial"/>
        </w:rPr>
        <w:t xml:space="preserve">IHS Global Insight’s forecast of </w:t>
      </w:r>
      <w:r>
        <w:rPr>
          <w:rFonts w:ascii="Arial" w:hAnsi="Arial" w:cs="Arial"/>
        </w:rPr>
        <w:t>the Handy-Whitman Index</w:t>
      </w:r>
      <w:r w:rsidRPr="00676395">
        <w:rPr>
          <w:rFonts w:ascii="Arial" w:hAnsi="Arial" w:cs="Arial"/>
        </w:rPr>
        <w:t xml:space="preserve">. </w:t>
      </w:r>
      <w:r w:rsidR="00575F9D">
        <w:rPr>
          <w:rFonts w:ascii="Arial" w:hAnsi="Arial" w:cs="Arial"/>
        </w:rPr>
        <w:t xml:space="preserve"> </w:t>
      </w:r>
      <w:r w:rsidR="002F4A54">
        <w:rPr>
          <w:rFonts w:ascii="Arial" w:hAnsi="Arial" w:cs="Arial"/>
        </w:rPr>
        <w:t>(</w:t>
      </w:r>
      <w:r w:rsidR="00575F9D">
        <w:rPr>
          <w:rFonts w:ascii="Arial" w:hAnsi="Arial" w:cs="Arial"/>
        </w:rPr>
        <w:t>The Han</w:t>
      </w:r>
      <w:r w:rsidR="00906B3F">
        <w:rPr>
          <w:rFonts w:ascii="Arial" w:hAnsi="Arial" w:cs="Arial"/>
        </w:rPr>
        <w:t>d</w:t>
      </w:r>
      <w:r w:rsidR="00575F9D">
        <w:rPr>
          <w:rFonts w:ascii="Arial" w:hAnsi="Arial" w:cs="Arial"/>
        </w:rPr>
        <w:t>y-Whitman</w:t>
      </w:r>
      <w:r>
        <w:rPr>
          <w:rFonts w:ascii="Arial" w:hAnsi="Arial" w:cs="Arial"/>
        </w:rPr>
        <w:t xml:space="preserve"> index calculates historical cost trends for different </w:t>
      </w:r>
      <w:r w:rsidR="002F4A54">
        <w:rPr>
          <w:rFonts w:ascii="Arial" w:hAnsi="Arial" w:cs="Arial"/>
        </w:rPr>
        <w:t>types of utility construction.)</w:t>
      </w:r>
    </w:p>
    <w:p w:rsidR="007B7E9E" w:rsidRPr="007B7E9E" w:rsidRDefault="00BD5F80" w:rsidP="00EE395B">
      <w:pPr>
        <w:pStyle w:val="ListParagraph"/>
        <w:numPr>
          <w:ilvl w:val="0"/>
          <w:numId w:val="25"/>
        </w:numPr>
        <w:rPr>
          <w:rFonts w:ascii="Arial" w:hAnsi="Arial" w:cs="Arial"/>
        </w:rPr>
      </w:pPr>
      <w:r w:rsidRPr="00485040">
        <w:rPr>
          <w:rFonts w:ascii="Arial" w:hAnsi="Arial" w:cs="Arial"/>
        </w:rPr>
        <w:t xml:space="preserve">The two sets of </w:t>
      </w:r>
      <w:r>
        <w:rPr>
          <w:rFonts w:ascii="Arial" w:hAnsi="Arial" w:cs="Arial"/>
        </w:rPr>
        <w:t xml:space="preserve">historical </w:t>
      </w:r>
      <w:r w:rsidRPr="00485040">
        <w:rPr>
          <w:rFonts w:ascii="Arial" w:hAnsi="Arial" w:cs="Arial"/>
        </w:rPr>
        <w:t xml:space="preserve">data </w:t>
      </w:r>
      <w:r w:rsidRPr="00485040">
        <w:rPr>
          <w:rFonts w:ascii="Arial" w:hAnsi="Arial" w:cs="Arial"/>
          <w:color w:val="000000" w:themeColor="text1"/>
        </w:rPr>
        <w:t xml:space="preserve">are not comparable.  </w:t>
      </w:r>
      <w:r>
        <w:rPr>
          <w:rFonts w:ascii="Arial" w:hAnsi="Arial" w:cs="Arial"/>
          <w:color w:val="000000" w:themeColor="text1"/>
        </w:rPr>
        <w:t>The ORA table showing</w:t>
      </w:r>
      <w:r w:rsidR="00906B3F">
        <w:rPr>
          <w:rFonts w:ascii="Arial" w:hAnsi="Arial" w:cs="Arial"/>
          <w:color w:val="000000" w:themeColor="text1"/>
        </w:rPr>
        <w:t xml:space="preserve"> a</w:t>
      </w:r>
      <w:r>
        <w:rPr>
          <w:rFonts w:ascii="Arial" w:hAnsi="Arial" w:cs="Arial"/>
          <w:color w:val="000000" w:themeColor="text1"/>
        </w:rPr>
        <w:t xml:space="preserve"> larger d</w:t>
      </w:r>
      <w:r w:rsidR="007B7E9E">
        <w:rPr>
          <w:rFonts w:ascii="Arial" w:hAnsi="Arial" w:cs="Arial"/>
          <w:color w:val="000000" w:themeColor="text1"/>
        </w:rPr>
        <w:t>ifference in historical costs can be explained by the fact that Mr. Ayala includes historica</w:t>
      </w:r>
      <w:r w:rsidR="00145D3B">
        <w:rPr>
          <w:rFonts w:ascii="Arial" w:hAnsi="Arial" w:cs="Arial"/>
          <w:color w:val="000000" w:themeColor="text1"/>
        </w:rPr>
        <w:t xml:space="preserve">l meter costs (see page FBA-124 and </w:t>
      </w:r>
      <w:r w:rsidR="007B7E9E">
        <w:rPr>
          <w:rFonts w:ascii="Arial" w:hAnsi="Arial" w:cs="Arial"/>
          <w:color w:val="000000" w:themeColor="text1"/>
        </w:rPr>
        <w:t xml:space="preserve">125, </w:t>
      </w:r>
      <w:r w:rsidR="007B7E9E" w:rsidRPr="00B6760D">
        <w:rPr>
          <w:rFonts w:ascii="Arial" w:hAnsi="Arial" w:cs="Arial"/>
        </w:rPr>
        <w:t>Exhibit SCG-04-R</w:t>
      </w:r>
      <w:r w:rsidR="007B7E9E">
        <w:rPr>
          <w:rFonts w:ascii="Arial" w:hAnsi="Arial" w:cs="Arial"/>
        </w:rPr>
        <w:t>)</w:t>
      </w:r>
      <w:r>
        <w:rPr>
          <w:rFonts w:ascii="Arial" w:hAnsi="Arial" w:cs="Arial"/>
          <w:color w:val="000000" w:themeColor="text1"/>
        </w:rPr>
        <w:t xml:space="preserve"> </w:t>
      </w:r>
      <w:r w:rsidR="007B7E9E">
        <w:rPr>
          <w:rFonts w:ascii="Arial" w:hAnsi="Arial" w:cs="Arial"/>
          <w:color w:val="000000" w:themeColor="text1"/>
        </w:rPr>
        <w:t>in his definition of “Gas Distribution Measurement and Devices” cost category, whereas</w:t>
      </w:r>
      <w:r>
        <w:rPr>
          <w:rFonts w:ascii="Arial" w:hAnsi="Arial" w:cs="Arial"/>
          <w:color w:val="000000" w:themeColor="text1"/>
        </w:rPr>
        <w:t xml:space="preserve"> </w:t>
      </w:r>
      <w:r w:rsidR="00F6513B">
        <w:rPr>
          <w:rFonts w:ascii="Arial" w:hAnsi="Arial" w:cs="Arial"/>
          <w:color w:val="000000" w:themeColor="text1"/>
        </w:rPr>
        <w:t xml:space="preserve">in </w:t>
      </w:r>
      <w:r w:rsidR="007B7E9E">
        <w:rPr>
          <w:rFonts w:ascii="Arial" w:hAnsi="Arial" w:cs="Arial"/>
          <w:color w:val="000000" w:themeColor="text1"/>
        </w:rPr>
        <w:t xml:space="preserve">Mr. </w:t>
      </w:r>
      <w:proofErr w:type="spellStart"/>
      <w:r w:rsidR="007B7E9E">
        <w:rPr>
          <w:rFonts w:ascii="Arial" w:hAnsi="Arial" w:cs="Arial"/>
          <w:color w:val="000000" w:themeColor="text1"/>
        </w:rPr>
        <w:t>Chaudhury</w:t>
      </w:r>
      <w:r w:rsidR="00F6513B">
        <w:rPr>
          <w:rFonts w:ascii="Arial" w:hAnsi="Arial" w:cs="Arial"/>
          <w:color w:val="000000" w:themeColor="text1"/>
        </w:rPr>
        <w:t>’s</w:t>
      </w:r>
      <w:proofErr w:type="spellEnd"/>
      <w:r w:rsidR="00F6513B">
        <w:rPr>
          <w:rFonts w:ascii="Arial" w:hAnsi="Arial" w:cs="Arial"/>
          <w:color w:val="000000" w:themeColor="text1"/>
        </w:rPr>
        <w:t xml:space="preserve"> testimony</w:t>
      </w:r>
      <w:r w:rsidR="00A538EE">
        <w:rPr>
          <w:rFonts w:ascii="Arial" w:hAnsi="Arial" w:cs="Arial"/>
          <w:color w:val="000000" w:themeColor="text1"/>
        </w:rPr>
        <w:t>,</w:t>
      </w:r>
      <w:r>
        <w:rPr>
          <w:rFonts w:ascii="Arial" w:hAnsi="Arial" w:cs="Arial"/>
          <w:color w:val="000000" w:themeColor="text1"/>
        </w:rPr>
        <w:t xml:space="preserve"> </w:t>
      </w:r>
      <w:r w:rsidR="007B7E9E">
        <w:rPr>
          <w:rFonts w:ascii="Arial" w:hAnsi="Arial" w:cs="Arial"/>
          <w:color w:val="000000" w:themeColor="text1"/>
        </w:rPr>
        <w:t xml:space="preserve">meter costs are captured in </w:t>
      </w:r>
      <w:r w:rsidR="00137FB1">
        <w:rPr>
          <w:rFonts w:ascii="Arial" w:hAnsi="Arial" w:cs="Arial"/>
          <w:color w:val="000000" w:themeColor="text1"/>
        </w:rPr>
        <w:t xml:space="preserve">the </w:t>
      </w:r>
      <w:r w:rsidR="007B7E9E">
        <w:rPr>
          <w:rFonts w:ascii="Arial" w:hAnsi="Arial" w:cs="Arial"/>
          <w:color w:val="000000" w:themeColor="text1"/>
        </w:rPr>
        <w:t xml:space="preserve">customer-related cost function. </w:t>
      </w:r>
      <w:r w:rsidR="00861EC8">
        <w:rPr>
          <w:rFonts w:ascii="Arial" w:hAnsi="Arial" w:cs="Arial"/>
          <w:color w:val="000000" w:themeColor="text1"/>
        </w:rPr>
        <w:t xml:space="preserve"> In the broader-focused GRCs, it is not n</w:t>
      </w:r>
      <w:bookmarkStart w:id="0" w:name="_GoBack"/>
      <w:bookmarkEnd w:id="0"/>
      <w:r w:rsidR="00861EC8">
        <w:rPr>
          <w:rFonts w:ascii="Arial" w:hAnsi="Arial" w:cs="Arial"/>
          <w:color w:val="000000" w:themeColor="text1"/>
        </w:rPr>
        <w:t>ecessary to distinguish between customer-related and distribution-related costs; however, in a TCAP proceeding, it is important to make this distinction as the cost driver for customer-related function</w:t>
      </w:r>
      <w:r w:rsidR="002F4A54">
        <w:rPr>
          <w:rFonts w:ascii="Arial" w:hAnsi="Arial" w:cs="Arial"/>
          <w:color w:val="000000" w:themeColor="text1"/>
        </w:rPr>
        <w:t>s</w:t>
      </w:r>
      <w:r w:rsidR="00861EC8">
        <w:rPr>
          <w:rFonts w:ascii="Arial" w:hAnsi="Arial" w:cs="Arial"/>
          <w:color w:val="000000" w:themeColor="text1"/>
        </w:rPr>
        <w:t xml:space="preserve"> is different </w:t>
      </w:r>
      <w:r w:rsidR="00A538EE">
        <w:rPr>
          <w:rFonts w:ascii="Arial" w:hAnsi="Arial" w:cs="Arial"/>
          <w:color w:val="000000" w:themeColor="text1"/>
        </w:rPr>
        <w:t xml:space="preserve">from </w:t>
      </w:r>
      <w:r w:rsidR="00861EC8">
        <w:rPr>
          <w:rFonts w:ascii="Arial" w:hAnsi="Arial" w:cs="Arial"/>
          <w:color w:val="000000" w:themeColor="text1"/>
        </w:rPr>
        <w:t>the cost driver for distribution function</w:t>
      </w:r>
      <w:r w:rsidR="002F4A54">
        <w:rPr>
          <w:rFonts w:ascii="Arial" w:hAnsi="Arial" w:cs="Arial"/>
          <w:color w:val="000000" w:themeColor="text1"/>
        </w:rPr>
        <w:t>s</w:t>
      </w:r>
      <w:r w:rsidR="00861EC8">
        <w:rPr>
          <w:rFonts w:ascii="Arial" w:hAnsi="Arial" w:cs="Arial"/>
          <w:color w:val="000000" w:themeColor="text1"/>
        </w:rPr>
        <w:t>.</w:t>
      </w:r>
    </w:p>
    <w:p w:rsidR="007B7E9E" w:rsidRPr="007B7E9E" w:rsidRDefault="007B7E9E" w:rsidP="007B7E9E">
      <w:pPr>
        <w:rPr>
          <w:rFonts w:ascii="Arial" w:hAnsi="Arial" w:cs="Arial"/>
        </w:rPr>
      </w:pPr>
    </w:p>
    <w:p w:rsidR="00A85689" w:rsidRPr="00295F0C" w:rsidRDefault="00861EC8" w:rsidP="00861EC8">
      <w:pPr>
        <w:pStyle w:val="ListParagraph"/>
        <w:rPr>
          <w:rFonts w:ascii="Arial" w:hAnsi="Arial" w:cs="Arial"/>
          <w:b/>
          <w:u w:val="single"/>
        </w:rPr>
      </w:pPr>
      <w:r>
        <w:rPr>
          <w:rFonts w:ascii="Arial" w:hAnsi="Arial" w:cs="Arial"/>
          <w:color w:val="000000" w:themeColor="text1"/>
        </w:rPr>
        <w:t xml:space="preserve">Even the ORA table showing the small difference </w:t>
      </w:r>
      <w:r w:rsidR="00F6513B">
        <w:rPr>
          <w:rFonts w:ascii="Arial" w:hAnsi="Arial" w:cs="Arial"/>
          <w:color w:val="000000" w:themeColor="text1"/>
        </w:rPr>
        <w:t xml:space="preserve">(excluding historical meter costs) </w:t>
      </w:r>
      <w:r>
        <w:rPr>
          <w:rFonts w:ascii="Arial" w:hAnsi="Arial" w:cs="Arial"/>
          <w:color w:val="000000" w:themeColor="text1"/>
        </w:rPr>
        <w:t xml:space="preserve">is not comparable.  Mr. Ayala includes the cost of regulators installed with customer meters; such regulator costs are part of customer-related costs in Mr. Chaudhury’s testimony.  </w:t>
      </w:r>
    </w:p>
    <w:p w:rsidR="00C62CAA" w:rsidRDefault="00C62CAA" w:rsidP="00F67377">
      <w:pPr>
        <w:rPr>
          <w:rFonts w:ascii="Arial" w:hAnsi="Arial" w:cs="Arial"/>
          <w:b/>
          <w:u w:val="single"/>
        </w:rPr>
      </w:pPr>
    </w:p>
    <w:p w:rsidR="00137FB1" w:rsidRDefault="00137FB1" w:rsidP="00F67377">
      <w:pPr>
        <w:rPr>
          <w:rFonts w:ascii="Arial" w:hAnsi="Arial" w:cs="Arial"/>
          <w:b/>
          <w:u w:val="single"/>
        </w:rPr>
      </w:pPr>
      <w:r>
        <w:rPr>
          <w:rFonts w:ascii="Arial" w:hAnsi="Arial" w:cs="Arial"/>
          <w:b/>
          <w:u w:val="single"/>
        </w:rPr>
        <w:br w:type="page"/>
      </w:r>
    </w:p>
    <w:p w:rsidR="00663B29" w:rsidRDefault="00663B29" w:rsidP="00F67377">
      <w:pPr>
        <w:rPr>
          <w:rFonts w:ascii="Arial" w:hAnsi="Arial" w:cs="Arial"/>
          <w:b/>
          <w:u w:val="single"/>
        </w:rPr>
      </w:pPr>
    </w:p>
    <w:p w:rsidR="00BC61B4" w:rsidRDefault="00BC61B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5F4287" w:rsidRDefault="00676395" w:rsidP="00676395">
      <w:pPr>
        <w:autoSpaceDE w:val="0"/>
        <w:autoSpaceDN w:val="0"/>
        <w:adjustRightInd w:val="0"/>
        <w:rPr>
          <w:rFonts w:ascii="Arial" w:hAnsi="Arial" w:cs="Arial"/>
        </w:rPr>
      </w:pPr>
      <w:r w:rsidRPr="00676395">
        <w:rPr>
          <w:rFonts w:ascii="Arial" w:hAnsi="Arial" w:cs="Arial"/>
        </w:rPr>
        <w:t>At page 16 of the above subject regarding marginal direct O&amp;M costs, SoCalGas/SDG&amp;E witness Mr. Chaudhury states at lines 9-12: “The 2013 recorded distribution-related direct O&amp;M costs are allocated between medium pressure and high pressure distribution systems based on the split in total distribution investment between the medium and high pressure distribution systems.  Distribution-related direct O&amp;M</w:t>
      </w:r>
      <w:r w:rsidR="009C6A86">
        <w:rPr>
          <w:rFonts w:ascii="Arial" w:hAnsi="Arial" w:cs="Arial"/>
        </w:rPr>
        <w:t xml:space="preserve"> </w:t>
      </w:r>
      <w:r w:rsidRPr="00676395">
        <w:rPr>
          <w:rFonts w:ascii="Arial" w:hAnsi="Arial" w:cs="Arial"/>
        </w:rPr>
        <w:t>costs are booked to FERC Accounts 874, 875, 887, and 889.”  The workpapers show marginal MP distribution cost for direct O&amp;M of $9.98/MCFD (from Table 4 Tab “Testimony Tables” of the SCG 2017 TCAP LRMC Distribution Costs excel spreadsheet workpapers). These workpapers indicate that $9.98 was derived from total distribution O&amp;M costs of $47,052 (in 2013 $) and escalated to 2017$. The SCG 2017 TCAP LRMC O&amp;M Loader excel file at Tab “Net O&amp;M” shows the 2013 recorded costs for SoCalGas Accounts 874, 875, 887, and 889. The recorded costs of these four accounts are in the total amount of $60,129,365.</w:t>
      </w:r>
    </w:p>
    <w:p w:rsidR="00676395" w:rsidRDefault="00676395" w:rsidP="00676395">
      <w:pPr>
        <w:autoSpaceDE w:val="0"/>
        <w:autoSpaceDN w:val="0"/>
        <w:adjustRightInd w:val="0"/>
        <w:rPr>
          <w:rFonts w:ascii="Arial" w:hAnsi="Arial" w:cs="Arial"/>
        </w:rPr>
      </w:pPr>
    </w:p>
    <w:p w:rsidR="00676395" w:rsidRPr="00676395" w:rsidRDefault="00676395" w:rsidP="00676395">
      <w:pPr>
        <w:pStyle w:val="ListParagraph"/>
        <w:numPr>
          <w:ilvl w:val="0"/>
          <w:numId w:val="22"/>
        </w:numPr>
        <w:autoSpaceDE w:val="0"/>
        <w:autoSpaceDN w:val="0"/>
        <w:adjustRightInd w:val="0"/>
        <w:rPr>
          <w:rFonts w:ascii="Arial" w:hAnsi="Arial" w:cs="Arial"/>
        </w:rPr>
      </w:pPr>
      <w:r w:rsidRPr="00676395">
        <w:rPr>
          <w:rFonts w:ascii="Arial" w:hAnsi="Arial" w:cs="Arial"/>
        </w:rPr>
        <w:t>Please fully explain how the marginal MP distribution cost for direct O&amp;M of $9.98/MCFD was calculated based on the recorded costs of the four accounts described</w:t>
      </w:r>
      <w:r>
        <w:rPr>
          <w:rFonts w:ascii="Arial" w:hAnsi="Arial" w:cs="Arial"/>
        </w:rPr>
        <w:t xml:space="preserve"> </w:t>
      </w:r>
      <w:r w:rsidRPr="00676395">
        <w:rPr>
          <w:rFonts w:ascii="Arial" w:hAnsi="Arial" w:cs="Arial"/>
        </w:rPr>
        <w:t>above.</w:t>
      </w:r>
    </w:p>
    <w:p w:rsidR="00582C14" w:rsidRPr="0031141C" w:rsidRDefault="00582C14" w:rsidP="00F67377">
      <w:pPr>
        <w:rPr>
          <w:rFonts w:ascii="Arial" w:hAnsi="Arial" w:cs="Arial"/>
          <w:b/>
        </w:rPr>
      </w:pPr>
    </w:p>
    <w:p w:rsidR="00BC61B4" w:rsidRDefault="00BC61B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DE7B16" w:rsidRDefault="009C6A86" w:rsidP="00BF37E4">
      <w:pPr>
        <w:pStyle w:val="ListParagraph"/>
        <w:numPr>
          <w:ilvl w:val="0"/>
          <w:numId w:val="24"/>
        </w:numPr>
        <w:autoSpaceDE w:val="0"/>
        <w:autoSpaceDN w:val="0"/>
        <w:adjustRightInd w:val="0"/>
        <w:rPr>
          <w:rFonts w:ascii="Arial" w:hAnsi="Arial" w:cs="Arial"/>
        </w:rPr>
      </w:pPr>
      <w:r>
        <w:rPr>
          <w:rFonts w:ascii="Arial" w:hAnsi="Arial" w:cs="Arial"/>
        </w:rPr>
        <w:t xml:space="preserve">As ORA points out above, the 2013 total recorded costs of the four accounts combined (874,875,887 and 889) is </w:t>
      </w:r>
      <w:r w:rsidRPr="00676395">
        <w:rPr>
          <w:rFonts w:ascii="Arial" w:hAnsi="Arial" w:cs="Arial"/>
        </w:rPr>
        <w:t>$60,129,365</w:t>
      </w:r>
      <w:r w:rsidR="00B94594">
        <w:rPr>
          <w:rFonts w:ascii="Arial" w:hAnsi="Arial" w:cs="Arial"/>
        </w:rPr>
        <w:t xml:space="preserve">.  </w:t>
      </w:r>
      <w:r>
        <w:rPr>
          <w:rFonts w:ascii="Arial" w:hAnsi="Arial" w:cs="Arial"/>
        </w:rPr>
        <w:t xml:space="preserve">This amount reflects O&amp;M costs for both distribution mains and service lines. </w:t>
      </w:r>
      <w:r w:rsidR="00D50607">
        <w:rPr>
          <w:rFonts w:ascii="Arial" w:hAnsi="Arial" w:cs="Arial"/>
        </w:rPr>
        <w:t xml:space="preserve"> As shown in the attached </w:t>
      </w:r>
      <w:r w:rsidR="00A538EE">
        <w:rPr>
          <w:rFonts w:ascii="Arial" w:hAnsi="Arial" w:cs="Arial"/>
        </w:rPr>
        <w:t xml:space="preserve">Excel </w:t>
      </w:r>
      <w:r w:rsidR="00D50607">
        <w:rPr>
          <w:rFonts w:ascii="Arial" w:hAnsi="Arial" w:cs="Arial"/>
        </w:rPr>
        <w:t xml:space="preserve">file, the distribution main’s share of the </w:t>
      </w:r>
      <w:r w:rsidR="00D50607" w:rsidRPr="00676395">
        <w:rPr>
          <w:rFonts w:ascii="Arial" w:hAnsi="Arial" w:cs="Arial"/>
        </w:rPr>
        <w:t>$60,129,365</w:t>
      </w:r>
      <w:r>
        <w:rPr>
          <w:rFonts w:ascii="Arial" w:hAnsi="Arial" w:cs="Arial"/>
        </w:rPr>
        <w:t xml:space="preserve"> </w:t>
      </w:r>
      <w:r w:rsidR="00D50607">
        <w:rPr>
          <w:rFonts w:ascii="Arial" w:hAnsi="Arial" w:cs="Arial"/>
        </w:rPr>
        <w:t>cost is $19,501,000 (tab “Summary</w:t>
      </w:r>
      <w:r w:rsidR="00A538EE">
        <w:rPr>
          <w:rFonts w:ascii="Arial" w:hAnsi="Arial" w:cs="Arial"/>
        </w:rPr>
        <w:t>,</w:t>
      </w:r>
      <w:r w:rsidR="00D50607">
        <w:rPr>
          <w:rFonts w:ascii="Arial" w:hAnsi="Arial" w:cs="Arial"/>
        </w:rPr>
        <w:t>”</w:t>
      </w:r>
      <w:r w:rsidR="00D50607" w:rsidRPr="00D50607">
        <w:rPr>
          <w:rFonts w:ascii="Arial" w:hAnsi="Arial" w:cs="Arial"/>
        </w:rPr>
        <w:t xml:space="preserve"> </w:t>
      </w:r>
      <w:r w:rsidR="00D50607">
        <w:rPr>
          <w:rFonts w:ascii="Arial" w:hAnsi="Arial" w:cs="Arial"/>
        </w:rPr>
        <w:t>cell C12).  Adding overhead of $25,551,000</w:t>
      </w:r>
      <w:r w:rsidR="00B65703">
        <w:rPr>
          <w:rFonts w:ascii="Arial" w:hAnsi="Arial" w:cs="Arial"/>
        </w:rPr>
        <w:t xml:space="preserve"> (tab “Summary</w:t>
      </w:r>
      <w:r w:rsidR="00A538EE">
        <w:rPr>
          <w:rFonts w:ascii="Arial" w:hAnsi="Arial" w:cs="Arial"/>
        </w:rPr>
        <w:t>,</w:t>
      </w:r>
      <w:r w:rsidR="00B65703">
        <w:rPr>
          <w:rFonts w:ascii="Arial" w:hAnsi="Arial" w:cs="Arial"/>
        </w:rPr>
        <w:t>”</w:t>
      </w:r>
      <w:r w:rsidR="00B65703" w:rsidRPr="00D50607">
        <w:rPr>
          <w:rFonts w:ascii="Arial" w:hAnsi="Arial" w:cs="Arial"/>
        </w:rPr>
        <w:t xml:space="preserve"> </w:t>
      </w:r>
      <w:r w:rsidR="00B65703">
        <w:rPr>
          <w:rFonts w:ascii="Arial" w:hAnsi="Arial" w:cs="Arial"/>
        </w:rPr>
        <w:t xml:space="preserve">cell E12), </w:t>
      </w:r>
      <w:r w:rsidR="00D50607">
        <w:rPr>
          <w:rFonts w:ascii="Arial" w:hAnsi="Arial" w:cs="Arial"/>
        </w:rPr>
        <w:t xml:space="preserve">reflecting direct O&amp;M costs associated with activities such as Operation </w:t>
      </w:r>
      <w:r w:rsidR="00B65703">
        <w:rPr>
          <w:rFonts w:ascii="Arial" w:hAnsi="Arial" w:cs="Arial"/>
        </w:rPr>
        <w:t>Supervision and Engineering, Maintenance Supervision and Engineering expenses</w:t>
      </w:r>
      <w:r w:rsidR="00145D3B">
        <w:rPr>
          <w:rFonts w:ascii="Arial" w:hAnsi="Arial" w:cs="Arial"/>
        </w:rPr>
        <w:t xml:space="preserve"> for distribution function</w:t>
      </w:r>
      <w:r w:rsidR="00B65703">
        <w:rPr>
          <w:rFonts w:ascii="Arial" w:hAnsi="Arial" w:cs="Arial"/>
        </w:rPr>
        <w:t>,</w:t>
      </w:r>
      <w:r>
        <w:rPr>
          <w:rFonts w:ascii="Arial" w:hAnsi="Arial" w:cs="Arial"/>
        </w:rPr>
        <w:t xml:space="preserve"> </w:t>
      </w:r>
      <w:r w:rsidR="00B65703">
        <w:rPr>
          <w:rFonts w:ascii="Arial" w:hAnsi="Arial" w:cs="Arial"/>
        </w:rPr>
        <w:t xml:space="preserve">results in </w:t>
      </w:r>
      <w:r w:rsidR="00B65703" w:rsidRPr="00676395">
        <w:rPr>
          <w:rFonts w:ascii="Arial" w:hAnsi="Arial" w:cs="Arial"/>
        </w:rPr>
        <w:t xml:space="preserve">total distribution </w:t>
      </w:r>
      <w:r w:rsidR="00B65703">
        <w:rPr>
          <w:rFonts w:ascii="Arial" w:hAnsi="Arial" w:cs="Arial"/>
        </w:rPr>
        <w:t xml:space="preserve">direct </w:t>
      </w:r>
      <w:r w:rsidR="00B65703" w:rsidRPr="00676395">
        <w:rPr>
          <w:rFonts w:ascii="Arial" w:hAnsi="Arial" w:cs="Arial"/>
        </w:rPr>
        <w:t>O&amp;M cost of $47,052</w:t>
      </w:r>
      <w:r w:rsidR="00B65703">
        <w:rPr>
          <w:rFonts w:ascii="Arial" w:hAnsi="Arial" w:cs="Arial"/>
        </w:rPr>
        <w:t>,000.</w:t>
      </w:r>
      <w:r w:rsidR="00B65703" w:rsidRPr="00676395">
        <w:rPr>
          <w:rFonts w:ascii="Arial" w:hAnsi="Arial" w:cs="Arial"/>
        </w:rPr>
        <w:t xml:space="preserve"> </w:t>
      </w:r>
      <w:r>
        <w:rPr>
          <w:rFonts w:ascii="Arial" w:hAnsi="Arial" w:cs="Arial"/>
        </w:rPr>
        <w:t xml:space="preserve"> </w:t>
      </w:r>
      <w:r w:rsidR="00B94594">
        <w:rPr>
          <w:rFonts w:ascii="Arial" w:hAnsi="Arial" w:cs="Arial"/>
        </w:rPr>
        <w:t xml:space="preserve">The </w:t>
      </w:r>
      <w:r w:rsidR="00B65703" w:rsidRPr="00676395">
        <w:rPr>
          <w:rFonts w:ascii="Arial" w:hAnsi="Arial" w:cs="Arial"/>
        </w:rPr>
        <w:t>MP distribution cost for direct O&amp;M of</w:t>
      </w:r>
      <w:r w:rsidR="00B65703">
        <w:rPr>
          <w:rFonts w:ascii="Arial" w:hAnsi="Arial" w:cs="Arial"/>
        </w:rPr>
        <w:t xml:space="preserve"> $9.98/MCFD was </w:t>
      </w:r>
      <w:r w:rsidR="00BF37E4" w:rsidRPr="009C6A86">
        <w:rPr>
          <w:rFonts w:ascii="Arial" w:hAnsi="Arial" w:cs="Arial"/>
        </w:rPr>
        <w:t>derived from total distribution O&amp;M costs of $47,052</w:t>
      </w:r>
      <w:r w:rsidR="00B94594">
        <w:rPr>
          <w:rFonts w:ascii="Arial" w:hAnsi="Arial" w:cs="Arial"/>
        </w:rPr>
        <w:t>,000</w:t>
      </w:r>
      <w:r w:rsidR="00BF37E4" w:rsidRPr="009C6A86">
        <w:rPr>
          <w:rFonts w:ascii="Arial" w:hAnsi="Arial" w:cs="Arial"/>
        </w:rPr>
        <w:t xml:space="preserve"> (in 2013 $)</w:t>
      </w:r>
      <w:r w:rsidR="00CC080F">
        <w:rPr>
          <w:rFonts w:ascii="Arial" w:hAnsi="Arial" w:cs="Arial"/>
        </w:rPr>
        <w:t xml:space="preserve"> by</w:t>
      </w:r>
      <w:r w:rsidR="00B94594">
        <w:rPr>
          <w:rFonts w:ascii="Arial" w:hAnsi="Arial" w:cs="Arial"/>
        </w:rPr>
        <w:t xml:space="preserve"> </w:t>
      </w:r>
      <w:r w:rsidR="00BF37E4" w:rsidRPr="009C6A86">
        <w:rPr>
          <w:rFonts w:ascii="Arial" w:hAnsi="Arial" w:cs="Arial"/>
        </w:rPr>
        <w:t>escalat</w:t>
      </w:r>
      <w:r w:rsidR="00CC080F">
        <w:rPr>
          <w:rFonts w:ascii="Arial" w:hAnsi="Arial" w:cs="Arial"/>
        </w:rPr>
        <w:t>ing</w:t>
      </w:r>
      <w:r w:rsidR="00BF37E4" w:rsidRPr="009C6A86">
        <w:rPr>
          <w:rFonts w:ascii="Arial" w:hAnsi="Arial" w:cs="Arial"/>
        </w:rPr>
        <w:t xml:space="preserve"> to 2017$, </w:t>
      </w:r>
      <w:r w:rsidR="00CC080F">
        <w:rPr>
          <w:rFonts w:ascii="Arial" w:hAnsi="Arial" w:cs="Arial"/>
        </w:rPr>
        <w:t xml:space="preserve">then </w:t>
      </w:r>
      <w:r w:rsidR="00B94594">
        <w:rPr>
          <w:rFonts w:ascii="Arial" w:hAnsi="Arial" w:cs="Arial"/>
        </w:rPr>
        <w:t>multipl</w:t>
      </w:r>
      <w:r w:rsidR="00CC080F">
        <w:rPr>
          <w:rFonts w:ascii="Arial" w:hAnsi="Arial" w:cs="Arial"/>
        </w:rPr>
        <w:t>ying</w:t>
      </w:r>
      <w:r w:rsidR="00B94594">
        <w:rPr>
          <w:rFonts w:ascii="Arial" w:hAnsi="Arial" w:cs="Arial"/>
        </w:rPr>
        <w:t xml:space="preserve"> by MPD share of total cumulative distribution investment in 2013, and </w:t>
      </w:r>
      <w:r w:rsidR="00BF37E4" w:rsidRPr="009C6A86">
        <w:rPr>
          <w:rFonts w:ascii="Arial" w:hAnsi="Arial" w:cs="Arial"/>
        </w:rPr>
        <w:t>divi</w:t>
      </w:r>
      <w:r w:rsidR="00B94594">
        <w:rPr>
          <w:rFonts w:ascii="Arial" w:hAnsi="Arial" w:cs="Arial"/>
        </w:rPr>
        <w:t>d</w:t>
      </w:r>
      <w:r w:rsidR="00CC080F">
        <w:rPr>
          <w:rFonts w:ascii="Arial" w:hAnsi="Arial" w:cs="Arial"/>
        </w:rPr>
        <w:t>ing</w:t>
      </w:r>
      <w:r w:rsidR="00B94594">
        <w:rPr>
          <w:rFonts w:ascii="Arial" w:hAnsi="Arial" w:cs="Arial"/>
        </w:rPr>
        <w:t xml:space="preserve"> by the MPD peak day demand (see </w:t>
      </w:r>
      <w:r w:rsidR="00B94594" w:rsidRPr="00676395">
        <w:rPr>
          <w:rFonts w:ascii="Arial" w:hAnsi="Arial" w:cs="Arial"/>
        </w:rPr>
        <w:t>SCG 2017 TCAP LRMC Distribution Costs excel spreadsheet</w:t>
      </w:r>
      <w:r w:rsidR="00B94594">
        <w:rPr>
          <w:rFonts w:ascii="Arial" w:hAnsi="Arial" w:cs="Arial"/>
        </w:rPr>
        <w:t>, tab “</w:t>
      </w:r>
      <w:proofErr w:type="spellStart"/>
      <w:r w:rsidR="00B94594">
        <w:rPr>
          <w:rFonts w:ascii="Arial" w:hAnsi="Arial" w:cs="Arial"/>
        </w:rPr>
        <w:t>Out_MP_LRMC</w:t>
      </w:r>
      <w:proofErr w:type="spellEnd"/>
      <w:r w:rsidR="00F23E34">
        <w:rPr>
          <w:rFonts w:ascii="Arial" w:hAnsi="Arial" w:cs="Arial"/>
        </w:rPr>
        <w:t>,</w:t>
      </w:r>
      <w:r w:rsidR="00B94594">
        <w:rPr>
          <w:rFonts w:ascii="Arial" w:hAnsi="Arial" w:cs="Arial"/>
        </w:rPr>
        <w:t xml:space="preserve">” cell D19). </w:t>
      </w:r>
    </w:p>
    <w:p w:rsidR="00B94594" w:rsidRPr="00B94594" w:rsidRDefault="00B94594" w:rsidP="00B94594">
      <w:pPr>
        <w:autoSpaceDE w:val="0"/>
        <w:autoSpaceDN w:val="0"/>
        <w:adjustRightInd w:val="0"/>
        <w:rPr>
          <w:rFonts w:ascii="Arial" w:hAnsi="Arial" w:cs="Arial"/>
        </w:rPr>
      </w:pPr>
    </w:p>
    <w:bookmarkStart w:id="1" w:name="_MON_1516523405"/>
    <w:bookmarkEnd w:id="1"/>
    <w:p w:rsidR="00F67377" w:rsidRDefault="003E15EE" w:rsidP="00F67377">
      <w:pPr>
        <w:rPr>
          <w:rFonts w:ascii="Arial" w:hAnsi="Arial" w:cs="Arial"/>
          <w:b/>
          <w:u w:val="single"/>
        </w:rPr>
      </w:pPr>
      <w:r w:rsidRPr="00137FB1">
        <w:rPr>
          <w:rFonts w:ascii="Arial" w:hAnsi="Arial" w:cs="Arial"/>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9" o:title=""/>
          </v:shape>
          <o:OLEObject Type="Embed" ProgID="Excel.Sheet.12" ShapeID="_x0000_i1025" DrawAspect="Icon" ObjectID="_1516688507" r:id="rId10"/>
        </w:object>
      </w:r>
      <w:r w:rsidR="00F67377">
        <w:rPr>
          <w:rFonts w:ascii="Arial" w:hAnsi="Arial" w:cs="Arial"/>
          <w:b/>
          <w:u w:val="single"/>
        </w:rPr>
        <w:br w:type="page"/>
      </w:r>
    </w:p>
    <w:p w:rsidR="00C62CAA" w:rsidRDefault="00C62CAA" w:rsidP="00F67377">
      <w:pPr>
        <w:rPr>
          <w:rFonts w:ascii="Arial" w:hAnsi="Arial" w:cs="Arial"/>
          <w:b/>
          <w:u w:val="single"/>
        </w:rPr>
      </w:pPr>
    </w:p>
    <w:p w:rsidR="00BC61B4" w:rsidRDefault="00BC61B4" w:rsidP="00F67377">
      <w:pPr>
        <w:rPr>
          <w:rFonts w:ascii="Arial" w:hAnsi="Arial" w:cs="Arial"/>
          <w:b/>
          <w:u w:val="single"/>
        </w:rPr>
      </w:pPr>
    </w:p>
    <w:p w:rsidR="00BC61B4" w:rsidRDefault="00BC61B4" w:rsidP="00F67377">
      <w:pPr>
        <w:rPr>
          <w:rFonts w:ascii="Arial" w:hAnsi="Arial" w:cs="Arial"/>
          <w:b/>
          <w:u w:val="single"/>
        </w:rPr>
      </w:pPr>
    </w:p>
    <w:p w:rsidR="00BC61B4" w:rsidRDefault="00BC61B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BC61B4" w:rsidRPr="00676395" w:rsidRDefault="00676395" w:rsidP="00676395">
      <w:pPr>
        <w:autoSpaceDE w:val="0"/>
        <w:autoSpaceDN w:val="0"/>
        <w:adjustRightInd w:val="0"/>
        <w:rPr>
          <w:rFonts w:ascii="Arial" w:hAnsi="Arial" w:cs="Arial"/>
        </w:rPr>
      </w:pPr>
      <w:r w:rsidRPr="00676395">
        <w:rPr>
          <w:rFonts w:ascii="Arial" w:hAnsi="Arial" w:cs="Arial"/>
        </w:rPr>
        <w:t>The SCG 2017 TCAP LRMC Distribution Costs excel spreadsheet workpapers also show the percent share of investment for Medium Pressure Distribution (MPD) of 86% and 14% for High Pressure Distribution (HPD) at Tab “Out MP LRMC”. The percent share calculation depends on the historical distribution investment over the period 2005-2013. Assuming that the recorded information for the period 2009-2013 presented in the SoCalGas 2016 GRC testimony of witness F.Ayala and discussed in Question 1 above and the previous ORA data request ORA-15 more accurately represent the actual recorded for the period 2009-2013, does SoCalGas agree that the calculation of the percent share of investment for MPD and HPD, currently at 86% and 14%, respectively, could result in different percentage shares? If not, please explain your response.</w:t>
      </w:r>
    </w:p>
    <w:p w:rsidR="005F4287" w:rsidRPr="0031141C" w:rsidRDefault="005F4287" w:rsidP="00F67377">
      <w:pPr>
        <w:rPr>
          <w:rFonts w:ascii="Arial" w:hAnsi="Arial" w:cs="Arial"/>
        </w:rPr>
      </w:pPr>
    </w:p>
    <w:p w:rsidR="00BC61B4" w:rsidRDefault="00BC61B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3</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785B3D" w:rsidP="005C6E7A">
      <w:pPr>
        <w:rPr>
          <w:rFonts w:ascii="Arial" w:hAnsi="Arial" w:cs="Arial"/>
          <w:sz w:val="28"/>
          <w:szCs w:val="28"/>
        </w:rPr>
      </w:pPr>
      <w:r>
        <w:rPr>
          <w:rFonts w:ascii="Arial" w:hAnsi="Arial" w:cs="Arial"/>
        </w:rPr>
        <w:t>See SoCalGas’ earlier responses (</w:t>
      </w:r>
      <w:r w:rsidRPr="00676395">
        <w:rPr>
          <w:rFonts w:ascii="Arial" w:hAnsi="Arial" w:cs="Arial"/>
        </w:rPr>
        <w:t>Question 1 above and the previous ORA data request ORA-15</w:t>
      </w:r>
      <w:r>
        <w:rPr>
          <w:rFonts w:ascii="Arial" w:hAnsi="Arial" w:cs="Arial"/>
        </w:rPr>
        <w:t>) with respect to the incomparability of GRC and TCAP historical investment data.  Further, t</w:t>
      </w:r>
      <w:r w:rsidR="00BF37E4" w:rsidRPr="00676395">
        <w:rPr>
          <w:rFonts w:ascii="Arial" w:hAnsi="Arial" w:cs="Arial"/>
        </w:rPr>
        <w:t xml:space="preserve">he recorded information for the period 2009-2013 presented in the SoCalGas 2016 GRC testimony of witness Ayala </w:t>
      </w:r>
      <w:r w:rsidR="00BF37E4">
        <w:rPr>
          <w:rFonts w:ascii="Arial" w:hAnsi="Arial" w:cs="Arial"/>
        </w:rPr>
        <w:t xml:space="preserve">is not broken down between </w:t>
      </w:r>
      <w:r w:rsidR="00BF37E4" w:rsidRPr="00676395">
        <w:rPr>
          <w:rFonts w:ascii="Arial" w:hAnsi="Arial" w:cs="Arial"/>
        </w:rPr>
        <w:t xml:space="preserve">investment </w:t>
      </w:r>
      <w:r>
        <w:rPr>
          <w:rFonts w:ascii="Arial" w:hAnsi="Arial" w:cs="Arial"/>
        </w:rPr>
        <w:t>in</w:t>
      </w:r>
      <w:r w:rsidR="00BF37E4" w:rsidRPr="00676395">
        <w:rPr>
          <w:rFonts w:ascii="Arial" w:hAnsi="Arial" w:cs="Arial"/>
        </w:rPr>
        <w:t xml:space="preserve"> MPD and HPD</w:t>
      </w:r>
      <w:r w:rsidR="00BF37E4">
        <w:rPr>
          <w:rFonts w:ascii="Arial" w:hAnsi="Arial" w:cs="Arial"/>
        </w:rPr>
        <w:t xml:space="preserve">.  </w:t>
      </w:r>
      <w:r w:rsidR="00EE395B">
        <w:rPr>
          <w:rFonts w:ascii="Arial" w:hAnsi="Arial" w:cs="Arial"/>
        </w:rPr>
        <w:t xml:space="preserve"> Therefore, percentage shares between MPD and HPD cannot be calculated</w:t>
      </w:r>
      <w:r>
        <w:rPr>
          <w:rFonts w:ascii="Arial" w:hAnsi="Arial" w:cs="Arial"/>
        </w:rPr>
        <w:t xml:space="preserve"> based on Mr. Ayala’s GRC testimony</w:t>
      </w:r>
      <w:r w:rsidR="00EE395B">
        <w:rPr>
          <w:rFonts w:ascii="Arial" w:hAnsi="Arial" w:cs="Arial"/>
        </w:rPr>
        <w:t>.</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Pr>
          <w:rFonts w:ascii="Arial" w:hAnsi="Arial" w:cs="Arial"/>
          <w:b/>
          <w:u w:val="single"/>
        </w:rPr>
        <w:t>4</w:t>
      </w:r>
      <w:r w:rsidRPr="00F759E8">
        <w:rPr>
          <w:rFonts w:ascii="Arial" w:hAnsi="Arial" w:cs="Arial"/>
          <w:b/>
          <w:u w:val="single"/>
        </w:rPr>
        <w:t>:</w:t>
      </w:r>
    </w:p>
    <w:p w:rsidR="00582C14" w:rsidRPr="0031141C" w:rsidRDefault="00582C14" w:rsidP="00F67377">
      <w:pPr>
        <w:rPr>
          <w:rFonts w:ascii="Arial" w:hAnsi="Arial" w:cs="Arial"/>
        </w:rPr>
      </w:pPr>
    </w:p>
    <w:p w:rsidR="00BC61B4" w:rsidRPr="00676395" w:rsidRDefault="00676395" w:rsidP="00676395">
      <w:pPr>
        <w:autoSpaceDE w:val="0"/>
        <w:autoSpaceDN w:val="0"/>
        <w:adjustRightInd w:val="0"/>
        <w:rPr>
          <w:rFonts w:ascii="Arial" w:hAnsi="Arial" w:cs="Arial"/>
        </w:rPr>
      </w:pPr>
      <w:r w:rsidRPr="00676395">
        <w:rPr>
          <w:rFonts w:ascii="Arial" w:hAnsi="Arial" w:cs="Arial"/>
        </w:rPr>
        <w:t>The SCG 2017 TCAP LRMC Distribution Costs excel spreadsheet workpapers also show the historical HPD Peak Month Demand and the MPD Peak Day Demand for the period 2005-2013. Please explain whether the historical data on demand as described and shown for 2005-2013 represents actual recorded historical demand, and if not, please describe the nature of the information on the demand for the period 2005-2013,</w:t>
      </w:r>
    </w:p>
    <w:p w:rsidR="005F4287" w:rsidRPr="0031141C" w:rsidRDefault="005F4287" w:rsidP="00F67377">
      <w:pPr>
        <w:rPr>
          <w:rFonts w:ascii="Arial" w:hAnsi="Arial" w:cs="Arial"/>
        </w:rPr>
      </w:pPr>
    </w:p>
    <w:p w:rsidR="00BC61B4" w:rsidRDefault="00BC61B4"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Pr>
          <w:rFonts w:ascii="Arial" w:hAnsi="Arial" w:cs="Arial"/>
          <w:b/>
          <w:u w:val="single"/>
        </w:rPr>
        <w:t>4</w:t>
      </w:r>
      <w:r w:rsidRPr="00F759E8">
        <w:rPr>
          <w:rFonts w:ascii="Arial" w:hAnsi="Arial" w:cs="Arial"/>
          <w:b/>
          <w:u w:val="single"/>
        </w:rPr>
        <w:t>:</w:t>
      </w:r>
    </w:p>
    <w:p w:rsidR="00F67377" w:rsidRDefault="00F67377" w:rsidP="005C6E7A">
      <w:pPr>
        <w:rPr>
          <w:rFonts w:ascii="Arial" w:hAnsi="Arial" w:cs="Arial"/>
          <w:sz w:val="28"/>
          <w:szCs w:val="28"/>
        </w:rPr>
      </w:pPr>
    </w:p>
    <w:p w:rsidR="002F4A54" w:rsidRDefault="002F4A54" w:rsidP="002F4A54">
      <w:pPr>
        <w:rPr>
          <w:rFonts w:ascii="Arial" w:hAnsi="Arial" w:cs="Arial"/>
        </w:rPr>
      </w:pPr>
      <w:r w:rsidRPr="00541FAE">
        <w:rPr>
          <w:rFonts w:ascii="Arial" w:hAnsi="Arial" w:cs="Arial"/>
        </w:rPr>
        <w:t>SoCalGas’ residential and core</w:t>
      </w:r>
      <w:r>
        <w:rPr>
          <w:rFonts w:ascii="Arial" w:hAnsi="Arial" w:cs="Arial"/>
        </w:rPr>
        <w:t xml:space="preserve"> G-10</w:t>
      </w:r>
      <w:r w:rsidRPr="00541FAE">
        <w:rPr>
          <w:rFonts w:ascii="Arial" w:hAnsi="Arial" w:cs="Arial"/>
        </w:rPr>
        <w:t xml:space="preserve"> commercial and industrial customers’ gas demand is </w:t>
      </w:r>
      <w:r>
        <w:rPr>
          <w:rFonts w:ascii="Arial" w:hAnsi="Arial" w:cs="Arial"/>
        </w:rPr>
        <w:t>HDD (heating degree days)</w:t>
      </w:r>
      <w:r w:rsidRPr="00541FAE">
        <w:rPr>
          <w:rFonts w:ascii="Arial" w:hAnsi="Arial" w:cs="Arial"/>
        </w:rPr>
        <w:t xml:space="preserve">-sensitive with higher demand in winter months due to space heating needs; the gas demand for other customer classes is </w:t>
      </w:r>
      <w:r>
        <w:rPr>
          <w:rFonts w:ascii="Arial" w:hAnsi="Arial" w:cs="Arial"/>
        </w:rPr>
        <w:t>HDD</w:t>
      </w:r>
      <w:r w:rsidRPr="00541FAE">
        <w:rPr>
          <w:rFonts w:ascii="Arial" w:hAnsi="Arial" w:cs="Arial"/>
        </w:rPr>
        <w:t xml:space="preserve">-insensitive.  For the </w:t>
      </w:r>
      <w:r>
        <w:rPr>
          <w:rFonts w:ascii="Arial" w:hAnsi="Arial" w:cs="Arial"/>
        </w:rPr>
        <w:t>HDD</w:t>
      </w:r>
      <w:r w:rsidRPr="00541FAE">
        <w:rPr>
          <w:rFonts w:ascii="Arial" w:hAnsi="Arial" w:cs="Arial"/>
        </w:rPr>
        <w:t xml:space="preserve">-insensitive customer classes, </w:t>
      </w:r>
      <w:r>
        <w:rPr>
          <w:rFonts w:ascii="Arial" w:hAnsi="Arial" w:cs="Arial"/>
        </w:rPr>
        <w:t xml:space="preserve">the historical HPD Peak Month Demand for the Period 2005-2013 </w:t>
      </w:r>
      <w:proofErr w:type="gramStart"/>
      <w:r>
        <w:rPr>
          <w:rFonts w:ascii="Arial" w:hAnsi="Arial" w:cs="Arial"/>
        </w:rPr>
        <w:t>are</w:t>
      </w:r>
      <w:proofErr w:type="gramEnd"/>
      <w:r>
        <w:rPr>
          <w:rFonts w:ascii="Arial" w:hAnsi="Arial" w:cs="Arial"/>
        </w:rPr>
        <w:t xml:space="preserve"> recorded historical December gas consumption.  For these HDD-insensitive customer classes (except for gas engine, gas air conditioning and NGV customers), the historical HPD Peak Day Demand for the Period 2005-2013 include</w:t>
      </w:r>
      <w:r>
        <w:rPr>
          <w:rFonts w:ascii="Arial" w:hAnsi="Arial" w:cs="Arial"/>
        </w:rPr>
        <w:t xml:space="preserve">s </w:t>
      </w:r>
      <w:r>
        <w:rPr>
          <w:rFonts w:ascii="Arial" w:hAnsi="Arial" w:cs="Arial"/>
        </w:rPr>
        <w:t>an adjustment to historical average daily December demand for the class that</w:t>
      </w:r>
      <w:r>
        <w:rPr>
          <w:rFonts w:ascii="Arial" w:hAnsi="Arial" w:cs="Arial"/>
        </w:rPr>
        <w:t xml:space="preserve"> </w:t>
      </w:r>
      <w:r>
        <w:rPr>
          <w:rFonts w:ascii="Arial" w:hAnsi="Arial" w:cs="Arial"/>
        </w:rPr>
        <w:t>reflects the expected ratio of December peak demand relative to average daily December demand for the class.</w:t>
      </w:r>
    </w:p>
    <w:p w:rsidR="002F4A54" w:rsidRDefault="002F4A54" w:rsidP="002F4A54">
      <w:pPr>
        <w:rPr>
          <w:rFonts w:ascii="Arial" w:hAnsi="Arial" w:cs="Arial"/>
        </w:rPr>
      </w:pPr>
    </w:p>
    <w:p w:rsidR="00B31288" w:rsidRPr="00541FAE" w:rsidRDefault="002F4A54" w:rsidP="002F4A54">
      <w:pPr>
        <w:rPr>
          <w:rFonts w:ascii="Arial" w:hAnsi="Arial" w:cs="Arial"/>
        </w:rPr>
      </w:pPr>
      <w:r>
        <w:rPr>
          <w:rFonts w:ascii="Arial" w:hAnsi="Arial" w:cs="Arial"/>
        </w:rPr>
        <w:t>For HDD-sensitive customer classes, neither the historical HPD Peak Month Demand nor the MPD Peak Day Demand for the period 2005-2013 represents actual recorded historical demand.  The HPD Peak Month Demand is derived by adjusting historical demand to reflect Peak Month HDD design criteria (December Cold Year HDDs for this calculation were 357 HDDs).  The HPD Peak Day Demand is derived by adjusting historical demand to reflect Peak Day HD design criteria (peak day temperature design was 40 ºF, which equates to 25 HD).</w:t>
      </w:r>
    </w:p>
    <w:sectPr w:rsidR="00B31288" w:rsidRPr="00541FAE" w:rsidSect="002E51D9">
      <w:headerReference w:type="default" r:id="rId11"/>
      <w:footerReference w:type="default" r:id="rId12"/>
      <w:pgSz w:w="12240" w:h="15840" w:code="1"/>
      <w:pgMar w:top="432" w:right="1152"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256" w:rsidRDefault="001E3256">
      <w:r>
        <w:separator/>
      </w:r>
    </w:p>
  </w:endnote>
  <w:endnote w:type="continuationSeparator" w:id="0">
    <w:p w:rsidR="001E3256" w:rsidRDefault="001E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2F4A54">
      <w:rPr>
        <w:rStyle w:val="PageNumber"/>
        <w:rFonts w:ascii="Arial" w:hAnsi="Arial" w:cs="Arial"/>
        <w:noProof/>
      </w:rPr>
      <w:t>1</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256" w:rsidRDefault="001E3256">
      <w:r>
        <w:separator/>
      </w:r>
    </w:p>
  </w:footnote>
  <w:footnote w:type="continuationSeparator" w:id="0">
    <w:p w:rsidR="001E3256" w:rsidRDefault="001E3256">
      <w:r>
        <w:continuationSeparator/>
      </w:r>
    </w:p>
  </w:footnote>
  <w:footnote w:id="1">
    <w:p w:rsidR="00676395" w:rsidRPr="00676395" w:rsidRDefault="00676395">
      <w:pPr>
        <w:pStyle w:val="FootnoteText"/>
        <w:rPr>
          <w:rFonts w:ascii="Arial" w:hAnsi="Arial" w:cs="Arial"/>
          <w:sz w:val="22"/>
        </w:rPr>
      </w:pPr>
      <w:r w:rsidRPr="00676395">
        <w:rPr>
          <w:rStyle w:val="FootnoteReference"/>
          <w:rFonts w:ascii="Arial" w:hAnsi="Arial" w:cs="Arial"/>
          <w:sz w:val="22"/>
        </w:rPr>
        <w:footnoteRef/>
      </w:r>
      <w:r w:rsidRPr="00676395">
        <w:rPr>
          <w:rFonts w:ascii="Arial" w:hAnsi="Arial" w:cs="Arial"/>
          <w:sz w:val="22"/>
        </w:rPr>
        <w:t xml:space="preserve"> Exhbit SCG-04-R, Frank B. Ayala and workpapers in Exhibit SCG-04-CWP-R.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APPLICATION OF SOUTHERN CALIFORNIA GAS COMPANY</w:t>
    </w: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AND SAN DIEGO GAS &amp; ELECTRIC COMPANY</w:t>
    </w:r>
  </w:p>
  <w:p w:rsidR="001E5C86" w:rsidRDefault="00267335" w:rsidP="00267335">
    <w:pPr>
      <w:autoSpaceDE w:val="0"/>
      <w:autoSpaceDN w:val="0"/>
      <w:adjustRightInd w:val="0"/>
      <w:jc w:val="center"/>
      <w:rPr>
        <w:rFonts w:ascii="Arial" w:hAnsi="Arial" w:cs="Arial"/>
        <w:b/>
      </w:rPr>
    </w:pPr>
    <w:r w:rsidRPr="00267335">
      <w:rPr>
        <w:rFonts w:ascii="Arial" w:hAnsi="Arial" w:cs="Arial"/>
        <w:b/>
      </w:rPr>
      <w:t>FOR AUTHORITY TO REV</w:t>
    </w:r>
    <w:r w:rsidR="001E5C86">
      <w:rPr>
        <w:rFonts w:ascii="Arial" w:hAnsi="Arial" w:cs="Arial"/>
        <w:b/>
      </w:rPr>
      <w:t>I</w:t>
    </w:r>
    <w:r w:rsidRPr="00267335">
      <w:rPr>
        <w:rFonts w:ascii="Arial" w:hAnsi="Arial" w:cs="Arial"/>
        <w:b/>
      </w:rPr>
      <w:t xml:space="preserve">SE THEIR NATURAL GAS RATES </w:t>
    </w:r>
  </w:p>
  <w:p w:rsidR="001E5C86" w:rsidRDefault="00267335" w:rsidP="00267335">
    <w:pPr>
      <w:autoSpaceDE w:val="0"/>
      <w:autoSpaceDN w:val="0"/>
      <w:adjustRightInd w:val="0"/>
      <w:jc w:val="center"/>
      <w:rPr>
        <w:rFonts w:ascii="Arial" w:hAnsi="Arial" w:cs="Arial"/>
        <w:b/>
      </w:rPr>
    </w:pPr>
    <w:r w:rsidRPr="00267335">
      <w:rPr>
        <w:rFonts w:ascii="Arial" w:hAnsi="Arial" w:cs="Arial"/>
        <w:b/>
      </w:rPr>
      <w:t xml:space="preserve">EFFECTIVE JANUARY 1, 2017 IN THEIR </w:t>
    </w: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 xml:space="preserve">TRIENNIAL COST ALLOCATION PROCEEDING </w:t>
    </w:r>
    <w:r w:rsidR="0086297C">
      <w:rPr>
        <w:rFonts w:ascii="Arial" w:hAnsi="Arial" w:cs="Arial"/>
        <w:b/>
      </w:rPr>
      <w:t>- PHASE 2</w:t>
    </w:r>
  </w:p>
  <w:p w:rsidR="00663B29" w:rsidRPr="00445088"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rPr>
    </w:pPr>
    <w:r w:rsidRPr="00663B29">
      <w:rPr>
        <w:rFonts w:ascii="Arial" w:hAnsi="Arial" w:cs="Arial"/>
        <w:b/>
      </w:rPr>
      <w:t>(A.1</w:t>
    </w:r>
    <w:r w:rsidR="004E625C">
      <w:rPr>
        <w:rFonts w:ascii="Arial" w:hAnsi="Arial" w:cs="Arial"/>
        <w:b/>
      </w:rPr>
      <w:t>5</w:t>
    </w:r>
    <w:r w:rsidRPr="00663B29">
      <w:rPr>
        <w:rFonts w:ascii="Arial" w:hAnsi="Arial" w:cs="Arial"/>
        <w:b/>
      </w:rPr>
      <w:t>-</w:t>
    </w:r>
    <w:r w:rsidR="004E625C">
      <w:rPr>
        <w:rFonts w:ascii="Arial" w:hAnsi="Arial" w:cs="Arial"/>
        <w:b/>
      </w:rPr>
      <w:t>07</w:t>
    </w:r>
    <w:r w:rsidRPr="00663B29">
      <w:rPr>
        <w:rFonts w:ascii="Arial" w:hAnsi="Arial" w:cs="Arial"/>
        <w:b/>
      </w:rPr>
      <w:t>-</w:t>
    </w:r>
    <w:r w:rsidR="001E5C86">
      <w:rPr>
        <w:rFonts w:ascii="Arial" w:hAnsi="Arial" w:cs="Arial"/>
        <w:b/>
      </w:rPr>
      <w:t>014</w:t>
    </w:r>
    <w:r w:rsidRPr="00663B29">
      <w:rPr>
        <w:rFonts w:ascii="Arial" w:hAnsi="Arial" w:cs="Arial"/>
        <w:b/>
      </w:rPr>
      <w:t>)</w:t>
    </w:r>
  </w:p>
  <w:p w:rsidR="00967F6A" w:rsidRDefault="00967F6A" w:rsidP="00F9456E">
    <w:pPr>
      <w:pStyle w:val="Header"/>
      <w:jc w:val="center"/>
      <w:rPr>
        <w:rFonts w:ascii="Arial" w:hAnsi="Arial" w:cs="Arial"/>
        <w:b/>
        <w:sz w:val="8"/>
        <w:szCs w:val="8"/>
      </w:rPr>
    </w:pPr>
  </w:p>
  <w:p w:rsidR="00300C57" w:rsidRPr="00C178B5" w:rsidRDefault="00300C57" w:rsidP="00F9456E">
    <w:pPr>
      <w:pStyle w:val="Header"/>
      <w:jc w:val="center"/>
      <w:rPr>
        <w:rFonts w:ascii="Arial" w:hAnsi="Arial" w:cs="Arial"/>
        <w:b/>
        <w:sz w:val="8"/>
        <w:szCs w:val="8"/>
      </w:rPr>
    </w:pPr>
  </w:p>
  <w:p w:rsidR="00967F6A" w:rsidRPr="00BC61B4" w:rsidRDefault="00AF3427" w:rsidP="00F9456E">
    <w:pPr>
      <w:pStyle w:val="Header"/>
      <w:jc w:val="center"/>
      <w:rPr>
        <w:rFonts w:ascii="Arial" w:hAnsi="Arial" w:cs="Arial"/>
        <w:b/>
      </w:rPr>
    </w:pPr>
    <w:r w:rsidRPr="00BC61B4">
      <w:rPr>
        <w:rFonts w:ascii="Arial" w:hAnsi="Arial" w:cs="Arial"/>
        <w:b/>
      </w:rPr>
      <w:t>(</w:t>
    </w:r>
    <w:r w:rsidR="00BC61B4" w:rsidRPr="00BC61B4">
      <w:rPr>
        <w:rFonts w:ascii="Arial" w:hAnsi="Arial" w:cs="Arial"/>
        <w:b/>
      </w:rPr>
      <w:t>DATA REQUEST ORA-TCAP2-SCG-</w:t>
    </w:r>
    <w:r w:rsidR="00676395">
      <w:rPr>
        <w:rFonts w:ascii="Arial" w:hAnsi="Arial" w:cs="Arial"/>
        <w:b/>
        <w:bCs/>
      </w:rPr>
      <w:t>16</w:t>
    </w:r>
    <w:r w:rsidRPr="00BC61B4">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w:t>
    </w:r>
    <w:r w:rsidR="009B540D">
      <w:rPr>
        <w:rFonts w:ascii="Arial" w:hAnsi="Arial" w:cs="Arial"/>
        <w:b/>
      </w:rPr>
      <w:t>________</w:t>
    </w:r>
    <w:r>
      <w:rPr>
        <w:rFonts w:ascii="Arial" w:hAnsi="Arial" w:cs="Arial"/>
        <w:b/>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nsid w:val="2B4E1497"/>
    <w:multiLevelType w:val="hybridMultilevel"/>
    <w:tmpl w:val="C0C02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6289B"/>
    <w:multiLevelType w:val="hybridMultilevel"/>
    <w:tmpl w:val="C0C02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2">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CB46DC"/>
    <w:multiLevelType w:val="hybridMultilevel"/>
    <w:tmpl w:val="3C9C77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AFB60C6"/>
    <w:multiLevelType w:val="hybridMultilevel"/>
    <w:tmpl w:val="11A43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C046CF0"/>
    <w:multiLevelType w:val="hybridMultilevel"/>
    <w:tmpl w:val="AF2E0608"/>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6"/>
  </w:num>
  <w:num w:numId="4">
    <w:abstractNumId w:val="21"/>
  </w:num>
  <w:num w:numId="5">
    <w:abstractNumId w:val="15"/>
  </w:num>
  <w:num w:numId="6">
    <w:abstractNumId w:val="20"/>
  </w:num>
  <w:num w:numId="7">
    <w:abstractNumId w:val="12"/>
  </w:num>
  <w:num w:numId="8">
    <w:abstractNumId w:val="22"/>
  </w:num>
  <w:num w:numId="9">
    <w:abstractNumId w:val="18"/>
  </w:num>
  <w:num w:numId="10">
    <w:abstractNumId w:val="7"/>
  </w:num>
  <w:num w:numId="11">
    <w:abstractNumId w:val="5"/>
  </w:num>
  <w:num w:numId="12">
    <w:abstractNumId w:val="3"/>
  </w:num>
  <w:num w:numId="13">
    <w:abstractNumId w:val="2"/>
  </w:num>
  <w:num w:numId="14">
    <w:abstractNumId w:val="16"/>
  </w:num>
  <w:num w:numId="15">
    <w:abstractNumId w:val="17"/>
  </w:num>
  <w:num w:numId="16">
    <w:abstractNumId w:val="13"/>
  </w:num>
  <w:num w:numId="17">
    <w:abstractNumId w:val="1"/>
  </w:num>
  <w:num w:numId="18">
    <w:abstractNumId w:val="8"/>
  </w:num>
  <w:num w:numId="19">
    <w:abstractNumId w:val="4"/>
  </w:num>
  <w:num w:numId="20">
    <w:abstractNumId w:val="11"/>
  </w:num>
  <w:num w:numId="21">
    <w:abstractNumId w:val="24"/>
  </w:num>
  <w:num w:numId="22">
    <w:abstractNumId w:val="9"/>
  </w:num>
  <w:num w:numId="23">
    <w:abstractNumId w:val="19"/>
  </w:num>
  <w:num w:numId="24">
    <w:abstractNumId w:val="10"/>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6804"/>
    <w:rsid w:val="000427F1"/>
    <w:rsid w:val="000445AE"/>
    <w:rsid w:val="000446FA"/>
    <w:rsid w:val="00050DEA"/>
    <w:rsid w:val="00054200"/>
    <w:rsid w:val="00062FD1"/>
    <w:rsid w:val="000973D6"/>
    <w:rsid w:val="000C0E9E"/>
    <w:rsid w:val="000C3ED0"/>
    <w:rsid w:val="000D5EF6"/>
    <w:rsid w:val="000E2012"/>
    <w:rsid w:val="000E32F6"/>
    <w:rsid w:val="000E5737"/>
    <w:rsid w:val="000F0C29"/>
    <w:rsid w:val="00126F99"/>
    <w:rsid w:val="00130F5D"/>
    <w:rsid w:val="00137FB1"/>
    <w:rsid w:val="00145D3B"/>
    <w:rsid w:val="00151F80"/>
    <w:rsid w:val="001576BC"/>
    <w:rsid w:val="00171E47"/>
    <w:rsid w:val="00171F7F"/>
    <w:rsid w:val="001754B0"/>
    <w:rsid w:val="001B2C3E"/>
    <w:rsid w:val="001D4131"/>
    <w:rsid w:val="001E3256"/>
    <w:rsid w:val="001E4A11"/>
    <w:rsid w:val="001E5C86"/>
    <w:rsid w:val="001F22D6"/>
    <w:rsid w:val="001F2F28"/>
    <w:rsid w:val="002021F9"/>
    <w:rsid w:val="00214711"/>
    <w:rsid w:val="00215B6F"/>
    <w:rsid w:val="00217318"/>
    <w:rsid w:val="002447CF"/>
    <w:rsid w:val="00267335"/>
    <w:rsid w:val="002749B8"/>
    <w:rsid w:val="00295F0C"/>
    <w:rsid w:val="002B7CDB"/>
    <w:rsid w:val="002C2AFC"/>
    <w:rsid w:val="002C432D"/>
    <w:rsid w:val="002D3D98"/>
    <w:rsid w:val="002D7E7D"/>
    <w:rsid w:val="002E095B"/>
    <w:rsid w:val="002E51D9"/>
    <w:rsid w:val="002F4A54"/>
    <w:rsid w:val="00300C57"/>
    <w:rsid w:val="0031070C"/>
    <w:rsid w:val="0031141C"/>
    <w:rsid w:val="00333F78"/>
    <w:rsid w:val="00335AB8"/>
    <w:rsid w:val="003405A5"/>
    <w:rsid w:val="00347ECE"/>
    <w:rsid w:val="00364A5B"/>
    <w:rsid w:val="00367398"/>
    <w:rsid w:val="003C64AC"/>
    <w:rsid w:val="003E15EE"/>
    <w:rsid w:val="003E7642"/>
    <w:rsid w:val="00405FCB"/>
    <w:rsid w:val="00442D6C"/>
    <w:rsid w:val="00443AB5"/>
    <w:rsid w:val="00445088"/>
    <w:rsid w:val="004628EB"/>
    <w:rsid w:val="004710C7"/>
    <w:rsid w:val="004A11B8"/>
    <w:rsid w:val="004B00F4"/>
    <w:rsid w:val="004B1982"/>
    <w:rsid w:val="004C0B63"/>
    <w:rsid w:val="004D1DD7"/>
    <w:rsid w:val="004D4862"/>
    <w:rsid w:val="004E361C"/>
    <w:rsid w:val="004E625C"/>
    <w:rsid w:val="004F057D"/>
    <w:rsid w:val="00507F24"/>
    <w:rsid w:val="00541FAE"/>
    <w:rsid w:val="005476B2"/>
    <w:rsid w:val="005757EF"/>
    <w:rsid w:val="00575F9D"/>
    <w:rsid w:val="00576290"/>
    <w:rsid w:val="00581DF1"/>
    <w:rsid w:val="00582C14"/>
    <w:rsid w:val="00586657"/>
    <w:rsid w:val="005945FF"/>
    <w:rsid w:val="00596EB7"/>
    <w:rsid w:val="005974BA"/>
    <w:rsid w:val="005A54EE"/>
    <w:rsid w:val="005C452D"/>
    <w:rsid w:val="005C5391"/>
    <w:rsid w:val="005C6E7A"/>
    <w:rsid w:val="005F1AAE"/>
    <w:rsid w:val="005F4287"/>
    <w:rsid w:val="00603285"/>
    <w:rsid w:val="006177F4"/>
    <w:rsid w:val="0063481C"/>
    <w:rsid w:val="00636BCF"/>
    <w:rsid w:val="0064053C"/>
    <w:rsid w:val="0065774B"/>
    <w:rsid w:val="00657A12"/>
    <w:rsid w:val="00657ADE"/>
    <w:rsid w:val="00663B29"/>
    <w:rsid w:val="00676395"/>
    <w:rsid w:val="0067709F"/>
    <w:rsid w:val="00685B80"/>
    <w:rsid w:val="00686DC5"/>
    <w:rsid w:val="00687D80"/>
    <w:rsid w:val="00693014"/>
    <w:rsid w:val="0069564C"/>
    <w:rsid w:val="006B0927"/>
    <w:rsid w:val="006B49A6"/>
    <w:rsid w:val="006B5580"/>
    <w:rsid w:val="006D2F9B"/>
    <w:rsid w:val="006D7714"/>
    <w:rsid w:val="006E11C7"/>
    <w:rsid w:val="006E6D13"/>
    <w:rsid w:val="007022E5"/>
    <w:rsid w:val="00717106"/>
    <w:rsid w:val="00724B83"/>
    <w:rsid w:val="00726B5A"/>
    <w:rsid w:val="00751C4C"/>
    <w:rsid w:val="007603F9"/>
    <w:rsid w:val="007638A3"/>
    <w:rsid w:val="00764EE6"/>
    <w:rsid w:val="007758C7"/>
    <w:rsid w:val="00785B3D"/>
    <w:rsid w:val="007919FD"/>
    <w:rsid w:val="00792FC7"/>
    <w:rsid w:val="00794553"/>
    <w:rsid w:val="00797B94"/>
    <w:rsid w:val="007B59E1"/>
    <w:rsid w:val="007B7E9E"/>
    <w:rsid w:val="007E1BBA"/>
    <w:rsid w:val="0080163C"/>
    <w:rsid w:val="0081001C"/>
    <w:rsid w:val="00846D35"/>
    <w:rsid w:val="00854D38"/>
    <w:rsid w:val="00861EC8"/>
    <w:rsid w:val="0086297C"/>
    <w:rsid w:val="00863D92"/>
    <w:rsid w:val="00874121"/>
    <w:rsid w:val="008A0C1E"/>
    <w:rsid w:val="008A3929"/>
    <w:rsid w:val="008B0407"/>
    <w:rsid w:val="008B29B7"/>
    <w:rsid w:val="008B45FF"/>
    <w:rsid w:val="008C558B"/>
    <w:rsid w:val="008D30DB"/>
    <w:rsid w:val="008F2A13"/>
    <w:rsid w:val="009014E2"/>
    <w:rsid w:val="00906B3F"/>
    <w:rsid w:val="00924832"/>
    <w:rsid w:val="00927C7F"/>
    <w:rsid w:val="009308B2"/>
    <w:rsid w:val="009353A5"/>
    <w:rsid w:val="00947DA8"/>
    <w:rsid w:val="00950017"/>
    <w:rsid w:val="00967F6A"/>
    <w:rsid w:val="009742EE"/>
    <w:rsid w:val="0097788E"/>
    <w:rsid w:val="00994689"/>
    <w:rsid w:val="009951BE"/>
    <w:rsid w:val="00996B85"/>
    <w:rsid w:val="009B0636"/>
    <w:rsid w:val="009B540D"/>
    <w:rsid w:val="009C6A86"/>
    <w:rsid w:val="009E04A7"/>
    <w:rsid w:val="009E2A12"/>
    <w:rsid w:val="009E6BC2"/>
    <w:rsid w:val="009E7ABC"/>
    <w:rsid w:val="00A17B4A"/>
    <w:rsid w:val="00A21C4E"/>
    <w:rsid w:val="00A538EE"/>
    <w:rsid w:val="00A540FF"/>
    <w:rsid w:val="00A558C1"/>
    <w:rsid w:val="00A569D3"/>
    <w:rsid w:val="00A65A2F"/>
    <w:rsid w:val="00A67A4C"/>
    <w:rsid w:val="00A76001"/>
    <w:rsid w:val="00A85689"/>
    <w:rsid w:val="00A8757F"/>
    <w:rsid w:val="00A928A9"/>
    <w:rsid w:val="00AA3645"/>
    <w:rsid w:val="00AA7D9B"/>
    <w:rsid w:val="00AC3331"/>
    <w:rsid w:val="00AC79BC"/>
    <w:rsid w:val="00AE603A"/>
    <w:rsid w:val="00AF1AE8"/>
    <w:rsid w:val="00AF1FFF"/>
    <w:rsid w:val="00AF3427"/>
    <w:rsid w:val="00AF70D5"/>
    <w:rsid w:val="00B0133B"/>
    <w:rsid w:val="00B1595B"/>
    <w:rsid w:val="00B177D4"/>
    <w:rsid w:val="00B23DF8"/>
    <w:rsid w:val="00B30845"/>
    <w:rsid w:val="00B31288"/>
    <w:rsid w:val="00B32CAC"/>
    <w:rsid w:val="00B50348"/>
    <w:rsid w:val="00B65703"/>
    <w:rsid w:val="00B714F3"/>
    <w:rsid w:val="00B72F3A"/>
    <w:rsid w:val="00B94594"/>
    <w:rsid w:val="00BB1AFA"/>
    <w:rsid w:val="00BB2092"/>
    <w:rsid w:val="00BC556D"/>
    <w:rsid w:val="00BC61B4"/>
    <w:rsid w:val="00BD1AC1"/>
    <w:rsid w:val="00BD3336"/>
    <w:rsid w:val="00BD4ACD"/>
    <w:rsid w:val="00BD5F80"/>
    <w:rsid w:val="00BE54FA"/>
    <w:rsid w:val="00BF37E4"/>
    <w:rsid w:val="00C00BF1"/>
    <w:rsid w:val="00C141A5"/>
    <w:rsid w:val="00C27FBF"/>
    <w:rsid w:val="00C33720"/>
    <w:rsid w:val="00C4302A"/>
    <w:rsid w:val="00C44CE1"/>
    <w:rsid w:val="00C478AC"/>
    <w:rsid w:val="00C50AFA"/>
    <w:rsid w:val="00C6106E"/>
    <w:rsid w:val="00C62CAA"/>
    <w:rsid w:val="00C632D4"/>
    <w:rsid w:val="00C855A8"/>
    <w:rsid w:val="00CB1F14"/>
    <w:rsid w:val="00CB2B75"/>
    <w:rsid w:val="00CB3FD9"/>
    <w:rsid w:val="00CC080F"/>
    <w:rsid w:val="00CD1FF2"/>
    <w:rsid w:val="00CD2A4C"/>
    <w:rsid w:val="00CD3A2B"/>
    <w:rsid w:val="00CF14AC"/>
    <w:rsid w:val="00D00E73"/>
    <w:rsid w:val="00D14DA0"/>
    <w:rsid w:val="00D20EBC"/>
    <w:rsid w:val="00D27711"/>
    <w:rsid w:val="00D42A9F"/>
    <w:rsid w:val="00D50607"/>
    <w:rsid w:val="00D51BAE"/>
    <w:rsid w:val="00D62B84"/>
    <w:rsid w:val="00D66C29"/>
    <w:rsid w:val="00D80DD1"/>
    <w:rsid w:val="00DB3DF1"/>
    <w:rsid w:val="00DE7B16"/>
    <w:rsid w:val="00E00708"/>
    <w:rsid w:val="00E10891"/>
    <w:rsid w:val="00E20F09"/>
    <w:rsid w:val="00E25E1B"/>
    <w:rsid w:val="00E42C0C"/>
    <w:rsid w:val="00E44F2B"/>
    <w:rsid w:val="00E46E42"/>
    <w:rsid w:val="00E54E2E"/>
    <w:rsid w:val="00E62046"/>
    <w:rsid w:val="00E77426"/>
    <w:rsid w:val="00E802E5"/>
    <w:rsid w:val="00E82FDE"/>
    <w:rsid w:val="00E84D1A"/>
    <w:rsid w:val="00E86619"/>
    <w:rsid w:val="00EA0F7A"/>
    <w:rsid w:val="00EB03D6"/>
    <w:rsid w:val="00EC4C69"/>
    <w:rsid w:val="00EC666E"/>
    <w:rsid w:val="00ED0B44"/>
    <w:rsid w:val="00ED0D66"/>
    <w:rsid w:val="00EE2B21"/>
    <w:rsid w:val="00EE395B"/>
    <w:rsid w:val="00EF0C48"/>
    <w:rsid w:val="00EF5939"/>
    <w:rsid w:val="00F01063"/>
    <w:rsid w:val="00F033B8"/>
    <w:rsid w:val="00F23E34"/>
    <w:rsid w:val="00F3113C"/>
    <w:rsid w:val="00F438E8"/>
    <w:rsid w:val="00F47E8C"/>
    <w:rsid w:val="00F6513B"/>
    <w:rsid w:val="00F66FE5"/>
    <w:rsid w:val="00F67377"/>
    <w:rsid w:val="00F759E8"/>
    <w:rsid w:val="00F76C3F"/>
    <w:rsid w:val="00F86603"/>
    <w:rsid w:val="00F918F2"/>
    <w:rsid w:val="00F9456E"/>
    <w:rsid w:val="00FB1C4C"/>
    <w:rsid w:val="00FB2385"/>
    <w:rsid w:val="00FD7DA2"/>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paragraph" w:styleId="FootnoteText">
    <w:name w:val="footnote text"/>
    <w:basedOn w:val="Normal"/>
    <w:link w:val="FootnoteTextChar"/>
    <w:uiPriority w:val="99"/>
    <w:semiHidden/>
    <w:unhideWhenUsed/>
    <w:rsid w:val="00676395"/>
    <w:rPr>
      <w:sz w:val="20"/>
      <w:szCs w:val="20"/>
    </w:rPr>
  </w:style>
  <w:style w:type="character" w:customStyle="1" w:styleId="FootnoteTextChar">
    <w:name w:val="Footnote Text Char"/>
    <w:basedOn w:val="DefaultParagraphFont"/>
    <w:link w:val="FootnoteText"/>
    <w:uiPriority w:val="99"/>
    <w:semiHidden/>
    <w:rsid w:val="00676395"/>
  </w:style>
  <w:style w:type="character" w:styleId="FootnoteReference">
    <w:name w:val="footnote reference"/>
    <w:basedOn w:val="DefaultParagraphFont"/>
    <w:uiPriority w:val="99"/>
    <w:semiHidden/>
    <w:unhideWhenUsed/>
    <w:rsid w:val="00676395"/>
    <w:rPr>
      <w:vertAlign w:val="superscript"/>
    </w:rPr>
  </w:style>
  <w:style w:type="paragraph" w:styleId="ListParagraph">
    <w:name w:val="List Paragraph"/>
    <w:basedOn w:val="Normal"/>
    <w:uiPriority w:val="1"/>
    <w:qFormat/>
    <w:rsid w:val="00676395"/>
    <w:pPr>
      <w:ind w:left="720"/>
      <w:contextualSpacing/>
    </w:pPr>
  </w:style>
  <w:style w:type="paragraph" w:customStyle="1" w:styleId="TableParagraph">
    <w:name w:val="Table Paragraph"/>
    <w:basedOn w:val="Normal"/>
    <w:uiPriority w:val="1"/>
    <w:qFormat/>
    <w:rsid w:val="00676395"/>
    <w:pPr>
      <w:autoSpaceDE w:val="0"/>
      <w:autoSpaceDN w:val="0"/>
      <w:adjustRightInd w:val="0"/>
    </w:pPr>
  </w:style>
  <w:style w:type="character" w:styleId="Hyperlink">
    <w:name w:val="Hyperlink"/>
    <w:basedOn w:val="DefaultParagraphFont"/>
    <w:uiPriority w:val="99"/>
    <w:semiHidden/>
    <w:unhideWhenUsed/>
    <w:rsid w:val="004D4862"/>
    <w:rPr>
      <w:color w:val="0000FF"/>
      <w:u w:val="single"/>
    </w:rPr>
  </w:style>
  <w:style w:type="character" w:styleId="Emphasis">
    <w:name w:val="Emphasis"/>
    <w:basedOn w:val="DefaultParagraphFont"/>
    <w:uiPriority w:val="20"/>
    <w:qFormat/>
    <w:rsid w:val="00AA3645"/>
    <w:rPr>
      <w:i/>
      <w:iCs/>
    </w:rPr>
  </w:style>
  <w:style w:type="character" w:styleId="CommentReference">
    <w:name w:val="annotation reference"/>
    <w:basedOn w:val="DefaultParagraphFont"/>
    <w:uiPriority w:val="99"/>
    <w:semiHidden/>
    <w:unhideWhenUsed/>
    <w:rsid w:val="00576290"/>
    <w:rPr>
      <w:sz w:val="16"/>
      <w:szCs w:val="16"/>
    </w:rPr>
  </w:style>
  <w:style w:type="paragraph" w:styleId="CommentText">
    <w:name w:val="annotation text"/>
    <w:basedOn w:val="Normal"/>
    <w:link w:val="CommentTextChar"/>
    <w:uiPriority w:val="99"/>
    <w:semiHidden/>
    <w:unhideWhenUsed/>
    <w:rsid w:val="00576290"/>
    <w:rPr>
      <w:sz w:val="20"/>
      <w:szCs w:val="20"/>
    </w:rPr>
  </w:style>
  <w:style w:type="character" w:customStyle="1" w:styleId="CommentTextChar">
    <w:name w:val="Comment Text Char"/>
    <w:basedOn w:val="DefaultParagraphFont"/>
    <w:link w:val="CommentText"/>
    <w:uiPriority w:val="99"/>
    <w:semiHidden/>
    <w:rsid w:val="00576290"/>
  </w:style>
  <w:style w:type="paragraph" w:styleId="CommentSubject">
    <w:name w:val="annotation subject"/>
    <w:basedOn w:val="CommentText"/>
    <w:next w:val="CommentText"/>
    <w:link w:val="CommentSubjectChar"/>
    <w:uiPriority w:val="99"/>
    <w:semiHidden/>
    <w:unhideWhenUsed/>
    <w:rsid w:val="00576290"/>
    <w:rPr>
      <w:b/>
      <w:bCs/>
    </w:rPr>
  </w:style>
  <w:style w:type="character" w:customStyle="1" w:styleId="CommentSubjectChar">
    <w:name w:val="Comment Subject Char"/>
    <w:basedOn w:val="CommentTextChar"/>
    <w:link w:val="CommentSubject"/>
    <w:uiPriority w:val="99"/>
    <w:semiHidden/>
    <w:rsid w:val="005762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paragraph" w:styleId="FootnoteText">
    <w:name w:val="footnote text"/>
    <w:basedOn w:val="Normal"/>
    <w:link w:val="FootnoteTextChar"/>
    <w:uiPriority w:val="99"/>
    <w:semiHidden/>
    <w:unhideWhenUsed/>
    <w:rsid w:val="00676395"/>
    <w:rPr>
      <w:sz w:val="20"/>
      <w:szCs w:val="20"/>
    </w:rPr>
  </w:style>
  <w:style w:type="character" w:customStyle="1" w:styleId="FootnoteTextChar">
    <w:name w:val="Footnote Text Char"/>
    <w:basedOn w:val="DefaultParagraphFont"/>
    <w:link w:val="FootnoteText"/>
    <w:uiPriority w:val="99"/>
    <w:semiHidden/>
    <w:rsid w:val="00676395"/>
  </w:style>
  <w:style w:type="character" w:styleId="FootnoteReference">
    <w:name w:val="footnote reference"/>
    <w:basedOn w:val="DefaultParagraphFont"/>
    <w:uiPriority w:val="99"/>
    <w:semiHidden/>
    <w:unhideWhenUsed/>
    <w:rsid w:val="00676395"/>
    <w:rPr>
      <w:vertAlign w:val="superscript"/>
    </w:rPr>
  </w:style>
  <w:style w:type="paragraph" w:styleId="ListParagraph">
    <w:name w:val="List Paragraph"/>
    <w:basedOn w:val="Normal"/>
    <w:uiPriority w:val="1"/>
    <w:qFormat/>
    <w:rsid w:val="00676395"/>
    <w:pPr>
      <w:ind w:left="720"/>
      <w:contextualSpacing/>
    </w:pPr>
  </w:style>
  <w:style w:type="paragraph" w:customStyle="1" w:styleId="TableParagraph">
    <w:name w:val="Table Paragraph"/>
    <w:basedOn w:val="Normal"/>
    <w:uiPriority w:val="1"/>
    <w:qFormat/>
    <w:rsid w:val="00676395"/>
    <w:pPr>
      <w:autoSpaceDE w:val="0"/>
      <w:autoSpaceDN w:val="0"/>
      <w:adjustRightInd w:val="0"/>
    </w:pPr>
  </w:style>
  <w:style w:type="character" w:styleId="Hyperlink">
    <w:name w:val="Hyperlink"/>
    <w:basedOn w:val="DefaultParagraphFont"/>
    <w:uiPriority w:val="99"/>
    <w:semiHidden/>
    <w:unhideWhenUsed/>
    <w:rsid w:val="004D4862"/>
    <w:rPr>
      <w:color w:val="0000FF"/>
      <w:u w:val="single"/>
    </w:rPr>
  </w:style>
  <w:style w:type="character" w:styleId="Emphasis">
    <w:name w:val="Emphasis"/>
    <w:basedOn w:val="DefaultParagraphFont"/>
    <w:uiPriority w:val="20"/>
    <w:qFormat/>
    <w:rsid w:val="00AA3645"/>
    <w:rPr>
      <w:i/>
      <w:iCs/>
    </w:rPr>
  </w:style>
  <w:style w:type="character" w:styleId="CommentReference">
    <w:name w:val="annotation reference"/>
    <w:basedOn w:val="DefaultParagraphFont"/>
    <w:uiPriority w:val="99"/>
    <w:semiHidden/>
    <w:unhideWhenUsed/>
    <w:rsid w:val="00576290"/>
    <w:rPr>
      <w:sz w:val="16"/>
      <w:szCs w:val="16"/>
    </w:rPr>
  </w:style>
  <w:style w:type="paragraph" w:styleId="CommentText">
    <w:name w:val="annotation text"/>
    <w:basedOn w:val="Normal"/>
    <w:link w:val="CommentTextChar"/>
    <w:uiPriority w:val="99"/>
    <w:semiHidden/>
    <w:unhideWhenUsed/>
    <w:rsid w:val="00576290"/>
    <w:rPr>
      <w:sz w:val="20"/>
      <w:szCs w:val="20"/>
    </w:rPr>
  </w:style>
  <w:style w:type="character" w:customStyle="1" w:styleId="CommentTextChar">
    <w:name w:val="Comment Text Char"/>
    <w:basedOn w:val="DefaultParagraphFont"/>
    <w:link w:val="CommentText"/>
    <w:uiPriority w:val="99"/>
    <w:semiHidden/>
    <w:rsid w:val="00576290"/>
  </w:style>
  <w:style w:type="paragraph" w:styleId="CommentSubject">
    <w:name w:val="annotation subject"/>
    <w:basedOn w:val="CommentText"/>
    <w:next w:val="CommentText"/>
    <w:link w:val="CommentSubjectChar"/>
    <w:uiPriority w:val="99"/>
    <w:semiHidden/>
    <w:unhideWhenUsed/>
    <w:rsid w:val="00576290"/>
    <w:rPr>
      <w:b/>
      <w:bCs/>
    </w:rPr>
  </w:style>
  <w:style w:type="character" w:customStyle="1" w:styleId="CommentSubjectChar">
    <w:name w:val="Comment Subject Char"/>
    <w:basedOn w:val="CommentTextChar"/>
    <w:link w:val="CommentSubject"/>
    <w:uiPriority w:val="99"/>
    <w:semiHidden/>
    <w:rsid w:val="005762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684582">
      <w:bodyDiv w:val="1"/>
      <w:marLeft w:val="0"/>
      <w:marRight w:val="0"/>
      <w:marTop w:val="0"/>
      <w:marBottom w:val="0"/>
      <w:divBdr>
        <w:top w:val="none" w:sz="0" w:space="0" w:color="auto"/>
        <w:left w:val="none" w:sz="0" w:space="0" w:color="auto"/>
        <w:bottom w:val="none" w:sz="0" w:space="0" w:color="auto"/>
        <w:right w:val="none" w:sz="0" w:space="0" w:color="auto"/>
      </w:divBdr>
    </w:div>
    <w:div w:id="1621186761">
      <w:bodyDiv w:val="1"/>
      <w:marLeft w:val="0"/>
      <w:marRight w:val="0"/>
      <w:marTop w:val="0"/>
      <w:marBottom w:val="0"/>
      <w:divBdr>
        <w:top w:val="none" w:sz="0" w:space="0" w:color="auto"/>
        <w:left w:val="none" w:sz="0" w:space="0" w:color="auto"/>
        <w:bottom w:val="none" w:sz="0" w:space="0" w:color="auto"/>
        <w:right w:val="none" w:sz="0" w:space="0" w:color="auto"/>
      </w:divBdr>
    </w:div>
    <w:div w:id="20377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24373-C165-424D-ACBF-9B712E61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1764</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5</cp:revision>
  <cp:lastPrinted>2005-06-11T17:39:00Z</cp:lastPrinted>
  <dcterms:created xsi:type="dcterms:W3CDTF">2016-02-10T21:39:00Z</dcterms:created>
  <dcterms:modified xsi:type="dcterms:W3CDTF">2016-02-11T17:35:00Z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