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941" w:rsidRDefault="00891B6B" w:rsidP="002436C1">
      <w:pPr>
        <w:pStyle w:val="TableFigureCaption"/>
      </w:pPr>
      <w:r>
        <w:rPr>
          <w:noProof/>
        </w:rPr>
        <w:drawing>
          <wp:anchor distT="0" distB="0" distL="114300" distR="114300" simplePos="0" relativeHeight="251672576" behindDoc="0" locked="0" layoutInCell="1" allowOverlap="1">
            <wp:simplePos x="0" y="0"/>
            <wp:positionH relativeFrom="column">
              <wp:posOffset>-145156</wp:posOffset>
            </wp:positionH>
            <wp:positionV relativeFrom="paragraph">
              <wp:posOffset>38636</wp:posOffset>
            </wp:positionV>
            <wp:extent cx="4269615" cy="695460"/>
            <wp:effectExtent l="19050" t="0" r="0" b="0"/>
            <wp:wrapNone/>
            <wp:docPr id="1"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8" cstate="print"/>
                    <a:srcRect t="21506"/>
                    <a:stretch>
                      <a:fillRect/>
                    </a:stretch>
                  </pic:blipFill>
                  <pic:spPr bwMode="auto">
                    <a:xfrm>
                      <a:off x="0" y="0"/>
                      <a:ext cx="4269615" cy="695460"/>
                    </a:xfrm>
                    <a:prstGeom prst="rect">
                      <a:avLst/>
                    </a:prstGeom>
                    <a:noFill/>
                    <a:ln w="9525">
                      <a:noFill/>
                      <a:miter lim="800000"/>
                      <a:headEnd/>
                      <a:tailEnd/>
                    </a:ln>
                  </pic:spPr>
                </pic:pic>
              </a:graphicData>
            </a:graphic>
          </wp:anchor>
        </w:drawing>
      </w:r>
      <w:r w:rsidR="0023560D">
        <w:t>`</w:t>
      </w:r>
    </w:p>
    <w:p w:rsidR="002A6B02" w:rsidRDefault="002A6B02"/>
    <w:p w:rsidR="002A6B02" w:rsidRDefault="002A6B02" w:rsidP="00AB380F">
      <w:pPr>
        <w:tabs>
          <w:tab w:val="left" w:pos="8550"/>
        </w:tabs>
      </w:pPr>
    </w:p>
    <w:p w:rsidR="002A6B02" w:rsidRDefault="00D66338">
      <w:r>
        <w:rPr>
          <w:noProof/>
        </w:rPr>
        <w:pict>
          <v:shapetype id="_x0000_t202" coordsize="21600,21600" o:spt="202" path="m,l,21600r21600,l21600,xe">
            <v:stroke joinstyle="miter"/>
            <v:path gradientshapeok="t" o:connecttype="rect"/>
          </v:shapetype>
          <v:shape id="_x0000_s1036" type="#_x0000_t202" style="position:absolute;margin-left:-.8pt;margin-top:4.6pt;width:434pt;height:112.05pt;z-index:251660288" fillcolor="#433b67" stroked="f" strokecolor="white [3212]" strokeweight="0">
            <v:shadow type="perspective" color="#3f3151 [1607]" opacity=".5" offset="1pt" offset2="-1pt"/>
            <v:textbox style="mso-next-textbox:#_x0000_s1036">
              <w:txbxContent>
                <w:p w:rsidR="003C0588" w:rsidRPr="00875B70" w:rsidRDefault="003C0588" w:rsidP="00F24446">
                  <w:pPr>
                    <w:pStyle w:val="TitleProposal"/>
                    <w:spacing w:before="200" w:after="200"/>
                    <w:rPr>
                      <w:rFonts w:ascii="Arial Black" w:hAnsi="Arial Black"/>
                      <w:color w:val="FFFFFF" w:themeColor="background1"/>
                    </w:rPr>
                  </w:pPr>
                  <w:r>
                    <w:rPr>
                      <w:rFonts w:ascii="Arial Black" w:hAnsi="Arial Black"/>
                      <w:color w:val="FFFFFF" w:themeColor="background1"/>
                    </w:rPr>
                    <w:t>2012 Ex Post and Ex Ante Load Impact Evaluation of San Diego Gas &amp; Electric Company's Summer Saver Program and Peak Time Rebate Program for Summer Saver Customers</w:t>
                  </w:r>
                  <w:r w:rsidRPr="00875B70">
                    <w:rPr>
                      <w:rFonts w:ascii="Arial Black" w:hAnsi="Arial Black"/>
                      <w:color w:val="FFFFFF" w:themeColor="background1"/>
                    </w:rPr>
                    <w:tab/>
                  </w:r>
                </w:p>
              </w:txbxContent>
            </v:textbox>
          </v:shape>
        </w:pict>
      </w:r>
    </w:p>
    <w:p w:rsidR="002A6B02" w:rsidRDefault="002A6B02" w:rsidP="00AB380F"/>
    <w:p w:rsidR="002A6B02" w:rsidRDefault="002A6B02"/>
    <w:p w:rsidR="002A6B02" w:rsidRDefault="002A6B02"/>
    <w:p w:rsidR="002A6B02" w:rsidRDefault="00B86C76">
      <w:r>
        <w:rPr>
          <w:noProof/>
        </w:rPr>
        <w:drawing>
          <wp:anchor distT="0" distB="0" distL="114300" distR="114300" simplePos="0" relativeHeight="251687936" behindDoc="1" locked="0" layoutInCell="1" allowOverlap="1">
            <wp:simplePos x="0" y="0"/>
            <wp:positionH relativeFrom="column">
              <wp:posOffset>2868501</wp:posOffset>
            </wp:positionH>
            <wp:positionV relativeFrom="paragraph">
              <wp:posOffset>221687</wp:posOffset>
            </wp:positionV>
            <wp:extent cx="2633998" cy="1674253"/>
            <wp:effectExtent l="1905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t="27374"/>
                    <a:stretch>
                      <a:fillRect/>
                    </a:stretch>
                  </pic:blipFill>
                  <pic:spPr bwMode="auto">
                    <a:xfrm>
                      <a:off x="0" y="0"/>
                      <a:ext cx="2633998" cy="1674253"/>
                    </a:xfrm>
                    <a:prstGeom prst="rect">
                      <a:avLst/>
                    </a:prstGeom>
                    <a:noFill/>
                    <a:ln w="9525">
                      <a:noFill/>
                      <a:miter lim="800000"/>
                      <a:headEnd/>
                      <a:tailEnd/>
                    </a:ln>
                  </pic:spPr>
                </pic:pic>
              </a:graphicData>
            </a:graphic>
          </wp:anchor>
        </w:drawing>
      </w:r>
      <w:r w:rsidR="00D66338">
        <w:rPr>
          <w:noProof/>
        </w:rPr>
        <w:pict>
          <v:shapetype id="_x0000_t32" coordsize="21600,21600" o:spt="32" o:oned="t" path="m,l21600,21600e" filled="f">
            <v:path arrowok="t" fillok="f" o:connecttype="none"/>
            <o:lock v:ext="edit" shapetype="t"/>
          </v:shapetype>
          <v:shape id="_x0000_s1050" type="#_x0000_t32" style="position:absolute;margin-left:-367.2pt;margin-top:14.9pt;width:55.1pt;height:2666.5pt;flip:x;z-index:251679744;mso-position-horizontal-relative:text;mso-position-vertical-relative:text" o:connectortype="straight" strokecolor="black [3213]" strokeweight="1pt">
            <v:shadow type="perspective" color="#3f3151 [1607]" opacity=".5" offset="1pt" offset2="-1pt"/>
          </v:shape>
        </w:pict>
      </w:r>
    </w:p>
    <w:p w:rsidR="002A6B02" w:rsidRDefault="00D66338">
      <w:r>
        <w:rPr>
          <w:noProof/>
        </w:rPr>
        <w:pict>
          <v:shape id="_x0000_s1037" type="#_x0000_t202" style="position:absolute;margin-left:-.95pt;margin-top:12.45pt;width:207.05pt;height:66.35pt;z-index:251661312" fillcolor="white [3212]" stroked="f" strokecolor="#f2f2f2 [3041]" strokeweight="3pt">
            <v:shadow type="perspective" color="#7f7f7f [1601]" opacity=".5" offset="1pt" offset2="-1pt"/>
            <v:textbox style="mso-next-textbox:#_x0000_s1037">
              <w:txbxContent>
                <w:p w:rsidR="003C0588" w:rsidRPr="00334712" w:rsidRDefault="003C0588" w:rsidP="00AB380F">
                  <w:pPr>
                    <w:pStyle w:val="PreparedFor"/>
                    <w:spacing w:before="0" w:after="0"/>
                    <w:jc w:val="left"/>
                    <w:rPr>
                      <w:rFonts w:cs="Arial"/>
                      <w:sz w:val="24"/>
                      <w:szCs w:val="24"/>
                    </w:rPr>
                  </w:pPr>
                  <w:r w:rsidRPr="00334712">
                    <w:rPr>
                      <w:rFonts w:cs="Arial"/>
                      <w:sz w:val="24"/>
                      <w:szCs w:val="24"/>
                    </w:rPr>
                    <w:t>Prepared for:</w:t>
                  </w:r>
                </w:p>
                <w:p w:rsidR="003C0588" w:rsidRPr="00334712" w:rsidRDefault="003C0588" w:rsidP="00AB380F">
                  <w:pPr>
                    <w:pStyle w:val="PreparedForCompany"/>
                    <w:jc w:val="left"/>
                    <w:rPr>
                      <w:rFonts w:cs="Arial"/>
                      <w:sz w:val="24"/>
                    </w:rPr>
                  </w:pPr>
                  <w:r>
                    <w:rPr>
                      <w:rFonts w:cs="Arial"/>
                      <w:sz w:val="24"/>
                    </w:rPr>
                    <w:t>San Diego Gas &amp; Electric Co.</w:t>
                  </w:r>
                </w:p>
                <w:p w:rsidR="003C0588" w:rsidRPr="00334712" w:rsidRDefault="003C0588" w:rsidP="00AB380F">
                  <w:pPr>
                    <w:pStyle w:val="PreparedForCompany"/>
                    <w:jc w:val="left"/>
                    <w:rPr>
                      <w:rFonts w:cs="Arial"/>
                      <w:sz w:val="24"/>
                    </w:rPr>
                  </w:pPr>
                </w:p>
              </w:txbxContent>
            </v:textbox>
          </v:shape>
        </w:pict>
      </w:r>
    </w:p>
    <w:p w:rsidR="002A6B02" w:rsidRDefault="002A6B02"/>
    <w:p w:rsidR="002A6B02" w:rsidRDefault="002A6B02"/>
    <w:p w:rsidR="002A6B02" w:rsidRDefault="00D66338">
      <w:r>
        <w:rPr>
          <w:noProof/>
        </w:rPr>
        <w:pict>
          <v:shape id="_x0000_s1038" type="#_x0000_t202" style="position:absolute;margin-left:-.95pt;margin-top:22.5pt;width:208.2pt;height:31.8pt;z-index:251662336" fillcolor="white [3212]" stroked="f" strokecolor="#f2f2f2 [3041]" strokeweight="3pt">
            <v:shadow type="perspective" color="#622423 [1605]" opacity=".5" offset="1pt" offset2="-1pt"/>
            <v:textbox style="mso-next-textbox:#_x0000_s1038">
              <w:txbxContent>
                <w:p w:rsidR="003C0588" w:rsidRPr="00334712" w:rsidRDefault="003C0588" w:rsidP="00AB380F">
                  <w:pPr>
                    <w:pStyle w:val="TitleProposal"/>
                    <w:rPr>
                      <w:b w:val="0"/>
                      <w:color w:val="auto"/>
                      <w:sz w:val="24"/>
                      <w:szCs w:val="24"/>
                    </w:rPr>
                  </w:pPr>
                  <w:r>
                    <w:rPr>
                      <w:b w:val="0"/>
                      <w:color w:val="auto"/>
                      <w:sz w:val="24"/>
                      <w:szCs w:val="24"/>
                    </w:rPr>
                    <w:t>April 1</w:t>
                  </w:r>
                  <w:r w:rsidRPr="00334712">
                    <w:rPr>
                      <w:b w:val="0"/>
                      <w:color w:val="auto"/>
                      <w:sz w:val="24"/>
                      <w:szCs w:val="24"/>
                    </w:rPr>
                    <w:t xml:space="preserve">, </w:t>
                  </w:r>
                  <w:r>
                    <w:rPr>
                      <w:b w:val="0"/>
                      <w:color w:val="auto"/>
                      <w:sz w:val="24"/>
                      <w:szCs w:val="24"/>
                    </w:rPr>
                    <w:t>2013</w:t>
                  </w:r>
                </w:p>
              </w:txbxContent>
            </v:textbox>
          </v:shape>
        </w:pict>
      </w:r>
    </w:p>
    <w:p w:rsidR="002A6B02" w:rsidRDefault="002A6B02"/>
    <w:p w:rsidR="00CF7B44" w:rsidRDefault="00FD51F4">
      <w:r>
        <w:rPr>
          <w:noProof/>
        </w:rPr>
        <w:drawing>
          <wp:anchor distT="0" distB="0" distL="114300" distR="114300" simplePos="0" relativeHeight="251689984" behindDoc="1" locked="0" layoutInCell="1" allowOverlap="1">
            <wp:simplePos x="0" y="0"/>
            <wp:positionH relativeFrom="column">
              <wp:posOffset>2868295</wp:posOffset>
            </wp:positionH>
            <wp:positionV relativeFrom="paragraph">
              <wp:posOffset>-4445</wp:posOffset>
            </wp:positionV>
            <wp:extent cx="2633980" cy="172529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t="3425" b="4794"/>
                    <a:stretch>
                      <a:fillRect/>
                    </a:stretch>
                  </pic:blipFill>
                  <pic:spPr bwMode="auto">
                    <a:xfrm>
                      <a:off x="0" y="0"/>
                      <a:ext cx="2633980" cy="1725295"/>
                    </a:xfrm>
                    <a:prstGeom prst="rect">
                      <a:avLst/>
                    </a:prstGeom>
                    <a:noFill/>
                    <a:ln w="9525">
                      <a:noFill/>
                      <a:miter lim="800000"/>
                      <a:headEnd/>
                      <a:tailEnd/>
                    </a:ln>
                  </pic:spPr>
                </pic:pic>
              </a:graphicData>
            </a:graphic>
          </wp:anchor>
        </w:drawing>
      </w:r>
    </w:p>
    <w:p w:rsidR="002A6B02" w:rsidRDefault="00D66338">
      <w:r>
        <w:rPr>
          <w:noProof/>
        </w:rPr>
        <w:pict>
          <v:shape id="_x0000_s1039" type="#_x0000_t202" style="position:absolute;margin-left:-.8pt;margin-top:6.35pt;width:206.9pt;height:66.35pt;z-index:251663360" fillcolor="white [3212]" stroked="f" strokecolor="#f2f2f2 [3041]" strokeweight="3pt">
            <v:shadow type="perspective" color="#243f60 [1604]" opacity=".5" offset="1pt" offset2="-1pt"/>
            <v:textbox style="mso-next-textbox:#_x0000_s1039">
              <w:txbxContent>
                <w:p w:rsidR="003C0588" w:rsidRPr="00334712" w:rsidRDefault="003C0588" w:rsidP="00AB380F">
                  <w:pPr>
                    <w:pStyle w:val="PreparedForCompany"/>
                    <w:jc w:val="left"/>
                    <w:rPr>
                      <w:rFonts w:cs="Arial"/>
                      <w:i/>
                      <w:sz w:val="24"/>
                    </w:rPr>
                  </w:pPr>
                  <w:r w:rsidRPr="00334712">
                    <w:rPr>
                      <w:rFonts w:cs="Arial"/>
                      <w:i/>
                      <w:sz w:val="24"/>
                    </w:rPr>
                    <w:t>Prepared by:</w:t>
                  </w:r>
                </w:p>
                <w:p w:rsidR="003C0588" w:rsidRDefault="003C0588" w:rsidP="00AB380F">
                  <w:pPr>
                    <w:pStyle w:val="PreparedForCompany"/>
                    <w:jc w:val="left"/>
                    <w:rPr>
                      <w:rFonts w:cs="Arial"/>
                      <w:sz w:val="24"/>
                    </w:rPr>
                  </w:pPr>
                  <w:r>
                    <w:rPr>
                      <w:rFonts w:cs="Arial"/>
                      <w:sz w:val="24"/>
                    </w:rPr>
                    <w:t>Sam Holmberg</w:t>
                  </w:r>
                </w:p>
                <w:p w:rsidR="003C0588" w:rsidRPr="00334712" w:rsidRDefault="003C0588" w:rsidP="00AB380F">
                  <w:pPr>
                    <w:pStyle w:val="PreparedForCompany"/>
                    <w:jc w:val="left"/>
                    <w:rPr>
                      <w:rFonts w:cs="Arial"/>
                      <w:sz w:val="24"/>
                    </w:rPr>
                  </w:pPr>
                  <w:r>
                    <w:rPr>
                      <w:rFonts w:cs="Arial"/>
                      <w:sz w:val="24"/>
                    </w:rPr>
                    <w:t>Michael Perry</w:t>
                  </w:r>
                </w:p>
                <w:p w:rsidR="003C0588" w:rsidRPr="000B2255" w:rsidRDefault="003C0588" w:rsidP="00AB380F">
                  <w:pPr>
                    <w:pStyle w:val="PreparedForCompany"/>
                    <w:jc w:val="left"/>
                    <w:rPr>
                      <w:rFonts w:ascii="TitilliumText22L Rg" w:hAnsi="TitilliumText22L Rg"/>
                      <w:sz w:val="28"/>
                      <w:szCs w:val="28"/>
                    </w:rPr>
                  </w:pPr>
                </w:p>
              </w:txbxContent>
            </v:textbox>
          </v:shape>
        </w:pict>
      </w:r>
    </w:p>
    <w:p w:rsidR="0084569F" w:rsidRDefault="0084569F" w:rsidP="00305437">
      <w:pPr>
        <w:pStyle w:val="PreparedFor"/>
      </w:pPr>
    </w:p>
    <w:p w:rsidR="0084569F" w:rsidRDefault="0084569F" w:rsidP="00305437">
      <w:pPr>
        <w:pStyle w:val="PreparedFor"/>
      </w:pPr>
    </w:p>
    <w:p w:rsidR="002A6B02" w:rsidRDefault="002A6B02" w:rsidP="00305437">
      <w:pPr>
        <w:pStyle w:val="PreparedForCompany"/>
      </w:pPr>
    </w:p>
    <w:p w:rsidR="00AB380F" w:rsidRPr="00ED253C" w:rsidRDefault="00891B6B" w:rsidP="00AB380F">
      <w:pPr>
        <w:pStyle w:val="PreparedForCompany"/>
        <w:jc w:val="left"/>
      </w:pPr>
      <w:r>
        <w:rPr>
          <w:noProof/>
          <w:szCs w:val="22"/>
        </w:rPr>
        <w:drawing>
          <wp:anchor distT="0" distB="0" distL="114300" distR="114300" simplePos="0" relativeHeight="251688960" behindDoc="1" locked="0" layoutInCell="1" allowOverlap="1">
            <wp:simplePos x="0" y="0"/>
            <wp:positionH relativeFrom="column">
              <wp:posOffset>2868501</wp:posOffset>
            </wp:positionH>
            <wp:positionV relativeFrom="paragraph">
              <wp:posOffset>147427</wp:posOffset>
            </wp:positionV>
            <wp:extent cx="2633998" cy="1674254"/>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b="2958"/>
                    <a:stretch>
                      <a:fillRect/>
                    </a:stretch>
                  </pic:blipFill>
                  <pic:spPr bwMode="auto">
                    <a:xfrm>
                      <a:off x="0" y="0"/>
                      <a:ext cx="2633998" cy="1674254"/>
                    </a:xfrm>
                    <a:prstGeom prst="rect">
                      <a:avLst/>
                    </a:prstGeom>
                    <a:noFill/>
                    <a:ln w="9525">
                      <a:noFill/>
                      <a:miter lim="800000"/>
                      <a:headEnd/>
                      <a:tailEnd/>
                    </a:ln>
                  </pic:spPr>
                </pic:pic>
              </a:graphicData>
            </a:graphic>
          </wp:anchor>
        </w:drawing>
      </w:r>
    </w:p>
    <w:p w:rsidR="002A6B02" w:rsidRDefault="00D66338" w:rsidP="00AB380F">
      <w:pPr>
        <w:spacing w:before="240"/>
        <w:ind w:left="-990"/>
        <w:rPr>
          <w:b/>
          <w:color w:val="433B67"/>
          <w:sz w:val="28"/>
          <w:szCs w:val="28"/>
        </w:rPr>
        <w:sectPr w:rsidR="002A6B02" w:rsidSect="00A40B9A">
          <w:headerReference w:type="even" r:id="rId12"/>
          <w:headerReference w:type="default" r:id="rId13"/>
          <w:footerReference w:type="even" r:id="rId14"/>
          <w:footerReference w:type="default" r:id="rId15"/>
          <w:footerReference w:type="first" r:id="rId16"/>
          <w:pgSz w:w="12240" w:h="15840"/>
          <w:pgMar w:top="1440" w:right="1800" w:bottom="1440" w:left="1800" w:header="720" w:footer="720" w:gutter="0"/>
          <w:pgNumType w:fmt="lowerRoman" w:start="1"/>
          <w:cols w:space="720"/>
          <w:titlePg/>
          <w:docGrid w:linePitch="360"/>
        </w:sectPr>
      </w:pPr>
      <w:r w:rsidRPr="00D66338">
        <w:rPr>
          <w:noProof/>
        </w:rPr>
        <w:pict>
          <v:shape id="_x0000_s1040" type="#_x0000_t202" style="position:absolute;left:0;text-align:left;margin-left:-.95pt;margin-top:4.4pt;width:207.05pt;height:66.35pt;z-index:251664384" fillcolor="white [3212]" stroked="f" strokecolor="#f2f2f2 [3041]" strokeweight="3pt">
            <v:shadow type="perspective" color="#4e6128 [1606]" opacity=".5" offset="1pt" offset2="-1pt"/>
            <v:textbox style="mso-next-textbox:#_x0000_s1040">
              <w:txbxContent>
                <w:p w:rsidR="003C0588" w:rsidRPr="00334712" w:rsidRDefault="003C0588" w:rsidP="00D04A27">
                  <w:pPr>
                    <w:pStyle w:val="TitleAddress"/>
                    <w:tabs>
                      <w:tab w:val="clear" w:pos="3960"/>
                    </w:tabs>
                    <w:rPr>
                      <w:b w:val="0"/>
                      <w:color w:val="auto"/>
                      <w:sz w:val="24"/>
                      <w:szCs w:val="24"/>
                    </w:rPr>
                  </w:pPr>
                  <w:r w:rsidRPr="00334712">
                    <w:rPr>
                      <w:b w:val="0"/>
                      <w:color w:val="auto"/>
                      <w:sz w:val="24"/>
                      <w:szCs w:val="24"/>
                    </w:rPr>
                    <w:t>Freeman, Sullivan &amp; Co.</w:t>
                  </w:r>
                  <w:r w:rsidRPr="00334712">
                    <w:rPr>
                      <w:b w:val="0"/>
                      <w:color w:val="auto"/>
                      <w:sz w:val="24"/>
                      <w:szCs w:val="24"/>
                    </w:rPr>
                    <w:br/>
                    <w:t>101 Montgomery St., 15th Fl</w:t>
                  </w:r>
                  <w:r w:rsidRPr="00334712">
                    <w:rPr>
                      <w:b w:val="0"/>
                      <w:color w:val="auto"/>
                      <w:sz w:val="24"/>
                      <w:szCs w:val="24"/>
                    </w:rPr>
                    <w:br/>
                    <w:t>San Francisco, CA  94104</w:t>
                  </w:r>
                  <w:r w:rsidRPr="00334712">
                    <w:rPr>
                      <w:b w:val="0"/>
                      <w:color w:val="auto"/>
                      <w:sz w:val="24"/>
                      <w:szCs w:val="24"/>
                    </w:rPr>
                    <w:br/>
                    <w:t>fscgroup.com</w:t>
                  </w:r>
                </w:p>
                <w:p w:rsidR="003C0588" w:rsidRPr="000D67D1" w:rsidRDefault="003C0588" w:rsidP="00AB380F">
                  <w:pPr>
                    <w:pStyle w:val="TitleAddress"/>
                  </w:pPr>
                  <w:r w:rsidRPr="000D67D1">
                    <w:tab/>
                  </w:r>
                </w:p>
              </w:txbxContent>
            </v:textbox>
          </v:shape>
        </w:pict>
      </w:r>
      <w:r>
        <w:rPr>
          <w:b/>
          <w:noProof/>
          <w:color w:val="433B67"/>
          <w:sz w:val="28"/>
          <w:szCs w:val="28"/>
        </w:rPr>
        <w:pict>
          <v:shape id="_x0000_s1054" type="#_x0000_t32" style="position:absolute;left:0;text-align:left;margin-left:-95.4pt;margin-top:183.3pt;width:644.25pt;height:.05pt;z-index:251684864" o:connectortype="straight" strokecolor="black [3213]" strokeweight="1pt"/>
        </w:pict>
      </w:r>
      <w:r>
        <w:rPr>
          <w:b/>
          <w:noProof/>
          <w:color w:val="433B67"/>
          <w:sz w:val="28"/>
          <w:szCs w:val="28"/>
        </w:rPr>
        <w:pict>
          <v:shape id="_x0000_s1053" type="#_x0000_t32" style="position:absolute;left:0;text-align:left;margin-left:-107.4pt;margin-top:182.1pt;width:644.25pt;height:.05pt;z-index:251683840" o:connectortype="straight" strokecolor="#433b67" strokeweight="2pt"/>
        </w:pict>
      </w:r>
      <w:r>
        <w:rPr>
          <w:b/>
          <w:noProof/>
          <w:color w:val="433B67"/>
          <w:sz w:val="28"/>
          <w:szCs w:val="28"/>
        </w:rPr>
        <w:pict>
          <v:shape id="_x0000_s1052" type="#_x0000_t202" style="position:absolute;left:0;text-align:left;margin-left:-7.1pt;margin-top:159.6pt;width:144.4pt;height:24.5pt;z-index:251682816" filled="f" stroked="f">
            <v:textbox style="mso-next-textbox:#_x0000_s1052">
              <w:txbxContent>
                <w:p w:rsidR="003C0588" w:rsidRPr="003A4BA1" w:rsidRDefault="003C0588" w:rsidP="00CA7949">
                  <w:pPr>
                    <w:pStyle w:val="TitleProposal"/>
                    <w:rPr>
                      <w:rFonts w:ascii="Arial Black" w:hAnsi="Arial Black"/>
                      <w:color w:val="auto"/>
                    </w:rPr>
                  </w:pPr>
                  <w:r w:rsidRPr="003A4BA1">
                    <w:rPr>
                      <w:rFonts w:ascii="Arial Black" w:hAnsi="Arial Black"/>
                      <w:color w:val="auto"/>
                    </w:rPr>
                    <w:t>The FSC Group</w:t>
                  </w:r>
                </w:p>
                <w:p w:rsidR="003C0588" w:rsidRPr="000D67D1" w:rsidRDefault="003C0588" w:rsidP="00CA7949">
                  <w:pPr>
                    <w:pStyle w:val="TitleProposal"/>
                  </w:pPr>
                </w:p>
              </w:txbxContent>
            </v:textbox>
          </v:shape>
        </w:pict>
      </w:r>
    </w:p>
    <w:sdt>
      <w:sdtPr>
        <w:rPr>
          <w:rFonts w:asciiTheme="minorHAnsi" w:eastAsiaTheme="minorHAnsi" w:hAnsiTheme="minorHAnsi" w:cstheme="minorBidi"/>
          <w:b w:val="0"/>
          <w:color w:val="auto"/>
          <w:sz w:val="22"/>
          <w:szCs w:val="22"/>
        </w:rPr>
        <w:id w:val="1780305"/>
        <w:docPartObj>
          <w:docPartGallery w:val="Table of Contents"/>
          <w:docPartUnique/>
        </w:docPartObj>
      </w:sdtPr>
      <w:sdtContent>
        <w:p w:rsidR="001A71A9" w:rsidRDefault="001A71A9" w:rsidP="00DB35F9">
          <w:pPr>
            <w:pStyle w:val="TableofContents"/>
            <w:ind w:left="0"/>
          </w:pPr>
          <w:r w:rsidRPr="003A4BA1">
            <w:rPr>
              <w:rFonts w:ascii="Arial Black" w:hAnsi="Arial Black"/>
            </w:rPr>
            <w:t>Table of Contents</w:t>
          </w:r>
        </w:p>
        <w:p w:rsidR="003C0588" w:rsidRDefault="00D66338">
          <w:pPr>
            <w:pStyle w:val="TOC1"/>
            <w:rPr>
              <w:rFonts w:asciiTheme="minorHAnsi" w:eastAsiaTheme="minorEastAsia" w:hAnsiTheme="minorHAnsi" w:cstheme="minorBidi"/>
              <w:sz w:val="22"/>
              <w:szCs w:val="22"/>
            </w:rPr>
          </w:pPr>
          <w:r w:rsidRPr="00D66338">
            <w:fldChar w:fldCharType="begin"/>
          </w:r>
          <w:r w:rsidR="006717E3">
            <w:instrText xml:space="preserve"> TOC \o "1-3" \h \z \t "Appendix Heading 1,2,Appendix Heading 2,3,Appendix Heading 3,4" </w:instrText>
          </w:r>
          <w:r w:rsidRPr="00D66338">
            <w:fldChar w:fldCharType="separate"/>
          </w:r>
          <w:hyperlink w:anchor="_Toc350953021" w:history="1">
            <w:r w:rsidR="003C0588" w:rsidRPr="001A2B17">
              <w:rPr>
                <w:rStyle w:val="Hyperlink"/>
              </w:rPr>
              <w:t>1</w:t>
            </w:r>
            <w:r w:rsidR="003C0588">
              <w:rPr>
                <w:rFonts w:asciiTheme="minorHAnsi" w:eastAsiaTheme="minorEastAsia" w:hAnsiTheme="minorHAnsi" w:cstheme="minorBidi"/>
                <w:sz w:val="22"/>
                <w:szCs w:val="22"/>
              </w:rPr>
              <w:tab/>
            </w:r>
            <w:r w:rsidR="003C0588" w:rsidRPr="001A2B17">
              <w:rPr>
                <w:rStyle w:val="Hyperlink"/>
              </w:rPr>
              <w:t>Executive Summary</w:t>
            </w:r>
            <w:r w:rsidR="003C0588">
              <w:rPr>
                <w:webHidden/>
              </w:rPr>
              <w:tab/>
            </w:r>
            <w:r>
              <w:rPr>
                <w:webHidden/>
              </w:rPr>
              <w:fldChar w:fldCharType="begin"/>
            </w:r>
            <w:r w:rsidR="003C0588">
              <w:rPr>
                <w:webHidden/>
              </w:rPr>
              <w:instrText xml:space="preserve"> PAGEREF _Toc350953021 \h </w:instrText>
            </w:r>
            <w:r>
              <w:rPr>
                <w:webHidden/>
              </w:rPr>
            </w:r>
            <w:r>
              <w:rPr>
                <w:webHidden/>
              </w:rPr>
              <w:fldChar w:fldCharType="separate"/>
            </w:r>
            <w:r w:rsidR="003C0588">
              <w:rPr>
                <w:webHidden/>
              </w:rPr>
              <w:t>1</w:t>
            </w:r>
            <w:r>
              <w:rPr>
                <w:webHidden/>
              </w:rPr>
              <w:fldChar w:fldCharType="end"/>
            </w:r>
          </w:hyperlink>
        </w:p>
        <w:p w:rsidR="003C0588" w:rsidRDefault="00D66338">
          <w:pPr>
            <w:pStyle w:val="TOC1"/>
            <w:rPr>
              <w:rFonts w:asciiTheme="minorHAnsi" w:eastAsiaTheme="minorEastAsia" w:hAnsiTheme="minorHAnsi" w:cstheme="minorBidi"/>
              <w:sz w:val="22"/>
              <w:szCs w:val="22"/>
            </w:rPr>
          </w:pPr>
          <w:hyperlink w:anchor="_Toc350953022" w:history="1">
            <w:r w:rsidR="003C0588" w:rsidRPr="001A2B17">
              <w:rPr>
                <w:rStyle w:val="Hyperlink"/>
              </w:rPr>
              <w:t>2</w:t>
            </w:r>
            <w:r w:rsidR="003C0588">
              <w:rPr>
                <w:rFonts w:asciiTheme="minorHAnsi" w:eastAsiaTheme="minorEastAsia" w:hAnsiTheme="minorHAnsi" w:cstheme="minorBidi"/>
                <w:sz w:val="22"/>
                <w:szCs w:val="22"/>
              </w:rPr>
              <w:tab/>
            </w:r>
            <w:r w:rsidR="003C0588" w:rsidRPr="001A2B17">
              <w:rPr>
                <w:rStyle w:val="Hyperlink"/>
              </w:rPr>
              <w:t>Introduction and Program Summary</w:t>
            </w:r>
            <w:r w:rsidR="003C0588">
              <w:rPr>
                <w:webHidden/>
              </w:rPr>
              <w:tab/>
            </w:r>
            <w:r>
              <w:rPr>
                <w:webHidden/>
              </w:rPr>
              <w:fldChar w:fldCharType="begin"/>
            </w:r>
            <w:r w:rsidR="003C0588">
              <w:rPr>
                <w:webHidden/>
              </w:rPr>
              <w:instrText xml:space="preserve"> PAGEREF _Toc350953022 \h </w:instrText>
            </w:r>
            <w:r>
              <w:rPr>
                <w:webHidden/>
              </w:rPr>
            </w:r>
            <w:r>
              <w:rPr>
                <w:webHidden/>
              </w:rPr>
              <w:fldChar w:fldCharType="separate"/>
            </w:r>
            <w:r w:rsidR="003C0588">
              <w:rPr>
                <w:webHidden/>
              </w:rPr>
              <w:t>3</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23" w:history="1">
            <w:r w:rsidR="003C0588" w:rsidRPr="001A2B17">
              <w:rPr>
                <w:rStyle w:val="Hyperlink"/>
              </w:rPr>
              <w:t>2.1</w:t>
            </w:r>
            <w:r w:rsidR="003C0588">
              <w:rPr>
                <w:rFonts w:asciiTheme="minorHAnsi" w:eastAsiaTheme="minorEastAsia" w:hAnsiTheme="minorHAnsi" w:cstheme="minorBidi"/>
                <w:sz w:val="22"/>
                <w:szCs w:val="22"/>
              </w:rPr>
              <w:tab/>
            </w:r>
            <w:r w:rsidR="003C0588" w:rsidRPr="001A2B17">
              <w:rPr>
                <w:rStyle w:val="Hyperlink"/>
              </w:rPr>
              <w:t>Program Overview</w:t>
            </w:r>
            <w:r w:rsidR="003C0588">
              <w:rPr>
                <w:webHidden/>
              </w:rPr>
              <w:tab/>
            </w:r>
            <w:r>
              <w:rPr>
                <w:webHidden/>
              </w:rPr>
              <w:fldChar w:fldCharType="begin"/>
            </w:r>
            <w:r w:rsidR="003C0588">
              <w:rPr>
                <w:webHidden/>
              </w:rPr>
              <w:instrText xml:space="preserve"> PAGEREF _Toc350953023 \h </w:instrText>
            </w:r>
            <w:r>
              <w:rPr>
                <w:webHidden/>
              </w:rPr>
            </w:r>
            <w:r>
              <w:rPr>
                <w:webHidden/>
              </w:rPr>
              <w:fldChar w:fldCharType="separate"/>
            </w:r>
            <w:r w:rsidR="003C0588">
              <w:rPr>
                <w:webHidden/>
              </w:rPr>
              <w:t>3</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24" w:history="1">
            <w:r w:rsidR="003C0588" w:rsidRPr="001A2B17">
              <w:rPr>
                <w:rStyle w:val="Hyperlink"/>
              </w:rPr>
              <w:t>2.2</w:t>
            </w:r>
            <w:r w:rsidR="003C0588">
              <w:rPr>
                <w:rFonts w:asciiTheme="minorHAnsi" w:eastAsiaTheme="minorEastAsia" w:hAnsiTheme="minorHAnsi" w:cstheme="minorBidi"/>
                <w:sz w:val="22"/>
                <w:szCs w:val="22"/>
              </w:rPr>
              <w:tab/>
            </w:r>
            <w:r w:rsidR="003C0588" w:rsidRPr="001A2B17">
              <w:rPr>
                <w:rStyle w:val="Hyperlink"/>
              </w:rPr>
              <w:t>Ex Post Load Impact Estimates</w:t>
            </w:r>
            <w:r w:rsidR="003C0588">
              <w:rPr>
                <w:webHidden/>
              </w:rPr>
              <w:tab/>
            </w:r>
            <w:r>
              <w:rPr>
                <w:webHidden/>
              </w:rPr>
              <w:fldChar w:fldCharType="begin"/>
            </w:r>
            <w:r w:rsidR="003C0588">
              <w:rPr>
                <w:webHidden/>
              </w:rPr>
              <w:instrText xml:space="preserve"> PAGEREF _Toc350953024 \h </w:instrText>
            </w:r>
            <w:r>
              <w:rPr>
                <w:webHidden/>
              </w:rPr>
            </w:r>
            <w:r>
              <w:rPr>
                <w:webHidden/>
              </w:rPr>
              <w:fldChar w:fldCharType="separate"/>
            </w:r>
            <w:r w:rsidR="003C0588">
              <w:rPr>
                <w:webHidden/>
              </w:rPr>
              <w:t>4</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25" w:history="1">
            <w:r w:rsidR="003C0588" w:rsidRPr="001A2B17">
              <w:rPr>
                <w:rStyle w:val="Hyperlink"/>
              </w:rPr>
              <w:t>2.3</w:t>
            </w:r>
            <w:r w:rsidR="003C0588">
              <w:rPr>
                <w:rFonts w:asciiTheme="minorHAnsi" w:eastAsiaTheme="minorEastAsia" w:hAnsiTheme="minorHAnsi" w:cstheme="minorBidi"/>
                <w:sz w:val="22"/>
                <w:szCs w:val="22"/>
              </w:rPr>
              <w:tab/>
            </w:r>
            <w:r w:rsidR="003C0588" w:rsidRPr="001A2B17">
              <w:rPr>
                <w:rStyle w:val="Hyperlink"/>
              </w:rPr>
              <w:t>Ex Ante Load Impact Estimates</w:t>
            </w:r>
            <w:r w:rsidR="003C0588">
              <w:rPr>
                <w:webHidden/>
              </w:rPr>
              <w:tab/>
            </w:r>
            <w:r>
              <w:rPr>
                <w:webHidden/>
              </w:rPr>
              <w:fldChar w:fldCharType="begin"/>
            </w:r>
            <w:r w:rsidR="003C0588">
              <w:rPr>
                <w:webHidden/>
              </w:rPr>
              <w:instrText xml:space="preserve"> PAGEREF _Toc350953025 \h </w:instrText>
            </w:r>
            <w:r>
              <w:rPr>
                <w:webHidden/>
              </w:rPr>
            </w:r>
            <w:r>
              <w:rPr>
                <w:webHidden/>
              </w:rPr>
              <w:fldChar w:fldCharType="separate"/>
            </w:r>
            <w:r w:rsidR="003C0588">
              <w:rPr>
                <w:webHidden/>
              </w:rPr>
              <w:t>7</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26" w:history="1">
            <w:r w:rsidR="003C0588" w:rsidRPr="001A2B17">
              <w:rPr>
                <w:rStyle w:val="Hyperlink"/>
              </w:rPr>
              <w:t>2.4</w:t>
            </w:r>
            <w:r w:rsidR="003C0588">
              <w:rPr>
                <w:rFonts w:asciiTheme="minorHAnsi" w:eastAsiaTheme="minorEastAsia" w:hAnsiTheme="minorHAnsi" w:cstheme="minorBidi"/>
                <w:sz w:val="22"/>
                <w:szCs w:val="22"/>
              </w:rPr>
              <w:tab/>
            </w:r>
            <w:r w:rsidR="003C0588" w:rsidRPr="001A2B17">
              <w:rPr>
                <w:rStyle w:val="Hyperlink"/>
              </w:rPr>
              <w:t>Ex Post Load Impact Estimates of PTR for Summer  Saver Customers</w:t>
            </w:r>
            <w:r w:rsidR="003C0588">
              <w:rPr>
                <w:webHidden/>
              </w:rPr>
              <w:tab/>
            </w:r>
            <w:r>
              <w:rPr>
                <w:webHidden/>
              </w:rPr>
              <w:fldChar w:fldCharType="begin"/>
            </w:r>
            <w:r w:rsidR="003C0588">
              <w:rPr>
                <w:webHidden/>
              </w:rPr>
              <w:instrText xml:space="preserve"> PAGEREF _Toc350953026 \h </w:instrText>
            </w:r>
            <w:r>
              <w:rPr>
                <w:webHidden/>
              </w:rPr>
            </w:r>
            <w:r>
              <w:rPr>
                <w:webHidden/>
              </w:rPr>
              <w:fldChar w:fldCharType="separate"/>
            </w:r>
            <w:r w:rsidR="003C0588">
              <w:rPr>
                <w:webHidden/>
              </w:rPr>
              <w:t>8</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27" w:history="1">
            <w:r w:rsidR="003C0588" w:rsidRPr="001A2B17">
              <w:rPr>
                <w:rStyle w:val="Hyperlink"/>
              </w:rPr>
              <w:t>2.5</w:t>
            </w:r>
            <w:r w:rsidR="003C0588">
              <w:rPr>
                <w:rFonts w:asciiTheme="minorHAnsi" w:eastAsiaTheme="minorEastAsia" w:hAnsiTheme="minorHAnsi" w:cstheme="minorBidi"/>
                <w:sz w:val="22"/>
                <w:szCs w:val="22"/>
              </w:rPr>
              <w:tab/>
            </w:r>
            <w:r w:rsidR="003C0588" w:rsidRPr="001A2B17">
              <w:rPr>
                <w:rStyle w:val="Hyperlink"/>
              </w:rPr>
              <w:t>Ex Ante Load Impact Estimates of PTR for Summer  Saver Customers</w:t>
            </w:r>
            <w:r w:rsidR="003C0588">
              <w:rPr>
                <w:webHidden/>
              </w:rPr>
              <w:tab/>
            </w:r>
            <w:r>
              <w:rPr>
                <w:webHidden/>
              </w:rPr>
              <w:fldChar w:fldCharType="begin"/>
            </w:r>
            <w:r w:rsidR="003C0588">
              <w:rPr>
                <w:webHidden/>
              </w:rPr>
              <w:instrText xml:space="preserve"> PAGEREF _Toc350953027 \h </w:instrText>
            </w:r>
            <w:r>
              <w:rPr>
                <w:webHidden/>
              </w:rPr>
            </w:r>
            <w:r>
              <w:rPr>
                <w:webHidden/>
              </w:rPr>
              <w:fldChar w:fldCharType="separate"/>
            </w:r>
            <w:r w:rsidR="003C0588">
              <w:rPr>
                <w:webHidden/>
              </w:rPr>
              <w:t>9</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28" w:history="1">
            <w:r w:rsidR="003C0588" w:rsidRPr="001A2B17">
              <w:rPr>
                <w:rStyle w:val="Hyperlink"/>
              </w:rPr>
              <w:t>2.6</w:t>
            </w:r>
            <w:r w:rsidR="003C0588">
              <w:rPr>
                <w:rFonts w:asciiTheme="minorHAnsi" w:eastAsiaTheme="minorEastAsia" w:hAnsiTheme="minorHAnsi" w:cstheme="minorBidi"/>
                <w:sz w:val="22"/>
                <w:szCs w:val="22"/>
              </w:rPr>
              <w:tab/>
            </w:r>
            <w:r w:rsidR="003C0588" w:rsidRPr="001A2B17">
              <w:rPr>
                <w:rStyle w:val="Hyperlink"/>
              </w:rPr>
              <w:t>Report Structure</w:t>
            </w:r>
            <w:r w:rsidR="003C0588">
              <w:rPr>
                <w:webHidden/>
              </w:rPr>
              <w:tab/>
            </w:r>
            <w:r>
              <w:rPr>
                <w:webHidden/>
              </w:rPr>
              <w:fldChar w:fldCharType="begin"/>
            </w:r>
            <w:r w:rsidR="003C0588">
              <w:rPr>
                <w:webHidden/>
              </w:rPr>
              <w:instrText xml:space="preserve"> PAGEREF _Toc350953028 \h </w:instrText>
            </w:r>
            <w:r>
              <w:rPr>
                <w:webHidden/>
              </w:rPr>
            </w:r>
            <w:r>
              <w:rPr>
                <w:webHidden/>
              </w:rPr>
              <w:fldChar w:fldCharType="separate"/>
            </w:r>
            <w:r w:rsidR="003C0588">
              <w:rPr>
                <w:webHidden/>
              </w:rPr>
              <w:t>9</w:t>
            </w:r>
            <w:r>
              <w:rPr>
                <w:webHidden/>
              </w:rPr>
              <w:fldChar w:fldCharType="end"/>
            </w:r>
          </w:hyperlink>
        </w:p>
        <w:p w:rsidR="003C0588" w:rsidRDefault="00D66338">
          <w:pPr>
            <w:pStyle w:val="TOC1"/>
            <w:rPr>
              <w:rFonts w:asciiTheme="minorHAnsi" w:eastAsiaTheme="minorEastAsia" w:hAnsiTheme="minorHAnsi" w:cstheme="minorBidi"/>
              <w:sz w:val="22"/>
              <w:szCs w:val="22"/>
            </w:rPr>
          </w:pPr>
          <w:hyperlink w:anchor="_Toc350953029" w:history="1">
            <w:r w:rsidR="003C0588" w:rsidRPr="001A2B17">
              <w:rPr>
                <w:rStyle w:val="Hyperlink"/>
              </w:rPr>
              <w:t>3</w:t>
            </w:r>
            <w:r w:rsidR="003C0588">
              <w:rPr>
                <w:rFonts w:asciiTheme="minorHAnsi" w:eastAsiaTheme="minorEastAsia" w:hAnsiTheme="minorHAnsi" w:cstheme="minorBidi"/>
                <w:sz w:val="22"/>
                <w:szCs w:val="22"/>
              </w:rPr>
              <w:tab/>
            </w:r>
            <w:r w:rsidR="003C0588" w:rsidRPr="001A2B17">
              <w:rPr>
                <w:rStyle w:val="Hyperlink"/>
              </w:rPr>
              <w:t>Data and Methodology</w:t>
            </w:r>
            <w:r w:rsidR="003C0588">
              <w:rPr>
                <w:webHidden/>
              </w:rPr>
              <w:tab/>
            </w:r>
            <w:r>
              <w:rPr>
                <w:webHidden/>
              </w:rPr>
              <w:fldChar w:fldCharType="begin"/>
            </w:r>
            <w:r w:rsidR="003C0588">
              <w:rPr>
                <w:webHidden/>
              </w:rPr>
              <w:instrText xml:space="preserve"> PAGEREF _Toc350953029 \h </w:instrText>
            </w:r>
            <w:r>
              <w:rPr>
                <w:webHidden/>
              </w:rPr>
            </w:r>
            <w:r>
              <w:rPr>
                <w:webHidden/>
              </w:rPr>
              <w:fldChar w:fldCharType="separate"/>
            </w:r>
            <w:r w:rsidR="003C0588">
              <w:rPr>
                <w:webHidden/>
              </w:rPr>
              <w:t>10</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30" w:history="1">
            <w:r w:rsidR="003C0588" w:rsidRPr="001A2B17">
              <w:rPr>
                <w:rStyle w:val="Hyperlink"/>
              </w:rPr>
              <w:t>3.1</w:t>
            </w:r>
            <w:r w:rsidR="003C0588">
              <w:rPr>
                <w:rFonts w:asciiTheme="minorHAnsi" w:eastAsiaTheme="minorEastAsia" w:hAnsiTheme="minorHAnsi" w:cstheme="minorBidi"/>
                <w:sz w:val="22"/>
                <w:szCs w:val="22"/>
              </w:rPr>
              <w:tab/>
            </w:r>
            <w:r w:rsidR="003C0588" w:rsidRPr="001A2B17">
              <w:rPr>
                <w:rStyle w:val="Hyperlink"/>
              </w:rPr>
              <w:t>Data</w:t>
            </w:r>
            <w:r w:rsidR="003C0588">
              <w:rPr>
                <w:webHidden/>
              </w:rPr>
              <w:tab/>
            </w:r>
            <w:r>
              <w:rPr>
                <w:webHidden/>
              </w:rPr>
              <w:fldChar w:fldCharType="begin"/>
            </w:r>
            <w:r w:rsidR="003C0588">
              <w:rPr>
                <w:webHidden/>
              </w:rPr>
              <w:instrText xml:space="preserve"> PAGEREF _Toc350953030 \h </w:instrText>
            </w:r>
            <w:r>
              <w:rPr>
                <w:webHidden/>
              </w:rPr>
            </w:r>
            <w:r>
              <w:rPr>
                <w:webHidden/>
              </w:rPr>
              <w:fldChar w:fldCharType="separate"/>
            </w:r>
            <w:r w:rsidR="003C0588">
              <w:rPr>
                <w:webHidden/>
              </w:rPr>
              <w:t>10</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31" w:history="1">
            <w:r w:rsidR="003C0588" w:rsidRPr="001A2B17">
              <w:rPr>
                <w:rStyle w:val="Hyperlink"/>
              </w:rPr>
              <w:t>3.2</w:t>
            </w:r>
            <w:r w:rsidR="003C0588">
              <w:rPr>
                <w:rFonts w:asciiTheme="minorHAnsi" w:eastAsiaTheme="minorEastAsia" w:hAnsiTheme="minorHAnsi" w:cstheme="minorBidi"/>
                <w:sz w:val="22"/>
                <w:szCs w:val="22"/>
              </w:rPr>
              <w:tab/>
            </w:r>
            <w:r w:rsidR="003C0588" w:rsidRPr="001A2B17">
              <w:rPr>
                <w:rStyle w:val="Hyperlink"/>
              </w:rPr>
              <w:t>Methodology</w:t>
            </w:r>
            <w:r w:rsidR="003C0588">
              <w:rPr>
                <w:webHidden/>
              </w:rPr>
              <w:tab/>
            </w:r>
            <w:r>
              <w:rPr>
                <w:webHidden/>
              </w:rPr>
              <w:fldChar w:fldCharType="begin"/>
            </w:r>
            <w:r w:rsidR="003C0588">
              <w:rPr>
                <w:webHidden/>
              </w:rPr>
              <w:instrText xml:space="preserve"> PAGEREF _Toc350953031 \h </w:instrText>
            </w:r>
            <w:r>
              <w:rPr>
                <w:webHidden/>
              </w:rPr>
            </w:r>
            <w:r>
              <w:rPr>
                <w:webHidden/>
              </w:rPr>
              <w:fldChar w:fldCharType="separate"/>
            </w:r>
            <w:r w:rsidR="003C0588">
              <w:rPr>
                <w:webHidden/>
              </w:rPr>
              <w:t>11</w:t>
            </w:r>
            <w:r>
              <w:rPr>
                <w:webHidden/>
              </w:rPr>
              <w:fldChar w:fldCharType="end"/>
            </w:r>
          </w:hyperlink>
        </w:p>
        <w:p w:rsidR="003C0588" w:rsidRDefault="00D66338">
          <w:pPr>
            <w:pStyle w:val="TOC3"/>
            <w:rPr>
              <w:rFonts w:asciiTheme="minorHAnsi" w:hAnsiTheme="minorHAnsi" w:cstheme="minorBidi"/>
              <w:sz w:val="22"/>
              <w:szCs w:val="22"/>
            </w:rPr>
          </w:pPr>
          <w:hyperlink w:anchor="_Toc350953032" w:history="1">
            <w:r w:rsidR="003C0588" w:rsidRPr="001A2B17">
              <w:rPr>
                <w:rStyle w:val="Hyperlink"/>
              </w:rPr>
              <w:t>3.2.1</w:t>
            </w:r>
            <w:r w:rsidR="003C0588">
              <w:rPr>
                <w:rFonts w:asciiTheme="minorHAnsi" w:hAnsiTheme="minorHAnsi" w:cstheme="minorBidi"/>
                <w:sz w:val="22"/>
                <w:szCs w:val="22"/>
              </w:rPr>
              <w:tab/>
            </w:r>
            <w:r w:rsidR="003C0588" w:rsidRPr="001A2B17">
              <w:rPr>
                <w:rStyle w:val="Hyperlink"/>
              </w:rPr>
              <w:t>Residential Customer Ex Post Methodology</w:t>
            </w:r>
            <w:r w:rsidR="003C0588">
              <w:rPr>
                <w:webHidden/>
              </w:rPr>
              <w:tab/>
            </w:r>
            <w:r>
              <w:rPr>
                <w:webHidden/>
              </w:rPr>
              <w:fldChar w:fldCharType="begin"/>
            </w:r>
            <w:r w:rsidR="003C0588">
              <w:rPr>
                <w:webHidden/>
              </w:rPr>
              <w:instrText xml:space="preserve"> PAGEREF _Toc350953032 \h </w:instrText>
            </w:r>
            <w:r>
              <w:rPr>
                <w:webHidden/>
              </w:rPr>
            </w:r>
            <w:r>
              <w:rPr>
                <w:webHidden/>
              </w:rPr>
              <w:fldChar w:fldCharType="separate"/>
            </w:r>
            <w:r w:rsidR="003C0588">
              <w:rPr>
                <w:webHidden/>
              </w:rPr>
              <w:t>12</w:t>
            </w:r>
            <w:r>
              <w:rPr>
                <w:webHidden/>
              </w:rPr>
              <w:fldChar w:fldCharType="end"/>
            </w:r>
          </w:hyperlink>
        </w:p>
        <w:p w:rsidR="003C0588" w:rsidRDefault="00D66338">
          <w:pPr>
            <w:pStyle w:val="TOC3"/>
            <w:rPr>
              <w:rFonts w:asciiTheme="minorHAnsi" w:hAnsiTheme="minorHAnsi" w:cstheme="minorBidi"/>
              <w:sz w:val="22"/>
              <w:szCs w:val="22"/>
            </w:rPr>
          </w:pPr>
          <w:hyperlink w:anchor="_Toc350953033" w:history="1">
            <w:r w:rsidR="003C0588" w:rsidRPr="001A2B17">
              <w:rPr>
                <w:rStyle w:val="Hyperlink"/>
              </w:rPr>
              <w:t>3.2.2</w:t>
            </w:r>
            <w:r w:rsidR="003C0588">
              <w:rPr>
                <w:rFonts w:asciiTheme="minorHAnsi" w:hAnsiTheme="minorHAnsi" w:cstheme="minorBidi"/>
                <w:sz w:val="22"/>
                <w:szCs w:val="22"/>
              </w:rPr>
              <w:tab/>
            </w:r>
            <w:r w:rsidR="003C0588" w:rsidRPr="001A2B17">
              <w:rPr>
                <w:rStyle w:val="Hyperlink"/>
              </w:rPr>
              <w:t>Validity of Residential Ex Post Load Impact Estimates</w:t>
            </w:r>
            <w:r w:rsidR="003C0588">
              <w:rPr>
                <w:webHidden/>
              </w:rPr>
              <w:tab/>
            </w:r>
            <w:r>
              <w:rPr>
                <w:webHidden/>
              </w:rPr>
              <w:fldChar w:fldCharType="begin"/>
            </w:r>
            <w:r w:rsidR="003C0588">
              <w:rPr>
                <w:webHidden/>
              </w:rPr>
              <w:instrText xml:space="preserve"> PAGEREF _Toc350953033 \h </w:instrText>
            </w:r>
            <w:r>
              <w:rPr>
                <w:webHidden/>
              </w:rPr>
            </w:r>
            <w:r>
              <w:rPr>
                <w:webHidden/>
              </w:rPr>
              <w:fldChar w:fldCharType="separate"/>
            </w:r>
            <w:r w:rsidR="003C0588">
              <w:rPr>
                <w:webHidden/>
              </w:rPr>
              <w:t>13</w:t>
            </w:r>
            <w:r>
              <w:rPr>
                <w:webHidden/>
              </w:rPr>
              <w:fldChar w:fldCharType="end"/>
            </w:r>
          </w:hyperlink>
        </w:p>
        <w:p w:rsidR="003C0588" w:rsidRDefault="00D66338">
          <w:pPr>
            <w:pStyle w:val="TOC3"/>
            <w:rPr>
              <w:rFonts w:asciiTheme="minorHAnsi" w:hAnsiTheme="minorHAnsi" w:cstheme="minorBidi"/>
              <w:sz w:val="22"/>
              <w:szCs w:val="22"/>
            </w:rPr>
          </w:pPr>
          <w:hyperlink w:anchor="_Toc350953034" w:history="1">
            <w:r w:rsidR="003C0588" w:rsidRPr="001A2B17">
              <w:rPr>
                <w:rStyle w:val="Hyperlink"/>
              </w:rPr>
              <w:t>3.2.3</w:t>
            </w:r>
            <w:r w:rsidR="003C0588">
              <w:rPr>
                <w:rFonts w:asciiTheme="minorHAnsi" w:hAnsiTheme="minorHAnsi" w:cstheme="minorBidi"/>
                <w:sz w:val="22"/>
                <w:szCs w:val="22"/>
              </w:rPr>
              <w:tab/>
            </w:r>
            <w:r w:rsidR="003C0588" w:rsidRPr="001A2B17">
              <w:rPr>
                <w:rStyle w:val="Hyperlink"/>
              </w:rPr>
              <w:t>Commercial Customer Ex Post Methodology</w:t>
            </w:r>
            <w:r w:rsidR="003C0588">
              <w:rPr>
                <w:webHidden/>
              </w:rPr>
              <w:tab/>
            </w:r>
            <w:r>
              <w:rPr>
                <w:webHidden/>
              </w:rPr>
              <w:fldChar w:fldCharType="begin"/>
            </w:r>
            <w:r w:rsidR="003C0588">
              <w:rPr>
                <w:webHidden/>
              </w:rPr>
              <w:instrText xml:space="preserve"> PAGEREF _Toc350953034 \h </w:instrText>
            </w:r>
            <w:r>
              <w:rPr>
                <w:webHidden/>
              </w:rPr>
            </w:r>
            <w:r>
              <w:rPr>
                <w:webHidden/>
              </w:rPr>
              <w:fldChar w:fldCharType="separate"/>
            </w:r>
            <w:r w:rsidR="003C0588">
              <w:rPr>
                <w:webHidden/>
              </w:rPr>
              <w:t>14</w:t>
            </w:r>
            <w:r>
              <w:rPr>
                <w:webHidden/>
              </w:rPr>
              <w:fldChar w:fldCharType="end"/>
            </w:r>
          </w:hyperlink>
        </w:p>
        <w:p w:rsidR="003C0588" w:rsidRDefault="00D66338">
          <w:pPr>
            <w:pStyle w:val="TOC3"/>
            <w:rPr>
              <w:rFonts w:asciiTheme="minorHAnsi" w:hAnsiTheme="minorHAnsi" w:cstheme="minorBidi"/>
              <w:sz w:val="22"/>
              <w:szCs w:val="22"/>
            </w:rPr>
          </w:pPr>
          <w:hyperlink w:anchor="_Toc350953035" w:history="1">
            <w:r w:rsidR="003C0588" w:rsidRPr="001A2B17">
              <w:rPr>
                <w:rStyle w:val="Hyperlink"/>
              </w:rPr>
              <w:t>3.2.4</w:t>
            </w:r>
            <w:r w:rsidR="003C0588">
              <w:rPr>
                <w:rFonts w:asciiTheme="minorHAnsi" w:hAnsiTheme="minorHAnsi" w:cstheme="minorBidi"/>
                <w:sz w:val="22"/>
                <w:szCs w:val="22"/>
              </w:rPr>
              <w:tab/>
            </w:r>
            <w:r w:rsidR="003C0588" w:rsidRPr="001A2B17">
              <w:rPr>
                <w:rStyle w:val="Hyperlink"/>
              </w:rPr>
              <w:t>Validity of Commercial Ex Post Load Impact Estimates</w:t>
            </w:r>
            <w:r w:rsidR="003C0588">
              <w:rPr>
                <w:webHidden/>
              </w:rPr>
              <w:tab/>
            </w:r>
            <w:r>
              <w:rPr>
                <w:webHidden/>
              </w:rPr>
              <w:fldChar w:fldCharType="begin"/>
            </w:r>
            <w:r w:rsidR="003C0588">
              <w:rPr>
                <w:webHidden/>
              </w:rPr>
              <w:instrText xml:space="preserve"> PAGEREF _Toc350953035 \h </w:instrText>
            </w:r>
            <w:r>
              <w:rPr>
                <w:webHidden/>
              </w:rPr>
            </w:r>
            <w:r>
              <w:rPr>
                <w:webHidden/>
              </w:rPr>
              <w:fldChar w:fldCharType="separate"/>
            </w:r>
            <w:r w:rsidR="003C0588">
              <w:rPr>
                <w:webHidden/>
              </w:rPr>
              <w:t>15</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36" w:history="1">
            <w:r w:rsidR="003C0588" w:rsidRPr="001A2B17">
              <w:rPr>
                <w:rStyle w:val="Hyperlink"/>
              </w:rPr>
              <w:t>3.3</w:t>
            </w:r>
            <w:r w:rsidR="003C0588">
              <w:rPr>
                <w:rFonts w:asciiTheme="minorHAnsi" w:eastAsiaTheme="minorEastAsia" w:hAnsiTheme="minorHAnsi" w:cstheme="minorBidi"/>
                <w:sz w:val="22"/>
                <w:szCs w:val="22"/>
              </w:rPr>
              <w:tab/>
            </w:r>
            <w:r w:rsidR="003C0588" w:rsidRPr="001A2B17">
              <w:rPr>
                <w:rStyle w:val="Hyperlink"/>
              </w:rPr>
              <w:t>Ex Ante Impact Estimation Methodology</w:t>
            </w:r>
            <w:r w:rsidR="003C0588">
              <w:rPr>
                <w:webHidden/>
              </w:rPr>
              <w:tab/>
            </w:r>
            <w:r>
              <w:rPr>
                <w:webHidden/>
              </w:rPr>
              <w:fldChar w:fldCharType="begin"/>
            </w:r>
            <w:r w:rsidR="003C0588">
              <w:rPr>
                <w:webHidden/>
              </w:rPr>
              <w:instrText xml:space="preserve"> PAGEREF _Toc350953036 \h </w:instrText>
            </w:r>
            <w:r>
              <w:rPr>
                <w:webHidden/>
              </w:rPr>
            </w:r>
            <w:r>
              <w:rPr>
                <w:webHidden/>
              </w:rPr>
              <w:fldChar w:fldCharType="separate"/>
            </w:r>
            <w:r w:rsidR="003C0588">
              <w:rPr>
                <w:webHidden/>
              </w:rPr>
              <w:t>17</w:t>
            </w:r>
            <w:r>
              <w:rPr>
                <w:webHidden/>
              </w:rPr>
              <w:fldChar w:fldCharType="end"/>
            </w:r>
          </w:hyperlink>
        </w:p>
        <w:p w:rsidR="003C0588" w:rsidRDefault="00D66338">
          <w:pPr>
            <w:pStyle w:val="TOC1"/>
            <w:rPr>
              <w:rFonts w:asciiTheme="minorHAnsi" w:eastAsiaTheme="minorEastAsia" w:hAnsiTheme="minorHAnsi" w:cstheme="minorBidi"/>
              <w:sz w:val="22"/>
              <w:szCs w:val="22"/>
            </w:rPr>
          </w:pPr>
          <w:hyperlink w:anchor="_Toc350953037" w:history="1">
            <w:r w:rsidR="003C0588" w:rsidRPr="001A2B17">
              <w:rPr>
                <w:rStyle w:val="Hyperlink"/>
              </w:rPr>
              <w:t>4</w:t>
            </w:r>
            <w:r w:rsidR="003C0588">
              <w:rPr>
                <w:rFonts w:asciiTheme="minorHAnsi" w:eastAsiaTheme="minorEastAsia" w:hAnsiTheme="minorHAnsi" w:cstheme="minorBidi"/>
                <w:sz w:val="22"/>
                <w:szCs w:val="22"/>
              </w:rPr>
              <w:tab/>
            </w:r>
            <w:r w:rsidR="003C0588" w:rsidRPr="001A2B17">
              <w:rPr>
                <w:rStyle w:val="Hyperlink"/>
              </w:rPr>
              <w:t>Ex Post Load Impact Estimates</w:t>
            </w:r>
            <w:r w:rsidR="003C0588">
              <w:rPr>
                <w:webHidden/>
              </w:rPr>
              <w:tab/>
            </w:r>
            <w:r>
              <w:rPr>
                <w:webHidden/>
              </w:rPr>
              <w:fldChar w:fldCharType="begin"/>
            </w:r>
            <w:r w:rsidR="003C0588">
              <w:rPr>
                <w:webHidden/>
              </w:rPr>
              <w:instrText xml:space="preserve"> PAGEREF _Toc350953037 \h </w:instrText>
            </w:r>
            <w:r>
              <w:rPr>
                <w:webHidden/>
              </w:rPr>
            </w:r>
            <w:r>
              <w:rPr>
                <w:webHidden/>
              </w:rPr>
              <w:fldChar w:fldCharType="separate"/>
            </w:r>
            <w:r w:rsidR="003C0588">
              <w:rPr>
                <w:webHidden/>
              </w:rPr>
              <w:t>22</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38" w:history="1">
            <w:r w:rsidR="003C0588" w:rsidRPr="001A2B17">
              <w:rPr>
                <w:rStyle w:val="Hyperlink"/>
              </w:rPr>
              <w:t>4.1</w:t>
            </w:r>
            <w:r w:rsidR="003C0588">
              <w:rPr>
                <w:rFonts w:asciiTheme="minorHAnsi" w:eastAsiaTheme="minorEastAsia" w:hAnsiTheme="minorHAnsi" w:cstheme="minorBidi"/>
                <w:sz w:val="22"/>
                <w:szCs w:val="22"/>
              </w:rPr>
              <w:tab/>
            </w:r>
            <w:r w:rsidR="003C0588" w:rsidRPr="001A2B17">
              <w:rPr>
                <w:rStyle w:val="Hyperlink"/>
              </w:rPr>
              <w:t>Residential Ex Post Load Impact Estimates</w:t>
            </w:r>
            <w:r w:rsidR="003C0588">
              <w:rPr>
                <w:webHidden/>
              </w:rPr>
              <w:tab/>
            </w:r>
            <w:r>
              <w:rPr>
                <w:webHidden/>
              </w:rPr>
              <w:fldChar w:fldCharType="begin"/>
            </w:r>
            <w:r w:rsidR="003C0588">
              <w:rPr>
                <w:webHidden/>
              </w:rPr>
              <w:instrText xml:space="preserve"> PAGEREF _Toc350953038 \h </w:instrText>
            </w:r>
            <w:r>
              <w:rPr>
                <w:webHidden/>
              </w:rPr>
            </w:r>
            <w:r>
              <w:rPr>
                <w:webHidden/>
              </w:rPr>
              <w:fldChar w:fldCharType="separate"/>
            </w:r>
            <w:r w:rsidR="003C0588">
              <w:rPr>
                <w:webHidden/>
              </w:rPr>
              <w:t>22</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39" w:history="1">
            <w:r w:rsidR="003C0588" w:rsidRPr="001A2B17">
              <w:rPr>
                <w:rStyle w:val="Hyperlink"/>
              </w:rPr>
              <w:t>4.2</w:t>
            </w:r>
            <w:r w:rsidR="003C0588">
              <w:rPr>
                <w:rFonts w:asciiTheme="minorHAnsi" w:eastAsiaTheme="minorEastAsia" w:hAnsiTheme="minorHAnsi" w:cstheme="minorBidi"/>
                <w:sz w:val="22"/>
                <w:szCs w:val="22"/>
              </w:rPr>
              <w:tab/>
            </w:r>
            <w:r w:rsidR="003C0588" w:rsidRPr="001A2B17">
              <w:rPr>
                <w:rStyle w:val="Hyperlink"/>
              </w:rPr>
              <w:t>Commercial Ex Post Load Impact Results</w:t>
            </w:r>
            <w:r w:rsidR="003C0588">
              <w:rPr>
                <w:webHidden/>
              </w:rPr>
              <w:tab/>
            </w:r>
            <w:r>
              <w:rPr>
                <w:webHidden/>
              </w:rPr>
              <w:fldChar w:fldCharType="begin"/>
            </w:r>
            <w:r w:rsidR="003C0588">
              <w:rPr>
                <w:webHidden/>
              </w:rPr>
              <w:instrText xml:space="preserve"> PAGEREF _Toc350953039 \h </w:instrText>
            </w:r>
            <w:r>
              <w:rPr>
                <w:webHidden/>
              </w:rPr>
            </w:r>
            <w:r>
              <w:rPr>
                <w:webHidden/>
              </w:rPr>
              <w:fldChar w:fldCharType="separate"/>
            </w:r>
            <w:r w:rsidR="003C0588">
              <w:rPr>
                <w:webHidden/>
              </w:rPr>
              <w:t>22</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40" w:history="1">
            <w:r w:rsidR="003C0588" w:rsidRPr="001A2B17">
              <w:rPr>
                <w:rStyle w:val="Hyperlink"/>
              </w:rPr>
              <w:t>4.3</w:t>
            </w:r>
            <w:r w:rsidR="003C0588">
              <w:rPr>
                <w:rFonts w:asciiTheme="minorHAnsi" w:eastAsiaTheme="minorEastAsia" w:hAnsiTheme="minorHAnsi" w:cstheme="minorBidi"/>
                <w:sz w:val="22"/>
                <w:szCs w:val="22"/>
              </w:rPr>
              <w:tab/>
            </w:r>
            <w:r w:rsidR="003C0588" w:rsidRPr="001A2B17">
              <w:rPr>
                <w:rStyle w:val="Hyperlink"/>
              </w:rPr>
              <w:t>Load Impacts by Cycling Option</w:t>
            </w:r>
            <w:r w:rsidR="003C0588">
              <w:rPr>
                <w:webHidden/>
              </w:rPr>
              <w:tab/>
            </w:r>
            <w:r>
              <w:rPr>
                <w:webHidden/>
              </w:rPr>
              <w:fldChar w:fldCharType="begin"/>
            </w:r>
            <w:r w:rsidR="003C0588">
              <w:rPr>
                <w:webHidden/>
              </w:rPr>
              <w:instrText xml:space="preserve"> PAGEREF _Toc350953040 \h </w:instrText>
            </w:r>
            <w:r>
              <w:rPr>
                <w:webHidden/>
              </w:rPr>
            </w:r>
            <w:r>
              <w:rPr>
                <w:webHidden/>
              </w:rPr>
              <w:fldChar w:fldCharType="separate"/>
            </w:r>
            <w:r w:rsidR="003C0588">
              <w:rPr>
                <w:webHidden/>
              </w:rPr>
              <w:t>23</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41" w:history="1">
            <w:r w:rsidR="003C0588" w:rsidRPr="001A2B17">
              <w:rPr>
                <w:rStyle w:val="Hyperlink"/>
                <w:rFonts w:eastAsia="Times New Roman"/>
              </w:rPr>
              <w:t>4.4</w:t>
            </w:r>
            <w:r w:rsidR="003C0588">
              <w:rPr>
                <w:rFonts w:asciiTheme="minorHAnsi" w:eastAsiaTheme="minorEastAsia" w:hAnsiTheme="minorHAnsi" w:cstheme="minorBidi"/>
                <w:sz w:val="22"/>
                <w:szCs w:val="22"/>
              </w:rPr>
              <w:tab/>
            </w:r>
            <w:r w:rsidR="003C0588" w:rsidRPr="001A2B17">
              <w:rPr>
                <w:rStyle w:val="Hyperlink"/>
                <w:rFonts w:eastAsia="Times New Roman"/>
              </w:rPr>
              <w:t>Free Riders</w:t>
            </w:r>
            <w:r w:rsidR="003C0588">
              <w:rPr>
                <w:webHidden/>
              </w:rPr>
              <w:tab/>
            </w:r>
            <w:r>
              <w:rPr>
                <w:webHidden/>
              </w:rPr>
              <w:fldChar w:fldCharType="begin"/>
            </w:r>
            <w:r w:rsidR="003C0588">
              <w:rPr>
                <w:webHidden/>
              </w:rPr>
              <w:instrText xml:space="preserve"> PAGEREF _Toc350953041 \h </w:instrText>
            </w:r>
            <w:r>
              <w:rPr>
                <w:webHidden/>
              </w:rPr>
            </w:r>
            <w:r>
              <w:rPr>
                <w:webHidden/>
              </w:rPr>
              <w:fldChar w:fldCharType="separate"/>
            </w:r>
            <w:r w:rsidR="003C0588">
              <w:rPr>
                <w:webHidden/>
              </w:rPr>
              <w:t>24</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42" w:history="1">
            <w:r w:rsidR="003C0588" w:rsidRPr="001A2B17">
              <w:rPr>
                <w:rStyle w:val="Hyperlink"/>
              </w:rPr>
              <w:t>4.5</w:t>
            </w:r>
            <w:r w:rsidR="003C0588">
              <w:rPr>
                <w:rFonts w:asciiTheme="minorHAnsi" w:eastAsiaTheme="minorEastAsia" w:hAnsiTheme="minorHAnsi" w:cstheme="minorBidi"/>
                <w:sz w:val="22"/>
                <w:szCs w:val="22"/>
              </w:rPr>
              <w:tab/>
            </w:r>
            <w:r w:rsidR="003C0588" w:rsidRPr="001A2B17">
              <w:rPr>
                <w:rStyle w:val="Hyperlink"/>
              </w:rPr>
              <w:t>The Distribution of Impacts Across Customers</w:t>
            </w:r>
            <w:r w:rsidR="003C0588">
              <w:rPr>
                <w:webHidden/>
              </w:rPr>
              <w:tab/>
            </w:r>
            <w:r>
              <w:rPr>
                <w:webHidden/>
              </w:rPr>
              <w:fldChar w:fldCharType="begin"/>
            </w:r>
            <w:r w:rsidR="003C0588">
              <w:rPr>
                <w:webHidden/>
              </w:rPr>
              <w:instrText xml:space="preserve"> PAGEREF _Toc350953042 \h </w:instrText>
            </w:r>
            <w:r>
              <w:rPr>
                <w:webHidden/>
              </w:rPr>
            </w:r>
            <w:r>
              <w:rPr>
                <w:webHidden/>
              </w:rPr>
              <w:fldChar w:fldCharType="separate"/>
            </w:r>
            <w:r w:rsidR="003C0588">
              <w:rPr>
                <w:webHidden/>
              </w:rPr>
              <w:t>25</w:t>
            </w:r>
            <w:r>
              <w:rPr>
                <w:webHidden/>
              </w:rPr>
              <w:fldChar w:fldCharType="end"/>
            </w:r>
          </w:hyperlink>
        </w:p>
        <w:p w:rsidR="003C0588" w:rsidRDefault="00D66338">
          <w:pPr>
            <w:pStyle w:val="TOC1"/>
            <w:rPr>
              <w:rFonts w:asciiTheme="minorHAnsi" w:eastAsiaTheme="minorEastAsia" w:hAnsiTheme="minorHAnsi" w:cstheme="minorBidi"/>
              <w:sz w:val="22"/>
              <w:szCs w:val="22"/>
            </w:rPr>
          </w:pPr>
          <w:hyperlink w:anchor="_Toc350953043" w:history="1">
            <w:r w:rsidR="003C0588" w:rsidRPr="001A2B17">
              <w:rPr>
                <w:rStyle w:val="Hyperlink"/>
              </w:rPr>
              <w:t>5</w:t>
            </w:r>
            <w:r w:rsidR="003C0588">
              <w:rPr>
                <w:rFonts w:asciiTheme="minorHAnsi" w:eastAsiaTheme="minorEastAsia" w:hAnsiTheme="minorHAnsi" w:cstheme="minorBidi"/>
                <w:sz w:val="22"/>
                <w:szCs w:val="22"/>
              </w:rPr>
              <w:tab/>
            </w:r>
            <w:r w:rsidR="003C0588" w:rsidRPr="001A2B17">
              <w:rPr>
                <w:rStyle w:val="Hyperlink"/>
              </w:rPr>
              <w:t>Ex Ante Load Impact Estimates</w:t>
            </w:r>
            <w:r w:rsidR="003C0588">
              <w:rPr>
                <w:webHidden/>
              </w:rPr>
              <w:tab/>
            </w:r>
            <w:r>
              <w:rPr>
                <w:webHidden/>
              </w:rPr>
              <w:fldChar w:fldCharType="begin"/>
            </w:r>
            <w:r w:rsidR="003C0588">
              <w:rPr>
                <w:webHidden/>
              </w:rPr>
              <w:instrText xml:space="preserve"> PAGEREF _Toc350953043 \h </w:instrText>
            </w:r>
            <w:r>
              <w:rPr>
                <w:webHidden/>
              </w:rPr>
            </w:r>
            <w:r>
              <w:rPr>
                <w:webHidden/>
              </w:rPr>
              <w:fldChar w:fldCharType="separate"/>
            </w:r>
            <w:r w:rsidR="003C0588">
              <w:rPr>
                <w:webHidden/>
              </w:rPr>
              <w:t>27</w:t>
            </w:r>
            <w:r>
              <w:rPr>
                <w:webHidden/>
              </w:rPr>
              <w:fldChar w:fldCharType="end"/>
            </w:r>
          </w:hyperlink>
        </w:p>
        <w:p w:rsidR="003C0588" w:rsidRDefault="00D66338">
          <w:pPr>
            <w:pStyle w:val="TOC1"/>
            <w:rPr>
              <w:rFonts w:asciiTheme="minorHAnsi" w:eastAsiaTheme="minorEastAsia" w:hAnsiTheme="minorHAnsi" w:cstheme="minorBidi"/>
              <w:sz w:val="22"/>
              <w:szCs w:val="22"/>
            </w:rPr>
          </w:pPr>
          <w:hyperlink w:anchor="_Toc350953044" w:history="1">
            <w:r w:rsidR="003C0588" w:rsidRPr="001A2B17">
              <w:rPr>
                <w:rStyle w:val="Hyperlink"/>
              </w:rPr>
              <w:t>6</w:t>
            </w:r>
            <w:r w:rsidR="003C0588">
              <w:rPr>
                <w:rFonts w:asciiTheme="minorHAnsi" w:eastAsiaTheme="minorEastAsia" w:hAnsiTheme="minorHAnsi" w:cstheme="minorBidi"/>
                <w:sz w:val="22"/>
                <w:szCs w:val="22"/>
              </w:rPr>
              <w:tab/>
            </w:r>
            <w:r w:rsidR="003C0588" w:rsidRPr="001A2B17">
              <w:rPr>
                <w:rStyle w:val="Hyperlink"/>
              </w:rPr>
              <w:t>Data and Methodology - PTR for Summer Saver Customers</w:t>
            </w:r>
            <w:r w:rsidR="003C0588">
              <w:rPr>
                <w:webHidden/>
              </w:rPr>
              <w:tab/>
            </w:r>
            <w:r>
              <w:rPr>
                <w:webHidden/>
              </w:rPr>
              <w:fldChar w:fldCharType="begin"/>
            </w:r>
            <w:r w:rsidR="003C0588">
              <w:rPr>
                <w:webHidden/>
              </w:rPr>
              <w:instrText xml:space="preserve"> PAGEREF _Toc350953044 \h </w:instrText>
            </w:r>
            <w:r>
              <w:rPr>
                <w:webHidden/>
              </w:rPr>
            </w:r>
            <w:r>
              <w:rPr>
                <w:webHidden/>
              </w:rPr>
              <w:fldChar w:fldCharType="separate"/>
            </w:r>
            <w:r w:rsidR="003C0588">
              <w:rPr>
                <w:webHidden/>
              </w:rPr>
              <w:t>31</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45" w:history="1">
            <w:r w:rsidR="003C0588" w:rsidRPr="001A2B17">
              <w:rPr>
                <w:rStyle w:val="Hyperlink"/>
              </w:rPr>
              <w:t>6.1</w:t>
            </w:r>
            <w:r w:rsidR="003C0588">
              <w:rPr>
                <w:rFonts w:asciiTheme="minorHAnsi" w:eastAsiaTheme="minorEastAsia" w:hAnsiTheme="minorHAnsi" w:cstheme="minorBidi"/>
                <w:sz w:val="22"/>
                <w:szCs w:val="22"/>
              </w:rPr>
              <w:tab/>
            </w:r>
            <w:r w:rsidR="003C0588" w:rsidRPr="001A2B17">
              <w:rPr>
                <w:rStyle w:val="Hyperlink"/>
              </w:rPr>
              <w:t>Data</w:t>
            </w:r>
            <w:r w:rsidR="003C0588">
              <w:rPr>
                <w:webHidden/>
              </w:rPr>
              <w:tab/>
            </w:r>
            <w:r>
              <w:rPr>
                <w:webHidden/>
              </w:rPr>
              <w:fldChar w:fldCharType="begin"/>
            </w:r>
            <w:r w:rsidR="003C0588">
              <w:rPr>
                <w:webHidden/>
              </w:rPr>
              <w:instrText xml:space="preserve"> PAGEREF _Toc350953045 \h </w:instrText>
            </w:r>
            <w:r>
              <w:rPr>
                <w:webHidden/>
              </w:rPr>
            </w:r>
            <w:r>
              <w:rPr>
                <w:webHidden/>
              </w:rPr>
              <w:fldChar w:fldCharType="separate"/>
            </w:r>
            <w:r w:rsidR="003C0588">
              <w:rPr>
                <w:webHidden/>
              </w:rPr>
              <w:t>31</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46" w:history="1">
            <w:r w:rsidR="003C0588" w:rsidRPr="001A2B17">
              <w:rPr>
                <w:rStyle w:val="Hyperlink"/>
              </w:rPr>
              <w:t>6.2</w:t>
            </w:r>
            <w:r w:rsidR="003C0588">
              <w:rPr>
                <w:rFonts w:asciiTheme="minorHAnsi" w:eastAsiaTheme="minorEastAsia" w:hAnsiTheme="minorHAnsi" w:cstheme="minorBidi"/>
                <w:sz w:val="22"/>
                <w:szCs w:val="22"/>
              </w:rPr>
              <w:tab/>
            </w:r>
            <w:r w:rsidR="003C0588" w:rsidRPr="001A2B17">
              <w:rPr>
                <w:rStyle w:val="Hyperlink"/>
              </w:rPr>
              <w:t>Methodology</w:t>
            </w:r>
            <w:r w:rsidR="003C0588">
              <w:rPr>
                <w:webHidden/>
              </w:rPr>
              <w:tab/>
            </w:r>
            <w:r>
              <w:rPr>
                <w:webHidden/>
              </w:rPr>
              <w:fldChar w:fldCharType="begin"/>
            </w:r>
            <w:r w:rsidR="003C0588">
              <w:rPr>
                <w:webHidden/>
              </w:rPr>
              <w:instrText xml:space="preserve"> PAGEREF _Toc350953046 \h </w:instrText>
            </w:r>
            <w:r>
              <w:rPr>
                <w:webHidden/>
              </w:rPr>
            </w:r>
            <w:r>
              <w:rPr>
                <w:webHidden/>
              </w:rPr>
              <w:fldChar w:fldCharType="separate"/>
            </w:r>
            <w:r w:rsidR="003C0588">
              <w:rPr>
                <w:webHidden/>
              </w:rPr>
              <w:t>32</w:t>
            </w:r>
            <w:r>
              <w:rPr>
                <w:webHidden/>
              </w:rPr>
              <w:fldChar w:fldCharType="end"/>
            </w:r>
          </w:hyperlink>
        </w:p>
        <w:p w:rsidR="003C0588" w:rsidRDefault="00D66338">
          <w:pPr>
            <w:pStyle w:val="TOC3"/>
            <w:rPr>
              <w:rFonts w:asciiTheme="minorHAnsi" w:hAnsiTheme="minorHAnsi" w:cstheme="minorBidi"/>
              <w:sz w:val="22"/>
              <w:szCs w:val="22"/>
            </w:rPr>
          </w:pPr>
          <w:hyperlink w:anchor="_Toc350953047" w:history="1">
            <w:r w:rsidR="003C0588" w:rsidRPr="001A2B17">
              <w:rPr>
                <w:rStyle w:val="Hyperlink"/>
              </w:rPr>
              <w:t>6.2.1</w:t>
            </w:r>
            <w:r w:rsidR="003C0588">
              <w:rPr>
                <w:rFonts w:asciiTheme="minorHAnsi" w:hAnsiTheme="minorHAnsi" w:cstheme="minorBidi"/>
                <w:sz w:val="22"/>
                <w:szCs w:val="22"/>
              </w:rPr>
              <w:tab/>
            </w:r>
            <w:r w:rsidR="003C0588" w:rsidRPr="001A2B17">
              <w:rPr>
                <w:rStyle w:val="Hyperlink"/>
              </w:rPr>
              <w:t>Residential and Commercial Customer Ex Post Methodology</w:t>
            </w:r>
            <w:r w:rsidR="003C0588">
              <w:rPr>
                <w:webHidden/>
              </w:rPr>
              <w:tab/>
            </w:r>
            <w:r>
              <w:rPr>
                <w:webHidden/>
              </w:rPr>
              <w:fldChar w:fldCharType="begin"/>
            </w:r>
            <w:r w:rsidR="003C0588">
              <w:rPr>
                <w:webHidden/>
              </w:rPr>
              <w:instrText xml:space="preserve"> PAGEREF _Toc350953047 \h </w:instrText>
            </w:r>
            <w:r>
              <w:rPr>
                <w:webHidden/>
              </w:rPr>
            </w:r>
            <w:r>
              <w:rPr>
                <w:webHidden/>
              </w:rPr>
              <w:fldChar w:fldCharType="separate"/>
            </w:r>
            <w:r w:rsidR="003C0588">
              <w:rPr>
                <w:webHidden/>
              </w:rPr>
              <w:t>32</w:t>
            </w:r>
            <w:r>
              <w:rPr>
                <w:webHidden/>
              </w:rPr>
              <w:fldChar w:fldCharType="end"/>
            </w:r>
          </w:hyperlink>
        </w:p>
        <w:p w:rsidR="003C0588" w:rsidRDefault="00D66338">
          <w:pPr>
            <w:pStyle w:val="TOC3"/>
            <w:rPr>
              <w:rFonts w:asciiTheme="minorHAnsi" w:hAnsiTheme="minorHAnsi" w:cstheme="minorBidi"/>
              <w:sz w:val="22"/>
              <w:szCs w:val="22"/>
            </w:rPr>
          </w:pPr>
          <w:hyperlink w:anchor="_Toc350953048" w:history="1">
            <w:r w:rsidR="003C0588" w:rsidRPr="001A2B17">
              <w:rPr>
                <w:rStyle w:val="Hyperlink"/>
              </w:rPr>
              <w:t>6.2.2</w:t>
            </w:r>
            <w:r w:rsidR="003C0588">
              <w:rPr>
                <w:rFonts w:asciiTheme="minorHAnsi" w:hAnsiTheme="minorHAnsi" w:cstheme="minorBidi"/>
                <w:sz w:val="22"/>
                <w:szCs w:val="22"/>
              </w:rPr>
              <w:tab/>
            </w:r>
            <w:r w:rsidR="003C0588" w:rsidRPr="001A2B17">
              <w:rPr>
                <w:rStyle w:val="Hyperlink"/>
              </w:rPr>
              <w:t>Residential PTR Alerts Ex Post Methodology</w:t>
            </w:r>
            <w:r w:rsidR="003C0588">
              <w:rPr>
                <w:webHidden/>
              </w:rPr>
              <w:tab/>
            </w:r>
            <w:r>
              <w:rPr>
                <w:webHidden/>
              </w:rPr>
              <w:fldChar w:fldCharType="begin"/>
            </w:r>
            <w:r w:rsidR="003C0588">
              <w:rPr>
                <w:webHidden/>
              </w:rPr>
              <w:instrText xml:space="preserve"> PAGEREF _Toc350953048 \h </w:instrText>
            </w:r>
            <w:r>
              <w:rPr>
                <w:webHidden/>
              </w:rPr>
            </w:r>
            <w:r>
              <w:rPr>
                <w:webHidden/>
              </w:rPr>
              <w:fldChar w:fldCharType="separate"/>
            </w:r>
            <w:r w:rsidR="003C0588">
              <w:rPr>
                <w:webHidden/>
              </w:rPr>
              <w:t>33</w:t>
            </w:r>
            <w:r>
              <w:rPr>
                <w:webHidden/>
              </w:rPr>
              <w:fldChar w:fldCharType="end"/>
            </w:r>
          </w:hyperlink>
        </w:p>
        <w:p w:rsidR="003C0588" w:rsidRDefault="00D66338">
          <w:pPr>
            <w:pStyle w:val="TOC3"/>
            <w:rPr>
              <w:rFonts w:asciiTheme="minorHAnsi" w:hAnsiTheme="minorHAnsi" w:cstheme="minorBidi"/>
              <w:sz w:val="22"/>
              <w:szCs w:val="22"/>
            </w:rPr>
          </w:pPr>
          <w:hyperlink w:anchor="_Toc350953049" w:history="1">
            <w:r w:rsidR="003C0588" w:rsidRPr="001A2B17">
              <w:rPr>
                <w:rStyle w:val="Hyperlink"/>
              </w:rPr>
              <w:t>6.2.3</w:t>
            </w:r>
            <w:r w:rsidR="003C0588">
              <w:rPr>
                <w:rFonts w:asciiTheme="minorHAnsi" w:hAnsiTheme="minorHAnsi" w:cstheme="minorBidi"/>
                <w:sz w:val="22"/>
                <w:szCs w:val="22"/>
              </w:rPr>
              <w:tab/>
            </w:r>
            <w:r w:rsidR="003C0588" w:rsidRPr="001A2B17">
              <w:rPr>
                <w:rStyle w:val="Hyperlink"/>
              </w:rPr>
              <w:t>Validity of Residential PTR Alerts Ex Post Load Impact Estimates</w:t>
            </w:r>
            <w:r w:rsidR="003C0588">
              <w:rPr>
                <w:webHidden/>
              </w:rPr>
              <w:tab/>
            </w:r>
            <w:r>
              <w:rPr>
                <w:webHidden/>
              </w:rPr>
              <w:fldChar w:fldCharType="begin"/>
            </w:r>
            <w:r w:rsidR="003C0588">
              <w:rPr>
                <w:webHidden/>
              </w:rPr>
              <w:instrText xml:space="preserve"> PAGEREF _Toc350953049 \h </w:instrText>
            </w:r>
            <w:r>
              <w:rPr>
                <w:webHidden/>
              </w:rPr>
            </w:r>
            <w:r>
              <w:rPr>
                <w:webHidden/>
              </w:rPr>
              <w:fldChar w:fldCharType="separate"/>
            </w:r>
            <w:r w:rsidR="003C0588">
              <w:rPr>
                <w:webHidden/>
              </w:rPr>
              <w:t>34</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50" w:history="1">
            <w:r w:rsidR="003C0588" w:rsidRPr="001A2B17">
              <w:rPr>
                <w:rStyle w:val="Hyperlink"/>
              </w:rPr>
              <w:t>6.3</w:t>
            </w:r>
            <w:r w:rsidR="003C0588">
              <w:rPr>
                <w:rFonts w:asciiTheme="minorHAnsi" w:eastAsiaTheme="minorEastAsia" w:hAnsiTheme="minorHAnsi" w:cstheme="minorBidi"/>
                <w:sz w:val="22"/>
                <w:szCs w:val="22"/>
              </w:rPr>
              <w:tab/>
            </w:r>
            <w:r w:rsidR="003C0588" w:rsidRPr="001A2B17">
              <w:rPr>
                <w:rStyle w:val="Hyperlink"/>
              </w:rPr>
              <w:t>Residential PTR Alerts Ex Ante Impact Estimation Methodology</w:t>
            </w:r>
            <w:r w:rsidR="003C0588">
              <w:rPr>
                <w:webHidden/>
              </w:rPr>
              <w:tab/>
            </w:r>
            <w:r>
              <w:rPr>
                <w:webHidden/>
              </w:rPr>
              <w:fldChar w:fldCharType="begin"/>
            </w:r>
            <w:r w:rsidR="003C0588">
              <w:rPr>
                <w:webHidden/>
              </w:rPr>
              <w:instrText xml:space="preserve"> PAGEREF _Toc350953050 \h </w:instrText>
            </w:r>
            <w:r>
              <w:rPr>
                <w:webHidden/>
              </w:rPr>
            </w:r>
            <w:r>
              <w:rPr>
                <w:webHidden/>
              </w:rPr>
              <w:fldChar w:fldCharType="separate"/>
            </w:r>
            <w:r w:rsidR="003C0588">
              <w:rPr>
                <w:webHidden/>
              </w:rPr>
              <w:t>35</w:t>
            </w:r>
            <w:r>
              <w:rPr>
                <w:webHidden/>
              </w:rPr>
              <w:fldChar w:fldCharType="end"/>
            </w:r>
          </w:hyperlink>
        </w:p>
        <w:p w:rsidR="003C0588" w:rsidRDefault="00D66338">
          <w:pPr>
            <w:pStyle w:val="TOC1"/>
            <w:rPr>
              <w:rFonts w:asciiTheme="minorHAnsi" w:eastAsiaTheme="minorEastAsia" w:hAnsiTheme="minorHAnsi" w:cstheme="minorBidi"/>
              <w:sz w:val="22"/>
              <w:szCs w:val="22"/>
            </w:rPr>
          </w:pPr>
          <w:hyperlink w:anchor="_Toc350953051" w:history="1">
            <w:r w:rsidR="003C0588" w:rsidRPr="001A2B17">
              <w:rPr>
                <w:rStyle w:val="Hyperlink"/>
              </w:rPr>
              <w:t>7</w:t>
            </w:r>
            <w:r w:rsidR="003C0588">
              <w:rPr>
                <w:rFonts w:asciiTheme="minorHAnsi" w:eastAsiaTheme="minorEastAsia" w:hAnsiTheme="minorHAnsi" w:cstheme="minorBidi"/>
                <w:sz w:val="22"/>
                <w:szCs w:val="22"/>
              </w:rPr>
              <w:tab/>
            </w:r>
            <w:r w:rsidR="003C0588" w:rsidRPr="001A2B17">
              <w:rPr>
                <w:rStyle w:val="Hyperlink"/>
              </w:rPr>
              <w:t>Ex Post Load Impact Estimates - PTR for Summer Saver Customers</w:t>
            </w:r>
            <w:r w:rsidR="003C0588">
              <w:rPr>
                <w:webHidden/>
              </w:rPr>
              <w:tab/>
            </w:r>
            <w:r>
              <w:rPr>
                <w:webHidden/>
              </w:rPr>
              <w:fldChar w:fldCharType="begin"/>
            </w:r>
            <w:r w:rsidR="003C0588">
              <w:rPr>
                <w:webHidden/>
              </w:rPr>
              <w:instrText xml:space="preserve"> PAGEREF _Toc350953051 \h </w:instrText>
            </w:r>
            <w:r>
              <w:rPr>
                <w:webHidden/>
              </w:rPr>
            </w:r>
            <w:r>
              <w:rPr>
                <w:webHidden/>
              </w:rPr>
              <w:fldChar w:fldCharType="separate"/>
            </w:r>
            <w:r w:rsidR="003C0588">
              <w:rPr>
                <w:webHidden/>
              </w:rPr>
              <w:t>37</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52" w:history="1">
            <w:r w:rsidR="003C0588" w:rsidRPr="001A2B17">
              <w:rPr>
                <w:rStyle w:val="Hyperlink"/>
              </w:rPr>
              <w:t>7.1</w:t>
            </w:r>
            <w:r w:rsidR="003C0588">
              <w:rPr>
                <w:rFonts w:asciiTheme="minorHAnsi" w:eastAsiaTheme="minorEastAsia" w:hAnsiTheme="minorHAnsi" w:cstheme="minorBidi"/>
                <w:sz w:val="22"/>
                <w:szCs w:val="22"/>
              </w:rPr>
              <w:tab/>
            </w:r>
            <w:r w:rsidR="003C0588" w:rsidRPr="001A2B17">
              <w:rPr>
                <w:rStyle w:val="Hyperlink"/>
              </w:rPr>
              <w:t>Residential and Commercial Ex Post Load Impact Estimates</w:t>
            </w:r>
            <w:r w:rsidR="003C0588">
              <w:rPr>
                <w:webHidden/>
              </w:rPr>
              <w:tab/>
            </w:r>
            <w:r>
              <w:rPr>
                <w:webHidden/>
              </w:rPr>
              <w:fldChar w:fldCharType="begin"/>
            </w:r>
            <w:r w:rsidR="003C0588">
              <w:rPr>
                <w:webHidden/>
              </w:rPr>
              <w:instrText xml:space="preserve"> PAGEREF _Toc350953052 \h </w:instrText>
            </w:r>
            <w:r>
              <w:rPr>
                <w:webHidden/>
              </w:rPr>
            </w:r>
            <w:r>
              <w:rPr>
                <w:webHidden/>
              </w:rPr>
              <w:fldChar w:fldCharType="separate"/>
            </w:r>
            <w:r w:rsidR="003C0588">
              <w:rPr>
                <w:webHidden/>
              </w:rPr>
              <w:t>37</w:t>
            </w:r>
            <w:r>
              <w:rPr>
                <w:webHidden/>
              </w:rPr>
              <w:fldChar w:fldCharType="end"/>
            </w:r>
          </w:hyperlink>
        </w:p>
        <w:p w:rsidR="003C0588" w:rsidRDefault="00D66338">
          <w:pPr>
            <w:pStyle w:val="TOC2"/>
            <w:rPr>
              <w:rFonts w:asciiTheme="minorHAnsi" w:eastAsiaTheme="minorEastAsia" w:hAnsiTheme="minorHAnsi" w:cstheme="minorBidi"/>
              <w:sz w:val="22"/>
              <w:szCs w:val="22"/>
            </w:rPr>
          </w:pPr>
          <w:hyperlink w:anchor="_Toc350953053" w:history="1">
            <w:r w:rsidR="003C0588" w:rsidRPr="001A2B17">
              <w:rPr>
                <w:rStyle w:val="Hyperlink"/>
              </w:rPr>
              <w:t>7.2</w:t>
            </w:r>
            <w:r w:rsidR="003C0588">
              <w:rPr>
                <w:rFonts w:asciiTheme="minorHAnsi" w:eastAsiaTheme="minorEastAsia" w:hAnsiTheme="minorHAnsi" w:cstheme="minorBidi"/>
                <w:sz w:val="22"/>
                <w:szCs w:val="22"/>
              </w:rPr>
              <w:tab/>
            </w:r>
            <w:r w:rsidR="003C0588" w:rsidRPr="001A2B17">
              <w:rPr>
                <w:rStyle w:val="Hyperlink"/>
              </w:rPr>
              <w:t>Residential PTR Alerts Ex Post Load Impact Results</w:t>
            </w:r>
            <w:r w:rsidR="003C0588">
              <w:rPr>
                <w:webHidden/>
              </w:rPr>
              <w:tab/>
            </w:r>
            <w:r>
              <w:rPr>
                <w:webHidden/>
              </w:rPr>
              <w:fldChar w:fldCharType="begin"/>
            </w:r>
            <w:r w:rsidR="003C0588">
              <w:rPr>
                <w:webHidden/>
              </w:rPr>
              <w:instrText xml:space="preserve"> PAGEREF _Toc350953053 \h </w:instrText>
            </w:r>
            <w:r>
              <w:rPr>
                <w:webHidden/>
              </w:rPr>
            </w:r>
            <w:r>
              <w:rPr>
                <w:webHidden/>
              </w:rPr>
              <w:fldChar w:fldCharType="separate"/>
            </w:r>
            <w:r w:rsidR="003C0588">
              <w:rPr>
                <w:webHidden/>
              </w:rPr>
              <w:t>38</w:t>
            </w:r>
            <w:r>
              <w:rPr>
                <w:webHidden/>
              </w:rPr>
              <w:fldChar w:fldCharType="end"/>
            </w:r>
          </w:hyperlink>
        </w:p>
        <w:p w:rsidR="003C0588" w:rsidRDefault="00D66338">
          <w:pPr>
            <w:pStyle w:val="TOC1"/>
            <w:rPr>
              <w:rFonts w:asciiTheme="minorHAnsi" w:eastAsiaTheme="minorEastAsia" w:hAnsiTheme="minorHAnsi" w:cstheme="minorBidi"/>
              <w:sz w:val="22"/>
              <w:szCs w:val="22"/>
            </w:rPr>
          </w:pPr>
          <w:hyperlink w:anchor="_Toc350953054" w:history="1">
            <w:r w:rsidR="003C0588" w:rsidRPr="001A2B17">
              <w:rPr>
                <w:rStyle w:val="Hyperlink"/>
              </w:rPr>
              <w:t>8</w:t>
            </w:r>
            <w:r w:rsidR="003C0588">
              <w:rPr>
                <w:rFonts w:asciiTheme="minorHAnsi" w:eastAsiaTheme="minorEastAsia" w:hAnsiTheme="minorHAnsi" w:cstheme="minorBidi"/>
                <w:sz w:val="22"/>
                <w:szCs w:val="22"/>
              </w:rPr>
              <w:tab/>
            </w:r>
            <w:r w:rsidR="003C0588" w:rsidRPr="001A2B17">
              <w:rPr>
                <w:rStyle w:val="Hyperlink"/>
              </w:rPr>
              <w:t>Ex Ante Load Impact Estimates  - PTR for Summer Saver Customers</w:t>
            </w:r>
            <w:r w:rsidR="003C0588">
              <w:rPr>
                <w:webHidden/>
              </w:rPr>
              <w:tab/>
            </w:r>
            <w:r>
              <w:rPr>
                <w:webHidden/>
              </w:rPr>
              <w:fldChar w:fldCharType="begin"/>
            </w:r>
            <w:r w:rsidR="003C0588">
              <w:rPr>
                <w:webHidden/>
              </w:rPr>
              <w:instrText xml:space="preserve"> PAGEREF _Toc350953054 \h </w:instrText>
            </w:r>
            <w:r>
              <w:rPr>
                <w:webHidden/>
              </w:rPr>
            </w:r>
            <w:r>
              <w:rPr>
                <w:webHidden/>
              </w:rPr>
              <w:fldChar w:fldCharType="separate"/>
            </w:r>
            <w:r w:rsidR="003C0588">
              <w:rPr>
                <w:webHidden/>
              </w:rPr>
              <w:t>40</w:t>
            </w:r>
            <w:r>
              <w:rPr>
                <w:webHidden/>
              </w:rPr>
              <w:fldChar w:fldCharType="end"/>
            </w:r>
          </w:hyperlink>
        </w:p>
        <w:p w:rsidR="001A71A9" w:rsidRDefault="00D66338">
          <w:r>
            <w:rPr>
              <w:rFonts w:ascii="Arial" w:hAnsi="Arial" w:cs="Arial"/>
              <w:noProof/>
              <w:sz w:val="24"/>
              <w:szCs w:val="24"/>
            </w:rPr>
            <w:fldChar w:fldCharType="end"/>
          </w:r>
        </w:p>
      </w:sdtContent>
    </w:sdt>
    <w:p w:rsidR="00DB35F9" w:rsidRPr="00ED253C" w:rsidRDefault="00DB35F9" w:rsidP="00305437">
      <w:pPr>
        <w:pStyle w:val="PreparedForCompany"/>
      </w:pPr>
      <w:bookmarkStart w:id="0" w:name="_Toc268073344"/>
    </w:p>
    <w:p w:rsidR="00DB35F9" w:rsidRDefault="00DB35F9" w:rsidP="00DB35F9">
      <w:pPr>
        <w:spacing w:before="240"/>
        <w:rPr>
          <w:b/>
          <w:color w:val="433B67"/>
          <w:sz w:val="28"/>
          <w:szCs w:val="28"/>
        </w:rPr>
        <w:sectPr w:rsidR="00DB35F9" w:rsidSect="00B50663">
          <w:headerReference w:type="default" r:id="rId17"/>
          <w:footerReference w:type="default" r:id="rId18"/>
          <w:headerReference w:type="first" r:id="rId19"/>
          <w:footerReference w:type="first" r:id="rId20"/>
          <w:pgSz w:w="12240" w:h="15840"/>
          <w:pgMar w:top="1440" w:right="1800" w:bottom="1440" w:left="1800" w:header="720" w:footer="720" w:gutter="0"/>
          <w:pgNumType w:fmt="lowerRoman" w:start="1"/>
          <w:cols w:space="720"/>
          <w:docGrid w:linePitch="360"/>
        </w:sectPr>
      </w:pPr>
    </w:p>
    <w:p w:rsidR="00203A5B" w:rsidRDefault="00203A5B" w:rsidP="00203A5B">
      <w:pPr>
        <w:pStyle w:val="Heading1"/>
      </w:pPr>
      <w:bookmarkStart w:id="1" w:name="_Toc349548891"/>
      <w:bookmarkStart w:id="2" w:name="_Toc350953021"/>
      <w:bookmarkEnd w:id="0"/>
      <w:r w:rsidRPr="00203A5B">
        <w:t>Executive</w:t>
      </w:r>
      <w:r>
        <w:t xml:space="preserve"> Summary</w:t>
      </w:r>
      <w:bookmarkEnd w:id="1"/>
      <w:bookmarkEnd w:id="2"/>
    </w:p>
    <w:p w:rsidR="00203A5B" w:rsidRDefault="00203A5B" w:rsidP="00203A5B">
      <w:pPr>
        <w:pStyle w:val="BodyParagraph"/>
      </w:pPr>
      <w:r>
        <w:t>San Diego Gas and Electric Company’s (SDG&amp;E) Summer Saver program is a demand response resource based on central air conditioner (CAC) load control.  It is implemented through an agreement between SDG&amp;E and Comverge Inc</w:t>
      </w:r>
      <w:r w:rsidR="00E379AC">
        <w:t>.</w:t>
      </w:r>
      <w:r>
        <w:t xml:space="preserve">, </w:t>
      </w:r>
      <w:r w:rsidRPr="00BF5EF4">
        <w:t>and is currently scheduled to continue through 2016.</w:t>
      </w:r>
      <w:r>
        <w:t xml:space="preserve">  SDG&amp;E’s Peak Time Rebate (PTR) program is a demand response resource available to nearly all residential and small </w:t>
      </w:r>
      <w:r w:rsidR="0023560D">
        <w:t xml:space="preserve">commercial </w:t>
      </w:r>
      <w:proofErr w:type="gramStart"/>
      <w:r>
        <w:t>customers</w:t>
      </w:r>
      <w:proofErr w:type="gramEnd"/>
      <w:r>
        <w:t xml:space="preserve"> in SDG&amp;E’s territory.  Under PTR, customers receive payments if they curtail loads on PTR event days as compared to a baseline.</w:t>
      </w:r>
      <w:r>
        <w:rPr>
          <w:rStyle w:val="FootnoteReference"/>
        </w:rPr>
        <w:footnoteReference w:id="1"/>
      </w:r>
      <w:r>
        <w:t xml:space="preserve">  This report provides ex post load impact estimates for the </w:t>
      </w:r>
      <w:r w:rsidR="00E379AC">
        <w:t xml:space="preserve">2012 </w:t>
      </w:r>
      <w:r>
        <w:t>Summer Saver program and ex ante load impact forecasts for 2013 through 2023.  This report also provides ex post</w:t>
      </w:r>
      <w:r w:rsidR="00D2252A">
        <w:t xml:space="preserve"> and ex ante</w:t>
      </w:r>
      <w:r>
        <w:t xml:space="preserve"> load impacts of PTR for Summer Saver Customers.</w:t>
      </w:r>
    </w:p>
    <w:p w:rsidR="00203A5B" w:rsidRDefault="00203A5B" w:rsidP="00203A5B">
      <w:pPr>
        <w:pStyle w:val="BodyParagraph"/>
      </w:pPr>
      <w:r>
        <w:t xml:space="preserve">The Summer Saver program is available to residential customers and commercial facilities with average monthly peak demand up to a maximum of 100 kW over a 12-month period.  The Summer </w:t>
      </w:r>
      <w:r w:rsidRPr="00203A5B">
        <w:t>Saver</w:t>
      </w:r>
      <w:r>
        <w:t xml:space="preserve"> season runs from May 1 through October 31 and does not notify participating customers of an event.  A Summer Saver event may be triggered if warranted by temperature and system load conditions.  </w:t>
      </w:r>
    </w:p>
    <w:p w:rsidR="00203A5B" w:rsidRDefault="00203A5B" w:rsidP="00203A5B">
      <w:pPr>
        <w:pStyle w:val="BodyParagraph"/>
      </w:pPr>
      <w:r>
        <w:t xml:space="preserve">There are four enrollment options each for both residential and commercial customers.  Residential customers can </w:t>
      </w:r>
      <w:r w:rsidRPr="002F02E6">
        <w:t>choose</w:t>
      </w:r>
      <w:r>
        <w:t xml:space="preserve"> to be cycled 50% or 100% of the time, and can have cycling occur only on weekdays or on weekends as well.  Commercial customers have an option of choosing 30% or 50% cycling, on weekdays only or for seven days a week.  The incentive paid for each option varies and is based on the number of CAC tons being controlled at each site.  </w:t>
      </w:r>
    </w:p>
    <w:p w:rsidR="00203A5B" w:rsidRDefault="00203A5B" w:rsidP="00203A5B">
      <w:pPr>
        <w:pStyle w:val="BodyParagraph"/>
      </w:pPr>
      <w:r>
        <w:t>As of the end of 2012 there were 27,699 premises enrolled in the program, which in aggregate have 142,283 tons of CAC capacity.  About 83% of participants were residential customers, who account for 69% of the total tons of cooling in the program.  Roughly 53% of residential participants are on the 100% cycling option.  Approximately 66% of commercial customers have selected the 50% cycling option over the 30% option.  Summer Saver enrollment is expected to stay roughly the same for the foreseeable future.</w:t>
      </w:r>
    </w:p>
    <w:p w:rsidR="00203A5B" w:rsidRDefault="00203A5B" w:rsidP="00203A5B">
      <w:pPr>
        <w:pStyle w:val="BodyParagraph"/>
      </w:pPr>
      <w:r w:rsidRPr="00567309">
        <w:t>In 2012</w:t>
      </w:r>
      <w:r w:rsidR="00E379AC">
        <w:t>,</w:t>
      </w:r>
      <w:r>
        <w:t xml:space="preserve"> the Summer Saver program provided an average of about 19 MW of demand response over </w:t>
      </w:r>
      <w:r w:rsidR="00DC1B21">
        <w:t xml:space="preserve">8 </w:t>
      </w:r>
      <w:r>
        <w:t>events</w:t>
      </w:r>
      <w:r w:rsidR="00DC1B21">
        <w:t>.</w:t>
      </w:r>
      <w:r>
        <w:rPr>
          <w:rStyle w:val="FootnoteReference"/>
        </w:rPr>
        <w:footnoteReference w:id="2"/>
      </w:r>
      <w:r>
        <w:t xml:space="preserve">  Commercial customers provided an average of about 3 MW, and residential customers provided about 16 MW.  Due to weather and seasonal conditions, events in 2012 did not provide the amount of demand response </w:t>
      </w:r>
      <w:r w:rsidR="00DC1B21">
        <w:t xml:space="preserve">that </w:t>
      </w:r>
      <w:r>
        <w:t xml:space="preserve">might be expected under more severe heat.  The average temperature during the average event was 88°F, as compared to ex ante event temperatures, which can be in the mid 90s.  </w:t>
      </w:r>
      <w:r w:rsidRPr="00BF5EF4">
        <w:t>Under 1-in-10 September weather conditions (the hottest conditions currently modeled), it is expected that the program could provide up to 25 MW of demand response on average over a 1-6 PM event.</w:t>
      </w:r>
    </w:p>
    <w:p w:rsidR="00203A5B" w:rsidRDefault="00203A5B" w:rsidP="00203A5B">
      <w:pPr>
        <w:pStyle w:val="BodyParagraph"/>
      </w:pPr>
      <w:r>
        <w:t>This is the second Summer Saver evaluation that has been performed using smart meter interval data exclusively.  The prevalence of smart meters in the Summer Saver population allows for results to be more representative of the entire Summer Saver population because load data is available for a greater number of customers.  Using smart meter data can also reduce the cost of evaluation because they do not require the installation of CAC load loggers.  In this evaluation, the implementation of a treatment-control design in conjunction with the use of smart meter data provided for a streamlined evaluation process for residential customers.  For these customers, ex post impact estimates were available as soon as the smart meter data became available.  Due to the small size of the commercial customer sample and more variability in the data, more complicated analysis methods were used that rely on additional assumptions.</w:t>
      </w:r>
    </w:p>
    <w:p w:rsidR="00203A5B" w:rsidRDefault="00203A5B" w:rsidP="00203A5B">
      <w:pPr>
        <w:pStyle w:val="BodyParagraph"/>
      </w:pPr>
      <w:r w:rsidRPr="00567309">
        <w:t>In 2012</w:t>
      </w:r>
      <w:r w:rsidR="00E379AC">
        <w:t>,</w:t>
      </w:r>
      <w:r>
        <w:t xml:space="preserve"> the PTR program for Summer Saver customers did not produce statistically significant load impacts over seven events.  While Summer Saver customers may respond to PTR events, the methods available for this evaluation are not sufficient to separate impacts from noise.  However, an analysis of load impacts for residential Summer Saver customers who received PTR alerts did produce significant impacts.  These 2,917 customers provided an estimated average load impact of about 1 MW across the </w:t>
      </w:r>
      <w:r w:rsidR="00DC1B21">
        <w:t xml:space="preserve">7 </w:t>
      </w:r>
      <w:r>
        <w:t>PTR event days,</w:t>
      </w:r>
      <w:r w:rsidR="00D2252A">
        <w:t xml:space="preserve"> or 23% of the reference load.  Enrollment in PTR alerts is expected to grow.  </w:t>
      </w:r>
      <w:r w:rsidR="00E11AF5">
        <w:t>By 2015, the forecast 4,156 enrolled customers are expected to provide approximately 1.8 MW of demand reductions u</w:t>
      </w:r>
      <w:r w:rsidR="00D2252A">
        <w:t>nder 1-in-10</w:t>
      </w:r>
      <w:r w:rsidR="003C0588">
        <w:t xml:space="preserve"> weather</w:t>
      </w:r>
      <w:r w:rsidR="00D2252A">
        <w:t xml:space="preserve"> conditions</w:t>
      </w:r>
      <w:r w:rsidR="003C0588">
        <w:t xml:space="preserve"> on a typical event day.</w:t>
      </w:r>
    </w:p>
    <w:p w:rsidR="00203A5B" w:rsidRDefault="00203A5B" w:rsidP="00203A5B">
      <w:pPr>
        <w:rPr>
          <w:rFonts w:ascii="Arial Bold" w:eastAsia="Times New Roman" w:hAnsi="Arial Bold"/>
          <w:b/>
          <w:color w:val="433B67"/>
          <w:sz w:val="28"/>
          <w:szCs w:val="28"/>
        </w:rPr>
      </w:pPr>
      <w:r>
        <w:br w:type="page"/>
      </w:r>
    </w:p>
    <w:p w:rsidR="00203A5B" w:rsidRDefault="00203A5B" w:rsidP="00203A5B">
      <w:pPr>
        <w:pStyle w:val="Heading1"/>
      </w:pPr>
      <w:bookmarkStart w:id="3" w:name="_Toc349548892"/>
      <w:bookmarkStart w:id="4" w:name="_Toc350953022"/>
      <w:r>
        <w:t>Introduction and Program Summary</w:t>
      </w:r>
      <w:bookmarkEnd w:id="3"/>
      <w:bookmarkEnd w:id="4"/>
    </w:p>
    <w:p w:rsidR="00203A5B" w:rsidRDefault="00203A5B" w:rsidP="00203A5B">
      <w:pPr>
        <w:pStyle w:val="BodyParagraph"/>
      </w:pPr>
      <w:r w:rsidRPr="009E5F87">
        <w:t xml:space="preserve">SDG&amp;E’s Summer Saver program is a demand response resource based on </w:t>
      </w:r>
      <w:r>
        <w:t>CAC</w:t>
      </w:r>
      <w:r w:rsidRPr="009E5F87">
        <w:t xml:space="preserve"> load control.  It is implemented through an agreement between SDG&amp;E and </w:t>
      </w:r>
      <w:r>
        <w:t>Alternative Energy Resources (AER), a subsidiary of Comverge Inc</w:t>
      </w:r>
      <w:r w:rsidR="00E379AC">
        <w:t>.</w:t>
      </w:r>
      <w:r>
        <w:t>,</w:t>
      </w:r>
      <w:r>
        <w:rPr>
          <w:rStyle w:val="FootnoteReference"/>
        </w:rPr>
        <w:footnoteReference w:id="3"/>
      </w:r>
      <w:r>
        <w:t xml:space="preserve"> </w:t>
      </w:r>
      <w:r w:rsidRPr="009E5F87">
        <w:t>and is currently scheduled to continue through 2016.</w:t>
      </w:r>
      <w:r>
        <w:t xml:space="preserve">  This report provides ex post load impact estimates for 2012 for Summer Saver and for PTR for Summer Saver customers, as well as ex ante load impact forecasts for 2013 through 2023 for Summer Saver</w:t>
      </w:r>
      <w:r w:rsidR="00E11AF5">
        <w:t xml:space="preserve"> and PTR for Summer Saver Customers.</w:t>
      </w:r>
    </w:p>
    <w:p w:rsidR="00203A5B" w:rsidRDefault="00203A5B" w:rsidP="00203A5B">
      <w:pPr>
        <w:pStyle w:val="Heading2"/>
      </w:pPr>
      <w:bookmarkStart w:id="5" w:name="_Toc349548893"/>
      <w:bookmarkStart w:id="6" w:name="_Toc350953023"/>
      <w:r w:rsidRPr="00203A5B">
        <w:t>Program</w:t>
      </w:r>
      <w:r>
        <w:t xml:space="preserve"> Overview</w:t>
      </w:r>
      <w:bookmarkEnd w:id="5"/>
      <w:bookmarkEnd w:id="6"/>
    </w:p>
    <w:p w:rsidR="00203A5B" w:rsidRDefault="00203A5B" w:rsidP="00203A5B">
      <w:pPr>
        <w:pStyle w:val="BodyParagraph"/>
      </w:pPr>
      <w:r w:rsidRPr="009E5F87">
        <w:t xml:space="preserve">The </w:t>
      </w:r>
      <w:r w:rsidRPr="002F02E6">
        <w:t>Summer</w:t>
      </w:r>
      <w:r w:rsidRPr="009E5F87">
        <w:t xml:space="preserve"> Saver program is available to residential customers and commercial facilities </w:t>
      </w:r>
      <w:r>
        <w:t>with average monthly peak demand up to a maximum of 100 kW over a 12-month period</w:t>
      </w:r>
      <w:r w:rsidRPr="009E5F87">
        <w:t xml:space="preserve">.  For </w:t>
      </w:r>
      <w:r>
        <w:t xml:space="preserve">both </w:t>
      </w:r>
      <w:r w:rsidRPr="00203A5B">
        <w:t>residential</w:t>
      </w:r>
      <w:r>
        <w:t xml:space="preserve"> and commercial </w:t>
      </w:r>
      <w:r w:rsidRPr="009E5F87">
        <w:t>customers enrolled in the program, events may be called</w:t>
      </w:r>
      <w:r>
        <w:t xml:space="preserve"> </w:t>
      </w:r>
      <w:r w:rsidRPr="009E5F87">
        <w:t xml:space="preserve">between May 1 and October 31.  </w:t>
      </w:r>
      <w:r>
        <w:t xml:space="preserve">Customers can elect to be eligible for events on weekdays only or on weekdays and weekends.  </w:t>
      </w:r>
      <w:r w:rsidRPr="009E5F87">
        <w:t xml:space="preserve">Events must be between </w:t>
      </w:r>
      <w:r>
        <w:t>2</w:t>
      </w:r>
      <w:r w:rsidRPr="009E5F87">
        <w:t xml:space="preserve">-hours and </w:t>
      </w:r>
      <w:r>
        <w:t>4-</w:t>
      </w:r>
      <w:r w:rsidRPr="009E5F87">
        <w:t xml:space="preserve">hours in duration and cannot be called for more than 40 hours per month or 120 hours per year.  </w:t>
      </w:r>
      <w:r>
        <w:t>E</w:t>
      </w:r>
      <w:r w:rsidRPr="009E5F87">
        <w:t xml:space="preserve">vent days cannot include holidays or be called on more than three days in any calendar week.  </w:t>
      </w:r>
    </w:p>
    <w:p w:rsidR="00203A5B" w:rsidRDefault="00203A5B" w:rsidP="00203A5B">
      <w:pPr>
        <w:pStyle w:val="BodyParagraph"/>
      </w:pPr>
      <w:r w:rsidRPr="009E5F87">
        <w:t>Su</w:t>
      </w:r>
      <w:r>
        <w:t xml:space="preserve">mmer Saver is classified as a </w:t>
      </w:r>
      <w:r w:rsidR="001A0F8C" w:rsidRPr="001A0F8C">
        <w:rPr>
          <w:i/>
        </w:rPr>
        <w:t>day-of</w:t>
      </w:r>
      <w:r w:rsidRPr="009E5F87">
        <w:t xml:space="preserve"> demand response program and does not notify participating customers when an event is being called.  SDG&amp;E may call an event whenever the </w:t>
      </w:r>
      <w:r>
        <w:t>utility</w:t>
      </w:r>
      <w:r w:rsidRPr="009E5F87">
        <w:t>’s electric system supply portfolio reaches resource dispatch equivalence of 15,000 Btu/kWh heat rate, or as utility system conditions warrant.  A Summer Saver event may also be triggered as warranted by extreme system conditions</w:t>
      </w:r>
      <w:r>
        <w:t>,</w:t>
      </w:r>
      <w:r w:rsidRPr="009E5F87">
        <w:t xml:space="preserve"> such as</w:t>
      </w:r>
      <w:r>
        <w:t>:</w:t>
      </w:r>
      <w:r w:rsidRPr="009E5F87">
        <w:t xml:space="preserve"> special alerts issued by the California Independent System Operator</w:t>
      </w:r>
      <w:r>
        <w:t>;</w:t>
      </w:r>
      <w:r w:rsidRPr="009E5F87">
        <w:t xml:space="preserve"> SDG&amp;E system emergencies related to grid operations</w:t>
      </w:r>
      <w:r>
        <w:t>;</w:t>
      </w:r>
      <w:r w:rsidRPr="009E5F87">
        <w:t xml:space="preserve"> conditions of high forecasted California spot market prices</w:t>
      </w:r>
      <w:r>
        <w:t>;</w:t>
      </w:r>
      <w:r w:rsidRPr="009E5F87">
        <w:t xml:space="preserve"> or for testing</w:t>
      </w:r>
      <w:r>
        <w:t xml:space="preserve"> or </w:t>
      </w:r>
      <w:r w:rsidRPr="009E5F87">
        <w:t xml:space="preserve">evaluation purposes.  </w:t>
      </w:r>
    </w:p>
    <w:p w:rsidR="00203A5B" w:rsidRDefault="00203A5B" w:rsidP="00203A5B">
      <w:pPr>
        <w:pStyle w:val="BodyBeforeBullet"/>
      </w:pPr>
      <w:r w:rsidRPr="009E5F87">
        <w:t xml:space="preserve">There are </w:t>
      </w:r>
      <w:r>
        <w:t>four</w:t>
      </w:r>
      <w:r w:rsidRPr="009E5F87">
        <w:t xml:space="preserve"> enrollment options </w:t>
      </w:r>
      <w:r>
        <w:t xml:space="preserve">each </w:t>
      </w:r>
      <w:r w:rsidRPr="009E5F87">
        <w:t xml:space="preserve">for residential and commercial customers.  Residential customers can choose to be cycled 50% or 100% of the time </w:t>
      </w:r>
      <w:r>
        <w:t xml:space="preserve">during an event </w:t>
      </w:r>
      <w:r w:rsidRPr="009E5F87">
        <w:t>and can have cycling occur only on weekdays or on both weekdays and weekends.  The incent</w:t>
      </w:r>
      <w:r>
        <w:t>ive paid for each option varies; t</w:t>
      </w:r>
      <w:r w:rsidRPr="009E5F87">
        <w:t xml:space="preserve">he 50% cycling option pays $11.50/ton of </w:t>
      </w:r>
      <w:r>
        <w:t>CAC</w:t>
      </w:r>
      <w:r w:rsidRPr="009E5F87">
        <w:t xml:space="preserve"> capacity and the 100% cycling option pays $46/ton.  The 7-day option pays an extra $10 </w:t>
      </w:r>
      <w:r>
        <w:t>compared to the weekday-only option</w:t>
      </w:r>
      <w:r w:rsidRPr="009E5F87">
        <w:t>.  Thus, a residential customer with a 4</w:t>
      </w:r>
      <w:r>
        <w:t>-</w:t>
      </w:r>
      <w:r w:rsidRPr="009E5F87">
        <w:t xml:space="preserve">ton </w:t>
      </w:r>
      <w:r>
        <w:t>CAC (which is close to the average)</w:t>
      </w:r>
      <w:r w:rsidRPr="009E5F87">
        <w:t xml:space="preserve"> would be paid the following under each option:</w:t>
      </w:r>
    </w:p>
    <w:p w:rsidR="00203A5B" w:rsidRPr="002F02E6" w:rsidRDefault="00203A5B" w:rsidP="00203A5B">
      <w:pPr>
        <w:pStyle w:val="Bullets"/>
      </w:pPr>
      <w:r w:rsidRPr="002F02E6">
        <w:t>$46 for the summer for the weekday, 50% cycling option;</w:t>
      </w:r>
    </w:p>
    <w:p w:rsidR="00203A5B" w:rsidRPr="002F02E6" w:rsidRDefault="00203A5B" w:rsidP="00203A5B">
      <w:pPr>
        <w:pStyle w:val="Bullets"/>
      </w:pPr>
      <w:r w:rsidRPr="002F02E6">
        <w:t>$56 for the 7-day, 50% cycling option;</w:t>
      </w:r>
    </w:p>
    <w:p w:rsidR="00203A5B" w:rsidRDefault="00203A5B" w:rsidP="00203A5B">
      <w:pPr>
        <w:pStyle w:val="Bullets"/>
      </w:pPr>
      <w:r w:rsidRPr="002F02E6">
        <w:t>$184 for</w:t>
      </w:r>
      <w:r w:rsidRPr="009E5F87">
        <w:t xml:space="preserve"> the weekday only, 100% cycling option; </w:t>
      </w:r>
      <w:r>
        <w:t>or</w:t>
      </w:r>
      <w:r w:rsidRPr="009E5F87">
        <w:t xml:space="preserve"> </w:t>
      </w:r>
    </w:p>
    <w:p w:rsidR="00203A5B" w:rsidRDefault="00203A5B" w:rsidP="00203A5B">
      <w:pPr>
        <w:pStyle w:val="BulletLast"/>
      </w:pPr>
      <w:r w:rsidRPr="009E5F87">
        <w:t xml:space="preserve">$194 for the 7-day, 100% cycling option.  </w:t>
      </w:r>
    </w:p>
    <w:p w:rsidR="00203A5B" w:rsidRDefault="00203A5B" w:rsidP="00203A5B">
      <w:pPr>
        <w:pStyle w:val="BodyBeforeBullet"/>
      </w:pPr>
      <w:r w:rsidRPr="009E5F87">
        <w:t>Commercial customers have an option of choosing 30% or 50% cycling, on weekdays only or for seven days a week.  The incentive payment equals $9/ton for the 30% cycling option and $15/ton for the 50% cycling option.  As for residential customers, the incremental payment for the 7-day a week option compared with the weekday</w:t>
      </w:r>
      <w:r>
        <w:t>-</w:t>
      </w:r>
      <w:r w:rsidRPr="009E5F87">
        <w:t xml:space="preserve">only option is $10.  The average commercial participant has </w:t>
      </w:r>
      <w:r w:rsidRPr="00FA655B">
        <w:t xml:space="preserve">roughly </w:t>
      </w:r>
      <w:r>
        <w:t>nine</w:t>
      </w:r>
      <w:r w:rsidRPr="00FA655B">
        <w:t xml:space="preserve"> </w:t>
      </w:r>
      <w:r>
        <w:t xml:space="preserve">enrolled </w:t>
      </w:r>
      <w:r w:rsidRPr="00FA655B">
        <w:t>tons</w:t>
      </w:r>
      <w:r>
        <w:t xml:space="preserve"> </w:t>
      </w:r>
      <w:r w:rsidRPr="009E5F87">
        <w:t xml:space="preserve">of </w:t>
      </w:r>
      <w:r>
        <w:t>CAC</w:t>
      </w:r>
      <w:r w:rsidRPr="009E5F87">
        <w:t xml:space="preserve"> (although </w:t>
      </w:r>
      <w:r>
        <w:t>some</w:t>
      </w:r>
      <w:r w:rsidRPr="009E5F87">
        <w:t xml:space="preserve"> participants have significantly more).  As such, the incentive payment for the average commercial customer under each enrollment option is as</w:t>
      </w:r>
      <w:r>
        <w:t> </w:t>
      </w:r>
      <w:r w:rsidRPr="009E5F87">
        <w:t>follows:</w:t>
      </w:r>
    </w:p>
    <w:p w:rsidR="00203A5B" w:rsidRPr="002F02E6" w:rsidRDefault="00203A5B" w:rsidP="00203A5B">
      <w:pPr>
        <w:pStyle w:val="Bullets"/>
      </w:pPr>
      <w:r w:rsidRPr="002F02E6">
        <w:t>$81 for the summer for the weekday, 30% cycling option;</w:t>
      </w:r>
    </w:p>
    <w:p w:rsidR="00203A5B" w:rsidRPr="002F02E6" w:rsidRDefault="00203A5B" w:rsidP="00203A5B">
      <w:pPr>
        <w:pStyle w:val="Bullets"/>
      </w:pPr>
      <w:r w:rsidRPr="002F02E6">
        <w:t>$91 for the 7-day, 30% cycling option;</w:t>
      </w:r>
    </w:p>
    <w:p w:rsidR="00203A5B" w:rsidRDefault="00203A5B" w:rsidP="00203A5B">
      <w:pPr>
        <w:pStyle w:val="Bullets"/>
        <w:keepNext/>
      </w:pPr>
      <w:r w:rsidRPr="002F02E6">
        <w:t>$135 for</w:t>
      </w:r>
      <w:r w:rsidRPr="009E5F87">
        <w:t xml:space="preserve"> the weekday only, 50% cycling option; </w:t>
      </w:r>
      <w:r>
        <w:t>or</w:t>
      </w:r>
      <w:r w:rsidRPr="009E5F87">
        <w:t xml:space="preserve"> </w:t>
      </w:r>
    </w:p>
    <w:p w:rsidR="00203A5B" w:rsidRDefault="00203A5B" w:rsidP="00203A5B">
      <w:pPr>
        <w:pStyle w:val="BulletLast"/>
      </w:pPr>
      <w:r w:rsidRPr="009E5F87">
        <w:t>$145 for the 7-day, 50% cycling option.</w:t>
      </w:r>
    </w:p>
    <w:p w:rsidR="00203A5B" w:rsidRPr="002E7559" w:rsidRDefault="00203A5B" w:rsidP="00203A5B">
      <w:pPr>
        <w:pStyle w:val="BodyParagraph"/>
        <w:rPr>
          <w:highlight w:val="yellow"/>
        </w:rPr>
      </w:pPr>
      <w:r w:rsidRPr="009E5F87">
        <w:t xml:space="preserve">Enrollment in the Summer Saver program is summarized in Table 2-1.  </w:t>
      </w:r>
      <w:r>
        <w:t>Total enrollment, as measured by number of customers, number of devices or enrolled tons, has decreased 6-7% since fall 2011.  A</w:t>
      </w:r>
      <w:r w:rsidRPr="009E5F87">
        <w:t xml:space="preserve">s of </w:t>
      </w:r>
      <w:r>
        <w:t>November</w:t>
      </w:r>
      <w:r w:rsidRPr="009E5F87">
        <w:t xml:space="preserve"> 201</w:t>
      </w:r>
      <w:r>
        <w:t>2,</w:t>
      </w:r>
      <w:r w:rsidRPr="009E5F87">
        <w:t xml:space="preserve"> </w:t>
      </w:r>
      <w:r>
        <w:t>t</w:t>
      </w:r>
      <w:r w:rsidRPr="009E5F87">
        <w:t xml:space="preserve">here </w:t>
      </w:r>
      <w:r>
        <w:t>are</w:t>
      </w:r>
      <w:r w:rsidRPr="009E5F87">
        <w:t xml:space="preserve"> </w:t>
      </w:r>
      <w:r>
        <w:t>27,699</w:t>
      </w:r>
      <w:r>
        <w:rPr>
          <w:rFonts w:eastAsia="Times New Roman" w:cs="Arial"/>
          <w:color w:val="000000"/>
          <w:szCs w:val="18"/>
        </w:rPr>
        <w:t xml:space="preserve"> </w:t>
      </w:r>
      <w:r>
        <w:t>customers</w:t>
      </w:r>
      <w:r w:rsidRPr="009E5F87">
        <w:t xml:space="preserve"> enrolled in the program, which in aggregate </w:t>
      </w:r>
      <w:r>
        <w:t xml:space="preserve">had 142,283 </w:t>
      </w:r>
      <w:r w:rsidRPr="009E5F87">
        <w:t xml:space="preserve">tons of </w:t>
      </w:r>
      <w:r>
        <w:t>CAC</w:t>
      </w:r>
      <w:r w:rsidRPr="009E5F87">
        <w:t xml:space="preserve"> capacity.  </w:t>
      </w:r>
      <w:r w:rsidRPr="002F02E6">
        <w:t>About</w:t>
      </w:r>
      <w:r>
        <w:t xml:space="preserve"> 83%</w:t>
      </w:r>
      <w:r w:rsidRPr="009E5F87">
        <w:t xml:space="preserve"> of particip</w:t>
      </w:r>
      <w:r>
        <w:t>ants were residential customers who</w:t>
      </w:r>
      <w:r w:rsidRPr="009E5F87">
        <w:t xml:space="preserve"> accounted for </w:t>
      </w:r>
      <w:r>
        <w:t>69%</w:t>
      </w:r>
      <w:r w:rsidRPr="009E5F87">
        <w:t xml:space="preserve"> of the total tons of c</w:t>
      </w:r>
      <w:r>
        <w:t>ooling</w:t>
      </w:r>
      <w:r w:rsidRPr="009E5F87">
        <w:t xml:space="preserve"> subject</w:t>
      </w:r>
      <w:r>
        <w:t xml:space="preserve"> to control under the program.  About</w:t>
      </w:r>
      <w:r w:rsidRPr="009E5F87">
        <w:t xml:space="preserve"> </w:t>
      </w:r>
      <w:r>
        <w:t>53</w:t>
      </w:r>
      <w:r w:rsidRPr="009E5F87">
        <w:t xml:space="preserve">% of residential participants </w:t>
      </w:r>
      <w:r>
        <w:t xml:space="preserve">were on the 100% </w:t>
      </w:r>
      <w:r w:rsidRPr="009E5F87">
        <w:t>cycling option</w:t>
      </w:r>
      <w:r>
        <w:t xml:space="preserve"> and roughly</w:t>
      </w:r>
      <w:r w:rsidRPr="009E5F87">
        <w:t xml:space="preserve"> </w:t>
      </w:r>
      <w:r>
        <w:t>66</w:t>
      </w:r>
      <w:r w:rsidRPr="009E5F87">
        <w:t xml:space="preserve">% of commercial customers </w:t>
      </w:r>
      <w:r>
        <w:t xml:space="preserve">were on the 50% </w:t>
      </w:r>
      <w:r w:rsidRPr="009E5F87">
        <w:t>cycling option</w:t>
      </w:r>
      <w:r>
        <w:t>.</w:t>
      </w:r>
      <w:r w:rsidRPr="009E5F87">
        <w:t xml:space="preserve">  </w:t>
      </w:r>
      <w:r>
        <w:t xml:space="preserve">Summer Saver enrollment </w:t>
      </w:r>
      <w:r w:rsidRPr="005C09F1">
        <w:t xml:space="preserve">is expected to remain roughly constant in the </w:t>
      </w:r>
      <w:r>
        <w:t xml:space="preserve">immediate </w:t>
      </w:r>
      <w:r w:rsidRPr="005C09F1">
        <w:t>future.</w:t>
      </w:r>
    </w:p>
    <w:p w:rsidR="00203A5B" w:rsidRDefault="00203A5B" w:rsidP="00203A5B">
      <w:pPr>
        <w:pStyle w:val="TableFigureCaption"/>
      </w:pPr>
      <w:r w:rsidRPr="0059288A">
        <w:t>Table</w:t>
      </w:r>
      <w:r w:rsidRPr="005C09F1">
        <w:t xml:space="preserve"> 2-1:</w:t>
      </w:r>
      <w:r>
        <w:t xml:space="preserve"> </w:t>
      </w:r>
      <w:r w:rsidRPr="005C09F1">
        <w:t>Summer Saver Enrollment</w:t>
      </w:r>
      <w:r>
        <w:t>, November 2012</w:t>
      </w:r>
    </w:p>
    <w:tbl>
      <w:tblPr>
        <w:tblW w:w="5260" w:type="dxa"/>
        <w:jc w:val="center"/>
        <w:tblInd w:w="93" w:type="dxa"/>
        <w:tblLook w:val="04A0"/>
      </w:tblPr>
      <w:tblGrid>
        <w:gridCol w:w="1177"/>
        <w:gridCol w:w="939"/>
        <w:gridCol w:w="1261"/>
        <w:gridCol w:w="1017"/>
        <w:gridCol w:w="1017"/>
      </w:tblGrid>
      <w:tr w:rsidR="00203A5B" w:rsidRPr="0001777D" w:rsidTr="00203A5B">
        <w:trPr>
          <w:trHeight w:val="510"/>
          <w:jc w:val="center"/>
        </w:trPr>
        <w:tc>
          <w:tcPr>
            <w:tcW w:w="1120"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01777D" w:rsidRDefault="00203A5B" w:rsidP="00203A5B">
            <w:pPr>
              <w:pStyle w:val="TableHeader"/>
            </w:pPr>
            <w:r w:rsidRPr="0001777D">
              <w:t>Customer Type</w:t>
            </w:r>
          </w:p>
        </w:tc>
        <w:tc>
          <w:tcPr>
            <w:tcW w:w="760" w:type="dxa"/>
            <w:tcBorders>
              <w:top w:val="single" w:sz="4" w:space="0" w:color="auto"/>
              <w:left w:val="nil"/>
              <w:bottom w:val="single" w:sz="4" w:space="0" w:color="auto"/>
              <w:right w:val="single" w:sz="4" w:space="0" w:color="FFFFFF"/>
            </w:tcBorders>
            <w:shd w:val="clear" w:color="000000" w:fill="1F497D"/>
            <w:vAlign w:val="center"/>
            <w:hideMark/>
          </w:tcPr>
          <w:p w:rsidR="00203A5B" w:rsidRPr="0001777D" w:rsidRDefault="00203A5B" w:rsidP="00203A5B">
            <w:pPr>
              <w:pStyle w:val="TableHeader"/>
            </w:pPr>
            <w:r w:rsidRPr="0001777D">
              <w:t>Cycling Option</w:t>
            </w:r>
          </w:p>
        </w:tc>
        <w:tc>
          <w:tcPr>
            <w:tcW w:w="1060" w:type="dxa"/>
            <w:tcBorders>
              <w:top w:val="single" w:sz="4" w:space="0" w:color="auto"/>
              <w:left w:val="nil"/>
              <w:bottom w:val="single" w:sz="4" w:space="0" w:color="auto"/>
              <w:right w:val="single" w:sz="4" w:space="0" w:color="FFFFFF"/>
            </w:tcBorders>
            <w:shd w:val="clear" w:color="000000" w:fill="1F497D"/>
            <w:vAlign w:val="center"/>
            <w:hideMark/>
          </w:tcPr>
          <w:p w:rsidR="00203A5B" w:rsidRPr="0001777D" w:rsidRDefault="00203A5B" w:rsidP="00203A5B">
            <w:pPr>
              <w:pStyle w:val="TableHeader"/>
            </w:pPr>
            <w:r w:rsidRPr="0001777D">
              <w:t>Enrolled Customers</w:t>
            </w:r>
          </w:p>
        </w:tc>
        <w:tc>
          <w:tcPr>
            <w:tcW w:w="1500" w:type="dxa"/>
            <w:tcBorders>
              <w:top w:val="single" w:sz="4" w:space="0" w:color="auto"/>
              <w:left w:val="nil"/>
              <w:bottom w:val="single" w:sz="4" w:space="0" w:color="auto"/>
              <w:right w:val="single" w:sz="4" w:space="0" w:color="FFFFFF"/>
            </w:tcBorders>
            <w:shd w:val="clear" w:color="000000" w:fill="1F497D"/>
            <w:vAlign w:val="center"/>
            <w:hideMark/>
          </w:tcPr>
          <w:p w:rsidR="00203A5B" w:rsidRPr="0001777D" w:rsidRDefault="00203A5B" w:rsidP="00203A5B">
            <w:pPr>
              <w:pStyle w:val="TableHeader"/>
            </w:pPr>
            <w:r w:rsidRPr="0001777D">
              <w:t>Enrolled Control Devices</w:t>
            </w:r>
          </w:p>
        </w:tc>
        <w:tc>
          <w:tcPr>
            <w:tcW w:w="820" w:type="dxa"/>
            <w:tcBorders>
              <w:top w:val="single" w:sz="4" w:space="0" w:color="auto"/>
              <w:left w:val="nil"/>
              <w:bottom w:val="single" w:sz="4" w:space="0" w:color="auto"/>
              <w:right w:val="single" w:sz="4" w:space="0" w:color="auto"/>
            </w:tcBorders>
            <w:shd w:val="clear" w:color="000000" w:fill="1F497D"/>
            <w:vAlign w:val="center"/>
            <w:hideMark/>
          </w:tcPr>
          <w:p w:rsidR="00203A5B" w:rsidRPr="0001777D" w:rsidRDefault="00203A5B" w:rsidP="00203A5B">
            <w:pPr>
              <w:pStyle w:val="TableHeader"/>
            </w:pPr>
            <w:r w:rsidRPr="0001777D">
              <w:t>Enrolled Tons</w:t>
            </w:r>
          </w:p>
        </w:tc>
      </w:tr>
      <w:tr w:rsidR="00203A5B" w:rsidRPr="0001777D" w:rsidTr="00203A5B">
        <w:trPr>
          <w:trHeight w:val="300"/>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Commercial</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30%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1,621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203A5B" w:rsidRPr="0001777D" w:rsidRDefault="00203A5B" w:rsidP="00203A5B">
            <w:pPr>
              <w:pStyle w:val="TableText"/>
            </w:pPr>
            <w:r w:rsidRPr="0001777D">
              <w:t>4,031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15,091</w:t>
            </w:r>
          </w:p>
        </w:tc>
      </w:tr>
      <w:tr w:rsidR="00203A5B" w:rsidRPr="0001777D" w:rsidTr="00203A5B">
        <w:trPr>
          <w:trHeight w:val="300"/>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203A5B" w:rsidRPr="0001777D" w:rsidRDefault="00203A5B" w:rsidP="00203A5B">
            <w:pPr>
              <w:pStyle w:val="TableText"/>
            </w:pP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50%</w:t>
            </w:r>
          </w:p>
        </w:tc>
        <w:tc>
          <w:tcPr>
            <w:tcW w:w="10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3,150</w:t>
            </w:r>
          </w:p>
        </w:tc>
        <w:tc>
          <w:tcPr>
            <w:tcW w:w="1500" w:type="dxa"/>
            <w:tcBorders>
              <w:top w:val="nil"/>
              <w:left w:val="nil"/>
              <w:bottom w:val="single" w:sz="4" w:space="0" w:color="auto"/>
              <w:right w:val="single" w:sz="4" w:space="0" w:color="auto"/>
            </w:tcBorders>
            <w:shd w:val="clear" w:color="auto" w:fill="auto"/>
            <w:vAlign w:val="center"/>
            <w:hideMark/>
          </w:tcPr>
          <w:p w:rsidR="00203A5B" w:rsidRPr="0001777D" w:rsidRDefault="00203A5B" w:rsidP="00203A5B">
            <w:pPr>
              <w:pStyle w:val="TableText"/>
            </w:pPr>
            <w:r w:rsidRPr="0001777D">
              <w:t>7,635</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29,026</w:t>
            </w:r>
          </w:p>
        </w:tc>
      </w:tr>
      <w:tr w:rsidR="00203A5B" w:rsidRPr="0001777D" w:rsidTr="00203A5B">
        <w:trPr>
          <w:trHeight w:val="300"/>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203A5B" w:rsidRPr="0001777D" w:rsidRDefault="00203A5B" w:rsidP="00203A5B">
            <w:pPr>
              <w:pStyle w:val="TableText"/>
            </w:pP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Total</w:t>
            </w:r>
          </w:p>
        </w:tc>
        <w:tc>
          <w:tcPr>
            <w:tcW w:w="10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4,771</w:t>
            </w:r>
          </w:p>
        </w:tc>
        <w:tc>
          <w:tcPr>
            <w:tcW w:w="1500" w:type="dxa"/>
            <w:tcBorders>
              <w:top w:val="nil"/>
              <w:left w:val="nil"/>
              <w:bottom w:val="single" w:sz="4" w:space="0" w:color="auto"/>
              <w:right w:val="single" w:sz="4" w:space="0" w:color="auto"/>
            </w:tcBorders>
            <w:shd w:val="clear" w:color="auto" w:fill="auto"/>
            <w:vAlign w:val="center"/>
            <w:hideMark/>
          </w:tcPr>
          <w:p w:rsidR="00203A5B" w:rsidRPr="0001777D" w:rsidRDefault="00203A5B" w:rsidP="00203A5B">
            <w:pPr>
              <w:pStyle w:val="TableText"/>
            </w:pPr>
            <w:r w:rsidRPr="0001777D">
              <w:t>11,666</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44,117</w:t>
            </w:r>
          </w:p>
        </w:tc>
      </w:tr>
      <w:tr w:rsidR="00203A5B" w:rsidRPr="0001777D" w:rsidTr="00203A5B">
        <w:trPr>
          <w:trHeight w:val="30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Residential</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50%</w:t>
            </w:r>
          </w:p>
        </w:tc>
        <w:tc>
          <w:tcPr>
            <w:tcW w:w="10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10,678</w:t>
            </w:r>
          </w:p>
        </w:tc>
        <w:tc>
          <w:tcPr>
            <w:tcW w:w="1500" w:type="dxa"/>
            <w:tcBorders>
              <w:top w:val="nil"/>
              <w:left w:val="nil"/>
              <w:bottom w:val="single" w:sz="4" w:space="0" w:color="auto"/>
              <w:right w:val="single" w:sz="4" w:space="0" w:color="auto"/>
            </w:tcBorders>
            <w:shd w:val="clear" w:color="auto" w:fill="auto"/>
            <w:vAlign w:val="center"/>
            <w:hideMark/>
          </w:tcPr>
          <w:p w:rsidR="00203A5B" w:rsidRPr="0001777D" w:rsidRDefault="00203A5B" w:rsidP="00203A5B">
            <w:pPr>
              <w:pStyle w:val="TableText"/>
            </w:pPr>
            <w:r w:rsidRPr="0001777D">
              <w:t>12,541</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43,823</w:t>
            </w:r>
          </w:p>
        </w:tc>
      </w:tr>
      <w:tr w:rsidR="00203A5B" w:rsidRPr="0001777D" w:rsidTr="00203A5B">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203A5B" w:rsidRPr="0001777D" w:rsidRDefault="00203A5B" w:rsidP="00203A5B">
            <w:pPr>
              <w:pStyle w:val="TableText"/>
            </w:pP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100%</w:t>
            </w:r>
          </w:p>
        </w:tc>
        <w:tc>
          <w:tcPr>
            <w:tcW w:w="10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12,250</w:t>
            </w:r>
          </w:p>
        </w:tc>
        <w:tc>
          <w:tcPr>
            <w:tcW w:w="1500" w:type="dxa"/>
            <w:tcBorders>
              <w:top w:val="nil"/>
              <w:left w:val="nil"/>
              <w:bottom w:val="single" w:sz="4" w:space="0" w:color="auto"/>
              <w:right w:val="single" w:sz="4" w:space="0" w:color="auto"/>
            </w:tcBorders>
            <w:shd w:val="clear" w:color="auto" w:fill="auto"/>
            <w:vAlign w:val="center"/>
            <w:hideMark/>
          </w:tcPr>
          <w:p w:rsidR="00203A5B" w:rsidRPr="0001777D" w:rsidRDefault="00203A5B" w:rsidP="00203A5B">
            <w:pPr>
              <w:pStyle w:val="TableText"/>
            </w:pPr>
            <w:r w:rsidRPr="0001777D">
              <w:t>15,103</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54,343</w:t>
            </w:r>
          </w:p>
        </w:tc>
      </w:tr>
      <w:tr w:rsidR="00203A5B" w:rsidRPr="0001777D" w:rsidTr="00203A5B">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203A5B" w:rsidRPr="0001777D" w:rsidRDefault="00203A5B" w:rsidP="00203A5B">
            <w:pPr>
              <w:pStyle w:val="TableText"/>
            </w:pP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Total</w:t>
            </w:r>
          </w:p>
        </w:tc>
        <w:tc>
          <w:tcPr>
            <w:tcW w:w="10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22,928</w:t>
            </w:r>
          </w:p>
        </w:tc>
        <w:tc>
          <w:tcPr>
            <w:tcW w:w="1500" w:type="dxa"/>
            <w:tcBorders>
              <w:top w:val="nil"/>
              <w:left w:val="nil"/>
              <w:bottom w:val="single" w:sz="4" w:space="0" w:color="auto"/>
              <w:right w:val="single" w:sz="4" w:space="0" w:color="auto"/>
            </w:tcBorders>
            <w:shd w:val="clear" w:color="auto" w:fill="auto"/>
            <w:vAlign w:val="center"/>
            <w:hideMark/>
          </w:tcPr>
          <w:p w:rsidR="00203A5B" w:rsidRPr="0001777D" w:rsidRDefault="00203A5B" w:rsidP="00203A5B">
            <w:pPr>
              <w:pStyle w:val="TableText"/>
            </w:pPr>
            <w:r w:rsidRPr="0001777D">
              <w:t>27,644</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pPr>
            <w:r w:rsidRPr="0001777D">
              <w:t>98,166</w:t>
            </w:r>
          </w:p>
        </w:tc>
      </w:tr>
      <w:tr w:rsidR="00203A5B" w:rsidRPr="0001777D" w:rsidTr="00203A5B">
        <w:trPr>
          <w:trHeight w:val="300"/>
          <w:jc w:val="center"/>
        </w:trPr>
        <w:tc>
          <w:tcPr>
            <w:tcW w:w="1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01777D" w:rsidRDefault="00203A5B" w:rsidP="00203A5B">
            <w:pPr>
              <w:pStyle w:val="TableText"/>
              <w:rPr>
                <w:b/>
                <w:bCs/>
              </w:rPr>
            </w:pPr>
            <w:r w:rsidRPr="0001777D">
              <w:rPr>
                <w:b/>
                <w:bCs/>
              </w:rPr>
              <w:t>Grand Total</w:t>
            </w:r>
          </w:p>
        </w:tc>
        <w:tc>
          <w:tcPr>
            <w:tcW w:w="106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rPr>
                <w:b/>
                <w:bCs/>
              </w:rPr>
            </w:pPr>
            <w:r w:rsidRPr="0001777D">
              <w:rPr>
                <w:b/>
                <w:bCs/>
              </w:rPr>
              <w:t>27,699</w:t>
            </w:r>
          </w:p>
        </w:tc>
        <w:tc>
          <w:tcPr>
            <w:tcW w:w="1500" w:type="dxa"/>
            <w:tcBorders>
              <w:top w:val="nil"/>
              <w:left w:val="nil"/>
              <w:bottom w:val="single" w:sz="4" w:space="0" w:color="auto"/>
              <w:right w:val="single" w:sz="4" w:space="0" w:color="auto"/>
            </w:tcBorders>
            <w:shd w:val="clear" w:color="auto" w:fill="auto"/>
            <w:vAlign w:val="center"/>
            <w:hideMark/>
          </w:tcPr>
          <w:p w:rsidR="00203A5B" w:rsidRPr="0001777D" w:rsidRDefault="00203A5B" w:rsidP="00203A5B">
            <w:pPr>
              <w:pStyle w:val="TableText"/>
              <w:rPr>
                <w:b/>
                <w:bCs/>
              </w:rPr>
            </w:pPr>
            <w:r w:rsidRPr="0001777D">
              <w:rPr>
                <w:b/>
                <w:bCs/>
              </w:rPr>
              <w:t>39,310</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01777D" w:rsidRDefault="00203A5B" w:rsidP="00203A5B">
            <w:pPr>
              <w:pStyle w:val="TableText"/>
              <w:rPr>
                <w:b/>
                <w:bCs/>
              </w:rPr>
            </w:pPr>
            <w:r w:rsidRPr="0001777D">
              <w:rPr>
                <w:b/>
                <w:bCs/>
              </w:rPr>
              <w:t>142,283</w:t>
            </w:r>
          </w:p>
        </w:tc>
      </w:tr>
    </w:tbl>
    <w:p w:rsidR="00203A5B" w:rsidRPr="00D34C82" w:rsidRDefault="00203A5B" w:rsidP="00203A5B">
      <w:pPr>
        <w:pStyle w:val="Heading2"/>
        <w:spacing w:before="360"/>
      </w:pPr>
      <w:bookmarkStart w:id="7" w:name="_Toc349548894"/>
      <w:bookmarkStart w:id="8" w:name="_Toc350953024"/>
      <w:r>
        <w:t xml:space="preserve">Ex Post Load </w:t>
      </w:r>
      <w:r w:rsidRPr="00203A5B">
        <w:t>Impact</w:t>
      </w:r>
      <w:r>
        <w:t xml:space="preserve"> Estimates</w:t>
      </w:r>
      <w:bookmarkEnd w:id="7"/>
      <w:bookmarkEnd w:id="8"/>
    </w:p>
    <w:p w:rsidR="00203A5B" w:rsidRDefault="00203A5B" w:rsidP="00203A5B">
      <w:pPr>
        <w:pStyle w:val="BodyParagraph"/>
      </w:pPr>
      <w:r>
        <w:t xml:space="preserve">Eight Summer Saver events were called in 2012.  The events ranged in length from 2 to 4 hours and were called as early as 12 PM and as late as 4 </w:t>
      </w:r>
      <w:r w:rsidR="00DC1B21">
        <w:t>PM</w:t>
      </w:r>
      <w:r>
        <w:t xml:space="preserve">.  Table 2-2 shows the load impacts (averaged across each event hour) for each 2012 event day for residential customers and the ex post impact estimates from 2011 for comparison.  In 2012, Summer Saver residential customers delivered an average aggregate load reduction over the </w:t>
      </w:r>
      <w:r w:rsidR="00DC1B21">
        <w:t xml:space="preserve">8 </w:t>
      </w:r>
      <w:r>
        <w:t xml:space="preserve">events of 16 MW.  Residential impacts ranged from a low of 9 MW on September 15, to a high of 19 MW on August 13 and September 14.  The September 15 event was only called for residential customers who are signed up for both weekday and weekend events, 6,381 customers, or about 28% of the residential Summer Saver population.  There were 1,379 residential customers in the sample used to calculate ex post impacts.  </w:t>
      </w:r>
    </w:p>
    <w:p w:rsidR="00E11AF5" w:rsidRDefault="00E11AF5" w:rsidP="00203A5B">
      <w:pPr>
        <w:pStyle w:val="BodyParagraph"/>
      </w:pPr>
    </w:p>
    <w:p w:rsidR="00203A5B" w:rsidRDefault="00203A5B" w:rsidP="00203A5B">
      <w:pPr>
        <w:pStyle w:val="TableFigureCaption"/>
      </w:pPr>
      <w:r>
        <w:t xml:space="preserve">Table 2-2: </w:t>
      </w:r>
      <w:r w:rsidRPr="00174B6C">
        <w:t>Summer Saver Residential Ex Post Impact Estimates</w:t>
      </w:r>
    </w:p>
    <w:tbl>
      <w:tblPr>
        <w:tblW w:w="9580" w:type="dxa"/>
        <w:jc w:val="center"/>
        <w:tblInd w:w="93" w:type="dxa"/>
        <w:tblLook w:val="04A0"/>
      </w:tblPr>
      <w:tblGrid>
        <w:gridCol w:w="960"/>
        <w:gridCol w:w="1180"/>
        <w:gridCol w:w="1873"/>
        <w:gridCol w:w="1764"/>
        <w:gridCol w:w="1643"/>
        <w:gridCol w:w="2160"/>
      </w:tblGrid>
      <w:tr w:rsidR="00203A5B" w:rsidRPr="009A6CBA" w:rsidTr="00203A5B">
        <w:trPr>
          <w:trHeight w:val="300"/>
          <w:jc w:val="center"/>
        </w:trPr>
        <w:tc>
          <w:tcPr>
            <w:tcW w:w="96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9A6CBA" w:rsidRDefault="00203A5B" w:rsidP="00203A5B">
            <w:pPr>
              <w:pStyle w:val="TableHeader"/>
            </w:pPr>
            <w:r w:rsidRPr="009A6CBA">
              <w:t>Year</w:t>
            </w:r>
          </w:p>
        </w:tc>
        <w:tc>
          <w:tcPr>
            <w:tcW w:w="1180" w:type="dxa"/>
            <w:vMerge w:val="restart"/>
            <w:tcBorders>
              <w:top w:val="single" w:sz="4" w:space="0" w:color="auto"/>
              <w:left w:val="single" w:sz="4" w:space="0" w:color="FFFFFF"/>
              <w:bottom w:val="single" w:sz="4" w:space="0" w:color="000000"/>
              <w:right w:val="single" w:sz="4" w:space="0" w:color="FFFFFF"/>
            </w:tcBorders>
            <w:shd w:val="clear" w:color="000000" w:fill="1F497D"/>
            <w:noWrap/>
            <w:vAlign w:val="center"/>
            <w:hideMark/>
          </w:tcPr>
          <w:p w:rsidR="00203A5B" w:rsidRPr="009A6CBA" w:rsidRDefault="00203A5B" w:rsidP="00203A5B">
            <w:pPr>
              <w:pStyle w:val="TableHeader"/>
            </w:pPr>
            <w:r w:rsidRPr="009A6CBA">
              <w:t>Date</w:t>
            </w:r>
          </w:p>
        </w:tc>
        <w:tc>
          <w:tcPr>
            <w:tcW w:w="5280" w:type="dxa"/>
            <w:gridSpan w:val="3"/>
            <w:tcBorders>
              <w:top w:val="single" w:sz="4" w:space="0" w:color="auto"/>
              <w:left w:val="nil"/>
              <w:bottom w:val="single" w:sz="4" w:space="0" w:color="FFFFFF"/>
              <w:right w:val="single" w:sz="4" w:space="0" w:color="FFFFFF"/>
            </w:tcBorders>
            <w:shd w:val="clear" w:color="000000" w:fill="1F497D"/>
            <w:noWrap/>
            <w:vAlign w:val="center"/>
            <w:hideMark/>
          </w:tcPr>
          <w:p w:rsidR="00203A5B" w:rsidRPr="009A6CBA" w:rsidRDefault="00203A5B" w:rsidP="00203A5B">
            <w:pPr>
              <w:pStyle w:val="TableHeader"/>
            </w:pPr>
            <w:r w:rsidRPr="009A6CBA">
              <w:t>Impact</w:t>
            </w:r>
          </w:p>
        </w:tc>
        <w:tc>
          <w:tcPr>
            <w:tcW w:w="2160"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9A6CBA" w:rsidRDefault="00203A5B" w:rsidP="00203A5B">
            <w:pPr>
              <w:pStyle w:val="TableHeader"/>
              <w:rPr>
                <w:sz w:val="18"/>
                <w:szCs w:val="18"/>
              </w:rPr>
            </w:pPr>
            <w:r w:rsidRPr="009A6CBA">
              <w:rPr>
                <w:sz w:val="18"/>
                <w:szCs w:val="18"/>
              </w:rPr>
              <w:t>Temperature During Event</w:t>
            </w:r>
          </w:p>
        </w:tc>
      </w:tr>
      <w:tr w:rsidR="00203A5B" w:rsidRPr="009A6CBA" w:rsidTr="00203A5B">
        <w:trPr>
          <w:trHeight w:val="300"/>
          <w:jc w:val="center"/>
        </w:trPr>
        <w:tc>
          <w:tcPr>
            <w:tcW w:w="960" w:type="dxa"/>
            <w:vMerge/>
            <w:tcBorders>
              <w:top w:val="single" w:sz="4" w:space="0" w:color="auto"/>
              <w:left w:val="single" w:sz="4" w:space="0" w:color="auto"/>
              <w:bottom w:val="single" w:sz="4" w:space="0" w:color="000000"/>
              <w:right w:val="single" w:sz="4" w:space="0" w:color="FFFFFF"/>
            </w:tcBorders>
            <w:vAlign w:val="center"/>
            <w:hideMark/>
          </w:tcPr>
          <w:p w:rsidR="00203A5B" w:rsidRPr="009A6CBA" w:rsidRDefault="00203A5B" w:rsidP="00203A5B">
            <w:pPr>
              <w:pStyle w:val="TableHeader"/>
            </w:pPr>
          </w:p>
        </w:tc>
        <w:tc>
          <w:tcPr>
            <w:tcW w:w="1180" w:type="dxa"/>
            <w:vMerge/>
            <w:tcBorders>
              <w:top w:val="single" w:sz="4" w:space="0" w:color="auto"/>
              <w:left w:val="single" w:sz="4" w:space="0" w:color="FFFFFF"/>
              <w:bottom w:val="single" w:sz="4" w:space="0" w:color="000000"/>
              <w:right w:val="single" w:sz="4" w:space="0" w:color="FFFFFF"/>
            </w:tcBorders>
            <w:vAlign w:val="center"/>
            <w:hideMark/>
          </w:tcPr>
          <w:p w:rsidR="00203A5B" w:rsidRPr="009A6CBA" w:rsidRDefault="00203A5B" w:rsidP="00203A5B">
            <w:pPr>
              <w:pStyle w:val="TableHeader"/>
            </w:pPr>
          </w:p>
        </w:tc>
        <w:tc>
          <w:tcPr>
            <w:tcW w:w="1873" w:type="dxa"/>
            <w:tcBorders>
              <w:top w:val="nil"/>
              <w:left w:val="nil"/>
              <w:bottom w:val="single" w:sz="4" w:space="0" w:color="auto"/>
              <w:right w:val="single" w:sz="4" w:space="0" w:color="FFFFFF"/>
            </w:tcBorders>
            <w:shd w:val="clear" w:color="000000" w:fill="1F497D"/>
            <w:noWrap/>
            <w:vAlign w:val="center"/>
            <w:hideMark/>
          </w:tcPr>
          <w:p w:rsidR="00203A5B" w:rsidRPr="009A6CBA" w:rsidRDefault="00203A5B" w:rsidP="00203A5B">
            <w:pPr>
              <w:pStyle w:val="TableHeader"/>
            </w:pPr>
            <w:r w:rsidRPr="009A6CBA">
              <w:t>Per CAC Unit (kW)</w:t>
            </w:r>
          </w:p>
        </w:tc>
        <w:tc>
          <w:tcPr>
            <w:tcW w:w="1764" w:type="dxa"/>
            <w:tcBorders>
              <w:top w:val="nil"/>
              <w:left w:val="nil"/>
              <w:bottom w:val="single" w:sz="4" w:space="0" w:color="auto"/>
              <w:right w:val="single" w:sz="4" w:space="0" w:color="FFFFFF"/>
            </w:tcBorders>
            <w:shd w:val="clear" w:color="000000" w:fill="1F497D"/>
            <w:noWrap/>
            <w:vAlign w:val="center"/>
            <w:hideMark/>
          </w:tcPr>
          <w:p w:rsidR="00203A5B" w:rsidRPr="009A6CBA" w:rsidRDefault="00203A5B" w:rsidP="00203A5B">
            <w:pPr>
              <w:pStyle w:val="TableHeader"/>
            </w:pPr>
            <w:r w:rsidRPr="009A6CBA">
              <w:t>Per Premise (kW)</w:t>
            </w:r>
          </w:p>
        </w:tc>
        <w:tc>
          <w:tcPr>
            <w:tcW w:w="1643" w:type="dxa"/>
            <w:tcBorders>
              <w:top w:val="nil"/>
              <w:left w:val="nil"/>
              <w:bottom w:val="single" w:sz="4" w:space="0" w:color="auto"/>
              <w:right w:val="single" w:sz="4" w:space="0" w:color="FFFFFF"/>
            </w:tcBorders>
            <w:shd w:val="clear" w:color="000000" w:fill="1F497D"/>
            <w:noWrap/>
            <w:vAlign w:val="center"/>
            <w:hideMark/>
          </w:tcPr>
          <w:p w:rsidR="00203A5B" w:rsidRPr="009A6CBA" w:rsidRDefault="00203A5B" w:rsidP="00203A5B">
            <w:pPr>
              <w:pStyle w:val="TableHeader"/>
            </w:pPr>
            <w:r w:rsidRPr="009A6CBA">
              <w:t>Aggregate (MW)</w:t>
            </w:r>
          </w:p>
        </w:tc>
        <w:tc>
          <w:tcPr>
            <w:tcW w:w="2160" w:type="dxa"/>
            <w:vMerge/>
            <w:tcBorders>
              <w:top w:val="single" w:sz="4" w:space="0" w:color="auto"/>
              <w:left w:val="single" w:sz="4" w:space="0" w:color="FFFFFF"/>
              <w:bottom w:val="single" w:sz="4" w:space="0" w:color="000000"/>
              <w:right w:val="single" w:sz="4" w:space="0" w:color="auto"/>
            </w:tcBorders>
            <w:vAlign w:val="center"/>
            <w:hideMark/>
          </w:tcPr>
          <w:p w:rsidR="00203A5B" w:rsidRPr="009A6CBA" w:rsidRDefault="00203A5B" w:rsidP="00203A5B">
            <w:pPr>
              <w:pStyle w:val="TableHeader"/>
              <w:rPr>
                <w:sz w:val="18"/>
                <w:szCs w:val="18"/>
              </w:rPr>
            </w:pPr>
          </w:p>
        </w:tc>
      </w:tr>
      <w:tr w:rsidR="00203A5B" w:rsidRPr="009A6CBA" w:rsidTr="00203A5B">
        <w:trPr>
          <w:trHeight w:val="300"/>
          <w:jc w:val="center"/>
        </w:trPr>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3A5B" w:rsidRPr="009A6CBA" w:rsidRDefault="00203A5B" w:rsidP="00203A5B">
            <w:pPr>
              <w:pStyle w:val="TableText"/>
            </w:pPr>
            <w:r w:rsidRPr="009A6CBA">
              <w:t>2011</w:t>
            </w: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26-Aug-11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0.34</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0.41</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10</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85</w:t>
            </w:r>
          </w:p>
        </w:tc>
      </w:tr>
      <w:tr w:rsidR="00203A5B" w:rsidRPr="009A6CBA"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A6CBA" w:rsidRDefault="00203A5B" w:rsidP="00203A5B">
            <w:pPr>
              <w:pStyle w:val="TableText"/>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7-Sep-11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0.64</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0.77</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19</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90</w:t>
            </w:r>
          </w:p>
        </w:tc>
      </w:tr>
      <w:tr w:rsidR="00203A5B" w:rsidRPr="009A6CBA"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A6CBA" w:rsidRDefault="00203A5B" w:rsidP="00203A5B">
            <w:pPr>
              <w:pStyle w:val="TableText"/>
            </w:pPr>
          </w:p>
        </w:tc>
        <w:tc>
          <w:tcPr>
            <w:tcW w:w="1180" w:type="dxa"/>
            <w:tcBorders>
              <w:top w:val="nil"/>
              <w:left w:val="nil"/>
              <w:bottom w:val="nil"/>
              <w:right w:val="nil"/>
            </w:tcBorders>
            <w:shd w:val="clear" w:color="auto" w:fill="auto"/>
            <w:noWrap/>
            <w:vAlign w:val="center"/>
            <w:hideMark/>
          </w:tcPr>
          <w:p w:rsidR="00203A5B" w:rsidRPr="009A6CBA" w:rsidRDefault="00203A5B" w:rsidP="00203A5B">
            <w:pPr>
              <w:pStyle w:val="TableText"/>
              <w:rPr>
                <w:rFonts w:cs="Calibri"/>
              </w:rPr>
            </w:pPr>
            <w:bookmarkStart w:id="9" w:name="RANGE!C6"/>
            <w:r w:rsidRPr="009A6CBA">
              <w:rPr>
                <w:rFonts w:cs="Calibri"/>
              </w:rPr>
              <w:t>8-Sep-11</w:t>
            </w:r>
            <w:bookmarkEnd w:id="9"/>
          </w:p>
        </w:tc>
        <w:tc>
          <w:tcPr>
            <w:tcW w:w="1873" w:type="dxa"/>
            <w:tcBorders>
              <w:top w:val="nil"/>
              <w:left w:val="single" w:sz="4" w:space="0" w:color="auto"/>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0.66</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0.79</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19</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93</w:t>
            </w:r>
          </w:p>
        </w:tc>
      </w:tr>
      <w:tr w:rsidR="00203A5B" w:rsidRPr="009A6CBA"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A6CBA" w:rsidRDefault="00203A5B" w:rsidP="00203A5B">
            <w:pPr>
              <w:pStyle w:val="TableText"/>
            </w:pP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9-Sep-11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0.2</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0.24</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6</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73</w:t>
            </w:r>
          </w:p>
        </w:tc>
      </w:tr>
      <w:tr w:rsidR="00203A5B" w:rsidRPr="009A6CBA"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A6CBA" w:rsidRDefault="00203A5B" w:rsidP="00203A5B">
            <w:pPr>
              <w:pStyle w:val="TableText"/>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12-Oct-11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0.4</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0.49</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12</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93</w:t>
            </w:r>
          </w:p>
        </w:tc>
      </w:tr>
      <w:tr w:rsidR="00203A5B" w:rsidRPr="009A6CBA"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A6CBA" w:rsidRDefault="00203A5B" w:rsidP="00203A5B">
            <w:pPr>
              <w:pStyle w:val="TableText"/>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13-Oct-11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0.62</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0.74</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18</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89</w:t>
            </w:r>
          </w:p>
        </w:tc>
      </w:tr>
      <w:tr w:rsidR="00203A5B" w:rsidRPr="009A6CBA" w:rsidTr="00203A5B">
        <w:trPr>
          <w:trHeight w:val="315"/>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A6CBA" w:rsidRDefault="00203A5B" w:rsidP="00203A5B">
            <w:pPr>
              <w:pStyle w:val="TableText"/>
            </w:pPr>
          </w:p>
        </w:tc>
        <w:tc>
          <w:tcPr>
            <w:tcW w:w="1180" w:type="dxa"/>
            <w:tcBorders>
              <w:top w:val="nil"/>
              <w:left w:val="nil"/>
              <w:bottom w:val="single" w:sz="8" w:space="0" w:color="auto"/>
              <w:right w:val="single" w:sz="4" w:space="0" w:color="auto"/>
            </w:tcBorders>
            <w:shd w:val="clear" w:color="auto" w:fill="auto"/>
            <w:noWrap/>
            <w:vAlign w:val="center"/>
            <w:hideMark/>
          </w:tcPr>
          <w:p w:rsidR="00203A5B" w:rsidRPr="009A6CBA" w:rsidRDefault="00203A5B" w:rsidP="00203A5B">
            <w:pPr>
              <w:pStyle w:val="TableText"/>
            </w:pPr>
            <w:r w:rsidRPr="009A6CBA">
              <w:t>Average</w:t>
            </w:r>
          </w:p>
        </w:tc>
        <w:tc>
          <w:tcPr>
            <w:tcW w:w="1873" w:type="dxa"/>
            <w:tcBorders>
              <w:top w:val="nil"/>
              <w:left w:val="nil"/>
              <w:bottom w:val="single" w:sz="8" w:space="0" w:color="auto"/>
              <w:right w:val="single" w:sz="4" w:space="0" w:color="auto"/>
            </w:tcBorders>
            <w:shd w:val="clear" w:color="auto" w:fill="auto"/>
            <w:noWrap/>
            <w:vAlign w:val="center"/>
            <w:hideMark/>
          </w:tcPr>
          <w:p w:rsidR="00203A5B" w:rsidRPr="009A6CBA" w:rsidRDefault="00203A5B" w:rsidP="00203A5B">
            <w:pPr>
              <w:pStyle w:val="TableText"/>
            </w:pPr>
            <w:r w:rsidRPr="009A6CBA">
              <w:t>0.48</w:t>
            </w:r>
          </w:p>
        </w:tc>
        <w:tc>
          <w:tcPr>
            <w:tcW w:w="1764" w:type="dxa"/>
            <w:tcBorders>
              <w:top w:val="nil"/>
              <w:left w:val="nil"/>
              <w:bottom w:val="single" w:sz="8" w:space="0" w:color="auto"/>
              <w:right w:val="single" w:sz="4" w:space="0" w:color="auto"/>
            </w:tcBorders>
            <w:shd w:val="clear" w:color="auto" w:fill="auto"/>
            <w:noWrap/>
            <w:vAlign w:val="center"/>
            <w:hideMark/>
          </w:tcPr>
          <w:p w:rsidR="00203A5B" w:rsidRPr="009A6CBA" w:rsidRDefault="00203A5B" w:rsidP="00203A5B">
            <w:pPr>
              <w:pStyle w:val="TableText"/>
            </w:pPr>
            <w:r w:rsidRPr="009A6CBA">
              <w:t>0.57</w:t>
            </w:r>
          </w:p>
        </w:tc>
        <w:tc>
          <w:tcPr>
            <w:tcW w:w="1643" w:type="dxa"/>
            <w:tcBorders>
              <w:top w:val="nil"/>
              <w:left w:val="nil"/>
              <w:bottom w:val="single" w:sz="8" w:space="0" w:color="auto"/>
              <w:right w:val="single" w:sz="4" w:space="0" w:color="auto"/>
            </w:tcBorders>
            <w:shd w:val="clear" w:color="auto" w:fill="auto"/>
            <w:noWrap/>
            <w:vAlign w:val="center"/>
            <w:hideMark/>
          </w:tcPr>
          <w:p w:rsidR="00203A5B" w:rsidRPr="009A6CBA" w:rsidRDefault="00203A5B" w:rsidP="00203A5B">
            <w:pPr>
              <w:pStyle w:val="TableText"/>
            </w:pPr>
            <w:r w:rsidRPr="009A6CBA">
              <w:t>14</w:t>
            </w:r>
          </w:p>
        </w:tc>
        <w:tc>
          <w:tcPr>
            <w:tcW w:w="2160" w:type="dxa"/>
            <w:tcBorders>
              <w:top w:val="nil"/>
              <w:left w:val="nil"/>
              <w:bottom w:val="single" w:sz="8" w:space="0" w:color="auto"/>
              <w:right w:val="single" w:sz="4" w:space="0" w:color="auto"/>
            </w:tcBorders>
            <w:shd w:val="clear" w:color="auto" w:fill="auto"/>
            <w:noWrap/>
            <w:vAlign w:val="center"/>
            <w:hideMark/>
          </w:tcPr>
          <w:p w:rsidR="00203A5B" w:rsidRPr="009A6CBA" w:rsidRDefault="00203A5B" w:rsidP="00203A5B">
            <w:pPr>
              <w:pStyle w:val="TableText"/>
            </w:pPr>
            <w:r w:rsidRPr="009A6CBA">
              <w:t>87</w:t>
            </w:r>
          </w:p>
        </w:tc>
      </w:tr>
      <w:tr w:rsidR="00203A5B" w:rsidRPr="009A6CBA" w:rsidTr="00203A5B">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2012</w:t>
            </w: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8-Aug-12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0.47</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0.55</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13</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86</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10-Aug-12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0.55</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0.65</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15</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82</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13-Aug-12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0.70</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0.83</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19</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88</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17-Aug-12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0.62</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0.73</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17</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87</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13-Sep-12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0.45</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0.53</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12</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80</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14-Sep-12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0.69</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0.81</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19</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100</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15-Sep-12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1.18</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1.35</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9</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95</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1-Oct-12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0.54</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0.64</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15</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86</w:t>
            </w:r>
          </w:p>
        </w:tc>
      </w:tr>
      <w:tr w:rsidR="00203A5B" w:rsidRPr="009A6CBA"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A6CBA"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pPr>
            <w:r w:rsidRPr="009A6CBA">
              <w:t>Average*</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0.61</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0.72</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16</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A6CBA" w:rsidRDefault="00203A5B" w:rsidP="00203A5B">
            <w:pPr>
              <w:pStyle w:val="TableText"/>
              <w:rPr>
                <w:rFonts w:cs="Calibri"/>
              </w:rPr>
            </w:pPr>
            <w:r w:rsidRPr="009A6CBA">
              <w:rPr>
                <w:rFonts w:cs="Calibri"/>
              </w:rPr>
              <w:t>89</w:t>
            </w:r>
          </w:p>
        </w:tc>
      </w:tr>
      <w:tr w:rsidR="00203A5B" w:rsidRPr="009A6CBA" w:rsidTr="00203A5B">
        <w:trPr>
          <w:trHeight w:val="300"/>
          <w:jc w:val="center"/>
        </w:trPr>
        <w:tc>
          <w:tcPr>
            <w:tcW w:w="7420" w:type="dxa"/>
            <w:gridSpan w:val="5"/>
            <w:tcBorders>
              <w:top w:val="nil"/>
              <w:left w:val="nil"/>
              <w:bottom w:val="nil"/>
              <w:right w:val="nil"/>
            </w:tcBorders>
            <w:shd w:val="clear" w:color="auto" w:fill="auto"/>
            <w:noWrap/>
            <w:vAlign w:val="center"/>
            <w:hideMark/>
          </w:tcPr>
          <w:p w:rsidR="00E03387" w:rsidRDefault="00203A5B">
            <w:pPr>
              <w:pStyle w:val="Footnote"/>
            </w:pPr>
            <w:r w:rsidRPr="009A6CBA">
              <w:t>*reflects the average 2-hour event from 2-4 PM, omitting the Aug. 10 and Sept. 15 events.</w:t>
            </w:r>
          </w:p>
        </w:tc>
        <w:tc>
          <w:tcPr>
            <w:tcW w:w="2160" w:type="dxa"/>
            <w:tcBorders>
              <w:top w:val="nil"/>
              <w:left w:val="nil"/>
              <w:bottom w:val="nil"/>
              <w:right w:val="nil"/>
            </w:tcBorders>
            <w:shd w:val="clear" w:color="auto" w:fill="auto"/>
            <w:noWrap/>
            <w:vAlign w:val="bottom"/>
            <w:hideMark/>
          </w:tcPr>
          <w:p w:rsidR="00203A5B" w:rsidRPr="009A6CBA" w:rsidRDefault="00203A5B" w:rsidP="00203A5B">
            <w:pPr>
              <w:spacing w:after="0" w:line="240" w:lineRule="auto"/>
              <w:rPr>
                <w:rFonts w:eastAsia="Times New Roman" w:cs="Calibri"/>
                <w:color w:val="000000"/>
              </w:rPr>
            </w:pPr>
          </w:p>
        </w:tc>
      </w:tr>
    </w:tbl>
    <w:p w:rsidR="00203A5B" w:rsidRDefault="00203A5B" w:rsidP="00203A5B">
      <w:pPr>
        <w:pStyle w:val="BodyParaAfterTableFigure"/>
      </w:pPr>
      <w:r w:rsidRPr="00203A5B">
        <w:t>Table</w:t>
      </w:r>
      <w:r>
        <w:t xml:space="preserve"> 2-3 shows ex post load impact estimates for commercial customers for each 2012 event day and ex post estimates for 2011 events for comparison.  Aggregate load impacts varied from a low of about 1 MW on August 8, September 13 and September 15 to a high of roughly 6 MW on August 17.  The average event impact across all of the 2012 weekday events from 2-4 PM was 0.61 kW per premise, which translated to about 3 MW for the 4,771 customers in the commercial population.  There were 393 commercial customers in the sample used to calculate ex post impacts.  </w:t>
      </w:r>
      <w:r>
        <w:br w:type="page"/>
      </w:r>
    </w:p>
    <w:p w:rsidR="00203A5B" w:rsidRDefault="00203A5B" w:rsidP="00203A5B">
      <w:pPr>
        <w:pStyle w:val="TableFigureCaption"/>
      </w:pPr>
      <w:r>
        <w:t>Table 2-3</w:t>
      </w:r>
      <w:r w:rsidRPr="00174B6C">
        <w:t>:</w:t>
      </w:r>
      <w:r>
        <w:t xml:space="preserve"> </w:t>
      </w:r>
      <w:r w:rsidRPr="00174B6C">
        <w:t xml:space="preserve">Summer Saver </w:t>
      </w:r>
      <w:r>
        <w:t>Commercial</w:t>
      </w:r>
      <w:r w:rsidRPr="00174B6C">
        <w:t xml:space="preserve"> Ex Post Impact Estimate</w:t>
      </w:r>
      <w:r>
        <w:t>s</w:t>
      </w:r>
    </w:p>
    <w:tbl>
      <w:tblPr>
        <w:tblW w:w="9580" w:type="dxa"/>
        <w:jc w:val="center"/>
        <w:tblInd w:w="93" w:type="dxa"/>
        <w:tblLook w:val="04A0"/>
      </w:tblPr>
      <w:tblGrid>
        <w:gridCol w:w="960"/>
        <w:gridCol w:w="1180"/>
        <w:gridCol w:w="1873"/>
        <w:gridCol w:w="1764"/>
        <w:gridCol w:w="1643"/>
        <w:gridCol w:w="2160"/>
      </w:tblGrid>
      <w:tr w:rsidR="00203A5B" w:rsidRPr="009C5690" w:rsidTr="00203A5B">
        <w:trPr>
          <w:trHeight w:val="300"/>
          <w:jc w:val="center"/>
        </w:trPr>
        <w:tc>
          <w:tcPr>
            <w:tcW w:w="96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9C5690" w:rsidRDefault="00203A5B" w:rsidP="00203A5B">
            <w:pPr>
              <w:pStyle w:val="TableHeader"/>
            </w:pPr>
            <w:r w:rsidRPr="009C5690">
              <w:t>Year</w:t>
            </w:r>
          </w:p>
        </w:tc>
        <w:tc>
          <w:tcPr>
            <w:tcW w:w="1180" w:type="dxa"/>
            <w:vMerge w:val="restart"/>
            <w:tcBorders>
              <w:top w:val="single" w:sz="4" w:space="0" w:color="auto"/>
              <w:left w:val="single" w:sz="4" w:space="0" w:color="FFFFFF"/>
              <w:bottom w:val="single" w:sz="4" w:space="0" w:color="000000"/>
              <w:right w:val="single" w:sz="4" w:space="0" w:color="FFFFFF"/>
            </w:tcBorders>
            <w:shd w:val="clear" w:color="000000" w:fill="1F497D"/>
            <w:noWrap/>
            <w:vAlign w:val="center"/>
            <w:hideMark/>
          </w:tcPr>
          <w:p w:rsidR="00203A5B" w:rsidRPr="009C5690" w:rsidRDefault="00203A5B" w:rsidP="00203A5B">
            <w:pPr>
              <w:pStyle w:val="TableHeader"/>
            </w:pPr>
            <w:r w:rsidRPr="009C5690">
              <w:t>Date</w:t>
            </w:r>
          </w:p>
        </w:tc>
        <w:tc>
          <w:tcPr>
            <w:tcW w:w="5280" w:type="dxa"/>
            <w:gridSpan w:val="3"/>
            <w:tcBorders>
              <w:top w:val="single" w:sz="4" w:space="0" w:color="auto"/>
              <w:left w:val="nil"/>
              <w:bottom w:val="single" w:sz="4" w:space="0" w:color="FFFFFF"/>
              <w:right w:val="single" w:sz="4" w:space="0" w:color="FFFFFF"/>
            </w:tcBorders>
            <w:shd w:val="clear" w:color="000000" w:fill="1F497D"/>
            <w:noWrap/>
            <w:vAlign w:val="center"/>
            <w:hideMark/>
          </w:tcPr>
          <w:p w:rsidR="00203A5B" w:rsidRPr="009C5690" w:rsidRDefault="00203A5B" w:rsidP="00203A5B">
            <w:pPr>
              <w:pStyle w:val="TableHeader"/>
            </w:pPr>
            <w:r w:rsidRPr="009C5690">
              <w:t>Impact</w:t>
            </w:r>
          </w:p>
        </w:tc>
        <w:tc>
          <w:tcPr>
            <w:tcW w:w="2160"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9C5690" w:rsidRDefault="00203A5B" w:rsidP="00203A5B">
            <w:pPr>
              <w:pStyle w:val="TableHeader"/>
              <w:rPr>
                <w:sz w:val="18"/>
                <w:szCs w:val="18"/>
              </w:rPr>
            </w:pPr>
            <w:r w:rsidRPr="009C5690">
              <w:rPr>
                <w:sz w:val="18"/>
                <w:szCs w:val="18"/>
              </w:rPr>
              <w:t>Temperature During Event</w:t>
            </w:r>
          </w:p>
        </w:tc>
      </w:tr>
      <w:tr w:rsidR="00203A5B" w:rsidRPr="009C5690" w:rsidTr="00203A5B">
        <w:trPr>
          <w:trHeight w:val="300"/>
          <w:jc w:val="center"/>
        </w:trPr>
        <w:tc>
          <w:tcPr>
            <w:tcW w:w="960" w:type="dxa"/>
            <w:vMerge/>
            <w:tcBorders>
              <w:top w:val="single" w:sz="4" w:space="0" w:color="auto"/>
              <w:left w:val="single" w:sz="4" w:space="0" w:color="auto"/>
              <w:bottom w:val="single" w:sz="4" w:space="0" w:color="000000"/>
              <w:right w:val="single" w:sz="4" w:space="0" w:color="FFFFFF"/>
            </w:tcBorders>
            <w:vAlign w:val="center"/>
            <w:hideMark/>
          </w:tcPr>
          <w:p w:rsidR="00203A5B" w:rsidRPr="009C5690" w:rsidRDefault="00203A5B" w:rsidP="00203A5B">
            <w:pPr>
              <w:pStyle w:val="TableHeader"/>
            </w:pPr>
          </w:p>
        </w:tc>
        <w:tc>
          <w:tcPr>
            <w:tcW w:w="1180" w:type="dxa"/>
            <w:vMerge/>
            <w:tcBorders>
              <w:top w:val="single" w:sz="4" w:space="0" w:color="auto"/>
              <w:left w:val="single" w:sz="4" w:space="0" w:color="FFFFFF"/>
              <w:bottom w:val="single" w:sz="4" w:space="0" w:color="000000"/>
              <w:right w:val="single" w:sz="4" w:space="0" w:color="FFFFFF"/>
            </w:tcBorders>
            <w:vAlign w:val="center"/>
            <w:hideMark/>
          </w:tcPr>
          <w:p w:rsidR="00203A5B" w:rsidRPr="009C5690" w:rsidRDefault="00203A5B" w:rsidP="00203A5B">
            <w:pPr>
              <w:pStyle w:val="TableHeader"/>
            </w:pPr>
          </w:p>
        </w:tc>
        <w:tc>
          <w:tcPr>
            <w:tcW w:w="1873" w:type="dxa"/>
            <w:tcBorders>
              <w:top w:val="nil"/>
              <w:left w:val="nil"/>
              <w:bottom w:val="single" w:sz="4" w:space="0" w:color="auto"/>
              <w:right w:val="single" w:sz="4" w:space="0" w:color="FFFFFF"/>
            </w:tcBorders>
            <w:shd w:val="clear" w:color="000000" w:fill="1F497D"/>
            <w:noWrap/>
            <w:vAlign w:val="center"/>
            <w:hideMark/>
          </w:tcPr>
          <w:p w:rsidR="00203A5B" w:rsidRPr="009C5690" w:rsidRDefault="00203A5B" w:rsidP="00203A5B">
            <w:pPr>
              <w:pStyle w:val="TableHeader"/>
            </w:pPr>
            <w:r w:rsidRPr="009C5690">
              <w:t>Per CAC Unit (kW)</w:t>
            </w:r>
          </w:p>
        </w:tc>
        <w:tc>
          <w:tcPr>
            <w:tcW w:w="1764" w:type="dxa"/>
            <w:tcBorders>
              <w:top w:val="nil"/>
              <w:left w:val="nil"/>
              <w:bottom w:val="single" w:sz="4" w:space="0" w:color="auto"/>
              <w:right w:val="single" w:sz="4" w:space="0" w:color="FFFFFF"/>
            </w:tcBorders>
            <w:shd w:val="clear" w:color="000000" w:fill="1F497D"/>
            <w:noWrap/>
            <w:vAlign w:val="center"/>
            <w:hideMark/>
          </w:tcPr>
          <w:p w:rsidR="00203A5B" w:rsidRPr="009C5690" w:rsidRDefault="00203A5B" w:rsidP="00203A5B">
            <w:pPr>
              <w:pStyle w:val="TableHeader"/>
            </w:pPr>
            <w:r w:rsidRPr="009C5690">
              <w:t>Per Premise (kW)</w:t>
            </w:r>
          </w:p>
        </w:tc>
        <w:tc>
          <w:tcPr>
            <w:tcW w:w="1643" w:type="dxa"/>
            <w:tcBorders>
              <w:top w:val="nil"/>
              <w:left w:val="nil"/>
              <w:bottom w:val="single" w:sz="4" w:space="0" w:color="auto"/>
              <w:right w:val="single" w:sz="4" w:space="0" w:color="FFFFFF"/>
            </w:tcBorders>
            <w:shd w:val="clear" w:color="000000" w:fill="1F497D"/>
            <w:noWrap/>
            <w:vAlign w:val="center"/>
            <w:hideMark/>
          </w:tcPr>
          <w:p w:rsidR="00203A5B" w:rsidRPr="009C5690" w:rsidRDefault="00203A5B" w:rsidP="00203A5B">
            <w:pPr>
              <w:pStyle w:val="TableHeader"/>
            </w:pPr>
            <w:r w:rsidRPr="009C5690">
              <w:t>Aggregate (MW)</w:t>
            </w:r>
          </w:p>
        </w:tc>
        <w:tc>
          <w:tcPr>
            <w:tcW w:w="2160" w:type="dxa"/>
            <w:vMerge/>
            <w:tcBorders>
              <w:top w:val="single" w:sz="4" w:space="0" w:color="auto"/>
              <w:left w:val="single" w:sz="4" w:space="0" w:color="FFFFFF"/>
              <w:bottom w:val="single" w:sz="4" w:space="0" w:color="000000"/>
              <w:right w:val="single" w:sz="4" w:space="0" w:color="auto"/>
            </w:tcBorders>
            <w:vAlign w:val="center"/>
            <w:hideMark/>
          </w:tcPr>
          <w:p w:rsidR="00203A5B" w:rsidRPr="009C5690" w:rsidRDefault="00203A5B" w:rsidP="00203A5B">
            <w:pPr>
              <w:pStyle w:val="TableHeader"/>
              <w:rPr>
                <w:sz w:val="18"/>
                <w:szCs w:val="18"/>
              </w:rPr>
            </w:pPr>
          </w:p>
        </w:tc>
      </w:tr>
      <w:tr w:rsidR="00203A5B" w:rsidRPr="009C5690" w:rsidTr="00203A5B">
        <w:trPr>
          <w:trHeight w:val="300"/>
          <w:jc w:val="center"/>
        </w:trPr>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3A5B" w:rsidRPr="009C5690" w:rsidRDefault="00203A5B" w:rsidP="00203A5B">
            <w:pPr>
              <w:pStyle w:val="TableText"/>
            </w:pPr>
            <w:r w:rsidRPr="009C5690">
              <w:t>2011</w:t>
            </w: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26-Aug-11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0.34</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0.89</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4</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82</w:t>
            </w:r>
          </w:p>
        </w:tc>
      </w:tr>
      <w:tr w:rsidR="00203A5B" w:rsidRPr="009C5690"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C5690" w:rsidRDefault="00203A5B" w:rsidP="00203A5B">
            <w:pPr>
              <w:pStyle w:val="TableText"/>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7-Sep-11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0.31</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0.79</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4</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89</w:t>
            </w:r>
          </w:p>
        </w:tc>
      </w:tr>
      <w:tr w:rsidR="00203A5B" w:rsidRPr="009C5690"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C5690" w:rsidRDefault="00203A5B" w:rsidP="00203A5B">
            <w:pPr>
              <w:pStyle w:val="TableText"/>
            </w:pPr>
          </w:p>
        </w:tc>
        <w:tc>
          <w:tcPr>
            <w:tcW w:w="1180" w:type="dxa"/>
            <w:tcBorders>
              <w:top w:val="nil"/>
              <w:left w:val="nil"/>
              <w:bottom w:val="nil"/>
              <w:right w:val="nil"/>
            </w:tcBorders>
            <w:shd w:val="clear" w:color="auto" w:fill="auto"/>
            <w:noWrap/>
            <w:vAlign w:val="center"/>
            <w:hideMark/>
          </w:tcPr>
          <w:p w:rsidR="00203A5B" w:rsidRPr="009C5690" w:rsidRDefault="00203A5B" w:rsidP="00203A5B">
            <w:pPr>
              <w:pStyle w:val="TableText"/>
              <w:rPr>
                <w:rFonts w:cs="Calibri"/>
              </w:rPr>
            </w:pPr>
            <w:r w:rsidRPr="009C5690">
              <w:rPr>
                <w:rFonts w:cs="Calibri"/>
              </w:rPr>
              <w:t>8-Sep-11</w:t>
            </w:r>
          </w:p>
        </w:tc>
        <w:tc>
          <w:tcPr>
            <w:tcW w:w="1873"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0.38</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0.98</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5</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91</w:t>
            </w:r>
          </w:p>
        </w:tc>
      </w:tr>
      <w:tr w:rsidR="00203A5B" w:rsidRPr="009C5690"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C5690" w:rsidRDefault="00203A5B" w:rsidP="00203A5B">
            <w:pPr>
              <w:pStyle w:val="TableText"/>
            </w:pP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9-Sep-11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0.16</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0.42</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2</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71</w:t>
            </w:r>
          </w:p>
        </w:tc>
      </w:tr>
      <w:tr w:rsidR="00203A5B" w:rsidRPr="009C5690"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C5690" w:rsidRDefault="00203A5B" w:rsidP="00203A5B">
            <w:pPr>
              <w:pStyle w:val="TableText"/>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12-Oct-11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0.29</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0.75</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4</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92</w:t>
            </w:r>
          </w:p>
        </w:tc>
      </w:tr>
      <w:tr w:rsidR="00203A5B" w:rsidRPr="009C5690" w:rsidTr="00203A5B">
        <w:trPr>
          <w:trHeight w:val="300"/>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C5690" w:rsidRDefault="00203A5B" w:rsidP="00203A5B">
            <w:pPr>
              <w:pStyle w:val="TableText"/>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13-Oct-11</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0.26</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0.67</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3</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86</w:t>
            </w:r>
          </w:p>
        </w:tc>
      </w:tr>
      <w:tr w:rsidR="00203A5B" w:rsidRPr="009C5690" w:rsidTr="00203A5B">
        <w:trPr>
          <w:trHeight w:val="315"/>
          <w:jc w:val="center"/>
        </w:trPr>
        <w:tc>
          <w:tcPr>
            <w:tcW w:w="960" w:type="dxa"/>
            <w:vMerge/>
            <w:tcBorders>
              <w:top w:val="nil"/>
              <w:left w:val="single" w:sz="4" w:space="0" w:color="auto"/>
              <w:bottom w:val="single" w:sz="8" w:space="0" w:color="000000"/>
              <w:right w:val="single" w:sz="4" w:space="0" w:color="auto"/>
            </w:tcBorders>
            <w:vAlign w:val="center"/>
            <w:hideMark/>
          </w:tcPr>
          <w:p w:rsidR="00203A5B" w:rsidRPr="009C5690" w:rsidRDefault="00203A5B" w:rsidP="00203A5B">
            <w:pPr>
              <w:pStyle w:val="TableText"/>
            </w:pPr>
          </w:p>
        </w:tc>
        <w:tc>
          <w:tcPr>
            <w:tcW w:w="1180" w:type="dxa"/>
            <w:tcBorders>
              <w:top w:val="nil"/>
              <w:left w:val="nil"/>
              <w:bottom w:val="single" w:sz="8" w:space="0" w:color="auto"/>
              <w:right w:val="single" w:sz="4" w:space="0" w:color="auto"/>
            </w:tcBorders>
            <w:shd w:val="clear" w:color="auto" w:fill="auto"/>
            <w:noWrap/>
            <w:vAlign w:val="center"/>
            <w:hideMark/>
          </w:tcPr>
          <w:p w:rsidR="00203A5B" w:rsidRPr="009C5690" w:rsidRDefault="00203A5B" w:rsidP="00203A5B">
            <w:pPr>
              <w:pStyle w:val="TableText"/>
            </w:pPr>
            <w:r w:rsidRPr="009C5690">
              <w:t>Average</w:t>
            </w:r>
          </w:p>
        </w:tc>
        <w:tc>
          <w:tcPr>
            <w:tcW w:w="1873" w:type="dxa"/>
            <w:tcBorders>
              <w:top w:val="nil"/>
              <w:left w:val="nil"/>
              <w:bottom w:val="single" w:sz="8" w:space="0" w:color="auto"/>
              <w:right w:val="single" w:sz="4" w:space="0" w:color="auto"/>
            </w:tcBorders>
            <w:shd w:val="clear" w:color="auto" w:fill="auto"/>
            <w:noWrap/>
            <w:vAlign w:val="center"/>
            <w:hideMark/>
          </w:tcPr>
          <w:p w:rsidR="00203A5B" w:rsidRPr="009C5690" w:rsidRDefault="00203A5B" w:rsidP="00203A5B">
            <w:pPr>
              <w:pStyle w:val="TableText"/>
            </w:pPr>
            <w:r w:rsidRPr="009C5690">
              <w:t>0.29</w:t>
            </w:r>
          </w:p>
        </w:tc>
        <w:tc>
          <w:tcPr>
            <w:tcW w:w="1764" w:type="dxa"/>
            <w:tcBorders>
              <w:top w:val="nil"/>
              <w:left w:val="nil"/>
              <w:bottom w:val="single" w:sz="8" w:space="0" w:color="auto"/>
              <w:right w:val="single" w:sz="4" w:space="0" w:color="auto"/>
            </w:tcBorders>
            <w:shd w:val="clear" w:color="auto" w:fill="auto"/>
            <w:noWrap/>
            <w:vAlign w:val="center"/>
            <w:hideMark/>
          </w:tcPr>
          <w:p w:rsidR="00203A5B" w:rsidRPr="009C5690" w:rsidRDefault="00203A5B" w:rsidP="00203A5B">
            <w:pPr>
              <w:pStyle w:val="TableText"/>
            </w:pPr>
            <w:r w:rsidRPr="009C5690">
              <w:t>0.75</w:t>
            </w:r>
          </w:p>
        </w:tc>
        <w:tc>
          <w:tcPr>
            <w:tcW w:w="1643" w:type="dxa"/>
            <w:tcBorders>
              <w:top w:val="nil"/>
              <w:left w:val="nil"/>
              <w:bottom w:val="single" w:sz="8" w:space="0" w:color="auto"/>
              <w:right w:val="single" w:sz="4" w:space="0" w:color="auto"/>
            </w:tcBorders>
            <w:shd w:val="clear" w:color="auto" w:fill="auto"/>
            <w:noWrap/>
            <w:vAlign w:val="center"/>
            <w:hideMark/>
          </w:tcPr>
          <w:p w:rsidR="00203A5B" w:rsidRPr="009C5690" w:rsidRDefault="00203A5B" w:rsidP="00203A5B">
            <w:pPr>
              <w:pStyle w:val="TableText"/>
            </w:pPr>
            <w:r w:rsidRPr="009C5690">
              <w:t>4</w:t>
            </w:r>
          </w:p>
        </w:tc>
        <w:tc>
          <w:tcPr>
            <w:tcW w:w="2160" w:type="dxa"/>
            <w:tcBorders>
              <w:top w:val="nil"/>
              <w:left w:val="nil"/>
              <w:bottom w:val="single" w:sz="8" w:space="0" w:color="auto"/>
              <w:right w:val="single" w:sz="4" w:space="0" w:color="auto"/>
            </w:tcBorders>
            <w:shd w:val="clear" w:color="auto" w:fill="auto"/>
            <w:noWrap/>
            <w:vAlign w:val="center"/>
            <w:hideMark/>
          </w:tcPr>
          <w:p w:rsidR="00203A5B" w:rsidRPr="009C5690" w:rsidRDefault="00203A5B" w:rsidP="00203A5B">
            <w:pPr>
              <w:pStyle w:val="TableText"/>
            </w:pPr>
            <w:r w:rsidRPr="009C5690">
              <w:t>85</w:t>
            </w:r>
          </w:p>
        </w:tc>
      </w:tr>
      <w:tr w:rsidR="00203A5B" w:rsidRPr="009C5690" w:rsidTr="00203A5B">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2012</w:t>
            </w: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0.14</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0.29</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1</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84</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10-Aug-12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0.37</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0.76</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4</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81</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13-Aug-12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0.26</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0.53</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3</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86</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17-Aug-12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0.61</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1.24</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6</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86</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13-Sep-12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0.06</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0.13</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1</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78</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14-Sep-12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0.39</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0.82</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4</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96</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15-Sep-12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0.70</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1.34</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1</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95</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1-Oct-12</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0.35</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0.72</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3</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84</w:t>
            </w:r>
          </w:p>
        </w:tc>
      </w:tr>
      <w:tr w:rsidR="00203A5B" w:rsidRPr="009C5690" w:rsidTr="00203A5B">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203A5B" w:rsidRPr="009C5690" w:rsidRDefault="00203A5B" w:rsidP="00203A5B">
            <w:pPr>
              <w:pStyle w:val="TableText"/>
              <w:rPr>
                <w:rFonts w:cs="Calibri"/>
              </w:rPr>
            </w:pPr>
          </w:p>
        </w:tc>
        <w:tc>
          <w:tcPr>
            <w:tcW w:w="118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Average*</w:t>
            </w:r>
          </w:p>
        </w:tc>
        <w:tc>
          <w:tcPr>
            <w:tcW w:w="187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0.30</w:t>
            </w:r>
          </w:p>
        </w:tc>
        <w:tc>
          <w:tcPr>
            <w:tcW w:w="176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0.62</w:t>
            </w:r>
          </w:p>
        </w:tc>
        <w:tc>
          <w:tcPr>
            <w:tcW w:w="164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3</w:t>
            </w:r>
          </w:p>
        </w:tc>
        <w:tc>
          <w:tcPr>
            <w:tcW w:w="216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rPr>
                <w:rFonts w:cs="Calibri"/>
              </w:rPr>
            </w:pPr>
            <w:r w:rsidRPr="009C5690">
              <w:rPr>
                <w:rFonts w:cs="Calibri"/>
              </w:rPr>
              <w:t>86</w:t>
            </w:r>
          </w:p>
        </w:tc>
      </w:tr>
      <w:tr w:rsidR="00203A5B" w:rsidRPr="009C5690" w:rsidTr="00203A5B">
        <w:trPr>
          <w:trHeight w:val="188"/>
          <w:jc w:val="center"/>
        </w:trPr>
        <w:tc>
          <w:tcPr>
            <w:tcW w:w="7420" w:type="dxa"/>
            <w:gridSpan w:val="5"/>
            <w:tcBorders>
              <w:top w:val="nil"/>
              <w:left w:val="nil"/>
              <w:bottom w:val="nil"/>
              <w:right w:val="nil"/>
            </w:tcBorders>
            <w:shd w:val="clear" w:color="auto" w:fill="auto"/>
            <w:noWrap/>
            <w:vAlign w:val="center"/>
            <w:hideMark/>
          </w:tcPr>
          <w:p w:rsidR="00E03387" w:rsidRDefault="00203A5B">
            <w:pPr>
              <w:pStyle w:val="Footnote"/>
              <w:rPr>
                <w:rFonts w:eastAsia="Times New Roman" w:cs="Arial"/>
                <w:b/>
                <w:color w:val="FFFFFF"/>
              </w:rPr>
            </w:pPr>
            <w:r w:rsidRPr="009C5690">
              <w:t>*reflects the average 2-hour event from 2-4 PM, omitting the Aug. 10 and Sept. 15 events.</w:t>
            </w:r>
          </w:p>
        </w:tc>
        <w:tc>
          <w:tcPr>
            <w:tcW w:w="2160" w:type="dxa"/>
            <w:tcBorders>
              <w:top w:val="nil"/>
              <w:left w:val="nil"/>
              <w:bottom w:val="nil"/>
              <w:right w:val="nil"/>
            </w:tcBorders>
            <w:shd w:val="clear" w:color="auto" w:fill="auto"/>
            <w:noWrap/>
            <w:vAlign w:val="bottom"/>
            <w:hideMark/>
          </w:tcPr>
          <w:p w:rsidR="00203A5B" w:rsidRPr="009C5690" w:rsidRDefault="00203A5B" w:rsidP="00203A5B">
            <w:pPr>
              <w:spacing w:after="0" w:line="240" w:lineRule="auto"/>
              <w:rPr>
                <w:rFonts w:eastAsia="Times New Roman" w:cs="Calibri"/>
                <w:color w:val="000000"/>
              </w:rPr>
            </w:pPr>
          </w:p>
        </w:tc>
      </w:tr>
    </w:tbl>
    <w:p w:rsidR="00203A5B" w:rsidRDefault="00203A5B" w:rsidP="00203A5B">
      <w:pPr>
        <w:pStyle w:val="BodyParagraph"/>
      </w:pPr>
      <w:r>
        <w:t>Table 2-4 shows ex post load impact estimates for the whole program for 2012.</w:t>
      </w:r>
    </w:p>
    <w:p w:rsidR="00203A5B" w:rsidRDefault="00203A5B" w:rsidP="00203A5B">
      <w:pPr>
        <w:pStyle w:val="TableFigureCaption"/>
      </w:pPr>
      <w:r w:rsidRPr="00EF00D6">
        <w:t>Table 2-</w:t>
      </w:r>
      <w:r>
        <w:t>4</w:t>
      </w:r>
      <w:r w:rsidRPr="00EF00D6">
        <w:t>:</w:t>
      </w:r>
      <w:r>
        <w:t xml:space="preserve"> </w:t>
      </w:r>
      <w:r w:rsidRPr="00EF00D6">
        <w:t xml:space="preserve">Summer Saver </w:t>
      </w:r>
      <w:r>
        <w:t xml:space="preserve">Program </w:t>
      </w:r>
      <w:r w:rsidRPr="00EF00D6">
        <w:t>Ex Post Impact Estimates</w:t>
      </w:r>
    </w:p>
    <w:tbl>
      <w:tblPr>
        <w:tblW w:w="7200" w:type="dxa"/>
        <w:jc w:val="center"/>
        <w:tblInd w:w="93" w:type="dxa"/>
        <w:tblLook w:val="04A0"/>
      </w:tblPr>
      <w:tblGrid>
        <w:gridCol w:w="1180"/>
        <w:gridCol w:w="1703"/>
        <w:gridCol w:w="1604"/>
        <w:gridCol w:w="1493"/>
        <w:gridCol w:w="1428"/>
      </w:tblGrid>
      <w:tr w:rsidR="00203A5B" w:rsidRPr="009C5690" w:rsidTr="00203A5B">
        <w:trPr>
          <w:trHeight w:val="300"/>
          <w:jc w:val="center"/>
        </w:trPr>
        <w:tc>
          <w:tcPr>
            <w:tcW w:w="118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9C5690" w:rsidRDefault="00203A5B" w:rsidP="00203A5B">
            <w:pPr>
              <w:pStyle w:val="TableHeader"/>
            </w:pPr>
            <w:r w:rsidRPr="009C5690">
              <w:t>Date</w:t>
            </w:r>
          </w:p>
        </w:tc>
        <w:tc>
          <w:tcPr>
            <w:tcW w:w="4800" w:type="dxa"/>
            <w:gridSpan w:val="3"/>
            <w:tcBorders>
              <w:top w:val="single" w:sz="4" w:space="0" w:color="auto"/>
              <w:left w:val="nil"/>
              <w:bottom w:val="single" w:sz="4" w:space="0" w:color="FFFFFF"/>
              <w:right w:val="single" w:sz="4" w:space="0" w:color="FFFFFF"/>
            </w:tcBorders>
            <w:shd w:val="clear" w:color="000000" w:fill="1F497D"/>
            <w:noWrap/>
            <w:vAlign w:val="center"/>
            <w:hideMark/>
          </w:tcPr>
          <w:p w:rsidR="00203A5B" w:rsidRPr="009C5690" w:rsidRDefault="00203A5B" w:rsidP="00203A5B">
            <w:pPr>
              <w:pStyle w:val="TableHeader"/>
            </w:pPr>
            <w:r w:rsidRPr="009C5690">
              <w:t>Impact</w:t>
            </w:r>
          </w:p>
        </w:tc>
        <w:tc>
          <w:tcPr>
            <w:tcW w:w="1220"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9C5690" w:rsidRDefault="00203A5B" w:rsidP="00203A5B">
            <w:pPr>
              <w:pStyle w:val="TableHeader"/>
            </w:pPr>
            <w:r w:rsidRPr="009C5690">
              <w:t>Temperature During Event</w:t>
            </w:r>
          </w:p>
        </w:tc>
      </w:tr>
      <w:tr w:rsidR="00203A5B" w:rsidRPr="009C5690" w:rsidTr="00203A5B">
        <w:trPr>
          <w:trHeight w:val="300"/>
          <w:jc w:val="center"/>
        </w:trPr>
        <w:tc>
          <w:tcPr>
            <w:tcW w:w="1180" w:type="dxa"/>
            <w:vMerge/>
            <w:tcBorders>
              <w:top w:val="single" w:sz="4" w:space="0" w:color="auto"/>
              <w:left w:val="single" w:sz="4" w:space="0" w:color="auto"/>
              <w:bottom w:val="single" w:sz="4" w:space="0" w:color="000000"/>
              <w:right w:val="single" w:sz="4" w:space="0" w:color="FFFFFF"/>
            </w:tcBorders>
            <w:vAlign w:val="center"/>
            <w:hideMark/>
          </w:tcPr>
          <w:p w:rsidR="00203A5B" w:rsidRPr="009C5690" w:rsidRDefault="00203A5B" w:rsidP="00203A5B">
            <w:pPr>
              <w:pStyle w:val="TableHeader"/>
            </w:pPr>
          </w:p>
        </w:tc>
        <w:tc>
          <w:tcPr>
            <w:tcW w:w="1703" w:type="dxa"/>
            <w:tcBorders>
              <w:top w:val="nil"/>
              <w:left w:val="nil"/>
              <w:bottom w:val="single" w:sz="4" w:space="0" w:color="auto"/>
              <w:right w:val="single" w:sz="4" w:space="0" w:color="FFFFFF"/>
            </w:tcBorders>
            <w:shd w:val="clear" w:color="000000" w:fill="1F497D"/>
            <w:noWrap/>
            <w:vAlign w:val="center"/>
            <w:hideMark/>
          </w:tcPr>
          <w:p w:rsidR="00203A5B" w:rsidRPr="009C5690" w:rsidRDefault="00203A5B" w:rsidP="00203A5B">
            <w:pPr>
              <w:pStyle w:val="TableHeader"/>
            </w:pPr>
            <w:r w:rsidRPr="009C5690">
              <w:t>Per CAC Unit (kW)</w:t>
            </w:r>
          </w:p>
        </w:tc>
        <w:tc>
          <w:tcPr>
            <w:tcW w:w="1604" w:type="dxa"/>
            <w:tcBorders>
              <w:top w:val="nil"/>
              <w:left w:val="nil"/>
              <w:bottom w:val="single" w:sz="4" w:space="0" w:color="auto"/>
              <w:right w:val="single" w:sz="4" w:space="0" w:color="FFFFFF"/>
            </w:tcBorders>
            <w:shd w:val="clear" w:color="000000" w:fill="1F497D"/>
            <w:noWrap/>
            <w:vAlign w:val="center"/>
            <w:hideMark/>
          </w:tcPr>
          <w:p w:rsidR="00203A5B" w:rsidRPr="009C5690" w:rsidRDefault="00203A5B" w:rsidP="00203A5B">
            <w:pPr>
              <w:pStyle w:val="TableHeader"/>
            </w:pPr>
            <w:r w:rsidRPr="009C5690">
              <w:t>Per Premise (kW)</w:t>
            </w:r>
          </w:p>
        </w:tc>
        <w:tc>
          <w:tcPr>
            <w:tcW w:w="1493" w:type="dxa"/>
            <w:tcBorders>
              <w:top w:val="nil"/>
              <w:left w:val="nil"/>
              <w:bottom w:val="single" w:sz="4" w:space="0" w:color="auto"/>
              <w:right w:val="single" w:sz="4" w:space="0" w:color="FFFFFF"/>
            </w:tcBorders>
            <w:shd w:val="clear" w:color="000000" w:fill="1F497D"/>
            <w:noWrap/>
            <w:vAlign w:val="center"/>
            <w:hideMark/>
          </w:tcPr>
          <w:p w:rsidR="00203A5B" w:rsidRPr="009C5690" w:rsidRDefault="00203A5B" w:rsidP="00203A5B">
            <w:pPr>
              <w:pStyle w:val="TableHeader"/>
            </w:pPr>
            <w:r w:rsidRPr="009C5690">
              <w:t>Aggregate (MW)</w:t>
            </w:r>
          </w:p>
        </w:tc>
        <w:tc>
          <w:tcPr>
            <w:tcW w:w="1220" w:type="dxa"/>
            <w:vMerge/>
            <w:tcBorders>
              <w:top w:val="single" w:sz="4" w:space="0" w:color="auto"/>
              <w:left w:val="single" w:sz="4" w:space="0" w:color="FFFFFF"/>
              <w:bottom w:val="single" w:sz="4" w:space="0" w:color="000000"/>
              <w:right w:val="single" w:sz="4" w:space="0" w:color="auto"/>
            </w:tcBorders>
            <w:vAlign w:val="center"/>
            <w:hideMark/>
          </w:tcPr>
          <w:p w:rsidR="00203A5B" w:rsidRPr="009C5690" w:rsidRDefault="00203A5B" w:rsidP="00203A5B">
            <w:pPr>
              <w:pStyle w:val="TableHeader"/>
            </w:pP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0.37</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0.51</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14</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86</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10-Aug-12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0.50</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0.67</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19</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82</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13-Aug-12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0.57</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0.78</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21</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88</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17-Aug-12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0.62</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0.82</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23</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87</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13-Sep-12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0.33</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0.46</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13</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80</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14-Sep-12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0.60</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0.81</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23</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99</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15-Sep-12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1.07</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1.35</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9</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95</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1-Oct-12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0.49</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0.65</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18</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86</w:t>
            </w:r>
          </w:p>
        </w:tc>
      </w:tr>
      <w:tr w:rsidR="00203A5B" w:rsidRPr="009C5690"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Average*</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0.52</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0.70</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19</w:t>
            </w:r>
          </w:p>
        </w:tc>
        <w:tc>
          <w:tcPr>
            <w:tcW w:w="1220" w:type="dxa"/>
            <w:tcBorders>
              <w:top w:val="nil"/>
              <w:left w:val="nil"/>
              <w:bottom w:val="single" w:sz="4" w:space="0" w:color="auto"/>
              <w:right w:val="single" w:sz="4" w:space="0" w:color="auto"/>
            </w:tcBorders>
            <w:shd w:val="clear" w:color="auto" w:fill="auto"/>
            <w:noWrap/>
            <w:vAlign w:val="center"/>
            <w:hideMark/>
          </w:tcPr>
          <w:p w:rsidR="00203A5B" w:rsidRPr="009C5690" w:rsidRDefault="00203A5B" w:rsidP="00203A5B">
            <w:pPr>
              <w:pStyle w:val="TableText"/>
            </w:pPr>
            <w:r w:rsidRPr="009C5690">
              <w:t>88</w:t>
            </w:r>
          </w:p>
        </w:tc>
      </w:tr>
      <w:tr w:rsidR="00203A5B" w:rsidRPr="009C5690" w:rsidTr="00203A5B">
        <w:trPr>
          <w:trHeight w:val="300"/>
          <w:jc w:val="center"/>
        </w:trPr>
        <w:tc>
          <w:tcPr>
            <w:tcW w:w="7200" w:type="dxa"/>
            <w:gridSpan w:val="5"/>
            <w:tcBorders>
              <w:top w:val="nil"/>
              <w:left w:val="nil"/>
              <w:bottom w:val="nil"/>
              <w:right w:val="nil"/>
            </w:tcBorders>
            <w:shd w:val="clear" w:color="auto" w:fill="auto"/>
            <w:noWrap/>
            <w:vAlign w:val="center"/>
            <w:hideMark/>
          </w:tcPr>
          <w:p w:rsidR="00E03387" w:rsidRDefault="00203A5B">
            <w:pPr>
              <w:pStyle w:val="Footnote"/>
              <w:rPr>
                <w:rFonts w:eastAsia="Times New Roman" w:cs="Arial"/>
                <w:b/>
                <w:color w:val="FFFFFF"/>
              </w:rPr>
            </w:pPr>
            <w:r w:rsidRPr="009C5690">
              <w:t>*reflects the average 2-hour event from 2-4 PM, omitting the Aug. 10 and Sept. 15 events.</w:t>
            </w:r>
          </w:p>
        </w:tc>
      </w:tr>
    </w:tbl>
    <w:p w:rsidR="00203A5B" w:rsidRDefault="00203A5B" w:rsidP="00203A5B">
      <w:pPr>
        <w:pStyle w:val="Heading2"/>
      </w:pPr>
      <w:bookmarkStart w:id="10" w:name="_Toc318368300"/>
      <w:bookmarkStart w:id="11" w:name="_Toc349548895"/>
      <w:bookmarkStart w:id="12" w:name="_Toc350953025"/>
      <w:r>
        <w:t xml:space="preserve">Ex </w:t>
      </w:r>
      <w:r w:rsidRPr="00203A5B">
        <w:t>Ante</w:t>
      </w:r>
      <w:r>
        <w:t xml:space="preserve"> Load Impact Estimates</w:t>
      </w:r>
      <w:bookmarkEnd w:id="10"/>
      <w:bookmarkEnd w:id="11"/>
      <w:bookmarkEnd w:id="12"/>
    </w:p>
    <w:p w:rsidR="00203A5B" w:rsidRPr="00D2076B" w:rsidRDefault="00203A5B" w:rsidP="00203A5B">
      <w:pPr>
        <w:pStyle w:val="BodyParagraph"/>
      </w:pPr>
      <w:r w:rsidRPr="00D2076B">
        <w:t>Table 2-5 shows ex ante load impact estimates for residential Summer Saver customers.  The values shown are averages over the CPUC Resource Adequacy window of 1-6 PM.  Program enrollment is expected to remain stable for the future, so this tab</w:t>
      </w:r>
      <w:r>
        <w:t>le applies to the years 2013-2023</w:t>
      </w:r>
      <w:r w:rsidRPr="00D2076B">
        <w:t>, under the assumption that the program continues to operate under the same set of rules.  The residential Summer Saver program is expected to produce an average of 14 MW of demand response over the course of a 1 PM to 6 PM event on a typical event day in a 1-in-10 weather year.  The residential program is expected to produce considerably higher impacts under the much hotter conditions of a 1</w:t>
      </w:r>
      <w:r w:rsidR="00DC1B21">
        <w:noBreakHyphen/>
      </w:r>
      <w:r w:rsidRPr="00D2076B">
        <w:t>in-10 September peak day.  Under those conditions, the residential program is expec</w:t>
      </w:r>
      <w:r>
        <w:t>ted to produce 20</w:t>
      </w:r>
      <w:r w:rsidRPr="00D2076B">
        <w:t xml:space="preserve"> MW.</w:t>
      </w:r>
    </w:p>
    <w:p w:rsidR="00203A5B" w:rsidRDefault="00203A5B" w:rsidP="00203A5B">
      <w:pPr>
        <w:pStyle w:val="TableFigureCaption"/>
      </w:pPr>
      <w:r w:rsidRPr="00D2076B">
        <w:t>Table 2-5:</w:t>
      </w:r>
      <w:r>
        <w:t xml:space="preserve"> </w:t>
      </w:r>
      <w:r w:rsidRPr="00D2076B">
        <w:t>Summer Saver Residential Ex Ante Impact Estimates</w:t>
      </w:r>
    </w:p>
    <w:tbl>
      <w:tblPr>
        <w:tblW w:w="0" w:type="auto"/>
        <w:jc w:val="center"/>
        <w:tblInd w:w="93" w:type="dxa"/>
        <w:tblLook w:val="04A0"/>
      </w:tblPr>
      <w:tblGrid>
        <w:gridCol w:w="2238"/>
        <w:gridCol w:w="1422"/>
        <w:gridCol w:w="1239"/>
        <w:gridCol w:w="1309"/>
        <w:gridCol w:w="1141"/>
      </w:tblGrid>
      <w:tr w:rsidR="00203A5B" w:rsidRPr="00BF5EF4" w:rsidTr="00203A5B">
        <w:trPr>
          <w:trHeight w:val="300"/>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BF5EF4" w:rsidRDefault="00203A5B" w:rsidP="00203A5B">
            <w:pPr>
              <w:pStyle w:val="TableHeader"/>
            </w:pPr>
            <w:r w:rsidRPr="00BF5EF4">
              <w:t>Day Type</w:t>
            </w:r>
          </w:p>
        </w:tc>
        <w:tc>
          <w:tcPr>
            <w:tcW w:w="0" w:type="auto"/>
            <w:gridSpan w:val="2"/>
            <w:tcBorders>
              <w:top w:val="single" w:sz="4" w:space="0" w:color="auto"/>
              <w:left w:val="nil"/>
              <w:bottom w:val="single" w:sz="4" w:space="0" w:color="FFFFFF"/>
              <w:right w:val="single" w:sz="4" w:space="0" w:color="FFFFFF"/>
            </w:tcBorders>
            <w:shd w:val="clear" w:color="000000" w:fill="1F497D"/>
            <w:noWrap/>
            <w:vAlign w:val="center"/>
            <w:hideMark/>
          </w:tcPr>
          <w:p w:rsidR="00203A5B" w:rsidRPr="00BF5EF4" w:rsidRDefault="00203A5B" w:rsidP="00203A5B">
            <w:pPr>
              <w:pStyle w:val="TableHeader"/>
            </w:pPr>
            <w:r w:rsidRPr="00BF5EF4">
              <w:t>Per CAC Unit Impact (kW)</w:t>
            </w:r>
          </w:p>
        </w:tc>
        <w:tc>
          <w:tcPr>
            <w:tcW w:w="0" w:type="auto"/>
            <w:gridSpan w:val="2"/>
            <w:tcBorders>
              <w:top w:val="single" w:sz="4" w:space="0" w:color="auto"/>
              <w:left w:val="nil"/>
              <w:bottom w:val="single" w:sz="4" w:space="0" w:color="FFFFFF"/>
              <w:right w:val="single" w:sz="4" w:space="0" w:color="000000"/>
            </w:tcBorders>
            <w:shd w:val="clear" w:color="000000" w:fill="1F497D"/>
            <w:noWrap/>
            <w:vAlign w:val="center"/>
            <w:hideMark/>
          </w:tcPr>
          <w:p w:rsidR="00203A5B" w:rsidRPr="00BF5EF4" w:rsidRDefault="00203A5B" w:rsidP="00203A5B">
            <w:pPr>
              <w:pStyle w:val="TableHeader"/>
            </w:pPr>
            <w:r w:rsidRPr="00BF5EF4">
              <w:t>Aggregate Impact (MW)</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203A5B">
            <w:pPr>
              <w:pStyle w:val="TableHeader"/>
            </w:pPr>
          </w:p>
        </w:tc>
        <w:tc>
          <w:tcPr>
            <w:tcW w:w="0" w:type="auto"/>
            <w:gridSpan w:val="2"/>
            <w:tcBorders>
              <w:top w:val="single" w:sz="4" w:space="0" w:color="FFFFFF"/>
              <w:left w:val="nil"/>
              <w:bottom w:val="single" w:sz="4" w:space="0" w:color="FFFFFF"/>
              <w:right w:val="single" w:sz="4" w:space="0" w:color="FFFFFF"/>
            </w:tcBorders>
            <w:shd w:val="clear" w:color="000000" w:fill="1F497D"/>
            <w:noWrap/>
            <w:vAlign w:val="center"/>
            <w:hideMark/>
          </w:tcPr>
          <w:p w:rsidR="00203A5B" w:rsidRPr="00BF5EF4" w:rsidRDefault="00203A5B" w:rsidP="00203A5B">
            <w:pPr>
              <w:pStyle w:val="TableHeader"/>
            </w:pPr>
            <w:r w:rsidRPr="00BF5EF4">
              <w:t>Weather Year</w:t>
            </w:r>
          </w:p>
        </w:tc>
        <w:tc>
          <w:tcPr>
            <w:tcW w:w="0" w:type="auto"/>
            <w:gridSpan w:val="2"/>
            <w:tcBorders>
              <w:top w:val="single" w:sz="4" w:space="0" w:color="FFFFFF"/>
              <w:left w:val="nil"/>
              <w:bottom w:val="single" w:sz="4" w:space="0" w:color="FFFFFF"/>
              <w:right w:val="single" w:sz="4" w:space="0" w:color="000000"/>
            </w:tcBorders>
            <w:shd w:val="clear" w:color="000000" w:fill="1F497D"/>
            <w:noWrap/>
            <w:vAlign w:val="center"/>
            <w:hideMark/>
          </w:tcPr>
          <w:p w:rsidR="00203A5B" w:rsidRPr="00BF5EF4" w:rsidRDefault="00203A5B" w:rsidP="00203A5B">
            <w:pPr>
              <w:pStyle w:val="TableHeader"/>
            </w:pPr>
            <w:r w:rsidRPr="00BF5EF4">
              <w:t>Weather Year</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203A5B">
            <w:pPr>
              <w:pStyle w:val="TableHeader"/>
            </w:pP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203A5B">
            <w:pPr>
              <w:pStyle w:val="TableHeader"/>
            </w:pPr>
            <w:r w:rsidRPr="00BF5EF4">
              <w:t>1-in-10</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203A5B">
            <w:pPr>
              <w:pStyle w:val="TableHeader"/>
            </w:pPr>
            <w:r w:rsidRPr="00BF5EF4">
              <w:t>1-in-2</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203A5B">
            <w:pPr>
              <w:pStyle w:val="TableHeader"/>
            </w:pPr>
            <w:r w:rsidRPr="00BF5EF4">
              <w:t>1-in-10</w:t>
            </w:r>
          </w:p>
        </w:tc>
        <w:tc>
          <w:tcPr>
            <w:tcW w:w="0" w:type="auto"/>
            <w:tcBorders>
              <w:top w:val="nil"/>
              <w:left w:val="nil"/>
              <w:bottom w:val="single" w:sz="4" w:space="0" w:color="auto"/>
              <w:right w:val="single" w:sz="4" w:space="0" w:color="auto"/>
            </w:tcBorders>
            <w:shd w:val="clear" w:color="000000" w:fill="1F497D"/>
            <w:noWrap/>
            <w:vAlign w:val="center"/>
            <w:hideMark/>
          </w:tcPr>
          <w:p w:rsidR="00203A5B" w:rsidRPr="00BF5EF4" w:rsidRDefault="00203A5B" w:rsidP="00203A5B">
            <w:pPr>
              <w:pStyle w:val="TableHeader"/>
            </w:pPr>
            <w:r w:rsidRPr="00BF5EF4">
              <w:t>1-in-2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Typical Event Day</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0.51</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0.43</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May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0.38</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0.15</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11</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4</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June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0.49</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0.17</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13</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5</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July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0.50</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0.44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August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0.52</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0.42</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September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0.71</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0.56</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20</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16</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October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0.40</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0.30</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11</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pPr>
            <w:r w:rsidRPr="00BF5EF4">
              <w:t>8</w:t>
            </w:r>
          </w:p>
        </w:tc>
      </w:tr>
    </w:tbl>
    <w:p w:rsidR="00203A5B" w:rsidRDefault="00203A5B" w:rsidP="00203A5B">
      <w:pPr>
        <w:pStyle w:val="BodyParaAfterTableFigure"/>
      </w:pPr>
      <w:r w:rsidRPr="00D2076B">
        <w:t xml:space="preserve">Table 2-6 shows ex ante impact estimates for commercial Summer Saver customers.  Again, the values shown are averages over the CPUC Resource Adequacy window of 1-6 PM.  Program enrollment for </w:t>
      </w:r>
      <w:r w:rsidRPr="00203A5B">
        <w:t>commercial</w:t>
      </w:r>
      <w:r w:rsidRPr="00D2076B">
        <w:t xml:space="preserve"> customers is also expected to remain stable for the future, so this</w:t>
      </w:r>
      <w:r>
        <w:t xml:space="preserve"> table applies to the years 2013-2023</w:t>
      </w:r>
      <w:r w:rsidRPr="00D2076B">
        <w:t>, under the assumption that the program continues to operate under the same set of rules.  On a typical event day in a 1-in-10 year, the commercial Summer Saver program is expec</w:t>
      </w:r>
      <w:r>
        <w:t>ted to produce an average of 4</w:t>
      </w:r>
      <w:r w:rsidRPr="00D2076B">
        <w:t xml:space="preserve"> MW of demand response over the course of a 1 PM to 6 PM event.  The commercial program is expected to produce higher impacts under the much hotter conditions of a 1</w:t>
      </w:r>
      <w:r w:rsidR="00DC1B21">
        <w:noBreakHyphen/>
      </w:r>
      <w:r w:rsidRPr="00D2076B">
        <w:t>in-10 September peak day.  Under those conditions, the commercial pr</w:t>
      </w:r>
      <w:r>
        <w:t>ogram is expected to produce 6 </w:t>
      </w:r>
      <w:r w:rsidRPr="00D2076B">
        <w:t>MW.</w:t>
      </w:r>
    </w:p>
    <w:p w:rsidR="00203A5B" w:rsidRDefault="00203A5B" w:rsidP="00203A5B">
      <w:pPr>
        <w:pStyle w:val="BodyParagraph"/>
      </w:pPr>
      <w:r>
        <w:br w:type="page"/>
      </w:r>
    </w:p>
    <w:p w:rsidR="00203A5B" w:rsidRPr="00203A5B" w:rsidRDefault="00203A5B" w:rsidP="00203A5B">
      <w:pPr>
        <w:pStyle w:val="TableFigureCaption"/>
      </w:pPr>
      <w:r w:rsidRPr="00203A5B">
        <w:t>Table 2-6: Summer Saver Commercial Ex Ante Impact Estimates</w:t>
      </w:r>
    </w:p>
    <w:tbl>
      <w:tblPr>
        <w:tblW w:w="0" w:type="auto"/>
        <w:jc w:val="center"/>
        <w:tblInd w:w="93" w:type="dxa"/>
        <w:tblLook w:val="04A0"/>
      </w:tblPr>
      <w:tblGrid>
        <w:gridCol w:w="2238"/>
        <w:gridCol w:w="1422"/>
        <w:gridCol w:w="1239"/>
        <w:gridCol w:w="1309"/>
        <w:gridCol w:w="1141"/>
      </w:tblGrid>
      <w:tr w:rsidR="00203A5B" w:rsidRPr="00BF5EF4" w:rsidTr="00203A5B">
        <w:trPr>
          <w:trHeight w:val="300"/>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BF5EF4" w:rsidRDefault="00203A5B" w:rsidP="00203A5B">
            <w:pPr>
              <w:pStyle w:val="TableHeader"/>
              <w:spacing w:before="20" w:after="20"/>
            </w:pPr>
            <w:r w:rsidRPr="00BF5EF4">
              <w:t>Day Type</w:t>
            </w:r>
          </w:p>
        </w:tc>
        <w:tc>
          <w:tcPr>
            <w:tcW w:w="0" w:type="auto"/>
            <w:gridSpan w:val="2"/>
            <w:tcBorders>
              <w:top w:val="single" w:sz="4" w:space="0" w:color="auto"/>
              <w:left w:val="nil"/>
              <w:bottom w:val="single" w:sz="4" w:space="0" w:color="FFFFFF"/>
              <w:right w:val="single" w:sz="4" w:space="0" w:color="FFFFFF"/>
            </w:tcBorders>
            <w:shd w:val="clear" w:color="000000" w:fill="1F497D"/>
            <w:noWrap/>
            <w:vAlign w:val="center"/>
            <w:hideMark/>
          </w:tcPr>
          <w:p w:rsidR="00203A5B" w:rsidRPr="00BF5EF4" w:rsidRDefault="00203A5B" w:rsidP="00203A5B">
            <w:pPr>
              <w:pStyle w:val="TableHeader"/>
              <w:spacing w:before="20" w:after="20"/>
            </w:pPr>
            <w:r w:rsidRPr="00BF5EF4">
              <w:t>Per CAC Unit Impact (kW)</w:t>
            </w:r>
          </w:p>
        </w:tc>
        <w:tc>
          <w:tcPr>
            <w:tcW w:w="0" w:type="auto"/>
            <w:gridSpan w:val="2"/>
            <w:tcBorders>
              <w:top w:val="single" w:sz="4" w:space="0" w:color="auto"/>
              <w:left w:val="nil"/>
              <w:bottom w:val="single" w:sz="4" w:space="0" w:color="FFFFFF"/>
              <w:right w:val="single" w:sz="4" w:space="0" w:color="000000"/>
            </w:tcBorders>
            <w:shd w:val="clear" w:color="000000" w:fill="1F497D"/>
            <w:noWrap/>
            <w:vAlign w:val="center"/>
            <w:hideMark/>
          </w:tcPr>
          <w:p w:rsidR="00203A5B" w:rsidRPr="00BF5EF4" w:rsidRDefault="00203A5B" w:rsidP="00203A5B">
            <w:pPr>
              <w:pStyle w:val="TableHeader"/>
              <w:spacing w:before="20" w:after="20"/>
            </w:pPr>
            <w:r w:rsidRPr="00BF5EF4">
              <w:t>Aggregate Impact (MW)</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203A5B">
            <w:pPr>
              <w:pStyle w:val="TableHeader"/>
              <w:spacing w:before="20" w:after="20"/>
            </w:pPr>
          </w:p>
        </w:tc>
        <w:tc>
          <w:tcPr>
            <w:tcW w:w="0" w:type="auto"/>
            <w:gridSpan w:val="2"/>
            <w:tcBorders>
              <w:top w:val="single" w:sz="4" w:space="0" w:color="FFFFFF"/>
              <w:left w:val="nil"/>
              <w:bottom w:val="single" w:sz="4" w:space="0" w:color="FFFFFF"/>
              <w:right w:val="single" w:sz="4" w:space="0" w:color="FFFFFF"/>
            </w:tcBorders>
            <w:shd w:val="clear" w:color="000000" w:fill="1F497D"/>
            <w:noWrap/>
            <w:vAlign w:val="center"/>
            <w:hideMark/>
          </w:tcPr>
          <w:p w:rsidR="00203A5B" w:rsidRPr="00BF5EF4" w:rsidRDefault="00203A5B" w:rsidP="00203A5B">
            <w:pPr>
              <w:pStyle w:val="TableHeader"/>
              <w:spacing w:before="20" w:after="20"/>
            </w:pPr>
            <w:r w:rsidRPr="00BF5EF4">
              <w:t>Weather Year</w:t>
            </w:r>
          </w:p>
        </w:tc>
        <w:tc>
          <w:tcPr>
            <w:tcW w:w="0" w:type="auto"/>
            <w:gridSpan w:val="2"/>
            <w:tcBorders>
              <w:top w:val="single" w:sz="4" w:space="0" w:color="FFFFFF"/>
              <w:left w:val="nil"/>
              <w:bottom w:val="single" w:sz="4" w:space="0" w:color="FFFFFF"/>
              <w:right w:val="single" w:sz="4" w:space="0" w:color="000000"/>
            </w:tcBorders>
            <w:shd w:val="clear" w:color="000000" w:fill="1F497D"/>
            <w:noWrap/>
            <w:vAlign w:val="center"/>
            <w:hideMark/>
          </w:tcPr>
          <w:p w:rsidR="00203A5B" w:rsidRPr="00BF5EF4" w:rsidRDefault="00203A5B" w:rsidP="00203A5B">
            <w:pPr>
              <w:pStyle w:val="TableHeader"/>
              <w:spacing w:before="20" w:after="20"/>
            </w:pPr>
            <w:r w:rsidRPr="00BF5EF4">
              <w:t>Weather Year</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203A5B">
            <w:pPr>
              <w:pStyle w:val="TableHeader"/>
              <w:spacing w:before="20" w:after="20"/>
            </w:pP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203A5B">
            <w:pPr>
              <w:pStyle w:val="TableHeader"/>
              <w:spacing w:before="20" w:after="20"/>
            </w:pPr>
            <w:r w:rsidRPr="00BF5EF4">
              <w:t>1-in-10</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203A5B">
            <w:pPr>
              <w:pStyle w:val="TableHeader"/>
              <w:spacing w:before="20" w:after="20"/>
            </w:pPr>
            <w:r w:rsidRPr="00BF5EF4">
              <w:t>1-in-2</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203A5B">
            <w:pPr>
              <w:pStyle w:val="TableHeader"/>
              <w:spacing w:before="20" w:after="20"/>
            </w:pPr>
            <w:r w:rsidRPr="00BF5EF4">
              <w:t>1-in-10</w:t>
            </w:r>
          </w:p>
        </w:tc>
        <w:tc>
          <w:tcPr>
            <w:tcW w:w="0" w:type="auto"/>
            <w:tcBorders>
              <w:top w:val="nil"/>
              <w:left w:val="nil"/>
              <w:bottom w:val="single" w:sz="4" w:space="0" w:color="auto"/>
              <w:right w:val="single" w:sz="4" w:space="0" w:color="auto"/>
            </w:tcBorders>
            <w:shd w:val="clear" w:color="000000" w:fill="1F497D"/>
            <w:noWrap/>
            <w:vAlign w:val="center"/>
            <w:hideMark/>
          </w:tcPr>
          <w:p w:rsidR="00203A5B" w:rsidRPr="00BF5EF4" w:rsidRDefault="00203A5B" w:rsidP="00203A5B">
            <w:pPr>
              <w:pStyle w:val="TableHeader"/>
              <w:spacing w:before="20" w:after="20"/>
            </w:pPr>
            <w:r w:rsidRPr="00BF5EF4">
              <w:t>1-in-2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Typical Event Day</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0.36</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0.30</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4</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May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0.28</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0.12</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3</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1</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June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0.33</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0.13</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July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0.34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0.31</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4</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August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0.36</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0.30</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4</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3</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September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0.49</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0.40</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6</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5</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October Monthly Peak</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0.29</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0.22</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3</w:t>
            </w:r>
          </w:p>
        </w:tc>
        <w:tc>
          <w:tcPr>
            <w:tcW w:w="0" w:type="auto"/>
            <w:tcBorders>
              <w:top w:val="nil"/>
              <w:left w:val="nil"/>
              <w:bottom w:val="single" w:sz="4" w:space="0" w:color="auto"/>
              <w:right w:val="single" w:sz="4" w:space="0" w:color="auto"/>
            </w:tcBorders>
            <w:shd w:val="clear" w:color="auto" w:fill="auto"/>
            <w:noWrap/>
            <w:vAlign w:val="bottom"/>
            <w:hideMark/>
          </w:tcPr>
          <w:p w:rsidR="00203A5B" w:rsidRPr="00BF5EF4" w:rsidRDefault="00203A5B" w:rsidP="00203A5B">
            <w:pPr>
              <w:pStyle w:val="TableText"/>
              <w:spacing w:before="20" w:after="20"/>
            </w:pPr>
            <w:r w:rsidRPr="00BF5EF4">
              <w:t>3</w:t>
            </w:r>
          </w:p>
        </w:tc>
      </w:tr>
    </w:tbl>
    <w:p w:rsidR="00203A5B" w:rsidRPr="00D34C82" w:rsidRDefault="00203A5B" w:rsidP="00203A5B">
      <w:pPr>
        <w:pStyle w:val="Heading2"/>
        <w:spacing w:before="360"/>
      </w:pPr>
      <w:bookmarkStart w:id="13" w:name="_Toc349548896"/>
      <w:bookmarkStart w:id="14" w:name="_Toc350953026"/>
      <w:r>
        <w:t xml:space="preserve">Ex Post Load Impact Estimates of PTR for Summer </w:t>
      </w:r>
      <w:r>
        <w:br/>
        <w:t>Saver Customers</w:t>
      </w:r>
      <w:bookmarkEnd w:id="13"/>
      <w:bookmarkEnd w:id="14"/>
    </w:p>
    <w:p w:rsidR="00203A5B" w:rsidRDefault="00203A5B" w:rsidP="00203A5B">
      <w:pPr>
        <w:pStyle w:val="BodyParagraph"/>
      </w:pPr>
      <w:r>
        <w:t>Seven PTR events were called in 2012.  The events all lasted from 11 AM to 6 PM.  Load impacts from PTR for the Summer Saver populations are not significant</w:t>
      </w:r>
      <w:r w:rsidR="00F453C9">
        <w:t>ly different from zero</w:t>
      </w:r>
      <w:r>
        <w:t>.  However, it is possible to calculate load impacts for residential Summer Saver customers who received PTR alerts.  Table 2-7 shows the load impacts (averaged across each event hour) for each 2012 event day for the 2,917 residential customers enrolled on Summer Saver who received PTR alerts.  These customers were notified of an</w:t>
      </w:r>
      <w:r w:rsidR="00DC1B21">
        <w:t> </w:t>
      </w:r>
      <w:r>
        <w:t xml:space="preserve">upcoming PTR </w:t>
      </w:r>
      <w:r w:rsidRPr="00203A5B">
        <w:t>event</w:t>
      </w:r>
      <w:r>
        <w:t xml:space="preserve"> by an e-mail, a text message, or both.  In 2012, Summer Saver residential customers who received PTR alerts delivered an average aggregate load reduction over the </w:t>
      </w:r>
      <w:r w:rsidR="00DC1B21">
        <w:t xml:space="preserve">7 </w:t>
      </w:r>
      <w:r>
        <w:t xml:space="preserve">events of 1 MW.  Impacts ranged from a low of 0.55 MW on August 21, to a high of 1.70 MW on September 15, a Saturday event with by far the highest temperature of any 2012 event day.  There were 121 residential customers in the sample used to calculate these ex post impacts.  The same analysis could not be completed for commercial customers because there were only seven customers in the commercial Summer Saver sample who received PTR alerts. </w:t>
      </w:r>
    </w:p>
    <w:p w:rsidR="00203A5B" w:rsidRDefault="00203A5B" w:rsidP="00203A5B">
      <w:pPr>
        <w:pStyle w:val="TableFigureCaption"/>
        <w:spacing w:after="0"/>
      </w:pPr>
      <w:r>
        <w:t>Table 2-7: PTR</w:t>
      </w:r>
      <w:r w:rsidRPr="00174B6C">
        <w:t xml:space="preserve"> </w:t>
      </w:r>
      <w:proofErr w:type="gramStart"/>
      <w:r w:rsidRPr="00174B6C">
        <w:t>Ex</w:t>
      </w:r>
      <w:proofErr w:type="gramEnd"/>
      <w:r w:rsidRPr="00174B6C">
        <w:t xml:space="preserve"> Post</w:t>
      </w:r>
      <w:r>
        <w:t xml:space="preserve"> Load</w:t>
      </w:r>
      <w:r w:rsidRPr="00174B6C">
        <w:t xml:space="preserve"> Impact Estimates</w:t>
      </w:r>
      <w:r>
        <w:t xml:space="preserve"> </w:t>
      </w:r>
    </w:p>
    <w:p w:rsidR="00203A5B" w:rsidRDefault="00203A5B" w:rsidP="00203A5B">
      <w:pPr>
        <w:pStyle w:val="TableFigureCaption"/>
      </w:pPr>
      <w:r>
        <w:t xml:space="preserve">Residential Summer Saver Customers </w:t>
      </w:r>
      <w:r w:rsidR="00DC1B21">
        <w:t>W</w:t>
      </w:r>
      <w:r>
        <w:t>ho Received PTR Alerts</w:t>
      </w:r>
    </w:p>
    <w:tbl>
      <w:tblPr>
        <w:tblW w:w="6085" w:type="dxa"/>
        <w:jc w:val="center"/>
        <w:tblInd w:w="99" w:type="dxa"/>
        <w:tblLook w:val="04A0"/>
      </w:tblPr>
      <w:tblGrid>
        <w:gridCol w:w="1180"/>
        <w:gridCol w:w="1747"/>
        <w:gridCol w:w="1553"/>
        <w:gridCol w:w="1605"/>
      </w:tblGrid>
      <w:tr w:rsidR="00203A5B" w:rsidRPr="00E64C2A" w:rsidTr="00203A5B">
        <w:trPr>
          <w:trHeight w:val="300"/>
          <w:jc w:val="center"/>
        </w:trPr>
        <w:tc>
          <w:tcPr>
            <w:tcW w:w="118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E64C2A" w:rsidRDefault="00203A5B" w:rsidP="00203A5B">
            <w:pPr>
              <w:pStyle w:val="TableHeader"/>
              <w:spacing w:before="20" w:after="20"/>
            </w:pPr>
            <w:r w:rsidRPr="00E64C2A">
              <w:t>Date</w:t>
            </w:r>
          </w:p>
        </w:tc>
        <w:tc>
          <w:tcPr>
            <w:tcW w:w="3300" w:type="dxa"/>
            <w:gridSpan w:val="2"/>
            <w:tcBorders>
              <w:top w:val="single" w:sz="4" w:space="0" w:color="auto"/>
              <w:left w:val="nil"/>
              <w:bottom w:val="single" w:sz="4" w:space="0" w:color="FFFFFF"/>
              <w:right w:val="single" w:sz="4" w:space="0" w:color="FFFFFF"/>
            </w:tcBorders>
            <w:shd w:val="clear" w:color="000000" w:fill="1F497D"/>
            <w:noWrap/>
            <w:vAlign w:val="center"/>
            <w:hideMark/>
          </w:tcPr>
          <w:p w:rsidR="00203A5B" w:rsidRPr="00E64C2A" w:rsidRDefault="00203A5B" w:rsidP="00203A5B">
            <w:pPr>
              <w:pStyle w:val="TableHeader"/>
              <w:spacing w:before="20" w:after="20"/>
            </w:pPr>
            <w:r w:rsidRPr="00E64C2A">
              <w:t>Impact</w:t>
            </w:r>
          </w:p>
        </w:tc>
        <w:tc>
          <w:tcPr>
            <w:tcW w:w="1605"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E64C2A" w:rsidRDefault="00203A5B" w:rsidP="00203A5B">
            <w:pPr>
              <w:pStyle w:val="TableHeader"/>
              <w:spacing w:before="20" w:after="20"/>
            </w:pPr>
            <w:r w:rsidRPr="00E64C2A">
              <w:t>Temperature During Event</w:t>
            </w:r>
            <w:r>
              <w:t xml:space="preserve"> (</w:t>
            </w:r>
            <w:r>
              <w:rPr>
                <w:rFonts w:cs="Calibri"/>
              </w:rPr>
              <w:t>°</w:t>
            </w:r>
            <w:r>
              <w:t>F)</w:t>
            </w:r>
          </w:p>
        </w:tc>
      </w:tr>
      <w:tr w:rsidR="00203A5B" w:rsidRPr="00E64C2A" w:rsidTr="00203A5B">
        <w:trPr>
          <w:trHeight w:val="300"/>
          <w:jc w:val="center"/>
        </w:trPr>
        <w:tc>
          <w:tcPr>
            <w:tcW w:w="1180" w:type="dxa"/>
            <w:vMerge/>
            <w:tcBorders>
              <w:top w:val="single" w:sz="4" w:space="0" w:color="auto"/>
              <w:left w:val="single" w:sz="4" w:space="0" w:color="auto"/>
              <w:bottom w:val="single" w:sz="4" w:space="0" w:color="000000"/>
              <w:right w:val="single" w:sz="4" w:space="0" w:color="FFFFFF"/>
            </w:tcBorders>
            <w:vAlign w:val="center"/>
            <w:hideMark/>
          </w:tcPr>
          <w:p w:rsidR="00203A5B" w:rsidRPr="00E64C2A" w:rsidRDefault="00203A5B" w:rsidP="00203A5B">
            <w:pPr>
              <w:pStyle w:val="TableHeader"/>
              <w:spacing w:before="20" w:after="20"/>
            </w:pPr>
          </w:p>
        </w:tc>
        <w:tc>
          <w:tcPr>
            <w:tcW w:w="1747" w:type="dxa"/>
            <w:tcBorders>
              <w:top w:val="nil"/>
              <w:left w:val="nil"/>
              <w:bottom w:val="single" w:sz="4" w:space="0" w:color="auto"/>
              <w:right w:val="single" w:sz="4" w:space="0" w:color="FFFFFF"/>
            </w:tcBorders>
            <w:shd w:val="clear" w:color="000000" w:fill="1F497D"/>
            <w:noWrap/>
            <w:vAlign w:val="center"/>
            <w:hideMark/>
          </w:tcPr>
          <w:p w:rsidR="00203A5B" w:rsidRPr="00E64C2A" w:rsidRDefault="00203A5B" w:rsidP="00203A5B">
            <w:pPr>
              <w:pStyle w:val="TableHeader"/>
              <w:spacing w:before="20" w:after="20"/>
            </w:pPr>
            <w:r w:rsidRPr="00E64C2A">
              <w:t>Per Premise (kW)</w:t>
            </w:r>
          </w:p>
        </w:tc>
        <w:tc>
          <w:tcPr>
            <w:tcW w:w="1553" w:type="dxa"/>
            <w:tcBorders>
              <w:top w:val="nil"/>
              <w:left w:val="nil"/>
              <w:bottom w:val="single" w:sz="4" w:space="0" w:color="auto"/>
              <w:right w:val="single" w:sz="4" w:space="0" w:color="FFFFFF"/>
            </w:tcBorders>
            <w:shd w:val="clear" w:color="000000" w:fill="1F497D"/>
            <w:noWrap/>
            <w:vAlign w:val="center"/>
            <w:hideMark/>
          </w:tcPr>
          <w:p w:rsidR="00203A5B" w:rsidRPr="00E64C2A" w:rsidRDefault="00203A5B" w:rsidP="00203A5B">
            <w:pPr>
              <w:pStyle w:val="TableHeader"/>
              <w:spacing w:before="20" w:after="20"/>
            </w:pPr>
            <w:r>
              <w:t>Aggregate (M</w:t>
            </w:r>
            <w:r w:rsidRPr="00E64C2A">
              <w:t>W)</w:t>
            </w:r>
          </w:p>
        </w:tc>
        <w:tc>
          <w:tcPr>
            <w:tcW w:w="1605" w:type="dxa"/>
            <w:vMerge/>
            <w:tcBorders>
              <w:top w:val="single" w:sz="4" w:space="0" w:color="auto"/>
              <w:left w:val="single" w:sz="4" w:space="0" w:color="FFFFFF"/>
              <w:bottom w:val="single" w:sz="4" w:space="0" w:color="000000"/>
              <w:right w:val="single" w:sz="4" w:space="0" w:color="auto"/>
            </w:tcBorders>
            <w:vAlign w:val="center"/>
            <w:hideMark/>
          </w:tcPr>
          <w:p w:rsidR="00203A5B" w:rsidRPr="00E64C2A" w:rsidRDefault="00203A5B" w:rsidP="00203A5B">
            <w:pPr>
              <w:pStyle w:val="TableHeader"/>
              <w:spacing w:before="20" w:after="20"/>
            </w:pP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20-Jul-12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0.32</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0.94</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81</w:t>
            </w: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9-Aug-12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0.43</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1.26</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83</w:t>
            </w: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10-Aug-12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0.34</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1.00</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84</w:t>
            </w: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11-Aug-12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0.42</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1.22</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84</w:t>
            </w: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14-Aug-12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0.45</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1.32</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84</w:t>
            </w: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21-Aug-12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0.19</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0.55</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78</w:t>
            </w: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15-Sep-12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0.58</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1.70</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98</w:t>
            </w:r>
          </w:p>
        </w:tc>
      </w:tr>
      <w:tr w:rsidR="00203A5B" w:rsidRPr="00E64C2A"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Average*</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0.35</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1.01</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64C2A" w:rsidRDefault="00203A5B" w:rsidP="00203A5B">
            <w:pPr>
              <w:pStyle w:val="TableText"/>
              <w:spacing w:before="20" w:after="20"/>
            </w:pPr>
            <w:r w:rsidRPr="00E64C2A">
              <w:t>82</w:t>
            </w:r>
          </w:p>
        </w:tc>
      </w:tr>
      <w:tr w:rsidR="00203A5B" w:rsidRPr="00E64C2A" w:rsidTr="00203A5B">
        <w:trPr>
          <w:trHeight w:val="300"/>
          <w:jc w:val="center"/>
        </w:trPr>
        <w:tc>
          <w:tcPr>
            <w:tcW w:w="6085" w:type="dxa"/>
            <w:gridSpan w:val="4"/>
            <w:tcBorders>
              <w:top w:val="nil"/>
              <w:left w:val="nil"/>
              <w:bottom w:val="nil"/>
              <w:right w:val="nil"/>
            </w:tcBorders>
            <w:shd w:val="clear" w:color="auto" w:fill="auto"/>
            <w:noWrap/>
            <w:vAlign w:val="center"/>
            <w:hideMark/>
          </w:tcPr>
          <w:p w:rsidR="00E03387" w:rsidRDefault="00203A5B">
            <w:pPr>
              <w:pStyle w:val="Footnote"/>
            </w:pPr>
            <w:r w:rsidRPr="00E64C2A">
              <w:t>*reflects the average event, omitting the Aug. 11 and Sept. 15</w:t>
            </w:r>
            <w:r>
              <w:t xml:space="preserve"> weekend</w:t>
            </w:r>
            <w:r w:rsidR="00DC1B21">
              <w:t> </w:t>
            </w:r>
            <w:r>
              <w:t>events</w:t>
            </w:r>
            <w:r w:rsidR="00DC1B21">
              <w:t>.</w:t>
            </w:r>
          </w:p>
        </w:tc>
      </w:tr>
    </w:tbl>
    <w:p w:rsidR="00203A5B" w:rsidRPr="00EF00D6" w:rsidRDefault="00203A5B" w:rsidP="00203A5B">
      <w:pPr>
        <w:pStyle w:val="BodyParagraph"/>
      </w:pPr>
    </w:p>
    <w:p w:rsidR="00E11AF5" w:rsidRPr="00D34C82" w:rsidRDefault="00E11AF5" w:rsidP="00E11AF5">
      <w:pPr>
        <w:pStyle w:val="Heading2"/>
        <w:spacing w:before="360"/>
      </w:pPr>
      <w:bookmarkStart w:id="15" w:name="_Toc350953027"/>
      <w:bookmarkStart w:id="16" w:name="_Toc349548897"/>
      <w:r>
        <w:t xml:space="preserve">Ex Ante Load Impact Estimates of PTR for Summer </w:t>
      </w:r>
      <w:r>
        <w:br/>
        <w:t>Saver Customers</w:t>
      </w:r>
      <w:bookmarkEnd w:id="15"/>
    </w:p>
    <w:p w:rsidR="00E11AF5" w:rsidRPr="00D2076B" w:rsidRDefault="00210C0F" w:rsidP="00E11AF5">
      <w:pPr>
        <w:pStyle w:val="BodyParagraph"/>
      </w:pPr>
      <w:r>
        <w:t>Table 2-8</w:t>
      </w:r>
      <w:r w:rsidR="00E11AF5" w:rsidRPr="00D2076B">
        <w:t xml:space="preserve"> shows ex ante load impact estimates</w:t>
      </w:r>
      <w:r>
        <w:t xml:space="preserve"> of PTR</w:t>
      </w:r>
      <w:r w:rsidR="00E11AF5" w:rsidRPr="00D2076B">
        <w:t xml:space="preserve"> for residential Summer Saver customers</w:t>
      </w:r>
      <w:r w:rsidR="00E11AF5">
        <w:t xml:space="preserve"> who are forecast to receive PTR alerts</w:t>
      </w:r>
      <w:r w:rsidR="00E11AF5" w:rsidRPr="00D2076B">
        <w:t xml:space="preserve">.  The values shown are averages over the </w:t>
      </w:r>
      <w:r>
        <w:t>event</w:t>
      </w:r>
      <w:r w:rsidR="00E11AF5" w:rsidRPr="00D2076B">
        <w:t xml:space="preserve"> window of 1</w:t>
      </w:r>
      <w:r>
        <w:t xml:space="preserve">1 AM to </w:t>
      </w:r>
      <w:r w:rsidR="00E11AF5" w:rsidRPr="00D2076B">
        <w:t xml:space="preserve">6 PM.  Program enrollment is expected to </w:t>
      </w:r>
      <w:r>
        <w:t>grow to 4,156 customers by 2015</w:t>
      </w:r>
      <w:r w:rsidR="00E11AF5" w:rsidRPr="00D2076B">
        <w:t xml:space="preserve">, </w:t>
      </w:r>
      <w:r>
        <w:t>at which time it is expected to stabilize.</w:t>
      </w:r>
      <w:r w:rsidR="003C0588">
        <w:t xml:space="preserve">  The aggregate MW load impacts in table 8-2 reflect the program in its steady state.  In this state, r</w:t>
      </w:r>
      <w:r>
        <w:t>esidential Summer Saver customers enrolled in PTR alerts are</w:t>
      </w:r>
      <w:r w:rsidR="00E11AF5" w:rsidRPr="00210C0F">
        <w:t xml:space="preserve"> expe</w:t>
      </w:r>
      <w:r>
        <w:t>cted to produce an average of</w:t>
      </w:r>
      <w:r w:rsidR="003C0588">
        <w:t xml:space="preserve"> about 1.8</w:t>
      </w:r>
      <w:r w:rsidR="00E11AF5" w:rsidRPr="00210C0F">
        <w:t xml:space="preserve"> MW of demand re</w:t>
      </w:r>
      <w:r>
        <w:t>sponse over the course of an 11 AM</w:t>
      </w:r>
      <w:r w:rsidR="00E11AF5" w:rsidRPr="00210C0F">
        <w:t xml:space="preserve"> to 6 PM event on a typical event </w:t>
      </w:r>
      <w:r>
        <w:t xml:space="preserve">day in a 1-in-10 weather year.  Because there is only a brief history of events under </w:t>
      </w:r>
      <w:r w:rsidR="00192CAC">
        <w:t xml:space="preserve">PTR alerts, ex ante load impact estimates are capped </w:t>
      </w:r>
      <w:r w:rsidR="00FE48E1">
        <w:t>according to the</w:t>
      </w:r>
      <w:r w:rsidR="00192CAC">
        <w:t xml:space="preserve"> upper and lower values of the </w:t>
      </w:r>
      <w:r w:rsidR="00FE48E1">
        <w:t>temperatures observed ex post.</w:t>
      </w:r>
    </w:p>
    <w:p w:rsidR="00210C0F" w:rsidRDefault="00210C0F" w:rsidP="00210C0F">
      <w:pPr>
        <w:pStyle w:val="TableFigureCaption"/>
        <w:spacing w:after="0"/>
      </w:pPr>
      <w:r>
        <w:t>Table 2-8</w:t>
      </w:r>
      <w:r w:rsidR="00E11AF5" w:rsidRPr="00D2076B">
        <w:t>:</w:t>
      </w:r>
      <w:r w:rsidR="00E11AF5">
        <w:t xml:space="preserve"> </w:t>
      </w:r>
      <w:r>
        <w:t>PTR</w:t>
      </w:r>
      <w:r w:rsidRPr="00174B6C">
        <w:t xml:space="preserve"> Ex </w:t>
      </w:r>
      <w:r>
        <w:t>Ante Load</w:t>
      </w:r>
      <w:r w:rsidRPr="00174B6C">
        <w:t xml:space="preserve"> Impact Estimates</w:t>
      </w:r>
      <w:r>
        <w:t xml:space="preserve"> for 2015</w:t>
      </w:r>
    </w:p>
    <w:p w:rsidR="00E11AF5" w:rsidRDefault="00210C0F" w:rsidP="00210C0F">
      <w:pPr>
        <w:pStyle w:val="TableFigureCaption"/>
      </w:pPr>
      <w:r>
        <w:t>Residential Summer Saver Customers Who Will Receive PTR Alerts</w:t>
      </w:r>
    </w:p>
    <w:tbl>
      <w:tblPr>
        <w:tblW w:w="8060" w:type="dxa"/>
        <w:jc w:val="center"/>
        <w:tblInd w:w="94" w:type="dxa"/>
        <w:tblLook w:val="04A0"/>
      </w:tblPr>
      <w:tblGrid>
        <w:gridCol w:w="2800"/>
        <w:gridCol w:w="1388"/>
        <w:gridCol w:w="1152"/>
        <w:gridCol w:w="1487"/>
        <w:gridCol w:w="1233"/>
      </w:tblGrid>
      <w:tr w:rsidR="00210C0F" w:rsidRPr="00210C0F" w:rsidTr="00210C0F">
        <w:trPr>
          <w:trHeight w:val="300"/>
          <w:jc w:val="center"/>
        </w:trPr>
        <w:tc>
          <w:tcPr>
            <w:tcW w:w="280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Day Type</w:t>
            </w:r>
          </w:p>
        </w:tc>
        <w:tc>
          <w:tcPr>
            <w:tcW w:w="2540" w:type="dxa"/>
            <w:gridSpan w:val="2"/>
            <w:tcBorders>
              <w:top w:val="single" w:sz="4" w:space="0" w:color="auto"/>
              <w:left w:val="nil"/>
              <w:bottom w:val="single" w:sz="4" w:space="0" w:color="FFFFFF"/>
              <w:right w:val="single" w:sz="4" w:space="0" w:color="FFFFFF"/>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Per Premise Impact (kW)</w:t>
            </w:r>
          </w:p>
        </w:tc>
        <w:tc>
          <w:tcPr>
            <w:tcW w:w="2720" w:type="dxa"/>
            <w:gridSpan w:val="2"/>
            <w:tcBorders>
              <w:top w:val="single" w:sz="4" w:space="0" w:color="auto"/>
              <w:left w:val="nil"/>
              <w:bottom w:val="single" w:sz="4" w:space="0" w:color="FFFFFF"/>
              <w:right w:val="single" w:sz="4" w:space="0" w:color="000000"/>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Aggregate Impact (MW)</w:t>
            </w:r>
          </w:p>
        </w:tc>
      </w:tr>
      <w:tr w:rsidR="00210C0F" w:rsidRPr="00210C0F" w:rsidTr="00210C0F">
        <w:trPr>
          <w:trHeight w:val="300"/>
          <w:jc w:val="center"/>
        </w:trPr>
        <w:tc>
          <w:tcPr>
            <w:tcW w:w="2800" w:type="dxa"/>
            <w:vMerge/>
            <w:tcBorders>
              <w:top w:val="single" w:sz="4" w:space="0" w:color="auto"/>
              <w:left w:val="single" w:sz="4" w:space="0" w:color="auto"/>
              <w:bottom w:val="single" w:sz="4" w:space="0" w:color="000000"/>
              <w:right w:val="single" w:sz="4" w:space="0" w:color="FFFFFF"/>
            </w:tcBorders>
            <w:vAlign w:val="center"/>
            <w:hideMark/>
          </w:tcPr>
          <w:p w:rsidR="00210C0F" w:rsidRPr="00192CAC" w:rsidRDefault="00210C0F" w:rsidP="00210C0F">
            <w:pPr>
              <w:spacing w:after="0" w:line="240" w:lineRule="auto"/>
              <w:rPr>
                <w:rFonts w:ascii="Arial" w:eastAsia="Times New Roman" w:hAnsi="Arial" w:cs="Arial"/>
                <w:b/>
                <w:color w:val="FFFFFF"/>
                <w:sz w:val="20"/>
                <w:szCs w:val="20"/>
              </w:rPr>
            </w:pPr>
          </w:p>
        </w:tc>
        <w:tc>
          <w:tcPr>
            <w:tcW w:w="2540" w:type="dxa"/>
            <w:gridSpan w:val="2"/>
            <w:tcBorders>
              <w:top w:val="single" w:sz="4" w:space="0" w:color="FFFFFF"/>
              <w:left w:val="nil"/>
              <w:bottom w:val="single" w:sz="4" w:space="0" w:color="FFFFFF"/>
              <w:right w:val="single" w:sz="4" w:space="0" w:color="FFFFFF"/>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Weather Year</w:t>
            </w:r>
          </w:p>
        </w:tc>
        <w:tc>
          <w:tcPr>
            <w:tcW w:w="2720" w:type="dxa"/>
            <w:gridSpan w:val="2"/>
            <w:tcBorders>
              <w:top w:val="single" w:sz="4" w:space="0" w:color="FFFFFF"/>
              <w:left w:val="nil"/>
              <w:bottom w:val="single" w:sz="4" w:space="0" w:color="FFFFFF"/>
              <w:right w:val="single" w:sz="4" w:space="0" w:color="000000"/>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Weather Year</w:t>
            </w:r>
          </w:p>
        </w:tc>
      </w:tr>
      <w:tr w:rsidR="00210C0F" w:rsidRPr="00210C0F" w:rsidTr="00210C0F">
        <w:trPr>
          <w:trHeight w:val="300"/>
          <w:jc w:val="center"/>
        </w:trPr>
        <w:tc>
          <w:tcPr>
            <w:tcW w:w="2800" w:type="dxa"/>
            <w:vMerge/>
            <w:tcBorders>
              <w:top w:val="single" w:sz="4" w:space="0" w:color="auto"/>
              <w:left w:val="single" w:sz="4" w:space="0" w:color="auto"/>
              <w:bottom w:val="single" w:sz="4" w:space="0" w:color="000000"/>
              <w:right w:val="single" w:sz="4" w:space="0" w:color="FFFFFF"/>
            </w:tcBorders>
            <w:vAlign w:val="center"/>
            <w:hideMark/>
          </w:tcPr>
          <w:p w:rsidR="00210C0F" w:rsidRPr="00192CAC" w:rsidRDefault="00210C0F" w:rsidP="00210C0F">
            <w:pPr>
              <w:spacing w:after="0" w:line="240" w:lineRule="auto"/>
              <w:rPr>
                <w:rFonts w:ascii="Arial" w:eastAsia="Times New Roman" w:hAnsi="Arial" w:cs="Arial"/>
                <w:b/>
                <w:color w:val="FFFFFF"/>
                <w:sz w:val="20"/>
                <w:szCs w:val="20"/>
              </w:rPr>
            </w:pPr>
          </w:p>
        </w:tc>
        <w:tc>
          <w:tcPr>
            <w:tcW w:w="1388" w:type="dxa"/>
            <w:tcBorders>
              <w:top w:val="nil"/>
              <w:left w:val="nil"/>
              <w:bottom w:val="single" w:sz="4" w:space="0" w:color="auto"/>
              <w:right w:val="single" w:sz="4" w:space="0" w:color="FFFFFF"/>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1-in-10</w:t>
            </w:r>
          </w:p>
        </w:tc>
        <w:tc>
          <w:tcPr>
            <w:tcW w:w="1152" w:type="dxa"/>
            <w:tcBorders>
              <w:top w:val="nil"/>
              <w:left w:val="nil"/>
              <w:bottom w:val="single" w:sz="4" w:space="0" w:color="auto"/>
              <w:right w:val="single" w:sz="4" w:space="0" w:color="FFFFFF"/>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1-in-2</w:t>
            </w:r>
          </w:p>
        </w:tc>
        <w:tc>
          <w:tcPr>
            <w:tcW w:w="1487" w:type="dxa"/>
            <w:tcBorders>
              <w:top w:val="nil"/>
              <w:left w:val="nil"/>
              <w:bottom w:val="single" w:sz="4" w:space="0" w:color="auto"/>
              <w:right w:val="single" w:sz="4" w:space="0" w:color="FFFFFF"/>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1-in-10</w:t>
            </w:r>
          </w:p>
        </w:tc>
        <w:tc>
          <w:tcPr>
            <w:tcW w:w="1233" w:type="dxa"/>
            <w:tcBorders>
              <w:top w:val="nil"/>
              <w:left w:val="nil"/>
              <w:bottom w:val="single" w:sz="4" w:space="0" w:color="auto"/>
              <w:right w:val="single" w:sz="4" w:space="0" w:color="auto"/>
            </w:tcBorders>
            <w:shd w:val="clear" w:color="000000" w:fill="1F497D"/>
            <w:noWrap/>
            <w:vAlign w:val="center"/>
            <w:hideMark/>
          </w:tcPr>
          <w:p w:rsidR="00210C0F" w:rsidRPr="00192CAC" w:rsidRDefault="00210C0F" w:rsidP="00210C0F">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1-in-2</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Typical Event Day</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0.41</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1.69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January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February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March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April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May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0.34</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1.41</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June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July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1.75</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August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0.39</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1.61</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September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October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0.36</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1.50</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November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210C0F" w:rsidRPr="00210C0F" w:rsidTr="00210C0F">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December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210C0F" w:rsidRPr="00210C0F" w:rsidRDefault="00210C0F" w:rsidP="00210C0F">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bl>
    <w:p w:rsidR="00E11AF5" w:rsidRDefault="00E11AF5" w:rsidP="00E11AF5">
      <w:pPr>
        <w:pStyle w:val="Heading2"/>
        <w:numPr>
          <w:ilvl w:val="0"/>
          <w:numId w:val="0"/>
        </w:numPr>
      </w:pPr>
    </w:p>
    <w:p w:rsidR="00203A5B" w:rsidRDefault="00203A5B" w:rsidP="002014D3">
      <w:pPr>
        <w:pStyle w:val="Heading2"/>
      </w:pPr>
      <w:bookmarkStart w:id="17" w:name="_Toc350953028"/>
      <w:r>
        <w:t xml:space="preserve">Report </w:t>
      </w:r>
      <w:r w:rsidRPr="00203A5B">
        <w:t>Structure</w:t>
      </w:r>
      <w:bookmarkEnd w:id="16"/>
      <w:bookmarkEnd w:id="17"/>
    </w:p>
    <w:p w:rsidR="002014D3" w:rsidRDefault="00203A5B" w:rsidP="002014D3">
      <w:pPr>
        <w:pStyle w:val="BodyParagraph"/>
      </w:pPr>
      <w:r>
        <w:t xml:space="preserve">The remainder of this report is organized as follows.  Section 3 summarizes the data and methodologies that were used to develop </w:t>
      </w:r>
      <w:r w:rsidRPr="005817A5">
        <w:t>the</w:t>
      </w:r>
      <w:r>
        <w:t xml:space="preserve"> ex post and ex ante load impact estimates and the validation tests that </w:t>
      </w:r>
      <w:r w:rsidRPr="002014D3">
        <w:t>were</w:t>
      </w:r>
      <w:r>
        <w:t xml:space="preserve"> applied to assess their accuracy.  Section 4 contains the ex post load impact estimates, an analysis of control device communication success and an analysis of the distribution of load impacts over customers.  Section 5 presents the ex ante estimates.  Section 6 summarizes the data and methodologies that were used to develop the ex post</w:t>
      </w:r>
      <w:r w:rsidR="00192CAC">
        <w:t xml:space="preserve"> and ex ante</w:t>
      </w:r>
      <w:r>
        <w:t xml:space="preserve"> load impact estimates of PTR for Summer Saver customers, including validation.  Section 7 presents the ex post load impact estimates of PTR for Summer Saver customers.</w:t>
      </w:r>
      <w:r w:rsidR="00192CAC">
        <w:t xml:space="preserve">  Section 8 presents the ex ante load impact estimates of PTR for Summer Saver customers.</w:t>
      </w:r>
    </w:p>
    <w:p w:rsidR="002014D3" w:rsidRDefault="002014D3">
      <w:pPr>
        <w:rPr>
          <w:rFonts w:ascii="Verdana" w:hAnsi="Verdana"/>
          <w:sz w:val="18"/>
        </w:rPr>
      </w:pPr>
      <w:r>
        <w:br w:type="page"/>
      </w:r>
    </w:p>
    <w:p w:rsidR="00203A5B" w:rsidRDefault="00203A5B" w:rsidP="002014D3">
      <w:pPr>
        <w:pStyle w:val="Heading1"/>
      </w:pPr>
      <w:bookmarkStart w:id="18" w:name="_Toc349548898"/>
      <w:bookmarkStart w:id="19" w:name="_Toc350953029"/>
      <w:r>
        <w:t>Data and Methodology</w:t>
      </w:r>
      <w:bookmarkEnd w:id="18"/>
      <w:bookmarkEnd w:id="19"/>
    </w:p>
    <w:p w:rsidR="00203A5B" w:rsidRDefault="00203A5B" w:rsidP="00203A5B">
      <w:pPr>
        <w:pStyle w:val="BodyParagraph"/>
      </w:pPr>
      <w:r>
        <w:t xml:space="preserve">This section </w:t>
      </w:r>
      <w:r w:rsidRPr="005817A5">
        <w:t>summarizes</w:t>
      </w:r>
      <w:r>
        <w:t xml:space="preserve"> the datasets and analysis methods that were used to estimate load impacts for</w:t>
      </w:r>
      <w:r w:rsidRPr="00263B75">
        <w:t xml:space="preserve"> </w:t>
      </w:r>
      <w:r>
        <w:t>each event in 2012 and for ex ante weather conditions.  The residential ex post results were calculated using a control and treatment group design with an adjustment to the control loads to account for pre-existing differences between groups.  The commercial ex post results were calculated using a panel model</w:t>
      </w:r>
      <w:r w:rsidR="00DC1B21">
        <w:t>,</w:t>
      </w:r>
      <w:r>
        <w:t xml:space="preserve"> which incorporates information from the control group and hot non-event days.  The residential method is preferred because it doesn’t rely on the assumption that we can adequately account for differences across days using a function of temperature. </w:t>
      </w:r>
      <w:r w:rsidR="00DC1B21">
        <w:t xml:space="preserve"> </w:t>
      </w:r>
      <w:r>
        <w:t xml:space="preserve">The relatively small commercial sample size (393 customers) necessitated an approach that made use of load variation both across customers and within customers to produce plausible results for commercial customers.  For both the residential and commercial segments, the ex post results from the past three years are modeled as a function of temperature to produce the ex ante results. </w:t>
      </w:r>
    </w:p>
    <w:p w:rsidR="00203A5B" w:rsidRDefault="00203A5B" w:rsidP="00374908">
      <w:pPr>
        <w:pStyle w:val="Heading2"/>
      </w:pPr>
      <w:bookmarkStart w:id="20" w:name="_Toc349548899"/>
      <w:bookmarkStart w:id="21" w:name="_Toc350953030"/>
      <w:r w:rsidRPr="00374908">
        <w:t>Data</w:t>
      </w:r>
      <w:bookmarkEnd w:id="20"/>
      <w:bookmarkEnd w:id="21"/>
    </w:p>
    <w:p w:rsidR="00203A5B" w:rsidRDefault="00203A5B" w:rsidP="00203A5B">
      <w:pPr>
        <w:pStyle w:val="BodyParagraph"/>
      </w:pPr>
      <w:r>
        <w:t xml:space="preserve">Eight Summer Saver events were called in 2012.  Table 3-1 shows the date and day of week </w:t>
      </w:r>
      <w:r w:rsidR="00D250DD">
        <w:t>for</w:t>
      </w:r>
      <w:r>
        <w:t xml:space="preserve"> each event, and the start and stop time </w:t>
      </w:r>
      <w:r w:rsidR="00D250DD">
        <w:t>for</w:t>
      </w:r>
      <w:r>
        <w:t xml:space="preserve"> each event.  All residential and </w:t>
      </w:r>
      <w:r w:rsidRPr="002F02E6">
        <w:t>commercial</w:t>
      </w:r>
      <w:r>
        <w:t xml:space="preserve"> accounts were called for each weekday event, less a group of control customers that were held back for measurement and evaluation purposes.  Control group customers were also held back on the weekend event, but the population size for this event was much smaller as only 6,381 residential customers and 470 commercial customers signed up for weekend events.  Summer Saver events lasted two to four hours</w:t>
      </w:r>
      <w:r w:rsidR="00D250DD">
        <w:t> </w:t>
      </w:r>
      <w:r>
        <w:t>and began as early as 12 PM and as late as 4 PM.</w:t>
      </w:r>
    </w:p>
    <w:p w:rsidR="00203A5B" w:rsidRDefault="00203A5B" w:rsidP="00203A5B">
      <w:pPr>
        <w:pStyle w:val="TableFigureCaption"/>
      </w:pPr>
      <w:r w:rsidRPr="005E4F7C">
        <w:t xml:space="preserve">Table </w:t>
      </w:r>
      <w:r>
        <w:t>3</w:t>
      </w:r>
      <w:r w:rsidRPr="005E4F7C">
        <w:t>-</w:t>
      </w:r>
      <w:r>
        <w:t>1</w:t>
      </w:r>
      <w:r w:rsidRPr="005E4F7C">
        <w:t>:</w:t>
      </w:r>
      <w:r>
        <w:t xml:space="preserve"> Summer Saver 2012</w:t>
      </w:r>
      <w:r w:rsidRPr="005E4F7C">
        <w:t xml:space="preserve"> Event Summary</w:t>
      </w:r>
    </w:p>
    <w:tbl>
      <w:tblPr>
        <w:tblW w:w="4928" w:type="dxa"/>
        <w:jc w:val="center"/>
        <w:tblInd w:w="93" w:type="dxa"/>
        <w:tblLook w:val="04A0"/>
      </w:tblPr>
      <w:tblGrid>
        <w:gridCol w:w="1157"/>
        <w:gridCol w:w="1269"/>
        <w:gridCol w:w="1250"/>
        <w:gridCol w:w="1252"/>
      </w:tblGrid>
      <w:tr w:rsidR="00203A5B" w:rsidRPr="007F356D" w:rsidTr="00203A5B">
        <w:trPr>
          <w:trHeight w:val="510"/>
          <w:jc w:val="center"/>
        </w:trPr>
        <w:tc>
          <w:tcPr>
            <w:tcW w:w="1157"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7F356D" w:rsidRDefault="00203A5B" w:rsidP="00374908">
            <w:pPr>
              <w:pStyle w:val="TableHeader"/>
            </w:pPr>
            <w:r w:rsidRPr="007F356D">
              <w:t>Date</w:t>
            </w:r>
          </w:p>
        </w:tc>
        <w:tc>
          <w:tcPr>
            <w:tcW w:w="1269" w:type="dxa"/>
            <w:tcBorders>
              <w:top w:val="single" w:sz="4" w:space="0" w:color="auto"/>
              <w:left w:val="nil"/>
              <w:bottom w:val="single" w:sz="4" w:space="0" w:color="auto"/>
              <w:right w:val="single" w:sz="4" w:space="0" w:color="FFFFFF"/>
            </w:tcBorders>
            <w:shd w:val="clear" w:color="000000" w:fill="1F497D"/>
            <w:vAlign w:val="center"/>
            <w:hideMark/>
          </w:tcPr>
          <w:p w:rsidR="00203A5B" w:rsidRPr="007F356D" w:rsidRDefault="00203A5B" w:rsidP="00374908">
            <w:pPr>
              <w:pStyle w:val="TableHeader"/>
            </w:pPr>
            <w:r w:rsidRPr="007F356D">
              <w:t>Day of Week</w:t>
            </w:r>
          </w:p>
        </w:tc>
        <w:tc>
          <w:tcPr>
            <w:tcW w:w="1250" w:type="dxa"/>
            <w:tcBorders>
              <w:top w:val="single" w:sz="4" w:space="0" w:color="auto"/>
              <w:left w:val="nil"/>
              <w:bottom w:val="single" w:sz="4" w:space="0" w:color="auto"/>
              <w:right w:val="single" w:sz="4" w:space="0" w:color="FFFFFF"/>
            </w:tcBorders>
            <w:shd w:val="clear" w:color="000000" w:fill="1F497D"/>
            <w:vAlign w:val="center"/>
            <w:hideMark/>
          </w:tcPr>
          <w:p w:rsidR="00203A5B" w:rsidRPr="007F356D" w:rsidRDefault="00203A5B" w:rsidP="00374908">
            <w:pPr>
              <w:pStyle w:val="TableHeader"/>
            </w:pPr>
            <w:r w:rsidRPr="007F356D">
              <w:t>Start Time</w:t>
            </w:r>
          </w:p>
        </w:tc>
        <w:tc>
          <w:tcPr>
            <w:tcW w:w="1252" w:type="dxa"/>
            <w:tcBorders>
              <w:top w:val="single" w:sz="4" w:space="0" w:color="auto"/>
              <w:left w:val="nil"/>
              <w:bottom w:val="single" w:sz="4" w:space="0" w:color="auto"/>
              <w:right w:val="single" w:sz="4" w:space="0" w:color="auto"/>
            </w:tcBorders>
            <w:shd w:val="clear" w:color="000000" w:fill="1F497D"/>
            <w:vAlign w:val="center"/>
            <w:hideMark/>
          </w:tcPr>
          <w:p w:rsidR="00203A5B" w:rsidRPr="007F356D" w:rsidRDefault="00203A5B" w:rsidP="00374908">
            <w:pPr>
              <w:pStyle w:val="TableHeader"/>
            </w:pPr>
            <w:r w:rsidRPr="007F356D">
              <w:t>End Time</w:t>
            </w:r>
          </w:p>
        </w:tc>
      </w:tr>
      <w:tr w:rsidR="00203A5B" w:rsidRPr="007F356D" w:rsidTr="00203A5B">
        <w:trPr>
          <w:trHeight w:val="300"/>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8-Aug-12</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Wednesday</w:t>
            </w:r>
          </w:p>
        </w:tc>
        <w:tc>
          <w:tcPr>
            <w:tcW w:w="1250" w:type="dxa"/>
            <w:tcBorders>
              <w:top w:val="single" w:sz="4" w:space="0" w:color="auto"/>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12:00 PM</w:t>
            </w:r>
          </w:p>
        </w:tc>
        <w:tc>
          <w:tcPr>
            <w:tcW w:w="1252" w:type="dxa"/>
            <w:tcBorders>
              <w:top w:val="single" w:sz="4" w:space="0" w:color="auto"/>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4:00 PM</w:t>
            </w:r>
          </w:p>
        </w:tc>
      </w:tr>
      <w:tr w:rsidR="00203A5B" w:rsidRPr="007F356D"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10-Aug-12</w:t>
            </w:r>
          </w:p>
        </w:tc>
        <w:tc>
          <w:tcPr>
            <w:tcW w:w="1269" w:type="dxa"/>
            <w:tcBorders>
              <w:top w:val="nil"/>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Friday</w:t>
            </w:r>
          </w:p>
        </w:tc>
        <w:tc>
          <w:tcPr>
            <w:tcW w:w="1250"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4:00 PM</w:t>
            </w:r>
          </w:p>
        </w:tc>
        <w:tc>
          <w:tcPr>
            <w:tcW w:w="1252"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6:00 PM</w:t>
            </w:r>
          </w:p>
        </w:tc>
      </w:tr>
      <w:tr w:rsidR="00203A5B" w:rsidRPr="007F356D"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13-Aug-12</w:t>
            </w:r>
          </w:p>
        </w:tc>
        <w:tc>
          <w:tcPr>
            <w:tcW w:w="1269" w:type="dxa"/>
            <w:tcBorders>
              <w:top w:val="nil"/>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Monday</w:t>
            </w:r>
          </w:p>
        </w:tc>
        <w:tc>
          <w:tcPr>
            <w:tcW w:w="1250"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1:00 PM</w:t>
            </w:r>
          </w:p>
        </w:tc>
        <w:tc>
          <w:tcPr>
            <w:tcW w:w="1252"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5:00 PM</w:t>
            </w:r>
          </w:p>
        </w:tc>
      </w:tr>
      <w:tr w:rsidR="00203A5B" w:rsidRPr="007F356D"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17-Aug-12</w:t>
            </w:r>
          </w:p>
        </w:tc>
        <w:tc>
          <w:tcPr>
            <w:tcW w:w="1269" w:type="dxa"/>
            <w:tcBorders>
              <w:top w:val="nil"/>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Friday</w:t>
            </w:r>
          </w:p>
        </w:tc>
        <w:tc>
          <w:tcPr>
            <w:tcW w:w="1250"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1:00 PM</w:t>
            </w:r>
          </w:p>
        </w:tc>
        <w:tc>
          <w:tcPr>
            <w:tcW w:w="1252"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5:00 PM</w:t>
            </w:r>
          </w:p>
        </w:tc>
      </w:tr>
      <w:tr w:rsidR="00203A5B" w:rsidRPr="007F356D"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13-Sep-12</w:t>
            </w:r>
          </w:p>
        </w:tc>
        <w:tc>
          <w:tcPr>
            <w:tcW w:w="1269" w:type="dxa"/>
            <w:tcBorders>
              <w:top w:val="nil"/>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Thursday</w:t>
            </w:r>
          </w:p>
        </w:tc>
        <w:tc>
          <w:tcPr>
            <w:tcW w:w="1250"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2:00 PM</w:t>
            </w:r>
          </w:p>
        </w:tc>
        <w:tc>
          <w:tcPr>
            <w:tcW w:w="1252"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6:00 PM</w:t>
            </w:r>
          </w:p>
        </w:tc>
      </w:tr>
      <w:tr w:rsidR="00203A5B" w:rsidRPr="007F356D"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14-Sep-12</w:t>
            </w:r>
          </w:p>
        </w:tc>
        <w:tc>
          <w:tcPr>
            <w:tcW w:w="1269" w:type="dxa"/>
            <w:tcBorders>
              <w:top w:val="nil"/>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Friday</w:t>
            </w:r>
          </w:p>
        </w:tc>
        <w:tc>
          <w:tcPr>
            <w:tcW w:w="1250"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1:00 PM</w:t>
            </w:r>
          </w:p>
        </w:tc>
        <w:tc>
          <w:tcPr>
            <w:tcW w:w="1252"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5:00 PM</w:t>
            </w:r>
          </w:p>
        </w:tc>
      </w:tr>
      <w:tr w:rsidR="00203A5B" w:rsidRPr="007F356D"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15-Sep-12</w:t>
            </w:r>
          </w:p>
        </w:tc>
        <w:tc>
          <w:tcPr>
            <w:tcW w:w="1269" w:type="dxa"/>
            <w:tcBorders>
              <w:top w:val="nil"/>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Saturday</w:t>
            </w:r>
          </w:p>
        </w:tc>
        <w:tc>
          <w:tcPr>
            <w:tcW w:w="1250"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2:00 PM</w:t>
            </w:r>
          </w:p>
        </w:tc>
        <w:tc>
          <w:tcPr>
            <w:tcW w:w="1252"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6:00 PM</w:t>
            </w:r>
          </w:p>
        </w:tc>
      </w:tr>
      <w:tr w:rsidR="00203A5B" w:rsidRPr="007F356D"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7F356D" w:rsidRDefault="00203A5B" w:rsidP="00374908">
            <w:pPr>
              <w:pStyle w:val="TableText"/>
            </w:pPr>
            <w:r w:rsidRPr="007F356D">
              <w:t>1-Oct-12</w:t>
            </w:r>
          </w:p>
        </w:tc>
        <w:tc>
          <w:tcPr>
            <w:tcW w:w="1269" w:type="dxa"/>
            <w:tcBorders>
              <w:top w:val="nil"/>
              <w:left w:val="nil"/>
              <w:bottom w:val="single" w:sz="4" w:space="0" w:color="auto"/>
              <w:right w:val="single" w:sz="4" w:space="0" w:color="auto"/>
            </w:tcBorders>
            <w:shd w:val="clear" w:color="auto" w:fill="auto"/>
            <w:noWrap/>
            <w:vAlign w:val="center"/>
            <w:hideMark/>
          </w:tcPr>
          <w:p w:rsidR="00203A5B" w:rsidRPr="007F356D" w:rsidRDefault="00203A5B" w:rsidP="00374908">
            <w:pPr>
              <w:pStyle w:val="TableText"/>
              <w:rPr>
                <w:rFonts w:cs="Calibri"/>
              </w:rPr>
            </w:pPr>
            <w:r w:rsidRPr="007F356D">
              <w:rPr>
                <w:rFonts w:cs="Calibri"/>
              </w:rPr>
              <w:t>Monday</w:t>
            </w:r>
          </w:p>
        </w:tc>
        <w:tc>
          <w:tcPr>
            <w:tcW w:w="1250"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2:00 PM</w:t>
            </w:r>
          </w:p>
        </w:tc>
        <w:tc>
          <w:tcPr>
            <w:tcW w:w="1252" w:type="dxa"/>
            <w:tcBorders>
              <w:top w:val="nil"/>
              <w:left w:val="nil"/>
              <w:bottom w:val="single" w:sz="4" w:space="0" w:color="auto"/>
              <w:right w:val="single" w:sz="4" w:space="0" w:color="auto"/>
            </w:tcBorders>
            <w:shd w:val="clear" w:color="000000" w:fill="FFFFFF"/>
            <w:vAlign w:val="bottom"/>
            <w:hideMark/>
          </w:tcPr>
          <w:p w:rsidR="00203A5B" w:rsidRPr="007F356D" w:rsidRDefault="00203A5B" w:rsidP="00374908">
            <w:pPr>
              <w:pStyle w:val="TableText"/>
            </w:pPr>
            <w:r w:rsidRPr="007F356D">
              <w:t>6:00 PM</w:t>
            </w:r>
          </w:p>
        </w:tc>
      </w:tr>
    </w:tbl>
    <w:p w:rsidR="00203A5B" w:rsidRDefault="00203A5B" w:rsidP="00203A5B">
      <w:pPr>
        <w:pStyle w:val="BodyParaAfterTableFigure"/>
      </w:pPr>
      <w:r>
        <w:t>SDG&amp;E provided FSC with</w:t>
      </w:r>
      <w:r w:rsidRPr="0054082D">
        <w:t xml:space="preserve"> </w:t>
      </w:r>
      <w:r>
        <w:t>samples of smart meter</w:t>
      </w:r>
      <w:r w:rsidRPr="0054082D">
        <w:t xml:space="preserve"> </w:t>
      </w:r>
      <w:r>
        <w:t xml:space="preserve">interval data for </w:t>
      </w:r>
      <w:r w:rsidRPr="0054082D">
        <w:t>both the residential and commercial populations</w:t>
      </w:r>
      <w:r>
        <w:t xml:space="preserve"> for summer 2012.  </w:t>
      </w:r>
      <w:r w:rsidRPr="0054082D">
        <w:t xml:space="preserve">The sample included </w:t>
      </w:r>
      <w:r>
        <w:t>data for 1,379</w:t>
      </w:r>
      <w:r w:rsidRPr="0054082D">
        <w:t xml:space="preserve"> residential </w:t>
      </w:r>
      <w:r>
        <w:t>premises</w:t>
      </w:r>
      <w:r w:rsidRPr="0054082D">
        <w:t xml:space="preserve"> and </w:t>
      </w:r>
      <w:r>
        <w:t>393</w:t>
      </w:r>
      <w:r w:rsidRPr="0054082D">
        <w:t xml:space="preserve"> commercial </w:t>
      </w:r>
      <w:r>
        <w:t xml:space="preserve">premises.  On each event day, approximately half of the customers in each sample (residential and commercial) did not receive an event signal.  These customers provide </w:t>
      </w:r>
      <w:r w:rsidR="00F453C9">
        <w:t xml:space="preserve">the main source of information for </w:t>
      </w:r>
      <w:r>
        <w:t>reference load</w:t>
      </w:r>
      <w:r w:rsidR="00F453C9">
        <w:t>s, although for commercial customers, non-event days also provide reference load information</w:t>
      </w:r>
      <w:r>
        <w:t xml:space="preserve">. </w:t>
      </w:r>
    </w:p>
    <w:p w:rsidR="00203A5B" w:rsidRDefault="00203A5B" w:rsidP="00203A5B">
      <w:pPr>
        <w:pStyle w:val="BodyParagraph"/>
      </w:pPr>
      <w:r w:rsidRPr="0054082D">
        <w:t>Table</w:t>
      </w:r>
      <w:r>
        <w:t>s</w:t>
      </w:r>
      <w:r w:rsidRPr="0054082D">
        <w:t xml:space="preserve"> </w:t>
      </w:r>
      <w:r>
        <w:t>3</w:t>
      </w:r>
      <w:r w:rsidRPr="0054082D">
        <w:t>-</w:t>
      </w:r>
      <w:r>
        <w:t>2</w:t>
      </w:r>
      <w:r w:rsidRPr="0054082D">
        <w:t xml:space="preserve"> </w:t>
      </w:r>
      <w:r>
        <w:t xml:space="preserve">and 3-3 </w:t>
      </w:r>
      <w:r w:rsidRPr="0054082D">
        <w:t xml:space="preserve">show the distribution of </w:t>
      </w:r>
      <w:r>
        <w:t xml:space="preserve">CAC tonnage by cycling </w:t>
      </w:r>
      <w:r w:rsidRPr="0054082D">
        <w:t>option</w:t>
      </w:r>
      <w:r>
        <w:t xml:space="preserve"> and climate zone</w:t>
      </w:r>
      <w:r w:rsidRPr="0054082D">
        <w:t xml:space="preserve"> for the population</w:t>
      </w:r>
      <w:r>
        <w:t>s</w:t>
      </w:r>
      <w:r w:rsidRPr="0054082D">
        <w:t xml:space="preserve"> and sample</w:t>
      </w:r>
      <w:r>
        <w:t>s</w:t>
      </w:r>
      <w:r w:rsidRPr="0054082D">
        <w:t xml:space="preserve"> </w:t>
      </w:r>
      <w:r>
        <w:t xml:space="preserve">of </w:t>
      </w:r>
      <w:r w:rsidRPr="0054082D">
        <w:t xml:space="preserve">commercial </w:t>
      </w:r>
      <w:r>
        <w:t xml:space="preserve">and residential customers, respectively, </w:t>
      </w:r>
      <w:r w:rsidRPr="0054082D">
        <w:t xml:space="preserve">as of </w:t>
      </w:r>
      <w:r>
        <w:t>November 2012.  The differences between the fraction of residential customer tonnage in each sample cell and each population cell are small; there are only small difference</w:t>
      </w:r>
      <w:r w:rsidR="00D250DD">
        <w:t>s</w:t>
      </w:r>
      <w:r>
        <w:t xml:space="preserve"> across climate zones and cycling options.  The differences between the fraction of commercial customers in each sample cell and each population cell are larger because the commercial sample was selected using an additional dimension</w:t>
      </w:r>
      <w:r w:rsidR="00D250DD">
        <w:t xml:space="preserve"> –</w:t>
      </w:r>
      <w:r>
        <w:t xml:space="preserve"> bins of usage during event-like conditions.  Final results are weighted based on cycling option, climate zone, tonnage, and, for commercial customers, three bins of usage during event-like conditions.</w:t>
      </w:r>
    </w:p>
    <w:p w:rsidR="00203A5B" w:rsidRPr="00F90902" w:rsidRDefault="00203A5B" w:rsidP="00203A5B">
      <w:pPr>
        <w:pStyle w:val="TableFigureCaption"/>
      </w:pPr>
      <w:r>
        <w:t>Table 3-2: Distribution of AC Tonnage by Program Option and Climate Zone</w:t>
      </w:r>
      <w:r>
        <w:br/>
        <w:t>Residential Population</w:t>
      </w:r>
    </w:p>
    <w:tbl>
      <w:tblPr>
        <w:tblW w:w="8020" w:type="dxa"/>
        <w:jc w:val="center"/>
        <w:tblInd w:w="93" w:type="dxa"/>
        <w:tblLook w:val="04A0"/>
      </w:tblPr>
      <w:tblGrid>
        <w:gridCol w:w="3020"/>
        <w:gridCol w:w="1146"/>
        <w:gridCol w:w="939"/>
        <w:gridCol w:w="939"/>
        <w:gridCol w:w="939"/>
        <w:gridCol w:w="939"/>
        <w:gridCol w:w="960"/>
      </w:tblGrid>
      <w:tr w:rsidR="00203A5B" w:rsidRPr="00CB671C" w:rsidTr="00203A5B">
        <w:trPr>
          <w:trHeight w:val="510"/>
          <w:jc w:val="center"/>
        </w:trPr>
        <w:tc>
          <w:tcPr>
            <w:tcW w:w="3020"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CB671C" w:rsidRDefault="00203A5B" w:rsidP="00374908">
            <w:pPr>
              <w:pStyle w:val="TableHeader"/>
            </w:pPr>
            <w:r w:rsidRPr="00CB671C">
              <w:t>Cycling Option</w:t>
            </w:r>
          </w:p>
        </w:tc>
        <w:tc>
          <w:tcPr>
            <w:tcW w:w="1000" w:type="dxa"/>
            <w:tcBorders>
              <w:top w:val="single" w:sz="4" w:space="0" w:color="auto"/>
              <w:left w:val="nil"/>
              <w:bottom w:val="single" w:sz="4" w:space="0" w:color="auto"/>
              <w:right w:val="single" w:sz="4" w:space="0" w:color="FFFFFF"/>
            </w:tcBorders>
            <w:shd w:val="clear" w:color="000000" w:fill="1F497D"/>
            <w:vAlign w:val="center"/>
            <w:hideMark/>
          </w:tcPr>
          <w:p w:rsidR="00203A5B" w:rsidRPr="00CB671C" w:rsidRDefault="00203A5B" w:rsidP="00374908">
            <w:pPr>
              <w:pStyle w:val="TableHeader"/>
            </w:pPr>
            <w:r w:rsidRPr="00CB671C">
              <w:t>Group</w:t>
            </w:r>
          </w:p>
        </w:tc>
        <w:tc>
          <w:tcPr>
            <w:tcW w:w="760" w:type="dxa"/>
            <w:tcBorders>
              <w:top w:val="single" w:sz="4" w:space="0" w:color="auto"/>
              <w:left w:val="nil"/>
              <w:bottom w:val="single" w:sz="4" w:space="0" w:color="auto"/>
              <w:right w:val="single" w:sz="4" w:space="0" w:color="FFFFFF"/>
            </w:tcBorders>
            <w:shd w:val="clear" w:color="000000" w:fill="1F497D"/>
            <w:vAlign w:val="center"/>
            <w:hideMark/>
          </w:tcPr>
          <w:p w:rsidR="00203A5B" w:rsidRPr="00CB671C" w:rsidRDefault="00203A5B" w:rsidP="00374908">
            <w:pPr>
              <w:pStyle w:val="TableHeader"/>
            </w:pPr>
            <w:r w:rsidRPr="00CB671C">
              <w:t>Climate Zone 1</w:t>
            </w:r>
          </w:p>
        </w:tc>
        <w:tc>
          <w:tcPr>
            <w:tcW w:w="760" w:type="dxa"/>
            <w:tcBorders>
              <w:top w:val="single" w:sz="4" w:space="0" w:color="auto"/>
              <w:left w:val="nil"/>
              <w:bottom w:val="single" w:sz="4" w:space="0" w:color="auto"/>
              <w:right w:val="single" w:sz="4" w:space="0" w:color="FFFFFF"/>
            </w:tcBorders>
            <w:shd w:val="clear" w:color="000000" w:fill="1F497D"/>
            <w:vAlign w:val="center"/>
            <w:hideMark/>
          </w:tcPr>
          <w:p w:rsidR="00203A5B" w:rsidRPr="00CB671C" w:rsidRDefault="00203A5B" w:rsidP="00374908">
            <w:pPr>
              <w:pStyle w:val="TableHeader"/>
            </w:pPr>
            <w:r w:rsidRPr="00CB671C">
              <w:t>Climate Zone 2</w:t>
            </w:r>
          </w:p>
        </w:tc>
        <w:tc>
          <w:tcPr>
            <w:tcW w:w="760" w:type="dxa"/>
            <w:tcBorders>
              <w:top w:val="single" w:sz="4" w:space="0" w:color="auto"/>
              <w:left w:val="nil"/>
              <w:bottom w:val="single" w:sz="4" w:space="0" w:color="auto"/>
              <w:right w:val="single" w:sz="4" w:space="0" w:color="FFFFFF"/>
            </w:tcBorders>
            <w:shd w:val="clear" w:color="000000" w:fill="1F497D"/>
            <w:vAlign w:val="center"/>
            <w:hideMark/>
          </w:tcPr>
          <w:p w:rsidR="00203A5B" w:rsidRPr="00CB671C" w:rsidRDefault="00203A5B" w:rsidP="00374908">
            <w:pPr>
              <w:pStyle w:val="TableHeader"/>
            </w:pPr>
            <w:r w:rsidRPr="00CB671C">
              <w:t>Climate Zone 3</w:t>
            </w:r>
          </w:p>
        </w:tc>
        <w:tc>
          <w:tcPr>
            <w:tcW w:w="760" w:type="dxa"/>
            <w:tcBorders>
              <w:top w:val="single" w:sz="4" w:space="0" w:color="auto"/>
              <w:left w:val="nil"/>
              <w:bottom w:val="single" w:sz="4" w:space="0" w:color="auto"/>
              <w:right w:val="single" w:sz="4" w:space="0" w:color="FFFFFF"/>
            </w:tcBorders>
            <w:shd w:val="clear" w:color="000000" w:fill="1F497D"/>
            <w:vAlign w:val="center"/>
            <w:hideMark/>
          </w:tcPr>
          <w:p w:rsidR="00203A5B" w:rsidRPr="00CB671C" w:rsidRDefault="00203A5B" w:rsidP="00374908">
            <w:pPr>
              <w:pStyle w:val="TableHeader"/>
            </w:pPr>
            <w:r w:rsidRPr="00CB671C">
              <w:t>Climate Zone 4</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rsidR="00203A5B" w:rsidRPr="00CB671C" w:rsidRDefault="00203A5B" w:rsidP="00374908">
            <w:pPr>
              <w:pStyle w:val="TableHeader"/>
            </w:pPr>
            <w:r w:rsidRPr="00CB671C">
              <w:t>Total</w:t>
            </w:r>
          </w:p>
        </w:tc>
      </w:tr>
      <w:tr w:rsidR="00203A5B" w:rsidRPr="00CB671C" w:rsidTr="00203A5B">
        <w:trPr>
          <w:trHeight w:val="300"/>
          <w:jc w:val="center"/>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50%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03A5B" w:rsidRPr="00CB671C" w:rsidRDefault="00203A5B" w:rsidP="00374908">
            <w:pPr>
              <w:pStyle w:val="TableText"/>
            </w:pPr>
            <w:r w:rsidRPr="00CB671C">
              <w:t>Population</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45%</w:t>
            </w:r>
          </w:p>
        </w:tc>
      </w:tr>
      <w:tr w:rsidR="00203A5B" w:rsidRPr="00CB671C" w:rsidTr="00203A5B">
        <w:trPr>
          <w:trHeight w:val="300"/>
          <w:jc w:val="center"/>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203A5B" w:rsidRPr="00CB671C" w:rsidRDefault="00203A5B" w:rsidP="00374908">
            <w:pPr>
              <w:pStyle w:val="TableText"/>
            </w:pPr>
          </w:p>
        </w:tc>
        <w:tc>
          <w:tcPr>
            <w:tcW w:w="1000" w:type="dxa"/>
            <w:tcBorders>
              <w:top w:val="nil"/>
              <w:left w:val="nil"/>
              <w:bottom w:val="single" w:sz="4" w:space="0" w:color="auto"/>
              <w:right w:val="single" w:sz="4" w:space="0" w:color="auto"/>
            </w:tcBorders>
            <w:shd w:val="clear" w:color="auto" w:fill="auto"/>
            <w:vAlign w:val="center"/>
            <w:hideMark/>
          </w:tcPr>
          <w:p w:rsidR="00203A5B" w:rsidRPr="00CB671C" w:rsidRDefault="00203A5B" w:rsidP="00374908">
            <w:pPr>
              <w:pStyle w:val="TableText"/>
            </w:pPr>
            <w:r w:rsidRPr="00CB671C">
              <w:t>Sample</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4%</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1%</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41%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45%</w:t>
            </w:r>
          </w:p>
        </w:tc>
      </w:tr>
      <w:tr w:rsidR="00203A5B" w:rsidRPr="00CB671C" w:rsidTr="00203A5B">
        <w:trPr>
          <w:trHeight w:val="300"/>
          <w:jc w:val="center"/>
        </w:trPr>
        <w:tc>
          <w:tcPr>
            <w:tcW w:w="3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100%</w:t>
            </w:r>
          </w:p>
        </w:tc>
        <w:tc>
          <w:tcPr>
            <w:tcW w:w="1000" w:type="dxa"/>
            <w:tcBorders>
              <w:top w:val="nil"/>
              <w:left w:val="nil"/>
              <w:bottom w:val="single" w:sz="4" w:space="0" w:color="auto"/>
              <w:right w:val="single" w:sz="4" w:space="0" w:color="auto"/>
            </w:tcBorders>
            <w:shd w:val="clear" w:color="auto" w:fill="auto"/>
            <w:vAlign w:val="center"/>
            <w:hideMark/>
          </w:tcPr>
          <w:p w:rsidR="00203A5B" w:rsidRPr="00CB671C" w:rsidRDefault="00203A5B" w:rsidP="00374908">
            <w:pPr>
              <w:pStyle w:val="TableText"/>
            </w:pPr>
            <w:r w:rsidRPr="00CB671C">
              <w:t>Population</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12%</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1%</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43%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55%</w:t>
            </w:r>
          </w:p>
        </w:tc>
      </w:tr>
      <w:tr w:rsidR="00203A5B" w:rsidRPr="00CB671C" w:rsidTr="00203A5B">
        <w:trPr>
          <w:trHeight w:val="300"/>
          <w:jc w:val="center"/>
        </w:trPr>
        <w:tc>
          <w:tcPr>
            <w:tcW w:w="3020" w:type="dxa"/>
            <w:vMerge/>
            <w:tcBorders>
              <w:top w:val="nil"/>
              <w:left w:val="single" w:sz="4" w:space="0" w:color="auto"/>
              <w:bottom w:val="single" w:sz="4" w:space="0" w:color="auto"/>
              <w:right w:val="single" w:sz="4" w:space="0" w:color="auto"/>
            </w:tcBorders>
            <w:vAlign w:val="center"/>
            <w:hideMark/>
          </w:tcPr>
          <w:p w:rsidR="00203A5B" w:rsidRPr="00CB671C" w:rsidRDefault="00203A5B" w:rsidP="00374908">
            <w:pPr>
              <w:pStyle w:val="TableText"/>
            </w:pPr>
          </w:p>
        </w:tc>
        <w:tc>
          <w:tcPr>
            <w:tcW w:w="1000" w:type="dxa"/>
            <w:tcBorders>
              <w:top w:val="nil"/>
              <w:left w:val="nil"/>
              <w:bottom w:val="single" w:sz="4" w:space="0" w:color="auto"/>
              <w:right w:val="single" w:sz="4" w:space="0" w:color="auto"/>
            </w:tcBorders>
            <w:shd w:val="clear" w:color="auto" w:fill="auto"/>
            <w:vAlign w:val="center"/>
            <w:hideMark/>
          </w:tcPr>
          <w:p w:rsidR="00203A5B" w:rsidRPr="00CB671C" w:rsidRDefault="00203A5B" w:rsidP="00374908">
            <w:pPr>
              <w:pStyle w:val="TableText"/>
            </w:pPr>
            <w:r w:rsidRPr="00CB671C">
              <w:t>Sample</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10%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1%</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44%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pPr>
            <w:r w:rsidRPr="00CB671C">
              <w:t>55%</w:t>
            </w:r>
          </w:p>
        </w:tc>
      </w:tr>
      <w:tr w:rsidR="00203A5B" w:rsidRPr="00CB671C" w:rsidTr="00203A5B">
        <w:trPr>
          <w:trHeight w:val="300"/>
          <w:jc w:val="center"/>
        </w:trPr>
        <w:tc>
          <w:tcPr>
            <w:tcW w:w="3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Total</w:t>
            </w:r>
          </w:p>
        </w:tc>
        <w:tc>
          <w:tcPr>
            <w:tcW w:w="1000" w:type="dxa"/>
            <w:tcBorders>
              <w:top w:val="nil"/>
              <w:left w:val="nil"/>
              <w:bottom w:val="single" w:sz="4" w:space="0" w:color="auto"/>
              <w:right w:val="single" w:sz="4" w:space="0" w:color="auto"/>
            </w:tcBorders>
            <w:shd w:val="clear" w:color="auto" w:fill="auto"/>
            <w:vAlign w:val="center"/>
            <w:hideMark/>
          </w:tcPr>
          <w:p w:rsidR="00203A5B" w:rsidRPr="00CB671C" w:rsidRDefault="00203A5B" w:rsidP="00374908">
            <w:pPr>
              <w:pStyle w:val="TableText"/>
              <w:rPr>
                <w:b/>
                <w:bCs/>
              </w:rPr>
            </w:pPr>
            <w:r w:rsidRPr="00CB671C">
              <w:rPr>
                <w:b/>
                <w:bCs/>
              </w:rPr>
              <w:t>Population</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15%</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2%</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83%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100%</w:t>
            </w:r>
          </w:p>
        </w:tc>
      </w:tr>
      <w:tr w:rsidR="00203A5B" w:rsidRPr="00CB671C" w:rsidTr="00203A5B">
        <w:trPr>
          <w:trHeight w:val="300"/>
          <w:jc w:val="center"/>
        </w:trPr>
        <w:tc>
          <w:tcPr>
            <w:tcW w:w="3020" w:type="dxa"/>
            <w:vMerge/>
            <w:tcBorders>
              <w:top w:val="nil"/>
              <w:left w:val="single" w:sz="4" w:space="0" w:color="auto"/>
              <w:bottom w:val="single" w:sz="4" w:space="0" w:color="auto"/>
              <w:right w:val="single" w:sz="4" w:space="0" w:color="auto"/>
            </w:tcBorders>
            <w:vAlign w:val="center"/>
            <w:hideMark/>
          </w:tcPr>
          <w:p w:rsidR="00203A5B" w:rsidRPr="00CB671C" w:rsidRDefault="00203A5B" w:rsidP="00374908">
            <w:pPr>
              <w:pStyle w:val="TableText"/>
              <w:rPr>
                <w:b/>
                <w:bCs/>
              </w:rPr>
            </w:pPr>
          </w:p>
        </w:tc>
        <w:tc>
          <w:tcPr>
            <w:tcW w:w="1000" w:type="dxa"/>
            <w:tcBorders>
              <w:top w:val="nil"/>
              <w:left w:val="nil"/>
              <w:bottom w:val="single" w:sz="4" w:space="0" w:color="auto"/>
              <w:right w:val="single" w:sz="4" w:space="0" w:color="auto"/>
            </w:tcBorders>
            <w:shd w:val="clear" w:color="auto" w:fill="auto"/>
            <w:vAlign w:val="center"/>
            <w:hideMark/>
          </w:tcPr>
          <w:p w:rsidR="00203A5B" w:rsidRPr="00CB671C" w:rsidRDefault="00203A5B" w:rsidP="00374908">
            <w:pPr>
              <w:pStyle w:val="TableText"/>
              <w:rPr>
                <w:b/>
                <w:bCs/>
              </w:rPr>
            </w:pPr>
            <w:r w:rsidRPr="00CB671C">
              <w:rPr>
                <w:b/>
                <w:bCs/>
              </w:rPr>
              <w:t>Sample</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13%</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1%</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85%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B671C" w:rsidRDefault="00203A5B" w:rsidP="00374908">
            <w:pPr>
              <w:pStyle w:val="TableText"/>
              <w:rPr>
                <w:b/>
                <w:bCs/>
              </w:rPr>
            </w:pPr>
            <w:r w:rsidRPr="00CB671C">
              <w:rPr>
                <w:b/>
                <w:bCs/>
              </w:rPr>
              <w:t>100%</w:t>
            </w:r>
          </w:p>
        </w:tc>
      </w:tr>
    </w:tbl>
    <w:p w:rsidR="00203A5B" w:rsidRPr="00374908" w:rsidRDefault="00203A5B" w:rsidP="00374908">
      <w:pPr>
        <w:pStyle w:val="TableFigureCaption"/>
        <w:spacing w:before="360"/>
      </w:pPr>
      <w:r w:rsidRPr="00374908">
        <w:t>Table 3-3: Distribution of AC Tonnage by Program Option and Climate Zone</w:t>
      </w:r>
      <w:r w:rsidRPr="00374908">
        <w:br/>
        <w:t>Commercial Population</w:t>
      </w:r>
    </w:p>
    <w:tbl>
      <w:tblPr>
        <w:tblW w:w="8380" w:type="dxa"/>
        <w:jc w:val="center"/>
        <w:tblInd w:w="93" w:type="dxa"/>
        <w:tblLook w:val="04A0"/>
      </w:tblPr>
      <w:tblGrid>
        <w:gridCol w:w="3020"/>
        <w:gridCol w:w="1146"/>
        <w:gridCol w:w="960"/>
        <w:gridCol w:w="939"/>
        <w:gridCol w:w="939"/>
        <w:gridCol w:w="939"/>
        <w:gridCol w:w="960"/>
      </w:tblGrid>
      <w:tr w:rsidR="00203A5B" w:rsidRPr="00D0642B" w:rsidTr="00203A5B">
        <w:trPr>
          <w:trHeight w:val="510"/>
          <w:jc w:val="center"/>
        </w:trPr>
        <w:tc>
          <w:tcPr>
            <w:tcW w:w="3020"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D0642B" w:rsidRDefault="00203A5B" w:rsidP="00374908">
            <w:pPr>
              <w:pStyle w:val="TableHeader"/>
            </w:pPr>
            <w:r w:rsidRPr="00D0642B">
              <w:t>Cycling Option</w:t>
            </w:r>
          </w:p>
        </w:tc>
        <w:tc>
          <w:tcPr>
            <w:tcW w:w="1000" w:type="dxa"/>
            <w:tcBorders>
              <w:top w:val="single" w:sz="4" w:space="0" w:color="auto"/>
              <w:left w:val="nil"/>
              <w:bottom w:val="single" w:sz="4" w:space="0" w:color="auto"/>
              <w:right w:val="single" w:sz="4" w:space="0" w:color="FFFFFF"/>
            </w:tcBorders>
            <w:shd w:val="clear" w:color="000000" w:fill="1F497D"/>
            <w:vAlign w:val="center"/>
            <w:hideMark/>
          </w:tcPr>
          <w:p w:rsidR="00203A5B" w:rsidRPr="00D0642B" w:rsidRDefault="00203A5B" w:rsidP="00374908">
            <w:pPr>
              <w:pStyle w:val="TableHeader"/>
            </w:pPr>
            <w:r w:rsidRPr="00D0642B">
              <w:t>Group</w:t>
            </w:r>
          </w:p>
        </w:tc>
        <w:tc>
          <w:tcPr>
            <w:tcW w:w="960" w:type="dxa"/>
            <w:tcBorders>
              <w:top w:val="single" w:sz="4" w:space="0" w:color="auto"/>
              <w:left w:val="nil"/>
              <w:bottom w:val="single" w:sz="4" w:space="0" w:color="auto"/>
              <w:right w:val="single" w:sz="4" w:space="0" w:color="FFFFFF"/>
            </w:tcBorders>
            <w:shd w:val="clear" w:color="000000" w:fill="1F497D"/>
            <w:vAlign w:val="center"/>
            <w:hideMark/>
          </w:tcPr>
          <w:p w:rsidR="00203A5B" w:rsidRPr="00D0642B" w:rsidRDefault="00203A5B" w:rsidP="00374908">
            <w:pPr>
              <w:pStyle w:val="TableHeader"/>
            </w:pPr>
            <w:r w:rsidRPr="00D0642B">
              <w:t>Climate Zone 1</w:t>
            </w:r>
          </w:p>
        </w:tc>
        <w:tc>
          <w:tcPr>
            <w:tcW w:w="840" w:type="dxa"/>
            <w:tcBorders>
              <w:top w:val="single" w:sz="4" w:space="0" w:color="auto"/>
              <w:left w:val="nil"/>
              <w:bottom w:val="single" w:sz="4" w:space="0" w:color="auto"/>
              <w:right w:val="single" w:sz="4" w:space="0" w:color="FFFFFF"/>
            </w:tcBorders>
            <w:shd w:val="clear" w:color="000000" w:fill="1F497D"/>
            <w:vAlign w:val="center"/>
            <w:hideMark/>
          </w:tcPr>
          <w:p w:rsidR="00203A5B" w:rsidRPr="00D0642B" w:rsidRDefault="00203A5B" w:rsidP="00374908">
            <w:pPr>
              <w:pStyle w:val="TableHeader"/>
            </w:pPr>
            <w:r w:rsidRPr="00D0642B">
              <w:t>Climate Zone 2</w:t>
            </w:r>
          </w:p>
        </w:tc>
        <w:tc>
          <w:tcPr>
            <w:tcW w:w="840" w:type="dxa"/>
            <w:tcBorders>
              <w:top w:val="single" w:sz="4" w:space="0" w:color="auto"/>
              <w:left w:val="nil"/>
              <w:bottom w:val="single" w:sz="4" w:space="0" w:color="auto"/>
              <w:right w:val="single" w:sz="4" w:space="0" w:color="FFFFFF"/>
            </w:tcBorders>
            <w:shd w:val="clear" w:color="000000" w:fill="1F497D"/>
            <w:vAlign w:val="center"/>
            <w:hideMark/>
          </w:tcPr>
          <w:p w:rsidR="00203A5B" w:rsidRPr="00D0642B" w:rsidRDefault="00203A5B" w:rsidP="00374908">
            <w:pPr>
              <w:pStyle w:val="TableHeader"/>
            </w:pPr>
            <w:r w:rsidRPr="00D0642B">
              <w:t>Climate Zone 3</w:t>
            </w:r>
          </w:p>
        </w:tc>
        <w:tc>
          <w:tcPr>
            <w:tcW w:w="760" w:type="dxa"/>
            <w:tcBorders>
              <w:top w:val="single" w:sz="4" w:space="0" w:color="auto"/>
              <w:left w:val="nil"/>
              <w:bottom w:val="single" w:sz="4" w:space="0" w:color="auto"/>
              <w:right w:val="single" w:sz="4" w:space="0" w:color="FFFFFF"/>
            </w:tcBorders>
            <w:shd w:val="clear" w:color="000000" w:fill="1F497D"/>
            <w:vAlign w:val="center"/>
            <w:hideMark/>
          </w:tcPr>
          <w:p w:rsidR="00203A5B" w:rsidRPr="00D0642B" w:rsidRDefault="00203A5B" w:rsidP="00374908">
            <w:pPr>
              <w:pStyle w:val="TableHeader"/>
            </w:pPr>
            <w:r w:rsidRPr="00D0642B">
              <w:t>Climate Zone 4</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rsidR="00203A5B" w:rsidRPr="00D0642B" w:rsidRDefault="00203A5B" w:rsidP="00374908">
            <w:pPr>
              <w:pStyle w:val="TableHeader"/>
            </w:pPr>
            <w:r w:rsidRPr="00D0642B">
              <w:t>Total</w:t>
            </w:r>
          </w:p>
        </w:tc>
      </w:tr>
      <w:tr w:rsidR="00203A5B" w:rsidRPr="00D0642B" w:rsidTr="00203A5B">
        <w:trPr>
          <w:trHeight w:val="300"/>
          <w:jc w:val="center"/>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30%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03A5B" w:rsidRPr="00D0642B" w:rsidRDefault="00203A5B" w:rsidP="00374908">
            <w:pPr>
              <w:pStyle w:val="TableText"/>
            </w:pPr>
            <w:r w:rsidRPr="00D0642B">
              <w:t>Population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14%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34%</w:t>
            </w:r>
          </w:p>
        </w:tc>
      </w:tr>
      <w:tr w:rsidR="00203A5B" w:rsidRPr="00D0642B" w:rsidTr="00203A5B">
        <w:trPr>
          <w:trHeight w:val="300"/>
          <w:jc w:val="center"/>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203A5B" w:rsidRPr="00D0642B" w:rsidRDefault="00203A5B" w:rsidP="00374908">
            <w:pPr>
              <w:pStyle w:val="TableText"/>
            </w:pPr>
          </w:p>
        </w:tc>
        <w:tc>
          <w:tcPr>
            <w:tcW w:w="1000" w:type="dxa"/>
            <w:tcBorders>
              <w:top w:val="nil"/>
              <w:left w:val="nil"/>
              <w:bottom w:val="single" w:sz="4" w:space="0" w:color="auto"/>
              <w:right w:val="single" w:sz="4" w:space="0" w:color="auto"/>
            </w:tcBorders>
            <w:shd w:val="clear" w:color="auto" w:fill="auto"/>
            <w:vAlign w:val="center"/>
            <w:hideMark/>
          </w:tcPr>
          <w:p w:rsidR="00203A5B" w:rsidRPr="00D0642B" w:rsidRDefault="00203A5B" w:rsidP="00374908">
            <w:pPr>
              <w:pStyle w:val="TableText"/>
            </w:pPr>
            <w:r w:rsidRPr="00D0642B">
              <w:t>Sample</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15%</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34%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49%</w:t>
            </w:r>
          </w:p>
        </w:tc>
      </w:tr>
      <w:tr w:rsidR="00203A5B" w:rsidRPr="00D0642B" w:rsidTr="00203A5B">
        <w:trPr>
          <w:trHeight w:val="300"/>
          <w:jc w:val="center"/>
        </w:trPr>
        <w:tc>
          <w:tcPr>
            <w:tcW w:w="3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50%</w:t>
            </w:r>
          </w:p>
        </w:tc>
        <w:tc>
          <w:tcPr>
            <w:tcW w:w="1000" w:type="dxa"/>
            <w:tcBorders>
              <w:top w:val="nil"/>
              <w:left w:val="nil"/>
              <w:bottom w:val="single" w:sz="4" w:space="0" w:color="auto"/>
              <w:right w:val="single" w:sz="4" w:space="0" w:color="auto"/>
            </w:tcBorders>
            <w:shd w:val="clear" w:color="auto" w:fill="auto"/>
            <w:vAlign w:val="center"/>
            <w:hideMark/>
          </w:tcPr>
          <w:p w:rsidR="00203A5B" w:rsidRPr="00D0642B" w:rsidRDefault="00203A5B" w:rsidP="00374908">
            <w:pPr>
              <w:pStyle w:val="TableText"/>
            </w:pPr>
            <w:r w:rsidRPr="00D0642B">
              <w:t>Population</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33%</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32%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66%</w:t>
            </w:r>
          </w:p>
        </w:tc>
      </w:tr>
      <w:tr w:rsidR="00203A5B" w:rsidRPr="00D0642B" w:rsidTr="00203A5B">
        <w:trPr>
          <w:trHeight w:val="300"/>
          <w:jc w:val="center"/>
        </w:trPr>
        <w:tc>
          <w:tcPr>
            <w:tcW w:w="3020" w:type="dxa"/>
            <w:vMerge/>
            <w:tcBorders>
              <w:top w:val="nil"/>
              <w:left w:val="single" w:sz="4" w:space="0" w:color="auto"/>
              <w:bottom w:val="single" w:sz="4" w:space="0" w:color="auto"/>
              <w:right w:val="single" w:sz="4" w:space="0" w:color="auto"/>
            </w:tcBorders>
            <w:vAlign w:val="center"/>
            <w:hideMark/>
          </w:tcPr>
          <w:p w:rsidR="00203A5B" w:rsidRPr="00D0642B" w:rsidRDefault="00203A5B" w:rsidP="00374908">
            <w:pPr>
              <w:pStyle w:val="TableText"/>
            </w:pPr>
          </w:p>
        </w:tc>
        <w:tc>
          <w:tcPr>
            <w:tcW w:w="1000" w:type="dxa"/>
            <w:tcBorders>
              <w:top w:val="nil"/>
              <w:left w:val="nil"/>
              <w:bottom w:val="single" w:sz="4" w:space="0" w:color="auto"/>
              <w:right w:val="single" w:sz="4" w:space="0" w:color="auto"/>
            </w:tcBorders>
            <w:shd w:val="clear" w:color="auto" w:fill="auto"/>
            <w:vAlign w:val="center"/>
            <w:hideMark/>
          </w:tcPr>
          <w:p w:rsidR="00203A5B" w:rsidRPr="00D0642B" w:rsidRDefault="00203A5B" w:rsidP="00374908">
            <w:pPr>
              <w:pStyle w:val="TableText"/>
            </w:pPr>
            <w:r w:rsidRPr="00D0642B">
              <w:t>Sample</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27%</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24%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pPr>
            <w:r w:rsidRPr="00D0642B">
              <w:t>51%</w:t>
            </w:r>
          </w:p>
        </w:tc>
      </w:tr>
      <w:tr w:rsidR="00203A5B" w:rsidRPr="00D0642B" w:rsidTr="00203A5B">
        <w:trPr>
          <w:trHeight w:val="300"/>
          <w:jc w:val="center"/>
        </w:trPr>
        <w:tc>
          <w:tcPr>
            <w:tcW w:w="3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Total</w:t>
            </w:r>
          </w:p>
        </w:tc>
        <w:tc>
          <w:tcPr>
            <w:tcW w:w="1000" w:type="dxa"/>
            <w:tcBorders>
              <w:top w:val="nil"/>
              <w:left w:val="nil"/>
              <w:bottom w:val="single" w:sz="4" w:space="0" w:color="auto"/>
              <w:right w:val="single" w:sz="4" w:space="0" w:color="auto"/>
            </w:tcBorders>
            <w:shd w:val="clear" w:color="auto" w:fill="auto"/>
            <w:vAlign w:val="center"/>
            <w:hideMark/>
          </w:tcPr>
          <w:p w:rsidR="00203A5B" w:rsidRPr="00D0642B" w:rsidRDefault="00203A5B" w:rsidP="00374908">
            <w:pPr>
              <w:pStyle w:val="TableText"/>
              <w:rPr>
                <w:b/>
                <w:bCs/>
              </w:rPr>
            </w:pPr>
            <w:r w:rsidRPr="00D0642B">
              <w:rPr>
                <w:b/>
                <w:bCs/>
              </w:rPr>
              <w:t>Population</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47%</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1%</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53%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100%</w:t>
            </w:r>
          </w:p>
        </w:tc>
      </w:tr>
      <w:tr w:rsidR="00203A5B" w:rsidRPr="00D0642B" w:rsidTr="00203A5B">
        <w:trPr>
          <w:trHeight w:val="300"/>
          <w:jc w:val="center"/>
        </w:trPr>
        <w:tc>
          <w:tcPr>
            <w:tcW w:w="3020" w:type="dxa"/>
            <w:vMerge/>
            <w:tcBorders>
              <w:top w:val="nil"/>
              <w:left w:val="single" w:sz="4" w:space="0" w:color="auto"/>
              <w:bottom w:val="single" w:sz="4" w:space="0" w:color="auto"/>
              <w:right w:val="single" w:sz="4" w:space="0" w:color="auto"/>
            </w:tcBorders>
            <w:vAlign w:val="center"/>
            <w:hideMark/>
          </w:tcPr>
          <w:p w:rsidR="00203A5B" w:rsidRPr="00D0642B" w:rsidRDefault="00203A5B" w:rsidP="00374908">
            <w:pPr>
              <w:pStyle w:val="TableText"/>
              <w:rPr>
                <w:b/>
                <w:bCs/>
              </w:rPr>
            </w:pPr>
          </w:p>
        </w:tc>
        <w:tc>
          <w:tcPr>
            <w:tcW w:w="1000" w:type="dxa"/>
            <w:tcBorders>
              <w:top w:val="nil"/>
              <w:left w:val="nil"/>
              <w:bottom w:val="single" w:sz="4" w:space="0" w:color="auto"/>
              <w:right w:val="single" w:sz="4" w:space="0" w:color="auto"/>
            </w:tcBorders>
            <w:shd w:val="clear" w:color="auto" w:fill="auto"/>
            <w:vAlign w:val="center"/>
            <w:hideMark/>
          </w:tcPr>
          <w:p w:rsidR="00203A5B" w:rsidRPr="00D0642B" w:rsidRDefault="00203A5B" w:rsidP="00374908">
            <w:pPr>
              <w:pStyle w:val="TableText"/>
              <w:rPr>
                <w:b/>
                <w:bCs/>
              </w:rPr>
            </w:pPr>
            <w:r w:rsidRPr="00D0642B">
              <w:rPr>
                <w:b/>
                <w:bCs/>
              </w:rPr>
              <w:t>Sample</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42%</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0%</w:t>
            </w:r>
          </w:p>
        </w:tc>
        <w:tc>
          <w:tcPr>
            <w:tcW w:w="84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0%</w:t>
            </w:r>
          </w:p>
        </w:tc>
        <w:tc>
          <w:tcPr>
            <w:tcW w:w="7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58%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D0642B" w:rsidRDefault="00203A5B" w:rsidP="00374908">
            <w:pPr>
              <w:pStyle w:val="TableText"/>
              <w:rPr>
                <w:b/>
                <w:bCs/>
              </w:rPr>
            </w:pPr>
            <w:r w:rsidRPr="00D0642B">
              <w:rPr>
                <w:b/>
                <w:bCs/>
              </w:rPr>
              <w:t>100%</w:t>
            </w:r>
          </w:p>
        </w:tc>
      </w:tr>
      <w:tr w:rsidR="00203A5B" w:rsidRPr="00D0642B" w:rsidTr="00203A5B">
        <w:trPr>
          <w:trHeight w:val="300"/>
          <w:jc w:val="center"/>
        </w:trPr>
        <w:tc>
          <w:tcPr>
            <w:tcW w:w="8380" w:type="dxa"/>
            <w:gridSpan w:val="7"/>
            <w:tcBorders>
              <w:top w:val="nil"/>
              <w:left w:val="nil"/>
              <w:bottom w:val="nil"/>
              <w:right w:val="nil"/>
            </w:tcBorders>
            <w:shd w:val="clear" w:color="auto" w:fill="auto"/>
            <w:noWrap/>
            <w:vAlign w:val="bottom"/>
            <w:hideMark/>
          </w:tcPr>
          <w:p w:rsidR="00203A5B" w:rsidRPr="00D0642B" w:rsidRDefault="00203A5B" w:rsidP="00374908">
            <w:pPr>
              <w:pStyle w:val="Footnote"/>
            </w:pPr>
            <w:r w:rsidRPr="00D0642B">
              <w:t>*The stratified sample was selected according to the above criteria as well as bins of usage during event-like conditions</w:t>
            </w:r>
          </w:p>
        </w:tc>
      </w:tr>
    </w:tbl>
    <w:p w:rsidR="00203A5B" w:rsidRPr="00146B1E" w:rsidRDefault="00203A5B" w:rsidP="00374908">
      <w:pPr>
        <w:pStyle w:val="Heading2"/>
        <w:spacing w:before="360"/>
      </w:pPr>
      <w:bookmarkStart w:id="22" w:name="_Toc349548900"/>
      <w:bookmarkStart w:id="23" w:name="_Toc350953031"/>
      <w:r w:rsidRPr="00146B1E">
        <w:t>Methodology</w:t>
      </w:r>
      <w:bookmarkEnd w:id="22"/>
      <w:bookmarkEnd w:id="23"/>
    </w:p>
    <w:p w:rsidR="00203A5B" w:rsidRPr="00146B1E" w:rsidRDefault="00203A5B" w:rsidP="00374908">
      <w:pPr>
        <w:pStyle w:val="BodyParagraph"/>
      </w:pPr>
      <w:r w:rsidRPr="00146B1E">
        <w:t xml:space="preserve">The primary task in estimating ex post event impacts is to estimate a reference load for each event.  The reference load is a measure of what demand would have been in absence of the demand response </w:t>
      </w:r>
      <w:r w:rsidRPr="00374908">
        <w:t>event</w:t>
      </w:r>
      <w:r w:rsidRPr="00146B1E">
        <w:t xml:space="preserve">.  The primary task in estimating ex ante event impacts (which are often of more practical concern) is to make the best use of available data on loads and load impacts to predict future program performance.  The data and models used to estimate ex post impacts are typically major elements of the ex ante analysis.  </w:t>
      </w:r>
    </w:p>
    <w:p w:rsidR="00203A5B" w:rsidRPr="00146B1E" w:rsidRDefault="00203A5B" w:rsidP="00374908">
      <w:pPr>
        <w:pStyle w:val="BodyParagraph"/>
      </w:pPr>
      <w:r w:rsidRPr="00146B1E">
        <w:t xml:space="preserve">The primary source of </w:t>
      </w:r>
      <w:r>
        <w:t>reference load information</w:t>
      </w:r>
      <w:r w:rsidRPr="00146B1E">
        <w:t xml:space="preserve"> was load observed during </w:t>
      </w:r>
      <w:r>
        <w:t xml:space="preserve">event times for a control </w:t>
      </w:r>
      <w:r w:rsidRPr="00374908">
        <w:t>group</w:t>
      </w:r>
      <w:r>
        <w:t xml:space="preserve"> of customers </w:t>
      </w:r>
      <w:r w:rsidR="00D250DD">
        <w:t xml:space="preserve">who </w:t>
      </w:r>
      <w:r>
        <w:t>w</w:t>
      </w:r>
      <w:r w:rsidR="00D250DD">
        <w:t>ere</w:t>
      </w:r>
      <w:r>
        <w:t xml:space="preserve"> held back from receiving the event</w:t>
      </w:r>
      <w:r w:rsidRPr="00146B1E">
        <w:t xml:space="preserve">.  Under this </w:t>
      </w:r>
      <w:r>
        <w:t>approach</w:t>
      </w:r>
      <w:r w:rsidRPr="00146B1E">
        <w:t>, a stratified, random load research sample of residential and commercial Summer Saver customers was created.  During each event, half of the load research sample would be held back to provide reference load (</w:t>
      </w:r>
      <w:r w:rsidR="001A0F8C" w:rsidRPr="001A0F8C">
        <w:t>i.e.</w:t>
      </w:r>
      <w:r w:rsidR="00D250DD">
        <w:t>,</w:t>
      </w:r>
      <w:r w:rsidRPr="00146B1E">
        <w:t xml:space="preserve"> those CAC units would not be controlled during the event).  </w:t>
      </w:r>
      <w:r>
        <w:t>With the relatively large sample size available for residential customers (1,379 customers), the raw data from this design was sufficient to produce reliable impact estimates that only needed slight adjustment to be finalized</w:t>
      </w:r>
      <w:r w:rsidRPr="00146B1E">
        <w:t xml:space="preserve">.  </w:t>
      </w:r>
      <w:r>
        <w:t xml:space="preserve">For commercial customers the sample was limited to 393 customers.  Due to the inherent variability in commercial smart meter data, the control and treatment group method with adjustment was not sufficient to produce plausible ex post impacts for commercial customers.  However, the control group data was useful in a panel model that also incorporated information from hot non-event days and </w:t>
      </w:r>
      <w:r w:rsidR="00263F86">
        <w:t>produced load</w:t>
      </w:r>
      <w:r>
        <w:t xml:space="preserve"> impact estimates</w:t>
      </w:r>
      <w:r w:rsidR="00F453C9">
        <w:t xml:space="preserve"> that were similar to previous years’ estimates</w:t>
      </w:r>
      <w:r>
        <w:t>, although based on stronger assumptions than the residential impact</w:t>
      </w:r>
      <w:r w:rsidR="00D250DD">
        <w:t> </w:t>
      </w:r>
      <w:r>
        <w:t xml:space="preserve">estimates. </w:t>
      </w:r>
    </w:p>
    <w:p w:rsidR="00203A5B" w:rsidRDefault="00203A5B" w:rsidP="00203A5B">
      <w:pPr>
        <w:pStyle w:val="BodyParagraph"/>
      </w:pPr>
      <w:r>
        <w:t>In summary, the</w:t>
      </w:r>
      <w:r w:rsidRPr="00146B1E">
        <w:t xml:space="preserve"> residential ex post impact estimates were developed using </w:t>
      </w:r>
      <w:r>
        <w:t>control group loads with a</w:t>
      </w:r>
      <w:r w:rsidR="00D250DD">
        <w:t> </w:t>
      </w:r>
      <w:r>
        <w:t>same-day adjustment</w:t>
      </w:r>
      <w:r w:rsidRPr="00146B1E">
        <w:t xml:space="preserve">, while commercial ex post impact estimates were developed using a </w:t>
      </w:r>
      <w:r>
        <w:t>panel regression model</w:t>
      </w:r>
      <w:r w:rsidRPr="00146B1E">
        <w:t xml:space="preserve">.  Each is described below.  </w:t>
      </w:r>
    </w:p>
    <w:p w:rsidR="00203A5B" w:rsidRDefault="00203A5B" w:rsidP="00374908">
      <w:pPr>
        <w:pStyle w:val="Heading3"/>
      </w:pPr>
      <w:bookmarkStart w:id="24" w:name="_Toc349548901"/>
      <w:bookmarkStart w:id="25" w:name="_Toc350953032"/>
      <w:r w:rsidRPr="00374908">
        <w:t>Residential</w:t>
      </w:r>
      <w:r>
        <w:t xml:space="preserve"> Customer Ex Post Methodology</w:t>
      </w:r>
      <w:bookmarkEnd w:id="24"/>
      <w:bookmarkEnd w:id="25"/>
    </w:p>
    <w:p w:rsidR="00203A5B" w:rsidRDefault="00203A5B" w:rsidP="00203A5B">
      <w:pPr>
        <w:pStyle w:val="BodyParagraph"/>
      </w:pPr>
      <w:r>
        <w:t xml:space="preserve">The methods used in the </w:t>
      </w:r>
      <w:r w:rsidRPr="005E2174">
        <w:t>residential</w:t>
      </w:r>
      <w:r>
        <w:t xml:space="preserve"> portion of the Summer Saver</w:t>
      </w:r>
      <w:r w:rsidRPr="005E2174">
        <w:t xml:space="preserve"> evaluation differ</w:t>
      </w:r>
      <w:r>
        <w:t xml:space="preserve"> </w:t>
      </w:r>
      <w:r w:rsidRPr="005E2174">
        <w:t>from</w:t>
      </w:r>
      <w:r>
        <w:t xml:space="preserve"> those used in</w:t>
      </w:r>
      <w:r w:rsidRPr="005E2174">
        <w:t xml:space="preserve"> prior years.  A joint effort among FSC</w:t>
      </w:r>
      <w:r>
        <w:t xml:space="preserve">, SDG&amp;E and Comverge led to the implementation of a relatively large-scale </w:t>
      </w:r>
      <w:r w:rsidRPr="005E2174">
        <w:t xml:space="preserve">experimental design for estimating residential ex post load impacts.  Because </w:t>
      </w:r>
      <w:r>
        <w:t>smart meter</w:t>
      </w:r>
      <w:r w:rsidRPr="005E2174">
        <w:t xml:space="preserve"> data was available for </w:t>
      </w:r>
      <w:r>
        <w:t>a large sample of</w:t>
      </w:r>
      <w:r w:rsidRPr="005E2174">
        <w:t xml:space="preserve"> residential </w:t>
      </w:r>
      <w:r>
        <w:t>Summer Saver</w:t>
      </w:r>
      <w:r w:rsidRPr="005E2174">
        <w:t xml:space="preserve"> </w:t>
      </w:r>
      <w:r>
        <w:t>customers</w:t>
      </w:r>
      <w:r w:rsidRPr="005E2174">
        <w:t>,</w:t>
      </w:r>
      <w:r>
        <w:t xml:space="preserve"> the evaluation was based on a randomized experiment</w:t>
      </w:r>
      <w:r w:rsidRPr="005E2174">
        <w:t xml:space="preserve">.  </w:t>
      </w:r>
    </w:p>
    <w:p w:rsidR="00203A5B" w:rsidRDefault="00203A5B" w:rsidP="00203A5B">
      <w:pPr>
        <w:pStyle w:val="BodyParagraph"/>
      </w:pPr>
      <w:r w:rsidRPr="005E2174">
        <w:t xml:space="preserve">For each of the </w:t>
      </w:r>
      <w:r>
        <w:t>eight</w:t>
      </w:r>
      <w:r w:rsidRPr="005E2174">
        <w:t xml:space="preserve"> </w:t>
      </w:r>
      <w:r>
        <w:t>events during summer 2012, roughly half of the 1,379 customers in the residential sample received an event signal while</w:t>
      </w:r>
      <w:r w:rsidRPr="005E2174">
        <w:t xml:space="preserve"> the rest of the custom</w:t>
      </w:r>
      <w:r>
        <w:t xml:space="preserve">ers served as the control group.  </w:t>
      </w:r>
      <w:r w:rsidR="00D250DD">
        <w:t xml:space="preserve">The </w:t>
      </w:r>
      <w:r>
        <w:t xml:space="preserve">group </w:t>
      </w:r>
      <w:r w:rsidR="00D250DD">
        <w:t xml:space="preserve">that </w:t>
      </w:r>
      <w:r>
        <w:t xml:space="preserve">received the event signal was alternated from event to event.  </w:t>
      </w:r>
      <w:r w:rsidRPr="005E2174">
        <w:t xml:space="preserve">Sample sizes of </w:t>
      </w:r>
      <w:r>
        <w:t xml:space="preserve">about 700 customers in each group </w:t>
      </w:r>
      <w:r w:rsidRPr="005E2174">
        <w:t xml:space="preserve">eliminated the need for more complex regression methods, as were used in previous evaluations.  This design has </w:t>
      </w:r>
      <w:r>
        <w:t xml:space="preserve">significant </w:t>
      </w:r>
      <w:r w:rsidRPr="005E2174">
        <w:t>advantages</w:t>
      </w:r>
      <w:r>
        <w:t xml:space="preserve"> in providing fast, reliable impact estimates if sample sizes are large enough.</w:t>
      </w:r>
    </w:p>
    <w:p w:rsidR="00203A5B" w:rsidRDefault="00203A5B" w:rsidP="00203A5B">
      <w:pPr>
        <w:pStyle w:val="BodyParagraph"/>
      </w:pPr>
      <w:r w:rsidRPr="00517F29">
        <w:t>Ex post event impacts for each</w:t>
      </w:r>
      <w:r>
        <w:t xml:space="preserve"> cycling option</w:t>
      </w:r>
      <w:r w:rsidRPr="00517F29">
        <w:t xml:space="preserve"> are estimated for each hour of each event by taking the average load in the group that received the event and subtracting it from the average</w:t>
      </w:r>
      <w:r>
        <w:t xml:space="preserve"> adjusted load in the </w:t>
      </w:r>
      <w:r w:rsidRPr="00517F29">
        <w:t xml:space="preserve">group that did not receive the </w:t>
      </w:r>
      <w:r w:rsidRPr="000F0953">
        <w:t>event</w:t>
      </w:r>
      <w:r w:rsidRPr="00C61450">
        <w:t xml:space="preserve">.  </w:t>
      </w:r>
      <w:r w:rsidRPr="00C61450">
        <w:rPr>
          <w:szCs w:val="18"/>
        </w:rPr>
        <w:t>The adjustment is based on the ratio of usage between the treatment and control groups for the five hours prior to the event start.</w:t>
      </w:r>
      <w:r>
        <w:rPr>
          <w:szCs w:val="18"/>
        </w:rPr>
        <w:t xml:space="preserve">  For example, if the average usage in the treatment group during the five hours preceding an event is 1.2 kW</w:t>
      </w:r>
      <w:r w:rsidR="00D250DD">
        <w:rPr>
          <w:szCs w:val="18"/>
        </w:rPr>
        <w:t>,</w:t>
      </w:r>
      <w:r>
        <w:rPr>
          <w:szCs w:val="18"/>
        </w:rPr>
        <w:t xml:space="preserve"> and the average usage in the control group is 1.3 kW, the ratio would be equal to 0.92 (1.2/1.3=0.92) and </w:t>
      </w:r>
      <w:r w:rsidR="00D250DD">
        <w:rPr>
          <w:szCs w:val="18"/>
        </w:rPr>
        <w:t xml:space="preserve">the </w:t>
      </w:r>
      <w:r>
        <w:rPr>
          <w:szCs w:val="18"/>
        </w:rPr>
        <w:t>control group load for the entire day would be multiplied by 0.92 to more closely match treatment group load</w:t>
      </w:r>
      <w:r w:rsidRPr="00C61450">
        <w:rPr>
          <w:szCs w:val="18"/>
        </w:rPr>
        <w:t>.</w:t>
      </w:r>
      <w:r w:rsidRPr="00C61450">
        <w:t xml:space="preserve">  </w:t>
      </w:r>
      <w:r w:rsidRPr="00517F29">
        <w:t xml:space="preserve">Impact estimates for the entire </w:t>
      </w:r>
      <w:r>
        <w:t>Summer Saver</w:t>
      </w:r>
      <w:r w:rsidRPr="00517F29">
        <w:t xml:space="preserve"> </w:t>
      </w:r>
      <w:r>
        <w:t>residential sample</w:t>
      </w:r>
      <w:r w:rsidRPr="00517F29">
        <w:t xml:space="preserve"> for each hour of each event are calculated by taking a weighted average of t</w:t>
      </w:r>
      <w:r>
        <w:t>he impact estimates for each cycling option</w:t>
      </w:r>
      <w:r w:rsidRPr="00517F29">
        <w:t xml:space="preserve">, with weights determined by the number of </w:t>
      </w:r>
      <w:r>
        <w:t xml:space="preserve">customers enrolled on each cycling option.  Impacts for the average event day are calculated from unadjusted treatment and control group load shapes averaged across the six weekday events that contained the common hours of 2 to 4 PM.  </w:t>
      </w:r>
    </w:p>
    <w:p w:rsidR="00203A5B" w:rsidRDefault="00203A5B" w:rsidP="00374908">
      <w:pPr>
        <w:pStyle w:val="Heading3"/>
      </w:pPr>
      <w:bookmarkStart w:id="26" w:name="_Toc326236265"/>
      <w:bookmarkStart w:id="27" w:name="_Toc349548902"/>
      <w:bookmarkStart w:id="28" w:name="_Toc350953033"/>
      <w:r w:rsidRPr="00374908">
        <w:t>Validity</w:t>
      </w:r>
      <w:r>
        <w:t xml:space="preserve"> of Residential Ex Post Load Impact Estimates</w:t>
      </w:r>
      <w:bookmarkEnd w:id="26"/>
      <w:bookmarkEnd w:id="27"/>
      <w:bookmarkEnd w:id="28"/>
    </w:p>
    <w:p w:rsidR="00203A5B" w:rsidRDefault="00203A5B" w:rsidP="00203A5B">
      <w:pPr>
        <w:pStyle w:val="BodyParagraph"/>
      </w:pPr>
      <w:r>
        <w:t>Evidence for the validity of the residential ex post load impact estimates is available in the Excel-based load impact tables that accompany this document.  As is typical for this type of evaluation, that file contains too many different individual tables to be reproduced in the primary document, but they</w:t>
      </w:r>
      <w:r w:rsidR="00D250DD">
        <w:t> </w:t>
      </w:r>
      <w:r>
        <w:t xml:space="preserve">constitute a necessary accompaniment in order to fully understand the results.  In this case, the tables show raw and adjusted average loads for customers involved in each event, both those whose loads were controlled and those whose loads were not.  Based on examining those loads in the pre- and post-event hours for each event, it is clear that the experimental method produced reference loads with little error for each event.  Even at the cycling option level, reference loads </w:t>
      </w:r>
      <w:r w:rsidR="005F6238">
        <w:t xml:space="preserve">appear </w:t>
      </w:r>
      <w:r>
        <w:t>reasonab</w:t>
      </w:r>
      <w:r w:rsidR="005F6238">
        <w:t>le</w:t>
      </w:r>
      <w:r>
        <w:t xml:space="preserve"> in most cases.  </w:t>
      </w:r>
    </w:p>
    <w:p w:rsidR="00203A5B" w:rsidRDefault="00203A5B" w:rsidP="00203A5B">
      <w:pPr>
        <w:pStyle w:val="BodyParagraph"/>
      </w:pPr>
      <w:r>
        <w:t>Additionally, Figure 3-1 shows the average load within each group within the load research sample averaged over the five hottest non-event days of the summer.  As the figure shows, the two groups are quite well-balanced in terms of average hourly usage, especially during the time period when events are likely to occur.</w:t>
      </w:r>
    </w:p>
    <w:p w:rsidR="00203A5B" w:rsidRDefault="00203A5B" w:rsidP="00203A5B">
      <w:pPr>
        <w:pStyle w:val="TableFigureCaption"/>
      </w:pPr>
      <w:r>
        <w:t>Figure 3-1: Residential A and B Group Comparison</w:t>
      </w:r>
      <w:r>
        <w:br/>
        <w:t xml:space="preserve">Average Load on </w:t>
      </w:r>
      <w:r w:rsidR="00A05FAB">
        <w:t xml:space="preserve">the </w:t>
      </w:r>
      <w:r>
        <w:t>Five Hottest Non-</w:t>
      </w:r>
      <w:r w:rsidR="00D250DD">
        <w:t>e</w:t>
      </w:r>
      <w:r>
        <w:t>vent Days</w:t>
      </w:r>
    </w:p>
    <w:p w:rsidR="00203A5B" w:rsidRDefault="00203A5B" w:rsidP="00203A5B">
      <w:pPr>
        <w:pStyle w:val="BodyParagraph"/>
        <w:jc w:val="center"/>
      </w:pPr>
      <w:r w:rsidRPr="006603C7">
        <w:rPr>
          <w:noProof/>
        </w:rPr>
        <w:drawing>
          <wp:inline distT="0" distB="0" distL="0" distR="0">
            <wp:extent cx="4572000" cy="27432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3A5B" w:rsidRDefault="00203A5B" w:rsidP="00374908">
      <w:pPr>
        <w:pStyle w:val="BodyParaAfterTableFigure"/>
      </w:pPr>
      <w:r>
        <w:t>Finally, Table 3-4 shows the sample size of each group, average AC tonnage in each group, the fractions of each group that are on each cycling option and that are on the weekday-only option.  Again, the groups are quite well balanced.</w:t>
      </w:r>
    </w:p>
    <w:p w:rsidR="00203A5B" w:rsidRDefault="00203A5B" w:rsidP="005F6238">
      <w:pPr>
        <w:pStyle w:val="TableFigureCaption"/>
      </w:pPr>
      <w:r>
        <w:t>Table 3-4: Residential A and B Group Comparison</w:t>
      </w:r>
      <w:r>
        <w:br/>
        <w:t>Sample Size, Tonnage and Program Options</w:t>
      </w:r>
    </w:p>
    <w:tbl>
      <w:tblPr>
        <w:tblW w:w="5260" w:type="dxa"/>
        <w:jc w:val="center"/>
        <w:tblInd w:w="93" w:type="dxa"/>
        <w:tblLook w:val="04A0"/>
      </w:tblPr>
      <w:tblGrid>
        <w:gridCol w:w="960"/>
        <w:gridCol w:w="960"/>
        <w:gridCol w:w="1050"/>
        <w:gridCol w:w="939"/>
        <w:gridCol w:w="1420"/>
      </w:tblGrid>
      <w:tr w:rsidR="00203A5B" w:rsidRPr="004F2F51" w:rsidTr="00203A5B">
        <w:trPr>
          <w:trHeight w:val="510"/>
          <w:jc w:val="center"/>
        </w:trPr>
        <w:tc>
          <w:tcPr>
            <w:tcW w:w="960"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4F2F51" w:rsidRDefault="00203A5B" w:rsidP="005F6238">
            <w:pPr>
              <w:pStyle w:val="TableHeader"/>
              <w:keepNext/>
            </w:pPr>
            <w:r w:rsidRPr="004F2F51">
              <w:t>Group</w:t>
            </w:r>
          </w:p>
        </w:tc>
        <w:tc>
          <w:tcPr>
            <w:tcW w:w="960" w:type="dxa"/>
            <w:tcBorders>
              <w:top w:val="single" w:sz="4" w:space="0" w:color="auto"/>
              <w:left w:val="nil"/>
              <w:bottom w:val="single" w:sz="4" w:space="0" w:color="auto"/>
              <w:right w:val="single" w:sz="4" w:space="0" w:color="FFFFFF"/>
            </w:tcBorders>
            <w:shd w:val="clear" w:color="000000" w:fill="1F497D"/>
            <w:vAlign w:val="center"/>
            <w:hideMark/>
          </w:tcPr>
          <w:p w:rsidR="00203A5B" w:rsidRPr="004F2F51" w:rsidRDefault="00203A5B" w:rsidP="005F6238">
            <w:pPr>
              <w:pStyle w:val="TableHeader"/>
              <w:keepNext/>
            </w:pPr>
            <w:r>
              <w:t>Sample Size</w:t>
            </w:r>
          </w:p>
        </w:tc>
        <w:tc>
          <w:tcPr>
            <w:tcW w:w="1006" w:type="dxa"/>
            <w:tcBorders>
              <w:top w:val="single" w:sz="4" w:space="0" w:color="auto"/>
              <w:left w:val="nil"/>
              <w:bottom w:val="single" w:sz="4" w:space="0" w:color="auto"/>
              <w:right w:val="single" w:sz="4" w:space="0" w:color="FFFFFF"/>
            </w:tcBorders>
            <w:shd w:val="clear" w:color="000000" w:fill="1F497D"/>
            <w:vAlign w:val="center"/>
            <w:hideMark/>
          </w:tcPr>
          <w:p w:rsidR="00203A5B" w:rsidRPr="004F2F51" w:rsidRDefault="00203A5B" w:rsidP="005F6238">
            <w:pPr>
              <w:pStyle w:val="TableHeader"/>
              <w:keepNext/>
            </w:pPr>
            <w:r w:rsidRPr="004F2F51">
              <w:t>Tonnage</w:t>
            </w:r>
          </w:p>
        </w:tc>
        <w:tc>
          <w:tcPr>
            <w:tcW w:w="914" w:type="dxa"/>
            <w:tcBorders>
              <w:top w:val="single" w:sz="4" w:space="0" w:color="auto"/>
              <w:left w:val="nil"/>
              <w:bottom w:val="single" w:sz="4" w:space="0" w:color="auto"/>
              <w:right w:val="single" w:sz="4" w:space="0" w:color="FFFFFF"/>
            </w:tcBorders>
            <w:shd w:val="clear" w:color="000000" w:fill="1F497D"/>
            <w:vAlign w:val="center"/>
            <w:hideMark/>
          </w:tcPr>
          <w:p w:rsidR="00203A5B" w:rsidRPr="004F2F51" w:rsidRDefault="00203A5B" w:rsidP="005F6238">
            <w:pPr>
              <w:pStyle w:val="TableHeader"/>
              <w:keepNext/>
            </w:pPr>
            <w:r w:rsidRPr="004F2F51">
              <w:t>%100% Cycling</w:t>
            </w:r>
          </w:p>
        </w:tc>
        <w:tc>
          <w:tcPr>
            <w:tcW w:w="1420" w:type="dxa"/>
            <w:tcBorders>
              <w:top w:val="single" w:sz="4" w:space="0" w:color="auto"/>
              <w:left w:val="nil"/>
              <w:bottom w:val="single" w:sz="4" w:space="0" w:color="auto"/>
              <w:right w:val="single" w:sz="4" w:space="0" w:color="auto"/>
            </w:tcBorders>
            <w:shd w:val="clear" w:color="000000" w:fill="1F497D"/>
            <w:vAlign w:val="center"/>
            <w:hideMark/>
          </w:tcPr>
          <w:p w:rsidR="00203A5B" w:rsidRPr="004F2F51" w:rsidRDefault="00203A5B" w:rsidP="005F6238">
            <w:pPr>
              <w:pStyle w:val="TableHeader"/>
              <w:keepNext/>
            </w:pPr>
            <w:r w:rsidRPr="004F2F51">
              <w:t>% Weekday Only</w:t>
            </w:r>
          </w:p>
        </w:tc>
      </w:tr>
      <w:tr w:rsidR="00203A5B" w:rsidRPr="004F2F51" w:rsidTr="00203A5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696</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2862</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203A5B" w:rsidRPr="004F2F51" w:rsidRDefault="00203A5B" w:rsidP="005F6238">
            <w:pPr>
              <w:pStyle w:val="TableText"/>
              <w:keepNext/>
            </w:pPr>
            <w:r w:rsidRPr="004F2F51">
              <w:t>51%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70%</w:t>
            </w:r>
          </w:p>
        </w:tc>
      </w:tr>
      <w:tr w:rsidR="00203A5B" w:rsidRPr="004F2F51"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B</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683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2882</w:t>
            </w:r>
          </w:p>
        </w:tc>
        <w:tc>
          <w:tcPr>
            <w:tcW w:w="914" w:type="dxa"/>
            <w:tcBorders>
              <w:top w:val="nil"/>
              <w:left w:val="nil"/>
              <w:bottom w:val="single" w:sz="4" w:space="0" w:color="auto"/>
              <w:right w:val="single" w:sz="4" w:space="0" w:color="auto"/>
            </w:tcBorders>
            <w:shd w:val="clear" w:color="auto" w:fill="auto"/>
            <w:vAlign w:val="center"/>
            <w:hideMark/>
          </w:tcPr>
          <w:p w:rsidR="00203A5B" w:rsidRPr="004F2F51" w:rsidRDefault="00203A5B" w:rsidP="005F6238">
            <w:pPr>
              <w:pStyle w:val="TableText"/>
              <w:keepNext/>
            </w:pPr>
            <w:r w:rsidRPr="004F2F51">
              <w:t>56%</w:t>
            </w:r>
          </w:p>
        </w:tc>
        <w:tc>
          <w:tcPr>
            <w:tcW w:w="1420" w:type="dxa"/>
            <w:tcBorders>
              <w:top w:val="nil"/>
              <w:left w:val="nil"/>
              <w:bottom w:val="single" w:sz="4" w:space="0" w:color="auto"/>
              <w:right w:val="single" w:sz="4" w:space="0" w:color="auto"/>
            </w:tcBorders>
            <w:shd w:val="clear" w:color="auto" w:fill="auto"/>
            <w:noWrap/>
            <w:vAlign w:val="center"/>
            <w:hideMark/>
          </w:tcPr>
          <w:p w:rsidR="00203A5B" w:rsidRPr="004F2F51" w:rsidRDefault="00203A5B" w:rsidP="005F6238">
            <w:pPr>
              <w:pStyle w:val="TableText"/>
              <w:keepNext/>
            </w:pPr>
            <w:r w:rsidRPr="004F2F51">
              <w:t>68%</w:t>
            </w:r>
          </w:p>
        </w:tc>
      </w:tr>
      <w:tr w:rsidR="00203A5B" w:rsidRPr="004F2F51"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4F2F51" w:rsidRDefault="00203A5B" w:rsidP="00374908">
            <w:pPr>
              <w:pStyle w:val="TableText"/>
            </w:pPr>
            <w:r w:rsidRPr="004F2F51">
              <w:t>Total</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4F2F51" w:rsidRDefault="00203A5B" w:rsidP="00374908">
            <w:pPr>
              <w:pStyle w:val="TableText"/>
            </w:pPr>
            <w:r w:rsidRPr="004F2F51">
              <w:t>1379</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4F2F51" w:rsidRDefault="00203A5B" w:rsidP="00374908">
            <w:pPr>
              <w:pStyle w:val="TableText"/>
            </w:pPr>
            <w:r w:rsidRPr="004F2F51">
              <w:t>5744</w:t>
            </w:r>
          </w:p>
        </w:tc>
        <w:tc>
          <w:tcPr>
            <w:tcW w:w="914" w:type="dxa"/>
            <w:tcBorders>
              <w:top w:val="nil"/>
              <w:left w:val="nil"/>
              <w:bottom w:val="single" w:sz="4" w:space="0" w:color="auto"/>
              <w:right w:val="single" w:sz="4" w:space="0" w:color="auto"/>
            </w:tcBorders>
            <w:shd w:val="clear" w:color="auto" w:fill="auto"/>
            <w:vAlign w:val="center"/>
            <w:hideMark/>
          </w:tcPr>
          <w:p w:rsidR="00203A5B" w:rsidRPr="004F2F51" w:rsidRDefault="00203A5B" w:rsidP="00374908">
            <w:pPr>
              <w:pStyle w:val="TableText"/>
            </w:pPr>
            <w:r w:rsidRPr="004F2F51">
              <w:t>54%</w:t>
            </w:r>
          </w:p>
        </w:tc>
        <w:tc>
          <w:tcPr>
            <w:tcW w:w="1420" w:type="dxa"/>
            <w:tcBorders>
              <w:top w:val="nil"/>
              <w:left w:val="nil"/>
              <w:bottom w:val="single" w:sz="4" w:space="0" w:color="auto"/>
              <w:right w:val="single" w:sz="4" w:space="0" w:color="auto"/>
            </w:tcBorders>
            <w:shd w:val="clear" w:color="auto" w:fill="auto"/>
            <w:noWrap/>
            <w:vAlign w:val="center"/>
            <w:hideMark/>
          </w:tcPr>
          <w:p w:rsidR="00203A5B" w:rsidRPr="004F2F51" w:rsidRDefault="00203A5B" w:rsidP="00374908">
            <w:pPr>
              <w:pStyle w:val="TableText"/>
            </w:pPr>
            <w:r w:rsidRPr="004F2F51">
              <w:t>69%</w:t>
            </w:r>
          </w:p>
        </w:tc>
      </w:tr>
    </w:tbl>
    <w:p w:rsidR="00203A5B" w:rsidRPr="00146B1E" w:rsidRDefault="00203A5B" w:rsidP="00203A5B">
      <w:pPr>
        <w:pStyle w:val="BodyParagraph"/>
      </w:pPr>
    </w:p>
    <w:p w:rsidR="00203A5B" w:rsidRDefault="00203A5B" w:rsidP="00374908">
      <w:pPr>
        <w:pStyle w:val="Heading3"/>
      </w:pPr>
      <w:bookmarkStart w:id="29" w:name="_Toc349548903"/>
      <w:bookmarkStart w:id="30" w:name="_Toc350953034"/>
      <w:r w:rsidRPr="00374908">
        <w:t>Commercial</w:t>
      </w:r>
      <w:r>
        <w:t xml:space="preserve"> Customer Ex Post Methodology</w:t>
      </w:r>
      <w:bookmarkEnd w:id="29"/>
      <w:bookmarkEnd w:id="30"/>
    </w:p>
    <w:p w:rsidR="00203A5B" w:rsidRDefault="00203A5B" w:rsidP="00374908">
      <w:pPr>
        <w:pStyle w:val="BodyParagraph"/>
        <w:spacing w:after="100"/>
      </w:pPr>
      <w:r>
        <w:t>The methods used in the commercial portion of the Summer Saver evaluation also differ from those used in prior years, as well as from the methods used for the residential evaluation this year.  The commercial customer sample was limited to 393 customers, meaning that there were roughly 200 customers in the control and treatment groups on a given 2012 event day.  Due to these small sample sizes and the inherent variability in commercial customer smart meter loads, the results produced using the residential ex post methodology were not plausible.  It was instead necessary to use the control and treatment group data in a panel model that also incorporates information from hot non-event days.</w:t>
      </w:r>
    </w:p>
    <w:p w:rsidR="00203A5B" w:rsidRDefault="00203A5B" w:rsidP="00374908">
      <w:pPr>
        <w:pStyle w:val="BodyParagraph"/>
        <w:spacing w:after="100"/>
      </w:pPr>
      <w:r>
        <w:t>A panel model approach to modeling event impacts is different than individual customer regressions in</w:t>
      </w:r>
      <w:r w:rsidR="00D250DD">
        <w:t> </w:t>
      </w:r>
      <w:r>
        <w:t>that data from all of the customers is used in a single regression model.  Each hour of each event is included as the set of treatment variables in a model of kW usage that controls for temperature effects.  Data from non-event days was included in the model estimation; however, this data was limited to the hours during which Summer Saver events occurred and days with maximum temperature equal to or above 80°F.  Customer-level fixed effects were used to control for time-consistent characteristics at the customer level and the standard errors from the regression were corrected to account for correlation of observations from the same customer.  Models were run separately by cycling option and for weekday and weekend events.  A slightly different model that included each applicable event day, but modeled an average hourly effect from the common hours of 2 to 4 PM was used for estimation of average event impacts.  In each case, the models included the full panel of data, that is, models were not run separately by hour.</w:t>
      </w:r>
    </w:p>
    <w:p w:rsidR="00203A5B" w:rsidRDefault="00203A5B" w:rsidP="00374908">
      <w:pPr>
        <w:pStyle w:val="BodyBeforeBullet"/>
      </w:pPr>
      <w:r w:rsidRPr="00146B1E">
        <w:t>Table 3-</w:t>
      </w:r>
      <w:r w:rsidR="006C5209">
        <w:t>5</w:t>
      </w:r>
      <w:r w:rsidRPr="00146B1E">
        <w:t xml:space="preserve"> defines the variables </w:t>
      </w:r>
      <w:r>
        <w:t>in the regression models</w:t>
      </w:r>
      <w:r w:rsidRPr="00146B1E">
        <w:t xml:space="preserve">.  </w:t>
      </w:r>
      <w:r>
        <w:t xml:space="preserve">The regression specification for estimating the weekday and weekend </w:t>
      </w:r>
      <w:proofErr w:type="gramStart"/>
      <w:r>
        <w:t>events is</w:t>
      </w:r>
      <w:proofErr w:type="gramEnd"/>
      <w:r>
        <w:t xml:space="preserve"> shown first, followed by the similar, but slightly different specification for modeling the average event.</w:t>
      </w:r>
    </w:p>
    <w:tbl>
      <w:tblPr>
        <w:tblStyle w:val="TableGrid"/>
        <w:tblW w:w="4380" w:type="pct"/>
        <w:tblInd w:w="11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939"/>
        <w:gridCol w:w="2450"/>
      </w:tblGrid>
      <w:tr w:rsidR="00203A5B" w:rsidTr="00203A5B">
        <w:tc>
          <w:tcPr>
            <w:tcW w:w="3540" w:type="pct"/>
            <w:vAlign w:val="center"/>
          </w:tcPr>
          <w:p w:rsidR="00203A5B" w:rsidRPr="00EC4273" w:rsidRDefault="00D66338" w:rsidP="00203A5B">
            <w:pPr>
              <w:pStyle w:val="BodyParagraph"/>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1dt</m:t>
                    </m:r>
                  </m:sub>
                </m:sSub>
                <m:r>
                  <w:rPr>
                    <w:rFonts w:ascii="Cambria Math" w:hAnsi="Cambria Math"/>
                  </w:rPr>
                  <m:t>*</m:t>
                </m:r>
                <m:sSub>
                  <m:sSubPr>
                    <m:ctrlPr>
                      <w:rPr>
                        <w:rFonts w:ascii="Cambria Math" w:hAnsi="Cambria Math"/>
                        <w:i/>
                      </w:rPr>
                    </m:ctrlPr>
                  </m:sSubPr>
                  <m:e>
                    <m:r>
                      <w:rPr>
                        <w:rFonts w:ascii="Cambria Math" w:hAnsi="Cambria Math"/>
                      </w:rPr>
                      <m:t>SSevent</m:t>
                    </m:r>
                  </m:e>
                  <m:sub>
                    <m:r>
                      <w:rPr>
                        <w:rFonts w:ascii="Cambria Math" w:hAnsi="Cambria Math"/>
                      </w:rPr>
                      <m:t>id</m:t>
                    </m:r>
                  </m:sub>
                </m:sSub>
                <m:r>
                  <w:rPr>
                    <w:rFonts w:ascii="Cambria Math" w:hAnsi="Cambria Math"/>
                  </w:rPr>
                  <m:t>X</m:t>
                </m:r>
                <m:sSub>
                  <m:sSubPr>
                    <m:ctrlPr>
                      <w:rPr>
                        <w:rFonts w:ascii="Cambria Math" w:hAnsi="Cambria Math"/>
                        <w:i/>
                      </w:rPr>
                    </m:ctrlPr>
                  </m:sSubPr>
                  <m:e>
                    <m:r>
                      <w:rPr>
                        <w:rFonts w:ascii="Cambria Math" w:hAnsi="Cambria Math"/>
                      </w:rPr>
                      <m:t>hour</m:t>
                    </m:r>
                  </m:e>
                  <m:sub>
                    <m:r>
                      <w:rPr>
                        <w:rFonts w:ascii="Cambria Math" w:hAnsi="Cambria Math"/>
                      </w:rPr>
                      <m:t>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2t</m:t>
                        </m:r>
                      </m:sub>
                    </m:sSub>
                    <m:r>
                      <w:rPr>
                        <w:rFonts w:ascii="Cambria Math" w:hAnsi="Cambria Math"/>
                      </w:rPr>
                      <m:t>*mean17</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hour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m:oMathPara>
          </w:p>
        </w:tc>
        <w:tc>
          <w:tcPr>
            <w:tcW w:w="1460" w:type="pct"/>
            <w:vAlign w:val="center"/>
          </w:tcPr>
          <w:p w:rsidR="00203A5B" w:rsidRDefault="00203A5B" w:rsidP="00021C0F">
            <w:pPr>
              <w:pStyle w:val="BodyParagraph"/>
              <w:numPr>
                <w:ilvl w:val="0"/>
                <w:numId w:val="8"/>
              </w:numPr>
              <w:jc w:val="right"/>
            </w:pPr>
          </w:p>
        </w:tc>
      </w:tr>
      <w:tr w:rsidR="00203A5B" w:rsidTr="00203A5B">
        <w:tc>
          <w:tcPr>
            <w:tcW w:w="3540" w:type="pct"/>
            <w:vAlign w:val="center"/>
          </w:tcPr>
          <w:p w:rsidR="00203A5B" w:rsidRPr="00EC4273" w:rsidRDefault="00D66338" w:rsidP="00203A5B">
            <w:pPr>
              <w:pStyle w:val="BodyParagraph"/>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SShr15</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SShr16</m:t>
                    </m:r>
                  </m:e>
                  <m:sub>
                    <m:r>
                      <w:rPr>
                        <w:rFonts w:ascii="Cambria Math" w:hAnsi="Cambria Math"/>
                      </w:rPr>
                      <m:t>i</m:t>
                    </m:r>
                  </m:sub>
                </m:sSub>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3t</m:t>
                        </m:r>
                      </m:sub>
                    </m:sSub>
                    <m:r>
                      <w:rPr>
                        <w:rFonts w:ascii="Cambria Math" w:hAnsi="Cambria Math"/>
                      </w:rPr>
                      <m:t>*mean17</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hour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m:oMathPara>
          </w:p>
        </w:tc>
        <w:tc>
          <w:tcPr>
            <w:tcW w:w="1460" w:type="pct"/>
            <w:vAlign w:val="center"/>
          </w:tcPr>
          <w:p w:rsidR="00203A5B" w:rsidRDefault="00203A5B" w:rsidP="00203A5B">
            <w:pPr>
              <w:pStyle w:val="BodyParagraph"/>
              <w:ind w:left="360"/>
              <w:jc w:val="center"/>
            </w:pPr>
            <w:r>
              <w:t xml:space="preserve">                       (2)</w:t>
            </w:r>
          </w:p>
        </w:tc>
      </w:tr>
    </w:tbl>
    <w:p w:rsidR="00203A5B" w:rsidRPr="00146B1E" w:rsidRDefault="00203A5B" w:rsidP="005F6238">
      <w:pPr>
        <w:pStyle w:val="TableFigureCaption"/>
      </w:pPr>
      <w:r w:rsidRPr="00146B1E">
        <w:t>Table 3-</w:t>
      </w:r>
      <w:r w:rsidR="006C5209">
        <w:t>5</w:t>
      </w:r>
      <w:r w:rsidRPr="00146B1E">
        <w:t>: Description of AC Load Regression Variables</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8340"/>
      </w:tblGrid>
      <w:tr w:rsidR="00203A5B" w:rsidRPr="00146B1E" w:rsidTr="00203A5B">
        <w:trPr>
          <w:trHeight w:val="276"/>
          <w:tblHeader/>
        </w:trPr>
        <w:tc>
          <w:tcPr>
            <w:tcW w:w="750" w:type="pct"/>
            <w:tcBorders>
              <w:top w:val="single" w:sz="4" w:space="0" w:color="auto"/>
              <w:left w:val="single" w:sz="4" w:space="0" w:color="auto"/>
              <w:bottom w:val="single" w:sz="4" w:space="0" w:color="auto"/>
              <w:right w:val="single" w:sz="8" w:space="0" w:color="FFFFFF"/>
            </w:tcBorders>
            <w:shd w:val="clear" w:color="auto" w:fill="1F497D"/>
            <w:hideMark/>
          </w:tcPr>
          <w:p w:rsidR="00203A5B" w:rsidRPr="00374908" w:rsidRDefault="00203A5B" w:rsidP="005F6238">
            <w:pPr>
              <w:pStyle w:val="TableHeader"/>
              <w:keepNext/>
              <w:spacing w:before="20" w:after="20"/>
              <w:rPr>
                <w:sz w:val="18"/>
                <w:szCs w:val="18"/>
              </w:rPr>
            </w:pPr>
            <w:r w:rsidRPr="00374908">
              <w:rPr>
                <w:sz w:val="18"/>
                <w:szCs w:val="18"/>
              </w:rPr>
              <w:t>Variable</w:t>
            </w:r>
          </w:p>
        </w:tc>
        <w:tc>
          <w:tcPr>
            <w:tcW w:w="4250" w:type="pct"/>
            <w:tcBorders>
              <w:top w:val="single" w:sz="4" w:space="0" w:color="auto"/>
              <w:left w:val="single" w:sz="8" w:space="0" w:color="FFFFFF"/>
              <w:bottom w:val="single" w:sz="4" w:space="0" w:color="auto"/>
              <w:right w:val="single" w:sz="4" w:space="0" w:color="auto"/>
            </w:tcBorders>
            <w:shd w:val="clear" w:color="auto" w:fill="1F497D"/>
            <w:hideMark/>
          </w:tcPr>
          <w:p w:rsidR="00203A5B" w:rsidRPr="00374908" w:rsidRDefault="00203A5B" w:rsidP="005F6238">
            <w:pPr>
              <w:pStyle w:val="TableHeader"/>
              <w:keepNext/>
              <w:spacing w:before="20" w:after="20"/>
              <w:rPr>
                <w:sz w:val="18"/>
                <w:szCs w:val="18"/>
              </w:rPr>
            </w:pPr>
            <w:r w:rsidRPr="00374908">
              <w:rPr>
                <w:sz w:val="18"/>
                <w:szCs w:val="18"/>
              </w:rPr>
              <w:t>Description</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b</m:t>
                    </m:r>
                  </m:e>
                  <m:sub>
                    <m:r>
                      <w:rPr>
                        <w:rFonts w:ascii="Cambria Math" w:eastAsia="Calibri" w:hAnsi="Cambria Math" w:cs="Times New Roman"/>
                        <w:sz w:val="16"/>
                        <w:szCs w:val="16"/>
                      </w:rPr>
                      <m:t>ndt</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Estimated parameter coefficients, indicate the estimated coefficient for event day, d, at time interval, t</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b</m:t>
                    </m:r>
                  </m:e>
                  <m:sub>
                    <m:r>
                      <w:rPr>
                        <w:rFonts w:ascii="Cambria Math" w:eastAsia="Calibri" w:hAnsi="Cambria Math" w:cs="Times New Roman"/>
                        <w:sz w:val="16"/>
                        <w:szCs w:val="16"/>
                      </w:rPr>
                      <m:t>nt</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Estimated parameter coefficients, indicate the estimated coefficient for a time interval, t</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b</m:t>
                    </m:r>
                  </m:e>
                  <m:sub>
                    <m:r>
                      <w:rPr>
                        <w:rFonts w:ascii="Cambria Math" w:eastAsia="Calibri" w:hAnsi="Cambria Math" w:cs="Times New Roman"/>
                        <w:sz w:val="16"/>
                        <w:szCs w:val="16"/>
                      </w:rPr>
                      <m:t>n</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Estimated parameter coefficients</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SSevent</m:t>
                    </m:r>
                  </m:e>
                  <m:sub>
                    <m:r>
                      <w:rPr>
                        <w:rFonts w:ascii="Cambria Math" w:hAnsi="Cambria Math"/>
                        <w:sz w:val="16"/>
                        <w:szCs w:val="16"/>
                      </w:rPr>
                      <m:t>id</m:t>
                    </m:r>
                  </m:sub>
                </m:sSub>
                <m:r>
                  <w:rPr>
                    <w:rFonts w:ascii="Cambria Math" w:hAnsi="Cambria Math"/>
                    <w:sz w:val="16"/>
                    <w:szCs w:val="16"/>
                  </w:rPr>
                  <m:t>X</m:t>
                </m:r>
                <m:sSub>
                  <m:sSubPr>
                    <m:ctrlPr>
                      <w:rPr>
                        <w:rFonts w:ascii="Cambria Math" w:hAnsi="Cambria Math"/>
                        <w:i/>
                        <w:sz w:val="16"/>
                        <w:szCs w:val="16"/>
                      </w:rPr>
                    </m:ctrlPr>
                  </m:sSubPr>
                  <m:e>
                    <m:r>
                      <w:rPr>
                        <w:rFonts w:ascii="Cambria Math" w:hAnsi="Cambria Math"/>
                        <w:sz w:val="16"/>
                        <w:szCs w:val="16"/>
                      </w:rPr>
                      <m:t>hour</m:t>
                    </m:r>
                  </m:e>
                  <m:sub>
                    <m:r>
                      <w:rPr>
                        <w:rFonts w:ascii="Cambria Math" w:hAnsi="Cambria Math"/>
                        <w:sz w:val="16"/>
                        <w:szCs w:val="16"/>
                      </w:rPr>
                      <m:t>t</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 xml:space="preserve">Indicator variables representing whether or not a Summer Saver event occurred for customer, </w:t>
            </w:r>
            <w:proofErr w:type="spellStart"/>
            <w:r w:rsidRPr="00374908">
              <w:rPr>
                <w:sz w:val="16"/>
                <w:szCs w:val="16"/>
              </w:rPr>
              <w:t>i</w:t>
            </w:r>
            <w:proofErr w:type="spellEnd"/>
            <w:r w:rsidRPr="00374908">
              <w:rPr>
                <w:sz w:val="16"/>
                <w:szCs w:val="16"/>
              </w:rPr>
              <w:t>, on event day, d, at time interval, t</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SShr15</m:t>
                    </m:r>
                  </m:e>
                  <m:sub>
                    <m:r>
                      <w:rPr>
                        <w:rFonts w:ascii="Cambria Math" w:hAnsi="Cambria Math"/>
                        <w:sz w:val="16"/>
                        <w:szCs w:val="16"/>
                      </w:rPr>
                      <m:t>i</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 xml:space="preserve">Indicator variable representing whether or not a Summer Saver event occurred for customer, </w:t>
            </w:r>
            <w:proofErr w:type="spellStart"/>
            <w:r w:rsidRPr="00374908">
              <w:rPr>
                <w:sz w:val="16"/>
                <w:szCs w:val="16"/>
              </w:rPr>
              <w:t>i</w:t>
            </w:r>
            <w:proofErr w:type="spellEnd"/>
            <w:r w:rsidRPr="00374908">
              <w:rPr>
                <w:sz w:val="16"/>
                <w:szCs w:val="16"/>
              </w:rPr>
              <w:t>, during the hour from 2 to 3 PM</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SShr16</m:t>
                    </m:r>
                  </m:e>
                  <m:sub>
                    <m:r>
                      <w:rPr>
                        <w:rFonts w:ascii="Cambria Math" w:hAnsi="Cambria Math"/>
                        <w:sz w:val="16"/>
                        <w:szCs w:val="16"/>
                      </w:rPr>
                      <m:t>i</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 xml:space="preserve">Indicator variable representing whether or not a Summer Saver event occurred for customer, </w:t>
            </w:r>
            <w:proofErr w:type="spellStart"/>
            <w:r w:rsidRPr="00374908">
              <w:rPr>
                <w:sz w:val="16"/>
                <w:szCs w:val="16"/>
              </w:rPr>
              <w:t>i</w:t>
            </w:r>
            <w:proofErr w:type="spellEnd"/>
            <w:r w:rsidRPr="00374908">
              <w:rPr>
                <w:sz w:val="16"/>
                <w:szCs w:val="16"/>
              </w:rPr>
              <w:t>, during the hour from 3 to 4 PM</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mean17</m:t>
                    </m:r>
                  </m:e>
                  <m:sub>
                    <m:r>
                      <w:rPr>
                        <w:rFonts w:ascii="Cambria Math" w:hAnsi="Cambria Math"/>
                        <w:sz w:val="16"/>
                        <w:szCs w:val="16"/>
                      </w:rPr>
                      <m:t>i</m:t>
                    </m:r>
                  </m:sub>
                </m:sSub>
                <m:r>
                  <w:rPr>
                    <w:rFonts w:ascii="Cambria Math" w:hAnsi="Cambria Math"/>
                    <w:sz w:val="16"/>
                    <w:szCs w:val="16"/>
                  </w:rPr>
                  <m:t>X</m:t>
                </m:r>
                <m:sSub>
                  <m:sSubPr>
                    <m:ctrlPr>
                      <w:rPr>
                        <w:rFonts w:ascii="Cambria Math" w:hAnsi="Cambria Math"/>
                        <w:i/>
                        <w:sz w:val="16"/>
                        <w:szCs w:val="16"/>
                      </w:rPr>
                    </m:ctrlPr>
                  </m:sSubPr>
                  <m:e>
                    <m:r>
                      <w:rPr>
                        <w:rFonts w:ascii="Cambria Math" w:hAnsi="Cambria Math"/>
                        <w:sz w:val="16"/>
                        <w:szCs w:val="16"/>
                      </w:rPr>
                      <m:t>hour</m:t>
                    </m:r>
                  </m:e>
                  <m:sub>
                    <m:r>
                      <w:rPr>
                        <w:rFonts w:ascii="Cambria Math" w:hAnsi="Cambria Math"/>
                        <w:sz w:val="16"/>
                        <w:szCs w:val="16"/>
                      </w:rPr>
                      <m:t>t</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 xml:space="preserve">Average of the first 17 hourly temperature readings from each day, specific to each customer, </w:t>
            </w:r>
            <w:proofErr w:type="spellStart"/>
            <w:r w:rsidRPr="00374908">
              <w:rPr>
                <w:sz w:val="16"/>
                <w:szCs w:val="16"/>
              </w:rPr>
              <w:t>i</w:t>
            </w:r>
            <w:proofErr w:type="spellEnd"/>
            <w:r w:rsidRPr="00374908">
              <w:rPr>
                <w:sz w:val="16"/>
                <w:szCs w:val="16"/>
              </w:rPr>
              <w:t>, with a value for each time interval, t, corresponding to the daily value</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5F6238">
            <w:pPr>
              <w:pStyle w:val="TableText"/>
              <w:keepNext/>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ε</m:t>
                    </m:r>
                  </m:e>
                  <m:sub>
                    <m:r>
                      <w:rPr>
                        <w:rFonts w:ascii="Cambria Math" w:hAnsi="Cambria Math"/>
                        <w:sz w:val="16"/>
                        <w:szCs w:val="16"/>
                      </w:rPr>
                      <m:t>it</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5F6238">
            <w:pPr>
              <w:pStyle w:val="TableText"/>
              <w:keepNext/>
              <w:spacing w:before="20" w:after="20"/>
              <w:jc w:val="left"/>
              <w:rPr>
                <w:sz w:val="16"/>
                <w:szCs w:val="16"/>
              </w:rPr>
            </w:pPr>
            <w:r w:rsidRPr="00374908">
              <w:rPr>
                <w:sz w:val="16"/>
                <w:szCs w:val="16"/>
              </w:rPr>
              <w:t>Error term for each</w:t>
            </w:r>
            <w:r w:rsidR="0005064E">
              <w:rPr>
                <w:sz w:val="16"/>
                <w:szCs w:val="16"/>
              </w:rPr>
              <w:t xml:space="preserve"> customer, </w:t>
            </w:r>
            <w:proofErr w:type="spellStart"/>
            <w:r w:rsidR="0005064E">
              <w:rPr>
                <w:sz w:val="16"/>
                <w:szCs w:val="16"/>
              </w:rPr>
              <w:t>i</w:t>
            </w:r>
            <w:proofErr w:type="spellEnd"/>
            <w:r w:rsidR="0005064E">
              <w:rPr>
                <w:sz w:val="16"/>
                <w:szCs w:val="16"/>
              </w:rPr>
              <w:t>, for each</w:t>
            </w:r>
            <w:r w:rsidRPr="00374908">
              <w:rPr>
                <w:sz w:val="16"/>
                <w:szCs w:val="16"/>
              </w:rPr>
              <w:t xml:space="preserve"> time interval, t</w:t>
            </w:r>
          </w:p>
        </w:tc>
      </w:tr>
      <w:tr w:rsidR="00203A5B" w:rsidRPr="00146B1E" w:rsidTr="00203A5B">
        <w:trPr>
          <w:trHeight w:val="276"/>
        </w:trPr>
        <w:tc>
          <w:tcPr>
            <w:tcW w:w="750" w:type="pct"/>
            <w:tcBorders>
              <w:top w:val="single" w:sz="4" w:space="0" w:color="auto"/>
              <w:left w:val="single" w:sz="4" w:space="0" w:color="auto"/>
              <w:bottom w:val="single" w:sz="4" w:space="0" w:color="auto"/>
              <w:right w:val="single" w:sz="4" w:space="0" w:color="auto"/>
            </w:tcBorders>
            <w:vAlign w:val="center"/>
            <w:hideMark/>
          </w:tcPr>
          <w:p w:rsidR="00203A5B" w:rsidRPr="00374908" w:rsidRDefault="00D66338" w:rsidP="00374908">
            <w:pPr>
              <w:pStyle w:val="TableText"/>
              <w:keepNext/>
              <w:spacing w:before="20" w:after="2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oMath>
            </m:oMathPara>
          </w:p>
        </w:tc>
        <w:tc>
          <w:tcPr>
            <w:tcW w:w="4250" w:type="pct"/>
            <w:tcBorders>
              <w:top w:val="single" w:sz="4" w:space="0" w:color="auto"/>
              <w:left w:val="single" w:sz="4" w:space="0" w:color="auto"/>
              <w:bottom w:val="single" w:sz="4" w:space="0" w:color="auto"/>
              <w:right w:val="single" w:sz="4" w:space="0" w:color="auto"/>
            </w:tcBorders>
            <w:hideMark/>
          </w:tcPr>
          <w:p w:rsidR="00203A5B" w:rsidRPr="00374908" w:rsidRDefault="00203A5B" w:rsidP="00374908">
            <w:pPr>
              <w:pStyle w:val="TableText"/>
              <w:spacing w:before="20" w:after="20"/>
              <w:jc w:val="left"/>
              <w:rPr>
                <w:sz w:val="16"/>
                <w:szCs w:val="16"/>
              </w:rPr>
            </w:pPr>
            <w:r w:rsidRPr="00374908">
              <w:rPr>
                <w:sz w:val="16"/>
                <w:szCs w:val="16"/>
              </w:rPr>
              <w:t xml:space="preserve">Indicator variable for each customer, </w:t>
            </w:r>
            <w:proofErr w:type="spellStart"/>
            <w:r w:rsidRPr="00374908">
              <w:rPr>
                <w:sz w:val="16"/>
                <w:szCs w:val="16"/>
              </w:rPr>
              <w:t>i</w:t>
            </w:r>
            <w:proofErr w:type="spellEnd"/>
            <w:r w:rsidRPr="00374908">
              <w:rPr>
                <w:sz w:val="16"/>
                <w:szCs w:val="16"/>
              </w:rPr>
              <w:t>, captures customer-level fixed effects</w:t>
            </w:r>
          </w:p>
        </w:tc>
      </w:tr>
    </w:tbl>
    <w:p w:rsidR="00203A5B" w:rsidRPr="00146B1E" w:rsidRDefault="00203A5B" w:rsidP="00203A5B">
      <w:pPr>
        <w:pStyle w:val="BodyParaAfterTableFigure"/>
      </w:pPr>
      <w:r>
        <w:t xml:space="preserve">The estimated event coefficients for each event day and hour were taken as the commercial ex post impacts and the standard errors were used to construct confidence intervals.  In the final step, reference loads for each event day and for the average event day were estimated to which the impacts were applied.  This was to </w:t>
      </w:r>
      <w:proofErr w:type="spellStart"/>
      <w:r>
        <w:t>to</w:t>
      </w:r>
      <w:proofErr w:type="spellEnd"/>
      <w:r>
        <w:t xml:space="preserve"> complete the requirement of a load shape in the Excel-based load impact tables. </w:t>
      </w:r>
    </w:p>
    <w:p w:rsidR="00203A5B" w:rsidRPr="00146B1E" w:rsidRDefault="00203A5B" w:rsidP="00374908">
      <w:pPr>
        <w:pStyle w:val="Heading3"/>
      </w:pPr>
      <w:bookmarkStart w:id="31" w:name="_Toc349548904"/>
      <w:bookmarkStart w:id="32" w:name="_Toc350953035"/>
      <w:r w:rsidRPr="00374908">
        <w:t>Validity</w:t>
      </w:r>
      <w:r>
        <w:t xml:space="preserve"> of Commercial Ex Post Load Impact Estimates</w:t>
      </w:r>
      <w:bookmarkEnd w:id="31"/>
      <w:bookmarkEnd w:id="32"/>
    </w:p>
    <w:p w:rsidR="00203A5B" w:rsidRPr="00146B1E" w:rsidRDefault="00203A5B" w:rsidP="00203A5B">
      <w:pPr>
        <w:pStyle w:val="BodyParagraph"/>
      </w:pPr>
      <w:r w:rsidRPr="00146B1E">
        <w:t xml:space="preserve">In order for a model to be useful in the context of Summer Saver, it must make accurate predictions of CAC loads, primarily at high temperatures.  Three methods of validation are used to assess this capability: in-sample testing, out-of-sample testing and evaluation of general plausibility of predictions.  </w:t>
      </w:r>
    </w:p>
    <w:p w:rsidR="00203A5B" w:rsidRPr="00146B1E" w:rsidRDefault="00203A5B" w:rsidP="00374908">
      <w:pPr>
        <w:pStyle w:val="Heading4"/>
      </w:pPr>
      <w:r w:rsidRPr="00146B1E">
        <w:t>In-</w:t>
      </w:r>
      <w:r w:rsidRPr="00374908">
        <w:t>sample</w:t>
      </w:r>
      <w:r w:rsidRPr="00146B1E">
        <w:t xml:space="preserve"> Testing</w:t>
      </w:r>
    </w:p>
    <w:p w:rsidR="00203A5B" w:rsidRPr="00146B1E" w:rsidRDefault="00203A5B" w:rsidP="00203A5B">
      <w:pPr>
        <w:pStyle w:val="BodyParagraph"/>
      </w:pPr>
      <w:r>
        <w:t>The</w:t>
      </w:r>
      <w:r w:rsidRPr="00146B1E">
        <w:t xml:space="preserve"> model</w:t>
      </w:r>
      <w:r>
        <w:t xml:space="preserve">s </w:t>
      </w:r>
      <w:r w:rsidRPr="00146B1E">
        <w:t>must explain a large degree of the observed variation in household load during summer 201</w:t>
      </w:r>
      <w:r>
        <w:t>2</w:t>
      </w:r>
      <w:r w:rsidRPr="00146B1E">
        <w:t>.  This is a test of the in-sample R-squared of the model</w:t>
      </w:r>
      <w:r>
        <w:t>s</w:t>
      </w:r>
      <w:r w:rsidRPr="00146B1E">
        <w:t>, which is the simplest test for the model</w:t>
      </w:r>
      <w:r>
        <w:t>s</w:t>
      </w:r>
      <w:r w:rsidRPr="00146B1E">
        <w:t xml:space="preserve"> to pass and is a necessary, but not sufficient, condition for the model</w:t>
      </w:r>
      <w:r>
        <w:t>s</w:t>
      </w:r>
      <w:r w:rsidRPr="00146B1E">
        <w:t xml:space="preserve"> to be useful.  A substantial body of evidence from previous evaluations by FSC and others demonstrate that weather and time variables in a regression model can explain a large amount of the variation in CAC load.  Therefore, a model without an aggregate R-squared value of at least 70% would suggest a significant error and would bear significant investigation before being accepted. </w:t>
      </w:r>
    </w:p>
    <w:p w:rsidR="00203A5B" w:rsidRPr="00146B1E" w:rsidRDefault="00203A5B" w:rsidP="00203A5B">
      <w:pPr>
        <w:pStyle w:val="BodyParagraph"/>
      </w:pPr>
      <w:r w:rsidRPr="00146B1E">
        <w:t xml:space="preserve">The R-squared of a model can be inflated by including a very large number of variables.  In this case, the model will appear to explain a large degree of the variation in load, but it may be highly inaccurate in predicting for conditions outside of the range of values for the data used to estimate the model.  This is known as over-fitting.  Diagnosing whether a model is over-fit inherently requires judgment.  There are several metrics, such as adjusted R-squared, that attempt to penalize models for including many variables, but they are all based on arbitrary weightings of the number of variables as compared to the fit of the model.  The method used here to guard against over-fitting is </w:t>
      </w:r>
      <w:r>
        <w:t xml:space="preserve">cross-validation (which is sometimes also referred to as </w:t>
      </w:r>
      <w:r w:rsidRPr="00146B1E">
        <w:t>out-of-sample testing</w:t>
      </w:r>
      <w:r>
        <w:t>)</w:t>
      </w:r>
      <w:r w:rsidRPr="00146B1E">
        <w:t>, as described below.  An over-fit model will not produce accurate predictions</w:t>
      </w:r>
      <w:r>
        <w:t xml:space="preserve"> in cross-validation</w:t>
      </w:r>
      <w:r w:rsidRPr="00146B1E">
        <w:t>.</w:t>
      </w:r>
    </w:p>
    <w:p w:rsidR="00203A5B" w:rsidRDefault="00203A5B" w:rsidP="00203A5B">
      <w:pPr>
        <w:pStyle w:val="BodyParagraph"/>
      </w:pPr>
      <w:r>
        <w:t xml:space="preserve">From </w:t>
      </w:r>
      <w:r w:rsidRPr="00146B1E">
        <w:t>an evaluation standpoint</w:t>
      </w:r>
      <w:r>
        <w:t xml:space="preserve"> the focus is on how each panel regression performed</w:t>
      </w:r>
      <w:r w:rsidRPr="00146B1E">
        <w:t>.  Therefore, the</w:t>
      </w:r>
      <w:r w:rsidR="00D250DD">
        <w:t> </w:t>
      </w:r>
      <w:r w:rsidRPr="00146B1E">
        <w:t xml:space="preserve">R-squared (goodness-of-fit) statistic is presented for </w:t>
      </w:r>
      <w:r>
        <w:t>each of the six models that were used to calculate the ex post results.  Models were run separately by cycling option and for weekday and weekend events, as well as for the average event.  Table 3-</w:t>
      </w:r>
      <w:r w:rsidR="006C5209">
        <w:t>6</w:t>
      </w:r>
      <w:r>
        <w:t xml:space="preserve"> shows the R-squared values associated with each of these models.</w:t>
      </w:r>
    </w:p>
    <w:p w:rsidR="00203A5B" w:rsidRPr="00146B1E" w:rsidRDefault="00203A5B" w:rsidP="00203A5B">
      <w:pPr>
        <w:pStyle w:val="TableFigureCaption"/>
      </w:pPr>
      <w:r>
        <w:t>Table 3-</w:t>
      </w:r>
      <w:r w:rsidR="006C5209">
        <w:t>6</w:t>
      </w:r>
      <w:r w:rsidRPr="00146B1E">
        <w:t xml:space="preserve">: </w:t>
      </w:r>
      <w:r>
        <w:t>R-Squared Values by Model</w:t>
      </w:r>
    </w:p>
    <w:tbl>
      <w:tblPr>
        <w:tblW w:w="4447" w:type="dxa"/>
        <w:jc w:val="center"/>
        <w:tblInd w:w="93" w:type="dxa"/>
        <w:tblLook w:val="04A0"/>
      </w:tblPr>
      <w:tblGrid>
        <w:gridCol w:w="1460"/>
        <w:gridCol w:w="1750"/>
        <w:gridCol w:w="1237"/>
      </w:tblGrid>
      <w:tr w:rsidR="00203A5B" w:rsidRPr="00B954E1" w:rsidTr="00203A5B">
        <w:trPr>
          <w:trHeight w:val="300"/>
          <w:jc w:val="center"/>
        </w:trPr>
        <w:tc>
          <w:tcPr>
            <w:tcW w:w="1460" w:type="dxa"/>
            <w:tcBorders>
              <w:top w:val="single" w:sz="4" w:space="0" w:color="auto"/>
              <w:left w:val="single" w:sz="4" w:space="0" w:color="auto"/>
              <w:bottom w:val="single" w:sz="4" w:space="0" w:color="auto"/>
              <w:right w:val="single" w:sz="4" w:space="0" w:color="FFFFFF"/>
            </w:tcBorders>
            <w:shd w:val="clear" w:color="000000" w:fill="1F497D"/>
            <w:noWrap/>
            <w:vAlign w:val="center"/>
            <w:hideMark/>
          </w:tcPr>
          <w:p w:rsidR="00203A5B" w:rsidRPr="00B954E1" w:rsidRDefault="00203A5B" w:rsidP="00374908">
            <w:pPr>
              <w:pStyle w:val="TableHeader"/>
            </w:pPr>
            <w:r w:rsidRPr="00B954E1">
              <w:t>Model</w:t>
            </w:r>
          </w:p>
        </w:tc>
        <w:tc>
          <w:tcPr>
            <w:tcW w:w="1750" w:type="dxa"/>
            <w:tcBorders>
              <w:top w:val="single" w:sz="4" w:space="0" w:color="auto"/>
              <w:left w:val="nil"/>
              <w:bottom w:val="single" w:sz="4" w:space="0" w:color="auto"/>
              <w:right w:val="single" w:sz="4" w:space="0" w:color="FFFFFF"/>
            </w:tcBorders>
            <w:shd w:val="clear" w:color="000000" w:fill="1F497D"/>
            <w:noWrap/>
            <w:vAlign w:val="center"/>
            <w:hideMark/>
          </w:tcPr>
          <w:p w:rsidR="00203A5B" w:rsidRPr="00B954E1" w:rsidRDefault="00203A5B" w:rsidP="00374908">
            <w:pPr>
              <w:pStyle w:val="TableHeader"/>
            </w:pPr>
            <w:r w:rsidRPr="00B954E1">
              <w:t>Cycling Option</w:t>
            </w:r>
          </w:p>
        </w:tc>
        <w:tc>
          <w:tcPr>
            <w:tcW w:w="1237" w:type="dxa"/>
            <w:tcBorders>
              <w:top w:val="single" w:sz="4" w:space="0" w:color="auto"/>
              <w:left w:val="nil"/>
              <w:bottom w:val="single" w:sz="4" w:space="0" w:color="auto"/>
              <w:right w:val="single" w:sz="4" w:space="0" w:color="auto"/>
            </w:tcBorders>
            <w:shd w:val="clear" w:color="000000" w:fill="1F497D"/>
            <w:noWrap/>
            <w:vAlign w:val="center"/>
            <w:hideMark/>
          </w:tcPr>
          <w:p w:rsidR="00203A5B" w:rsidRPr="00B954E1" w:rsidRDefault="00203A5B" w:rsidP="00374908">
            <w:pPr>
              <w:pStyle w:val="TableHeader"/>
            </w:pPr>
            <w:r w:rsidRPr="00B954E1">
              <w:t>R-squared</w:t>
            </w:r>
          </w:p>
        </w:tc>
      </w:tr>
      <w:tr w:rsidR="00203A5B" w:rsidRPr="00B954E1" w:rsidTr="00203A5B">
        <w:trPr>
          <w:trHeight w:val="300"/>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Weekday</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30% Cycling</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203A5B" w:rsidRPr="00B954E1" w:rsidRDefault="00203A5B" w:rsidP="00374908">
            <w:pPr>
              <w:pStyle w:val="TableText"/>
            </w:pPr>
            <w:r w:rsidRPr="00B954E1">
              <w:t>0.93</w:t>
            </w:r>
          </w:p>
        </w:tc>
      </w:tr>
      <w:tr w:rsidR="00203A5B" w:rsidRPr="00B954E1" w:rsidTr="00203A5B">
        <w:trPr>
          <w:trHeight w:val="30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203A5B" w:rsidRPr="00B954E1" w:rsidRDefault="00203A5B" w:rsidP="00374908">
            <w:pPr>
              <w:pStyle w:val="TableText"/>
            </w:pPr>
          </w:p>
        </w:tc>
        <w:tc>
          <w:tcPr>
            <w:tcW w:w="1750" w:type="dxa"/>
            <w:tcBorders>
              <w:top w:val="nil"/>
              <w:left w:val="nil"/>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50% Cycling</w:t>
            </w:r>
          </w:p>
        </w:tc>
        <w:tc>
          <w:tcPr>
            <w:tcW w:w="1237" w:type="dxa"/>
            <w:tcBorders>
              <w:top w:val="nil"/>
              <w:left w:val="nil"/>
              <w:bottom w:val="single" w:sz="4" w:space="0" w:color="auto"/>
              <w:right w:val="single" w:sz="4" w:space="0" w:color="auto"/>
            </w:tcBorders>
            <w:shd w:val="clear" w:color="auto" w:fill="auto"/>
            <w:noWrap/>
            <w:vAlign w:val="bottom"/>
            <w:hideMark/>
          </w:tcPr>
          <w:p w:rsidR="00203A5B" w:rsidRPr="00B954E1" w:rsidRDefault="00203A5B" w:rsidP="00374908">
            <w:pPr>
              <w:pStyle w:val="TableText"/>
            </w:pPr>
            <w:r w:rsidRPr="00B954E1">
              <w:t>0.88</w:t>
            </w:r>
          </w:p>
        </w:tc>
      </w:tr>
      <w:tr w:rsidR="00203A5B" w:rsidRPr="00B954E1" w:rsidTr="00203A5B">
        <w:trPr>
          <w:trHeight w:val="30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Weekend</w:t>
            </w:r>
          </w:p>
        </w:tc>
        <w:tc>
          <w:tcPr>
            <w:tcW w:w="1750" w:type="dxa"/>
            <w:tcBorders>
              <w:top w:val="nil"/>
              <w:left w:val="nil"/>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30% Cycling</w:t>
            </w:r>
          </w:p>
        </w:tc>
        <w:tc>
          <w:tcPr>
            <w:tcW w:w="1237" w:type="dxa"/>
            <w:tcBorders>
              <w:top w:val="nil"/>
              <w:left w:val="nil"/>
              <w:bottom w:val="single" w:sz="4" w:space="0" w:color="auto"/>
              <w:right w:val="single" w:sz="4" w:space="0" w:color="auto"/>
            </w:tcBorders>
            <w:shd w:val="clear" w:color="auto" w:fill="auto"/>
            <w:noWrap/>
            <w:vAlign w:val="bottom"/>
            <w:hideMark/>
          </w:tcPr>
          <w:p w:rsidR="00203A5B" w:rsidRPr="00B954E1" w:rsidRDefault="00203A5B" w:rsidP="00374908">
            <w:pPr>
              <w:pStyle w:val="TableText"/>
            </w:pPr>
            <w:r w:rsidRPr="00B954E1">
              <w:t>0.99</w:t>
            </w:r>
          </w:p>
        </w:tc>
      </w:tr>
      <w:tr w:rsidR="00203A5B" w:rsidRPr="00B954E1" w:rsidTr="00203A5B">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rsidR="00203A5B" w:rsidRPr="00B954E1" w:rsidRDefault="00203A5B" w:rsidP="00374908">
            <w:pPr>
              <w:pStyle w:val="TableText"/>
            </w:pPr>
          </w:p>
        </w:tc>
        <w:tc>
          <w:tcPr>
            <w:tcW w:w="1750" w:type="dxa"/>
            <w:tcBorders>
              <w:top w:val="nil"/>
              <w:left w:val="nil"/>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50% Cycling</w:t>
            </w:r>
          </w:p>
        </w:tc>
        <w:tc>
          <w:tcPr>
            <w:tcW w:w="1237" w:type="dxa"/>
            <w:tcBorders>
              <w:top w:val="nil"/>
              <w:left w:val="nil"/>
              <w:bottom w:val="single" w:sz="4" w:space="0" w:color="auto"/>
              <w:right w:val="single" w:sz="4" w:space="0" w:color="auto"/>
            </w:tcBorders>
            <w:shd w:val="clear" w:color="auto" w:fill="auto"/>
            <w:noWrap/>
            <w:vAlign w:val="bottom"/>
            <w:hideMark/>
          </w:tcPr>
          <w:p w:rsidR="00203A5B" w:rsidRPr="00B954E1" w:rsidRDefault="00203A5B" w:rsidP="00374908">
            <w:pPr>
              <w:pStyle w:val="TableText"/>
            </w:pPr>
            <w:r w:rsidRPr="00B954E1">
              <w:t>0.87</w:t>
            </w:r>
          </w:p>
        </w:tc>
      </w:tr>
      <w:tr w:rsidR="00203A5B" w:rsidRPr="00B954E1" w:rsidTr="00203A5B">
        <w:trPr>
          <w:trHeight w:val="30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Average Event</w:t>
            </w:r>
          </w:p>
        </w:tc>
        <w:tc>
          <w:tcPr>
            <w:tcW w:w="1750" w:type="dxa"/>
            <w:tcBorders>
              <w:top w:val="nil"/>
              <w:left w:val="nil"/>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30% Cycling</w:t>
            </w:r>
          </w:p>
        </w:tc>
        <w:tc>
          <w:tcPr>
            <w:tcW w:w="1237" w:type="dxa"/>
            <w:tcBorders>
              <w:top w:val="nil"/>
              <w:left w:val="nil"/>
              <w:bottom w:val="single" w:sz="4" w:space="0" w:color="auto"/>
              <w:right w:val="single" w:sz="4" w:space="0" w:color="auto"/>
            </w:tcBorders>
            <w:shd w:val="clear" w:color="auto" w:fill="auto"/>
            <w:noWrap/>
            <w:vAlign w:val="bottom"/>
            <w:hideMark/>
          </w:tcPr>
          <w:p w:rsidR="00203A5B" w:rsidRPr="00B954E1" w:rsidRDefault="00203A5B" w:rsidP="00374908">
            <w:pPr>
              <w:pStyle w:val="TableText"/>
            </w:pPr>
            <w:r w:rsidRPr="00B954E1">
              <w:t>0.94</w:t>
            </w:r>
          </w:p>
        </w:tc>
      </w:tr>
      <w:tr w:rsidR="00203A5B" w:rsidRPr="00B954E1" w:rsidTr="00203A5B">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rsidR="00203A5B" w:rsidRPr="00B954E1" w:rsidRDefault="00203A5B" w:rsidP="00374908">
            <w:pPr>
              <w:pStyle w:val="TableText"/>
            </w:pPr>
          </w:p>
        </w:tc>
        <w:tc>
          <w:tcPr>
            <w:tcW w:w="1750" w:type="dxa"/>
            <w:tcBorders>
              <w:top w:val="nil"/>
              <w:left w:val="nil"/>
              <w:bottom w:val="single" w:sz="4" w:space="0" w:color="auto"/>
              <w:right w:val="single" w:sz="4" w:space="0" w:color="auto"/>
            </w:tcBorders>
            <w:shd w:val="clear" w:color="auto" w:fill="auto"/>
            <w:noWrap/>
            <w:vAlign w:val="center"/>
            <w:hideMark/>
          </w:tcPr>
          <w:p w:rsidR="00203A5B" w:rsidRPr="00B954E1" w:rsidRDefault="00203A5B" w:rsidP="00374908">
            <w:pPr>
              <w:pStyle w:val="TableText"/>
            </w:pPr>
            <w:r w:rsidRPr="00B954E1">
              <w:t>50% Cycling</w:t>
            </w:r>
          </w:p>
        </w:tc>
        <w:tc>
          <w:tcPr>
            <w:tcW w:w="1237" w:type="dxa"/>
            <w:tcBorders>
              <w:top w:val="nil"/>
              <w:left w:val="nil"/>
              <w:bottom w:val="single" w:sz="4" w:space="0" w:color="auto"/>
              <w:right w:val="single" w:sz="4" w:space="0" w:color="auto"/>
            </w:tcBorders>
            <w:shd w:val="clear" w:color="auto" w:fill="auto"/>
            <w:noWrap/>
            <w:vAlign w:val="bottom"/>
            <w:hideMark/>
          </w:tcPr>
          <w:p w:rsidR="00203A5B" w:rsidRPr="00B954E1" w:rsidRDefault="00203A5B" w:rsidP="00374908">
            <w:pPr>
              <w:pStyle w:val="TableText"/>
            </w:pPr>
            <w:r w:rsidRPr="00B954E1">
              <w:t>0.90</w:t>
            </w:r>
          </w:p>
        </w:tc>
      </w:tr>
    </w:tbl>
    <w:p w:rsidR="00203A5B" w:rsidRDefault="00203A5B" w:rsidP="00203A5B">
      <w:pPr>
        <w:pStyle w:val="BodyParagraph"/>
      </w:pPr>
    </w:p>
    <w:p w:rsidR="00203A5B" w:rsidRDefault="00203A5B" w:rsidP="00374908">
      <w:pPr>
        <w:pStyle w:val="Heading4"/>
      </w:pPr>
      <w:r>
        <w:t xml:space="preserve">Cross </w:t>
      </w:r>
      <w:r w:rsidRPr="00374908">
        <w:t>Validation</w:t>
      </w:r>
    </w:p>
    <w:p w:rsidR="00203A5B" w:rsidRDefault="00203A5B" w:rsidP="00203A5B">
      <w:pPr>
        <w:pStyle w:val="BodyParagraph"/>
      </w:pPr>
      <w:r>
        <w:t xml:space="preserve">The validity of the commercial panel models was tested by using similar model specifications as the ones used to produce the ex post impacts.  More specifically, models with the same variables but slightly different data </w:t>
      </w:r>
      <w:proofErr w:type="gramStart"/>
      <w:r>
        <w:t>structure</w:t>
      </w:r>
      <w:r w:rsidR="00D250DD">
        <w:t>,</w:t>
      </w:r>
      <w:proofErr w:type="gramEnd"/>
      <w:r>
        <w:t xml:space="preserve"> were run by cycling option.  The difference was that all Summer Saver event days were dropped from the data used to estimate the models and a set of five random days when no events occurred were chosen as the set of false treatment variables</w:t>
      </w:r>
      <w:r w:rsidR="00D250DD">
        <w:t>;</w:t>
      </w:r>
      <w:r>
        <w:t xml:space="preserve"> with the A and B groups alternated between the five days.  In this case, we would expect most of the coefficients on the false treatment variables to be insignificant since no events actually occurred on the days identified.  The false events occurred from 1 PM to 5 PM and each hour of each false event is included in the models.</w:t>
      </w:r>
    </w:p>
    <w:p w:rsidR="00203A5B" w:rsidRDefault="00203A5B" w:rsidP="00203A5B">
      <w:pPr>
        <w:pStyle w:val="BodyParagraph"/>
      </w:pPr>
      <w:r>
        <w:t>Table</w:t>
      </w:r>
      <w:r w:rsidRPr="001E30EF">
        <w:t xml:space="preserve"> </w:t>
      </w:r>
      <w:r>
        <w:t>3-</w:t>
      </w:r>
      <w:r w:rsidR="006C5209">
        <w:t>7</w:t>
      </w:r>
      <w:r w:rsidRPr="001E30EF">
        <w:t xml:space="preserve"> shows the </w:t>
      </w:r>
      <w:r>
        <w:t>characteristics of the coefficients across the five false events.  Coefficients can</w:t>
      </w:r>
      <w:r w:rsidR="00D250DD">
        <w:t> </w:t>
      </w:r>
      <w:r>
        <w:t xml:space="preserve">either be positive and significant, negative and significant or insignificant.  In theory, </w:t>
      </w:r>
      <w:r w:rsidR="005F6238">
        <w:t xml:space="preserve">about19 out </w:t>
      </w:r>
      <w:r>
        <w:t xml:space="preserve">of </w:t>
      </w:r>
      <w:r w:rsidR="005F6238">
        <w:t xml:space="preserve">every 20 </w:t>
      </w:r>
      <w:r>
        <w:t>coefficients should be insignificant since no events actually occurred</w:t>
      </w:r>
      <w:r w:rsidR="005F6238">
        <w:t xml:space="preserve"> and since we are using a 5% significance test</w:t>
      </w:r>
      <w:r>
        <w:t xml:space="preserve">.  A positive and significant coefficient means that usage in the treatment group is recognized by the model as being statistically significantly greater than usage in the control group, after accounting for unobservable customer characteristics.  Zero of the coefficients are negative and significant and only two are positive and significant across both models.  The rest are insignificant.  This indicates that the models used to estimate commercial ex post load impacts probably do a reasonable job identifying event impacts.    </w:t>
      </w:r>
    </w:p>
    <w:p w:rsidR="00203A5B" w:rsidRDefault="00203A5B" w:rsidP="00203A5B">
      <w:pPr>
        <w:pStyle w:val="TableFigureCaption"/>
        <w:rPr>
          <w:rFonts w:cs="Arial"/>
        </w:rPr>
      </w:pPr>
      <w:r w:rsidRPr="00A65162">
        <w:t xml:space="preserve">Table </w:t>
      </w:r>
      <w:r>
        <w:t>3-</w:t>
      </w:r>
      <w:r w:rsidR="006C5209">
        <w:t>7</w:t>
      </w:r>
      <w:r>
        <w:t>:</w:t>
      </w:r>
      <w:r w:rsidR="00374908">
        <w:t xml:space="preserve"> </w:t>
      </w:r>
      <w:r>
        <w:t>Significance of False Event Load Impact Estimates</w:t>
      </w:r>
    </w:p>
    <w:tbl>
      <w:tblPr>
        <w:tblW w:w="5548" w:type="dxa"/>
        <w:jc w:val="center"/>
        <w:tblInd w:w="93" w:type="dxa"/>
        <w:tblLook w:val="04A0"/>
      </w:tblPr>
      <w:tblGrid>
        <w:gridCol w:w="1695"/>
        <w:gridCol w:w="1240"/>
        <w:gridCol w:w="1340"/>
        <w:gridCol w:w="1394"/>
      </w:tblGrid>
      <w:tr w:rsidR="00203A5B" w:rsidRPr="00F62971" w:rsidTr="00203A5B">
        <w:trPr>
          <w:trHeight w:val="510"/>
          <w:jc w:val="center"/>
        </w:trPr>
        <w:tc>
          <w:tcPr>
            <w:tcW w:w="1695"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F62971" w:rsidRDefault="00203A5B" w:rsidP="00374908">
            <w:pPr>
              <w:pStyle w:val="TableHeader"/>
            </w:pPr>
            <w:r w:rsidRPr="00F62971">
              <w:t>Customer Type</w:t>
            </w:r>
          </w:p>
        </w:tc>
        <w:tc>
          <w:tcPr>
            <w:tcW w:w="1240" w:type="dxa"/>
            <w:tcBorders>
              <w:top w:val="single" w:sz="4" w:space="0" w:color="auto"/>
              <w:left w:val="nil"/>
              <w:bottom w:val="single" w:sz="4" w:space="0" w:color="auto"/>
              <w:right w:val="single" w:sz="4" w:space="0" w:color="FFFFFF"/>
            </w:tcBorders>
            <w:shd w:val="clear" w:color="000000" w:fill="1F497D"/>
            <w:vAlign w:val="center"/>
            <w:hideMark/>
          </w:tcPr>
          <w:p w:rsidR="00203A5B" w:rsidRPr="00F62971" w:rsidRDefault="00203A5B" w:rsidP="00374908">
            <w:pPr>
              <w:pStyle w:val="TableHeader"/>
            </w:pPr>
            <w:r w:rsidRPr="00F62971">
              <w:t>Positive and Significant</w:t>
            </w:r>
          </w:p>
        </w:tc>
        <w:tc>
          <w:tcPr>
            <w:tcW w:w="1340" w:type="dxa"/>
            <w:tcBorders>
              <w:top w:val="single" w:sz="4" w:space="0" w:color="auto"/>
              <w:left w:val="nil"/>
              <w:bottom w:val="single" w:sz="4" w:space="0" w:color="auto"/>
              <w:right w:val="single" w:sz="4" w:space="0" w:color="FFFFFF"/>
            </w:tcBorders>
            <w:shd w:val="clear" w:color="000000" w:fill="1F497D"/>
            <w:vAlign w:val="center"/>
            <w:hideMark/>
          </w:tcPr>
          <w:p w:rsidR="00203A5B" w:rsidRPr="00F62971" w:rsidRDefault="00203A5B" w:rsidP="00374908">
            <w:pPr>
              <w:pStyle w:val="TableHeader"/>
            </w:pPr>
            <w:r w:rsidRPr="00F62971">
              <w:t>Negative and Significant</w:t>
            </w:r>
          </w:p>
        </w:tc>
        <w:tc>
          <w:tcPr>
            <w:tcW w:w="1273" w:type="dxa"/>
            <w:tcBorders>
              <w:top w:val="single" w:sz="4" w:space="0" w:color="auto"/>
              <w:left w:val="nil"/>
              <w:bottom w:val="single" w:sz="4" w:space="0" w:color="auto"/>
              <w:right w:val="single" w:sz="4" w:space="0" w:color="auto"/>
            </w:tcBorders>
            <w:shd w:val="clear" w:color="000000" w:fill="1F497D"/>
            <w:vAlign w:val="center"/>
            <w:hideMark/>
          </w:tcPr>
          <w:p w:rsidR="00203A5B" w:rsidRPr="00F62971" w:rsidRDefault="00203A5B" w:rsidP="00374908">
            <w:pPr>
              <w:pStyle w:val="TableHeader"/>
            </w:pPr>
            <w:r w:rsidRPr="00F62971">
              <w:t>Insignificant</w:t>
            </w:r>
          </w:p>
        </w:tc>
      </w:tr>
      <w:tr w:rsidR="00203A5B" w:rsidRPr="00F62971" w:rsidTr="00203A5B">
        <w:trPr>
          <w:trHeight w:val="300"/>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30% Cycling</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0</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19</w:t>
            </w:r>
          </w:p>
        </w:tc>
      </w:tr>
      <w:tr w:rsidR="00203A5B" w:rsidRPr="00F62971" w:rsidTr="00203A5B">
        <w:trPr>
          <w:trHeight w:val="300"/>
          <w:jc w:val="center"/>
        </w:trPr>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50% Cycling</w:t>
            </w:r>
          </w:p>
        </w:tc>
        <w:tc>
          <w:tcPr>
            <w:tcW w:w="1240" w:type="dxa"/>
            <w:tcBorders>
              <w:top w:val="nil"/>
              <w:left w:val="nil"/>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1</w:t>
            </w:r>
          </w:p>
        </w:tc>
        <w:tc>
          <w:tcPr>
            <w:tcW w:w="1340" w:type="dxa"/>
            <w:tcBorders>
              <w:top w:val="nil"/>
              <w:left w:val="nil"/>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0</w:t>
            </w:r>
          </w:p>
        </w:tc>
        <w:tc>
          <w:tcPr>
            <w:tcW w:w="1273" w:type="dxa"/>
            <w:tcBorders>
              <w:top w:val="nil"/>
              <w:left w:val="nil"/>
              <w:bottom w:val="single" w:sz="4" w:space="0" w:color="auto"/>
              <w:right w:val="single" w:sz="4" w:space="0" w:color="auto"/>
            </w:tcBorders>
            <w:shd w:val="clear" w:color="auto" w:fill="auto"/>
            <w:noWrap/>
            <w:vAlign w:val="center"/>
            <w:hideMark/>
          </w:tcPr>
          <w:p w:rsidR="00203A5B" w:rsidRPr="00F62971" w:rsidRDefault="00203A5B" w:rsidP="00374908">
            <w:pPr>
              <w:pStyle w:val="TableText"/>
            </w:pPr>
            <w:r w:rsidRPr="00F62971">
              <w:t>19</w:t>
            </w:r>
          </w:p>
        </w:tc>
      </w:tr>
      <w:tr w:rsidR="00203A5B" w:rsidRPr="00F62971" w:rsidTr="00203A5B">
        <w:trPr>
          <w:trHeight w:val="300"/>
          <w:jc w:val="center"/>
        </w:trPr>
        <w:tc>
          <w:tcPr>
            <w:tcW w:w="5548" w:type="dxa"/>
            <w:gridSpan w:val="4"/>
            <w:tcBorders>
              <w:top w:val="nil"/>
              <w:left w:val="nil"/>
              <w:bottom w:val="nil"/>
              <w:right w:val="nil"/>
            </w:tcBorders>
            <w:shd w:val="clear" w:color="auto" w:fill="auto"/>
            <w:noWrap/>
            <w:vAlign w:val="bottom"/>
            <w:hideMark/>
          </w:tcPr>
          <w:p w:rsidR="00203A5B" w:rsidRPr="00F62971" w:rsidRDefault="00203A5B" w:rsidP="00374908">
            <w:pPr>
              <w:pStyle w:val="Footnote"/>
            </w:pPr>
            <w:r w:rsidRPr="00F62971">
              <w:t>*Significance measured at the 95% confidence level</w:t>
            </w:r>
          </w:p>
        </w:tc>
      </w:tr>
    </w:tbl>
    <w:p w:rsidR="00203A5B" w:rsidRPr="00CA5F00" w:rsidRDefault="00203A5B" w:rsidP="00374908">
      <w:pPr>
        <w:pStyle w:val="BodyParaAfterTableFigure"/>
        <w:rPr>
          <w:highlight w:val="yellow"/>
        </w:rPr>
      </w:pPr>
      <w:r w:rsidRPr="00382EBB">
        <w:t>Table 3-</w:t>
      </w:r>
      <w:r w:rsidR="006C5209">
        <w:t>8</w:t>
      </w:r>
      <w:r w:rsidRPr="00382EBB">
        <w:t xml:space="preserve"> shows the sample size of each group, average AC tonnage in each group, the fractions of each group that are on each cycling option and that are on the weekday-only option.  The groups are not quite as well balanced as the residential groups</w:t>
      </w:r>
      <w:r w:rsidR="005F6238">
        <w:t xml:space="preserve"> on tonnage, but otherwise they are well-balanced</w:t>
      </w:r>
      <w:proofErr w:type="gramStart"/>
      <w:r w:rsidR="005F6238">
        <w:t>.</w:t>
      </w:r>
      <w:r w:rsidRPr="00382EBB">
        <w:t>.</w:t>
      </w:r>
      <w:proofErr w:type="gramEnd"/>
    </w:p>
    <w:p w:rsidR="00203A5B" w:rsidRDefault="00203A5B" w:rsidP="00374908">
      <w:pPr>
        <w:pStyle w:val="TableFigureCaption"/>
      </w:pPr>
      <w:r w:rsidRPr="005862E3">
        <w:t>Table 3-</w:t>
      </w:r>
      <w:r w:rsidR="006C5209">
        <w:t>8</w:t>
      </w:r>
      <w:r w:rsidRPr="005862E3">
        <w:t>: Commercial A and B Group Comparison</w:t>
      </w:r>
      <w:r w:rsidRPr="005862E3">
        <w:br/>
        <w:t>Sample Size, Tonnage and Program Options</w:t>
      </w:r>
    </w:p>
    <w:tbl>
      <w:tblPr>
        <w:tblW w:w="6264" w:type="dxa"/>
        <w:jc w:val="center"/>
        <w:tblInd w:w="93" w:type="dxa"/>
        <w:tblLook w:val="04A0"/>
      </w:tblPr>
      <w:tblGrid>
        <w:gridCol w:w="960"/>
        <w:gridCol w:w="960"/>
        <w:gridCol w:w="1050"/>
        <w:gridCol w:w="1474"/>
        <w:gridCol w:w="1820"/>
      </w:tblGrid>
      <w:tr w:rsidR="00203A5B" w:rsidRPr="005862E3" w:rsidTr="005641AE">
        <w:trPr>
          <w:trHeight w:val="510"/>
          <w:jc w:val="center"/>
        </w:trPr>
        <w:tc>
          <w:tcPr>
            <w:tcW w:w="960"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5641AE" w:rsidRDefault="00203A5B" w:rsidP="005641AE">
            <w:pPr>
              <w:pStyle w:val="TableHeader"/>
            </w:pPr>
            <w:r w:rsidRPr="005641AE">
              <w:t>Group</w:t>
            </w:r>
          </w:p>
        </w:tc>
        <w:tc>
          <w:tcPr>
            <w:tcW w:w="960" w:type="dxa"/>
            <w:tcBorders>
              <w:top w:val="single" w:sz="4" w:space="0" w:color="auto"/>
              <w:left w:val="nil"/>
              <w:bottom w:val="single" w:sz="4" w:space="0" w:color="auto"/>
              <w:right w:val="single" w:sz="4" w:space="0" w:color="FFFFFF"/>
            </w:tcBorders>
            <w:shd w:val="clear" w:color="000000" w:fill="1F497D"/>
            <w:vAlign w:val="center"/>
            <w:hideMark/>
          </w:tcPr>
          <w:p w:rsidR="00203A5B" w:rsidRPr="005641AE" w:rsidRDefault="00203A5B" w:rsidP="005641AE">
            <w:pPr>
              <w:pStyle w:val="TableHeader"/>
            </w:pPr>
            <w:r w:rsidRPr="005641AE">
              <w:t>Count</w:t>
            </w:r>
          </w:p>
        </w:tc>
        <w:tc>
          <w:tcPr>
            <w:tcW w:w="1050" w:type="dxa"/>
            <w:tcBorders>
              <w:top w:val="single" w:sz="4" w:space="0" w:color="auto"/>
              <w:left w:val="nil"/>
              <w:bottom w:val="single" w:sz="4" w:space="0" w:color="auto"/>
              <w:right w:val="single" w:sz="4" w:space="0" w:color="FFFFFF"/>
            </w:tcBorders>
            <w:shd w:val="clear" w:color="000000" w:fill="1F497D"/>
            <w:vAlign w:val="center"/>
            <w:hideMark/>
          </w:tcPr>
          <w:p w:rsidR="00203A5B" w:rsidRPr="005641AE" w:rsidRDefault="00203A5B" w:rsidP="005641AE">
            <w:pPr>
              <w:pStyle w:val="TableHeader"/>
            </w:pPr>
            <w:r w:rsidRPr="005641AE">
              <w:t>Tonnage</w:t>
            </w:r>
          </w:p>
        </w:tc>
        <w:tc>
          <w:tcPr>
            <w:tcW w:w="1474" w:type="dxa"/>
            <w:tcBorders>
              <w:top w:val="single" w:sz="4" w:space="0" w:color="auto"/>
              <w:left w:val="nil"/>
              <w:bottom w:val="single" w:sz="4" w:space="0" w:color="auto"/>
              <w:right w:val="single" w:sz="4" w:space="0" w:color="FFFFFF"/>
            </w:tcBorders>
            <w:shd w:val="clear" w:color="000000" w:fill="1F497D"/>
            <w:vAlign w:val="center"/>
            <w:hideMark/>
          </w:tcPr>
          <w:p w:rsidR="00203A5B" w:rsidRPr="005641AE" w:rsidRDefault="005641AE" w:rsidP="005641AE">
            <w:pPr>
              <w:pStyle w:val="TableHeader"/>
            </w:pPr>
            <w:r w:rsidRPr="005641AE">
              <w:t xml:space="preserve">50% </w:t>
            </w:r>
            <w:r w:rsidR="00203A5B" w:rsidRPr="005641AE">
              <w:t>Cycling</w:t>
            </w:r>
          </w:p>
        </w:tc>
        <w:tc>
          <w:tcPr>
            <w:tcW w:w="1820" w:type="dxa"/>
            <w:tcBorders>
              <w:top w:val="single" w:sz="4" w:space="0" w:color="auto"/>
              <w:left w:val="nil"/>
              <w:bottom w:val="single" w:sz="4" w:space="0" w:color="auto"/>
              <w:right w:val="single" w:sz="4" w:space="0" w:color="auto"/>
            </w:tcBorders>
            <w:shd w:val="clear" w:color="000000" w:fill="1F497D"/>
            <w:vAlign w:val="center"/>
            <w:hideMark/>
          </w:tcPr>
          <w:p w:rsidR="00203A5B" w:rsidRPr="005641AE" w:rsidRDefault="00203A5B" w:rsidP="005641AE">
            <w:pPr>
              <w:pStyle w:val="TableHeader"/>
            </w:pPr>
            <w:r w:rsidRPr="005641AE">
              <w:t>% Weekday Only</w:t>
            </w:r>
          </w:p>
        </w:tc>
      </w:tr>
      <w:tr w:rsidR="00203A5B" w:rsidRPr="005862E3" w:rsidTr="005641A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193</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1757</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203A5B" w:rsidRPr="005862E3" w:rsidRDefault="00203A5B" w:rsidP="005641AE">
            <w:pPr>
              <w:pStyle w:val="TableText"/>
            </w:pPr>
            <w:r w:rsidRPr="005862E3">
              <w:t>50%</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93%</w:t>
            </w:r>
          </w:p>
        </w:tc>
      </w:tr>
      <w:tr w:rsidR="00203A5B" w:rsidRPr="005862E3" w:rsidTr="005641A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B</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200</w:t>
            </w:r>
          </w:p>
        </w:tc>
        <w:tc>
          <w:tcPr>
            <w:tcW w:w="1050" w:type="dxa"/>
            <w:tcBorders>
              <w:top w:val="nil"/>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1559</w:t>
            </w:r>
          </w:p>
        </w:tc>
        <w:tc>
          <w:tcPr>
            <w:tcW w:w="1474" w:type="dxa"/>
            <w:tcBorders>
              <w:top w:val="nil"/>
              <w:left w:val="nil"/>
              <w:bottom w:val="single" w:sz="4" w:space="0" w:color="auto"/>
              <w:right w:val="single" w:sz="4" w:space="0" w:color="auto"/>
            </w:tcBorders>
            <w:shd w:val="clear" w:color="auto" w:fill="auto"/>
            <w:vAlign w:val="center"/>
            <w:hideMark/>
          </w:tcPr>
          <w:p w:rsidR="00203A5B" w:rsidRPr="005862E3" w:rsidRDefault="00203A5B" w:rsidP="005641AE">
            <w:pPr>
              <w:pStyle w:val="TableText"/>
            </w:pPr>
            <w:r w:rsidRPr="005862E3">
              <w:t>49%</w:t>
            </w:r>
          </w:p>
        </w:tc>
        <w:tc>
          <w:tcPr>
            <w:tcW w:w="1820" w:type="dxa"/>
            <w:tcBorders>
              <w:top w:val="nil"/>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95%</w:t>
            </w:r>
          </w:p>
        </w:tc>
      </w:tr>
      <w:tr w:rsidR="00203A5B" w:rsidRPr="005862E3" w:rsidTr="005641A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Total</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393</w:t>
            </w:r>
          </w:p>
        </w:tc>
        <w:tc>
          <w:tcPr>
            <w:tcW w:w="1050" w:type="dxa"/>
            <w:tcBorders>
              <w:top w:val="nil"/>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3316</w:t>
            </w:r>
          </w:p>
        </w:tc>
        <w:tc>
          <w:tcPr>
            <w:tcW w:w="1474" w:type="dxa"/>
            <w:tcBorders>
              <w:top w:val="nil"/>
              <w:left w:val="nil"/>
              <w:bottom w:val="single" w:sz="4" w:space="0" w:color="auto"/>
              <w:right w:val="single" w:sz="4" w:space="0" w:color="auto"/>
            </w:tcBorders>
            <w:shd w:val="clear" w:color="auto" w:fill="auto"/>
            <w:vAlign w:val="center"/>
            <w:hideMark/>
          </w:tcPr>
          <w:p w:rsidR="00203A5B" w:rsidRPr="005862E3" w:rsidRDefault="00203A5B" w:rsidP="005641AE">
            <w:pPr>
              <w:pStyle w:val="TableText"/>
            </w:pPr>
            <w:r w:rsidRPr="005862E3">
              <w:t>50%</w:t>
            </w:r>
          </w:p>
        </w:tc>
        <w:tc>
          <w:tcPr>
            <w:tcW w:w="1820" w:type="dxa"/>
            <w:tcBorders>
              <w:top w:val="nil"/>
              <w:left w:val="nil"/>
              <w:bottom w:val="single" w:sz="4" w:space="0" w:color="auto"/>
              <w:right w:val="single" w:sz="4" w:space="0" w:color="auto"/>
            </w:tcBorders>
            <w:shd w:val="clear" w:color="auto" w:fill="auto"/>
            <w:noWrap/>
            <w:vAlign w:val="center"/>
            <w:hideMark/>
          </w:tcPr>
          <w:p w:rsidR="00203A5B" w:rsidRPr="005862E3" w:rsidRDefault="00203A5B" w:rsidP="005641AE">
            <w:pPr>
              <w:pStyle w:val="TableText"/>
            </w:pPr>
            <w:r w:rsidRPr="005862E3">
              <w:t>94%</w:t>
            </w:r>
          </w:p>
        </w:tc>
      </w:tr>
    </w:tbl>
    <w:p w:rsidR="00203A5B" w:rsidRDefault="00203A5B" w:rsidP="00203A5B">
      <w:pPr>
        <w:pStyle w:val="BodyParaAfterTableFigure"/>
      </w:pPr>
      <w:r w:rsidRPr="005862E3">
        <w:t xml:space="preserve">The final test of the model is one of general plausibility in predicting </w:t>
      </w:r>
      <w:r>
        <w:t>impacts</w:t>
      </w:r>
      <w:r w:rsidRPr="005862E3">
        <w:t xml:space="preserve"> during the event periods and for the ex ante weather conditions.  This test is less well-specified but consists of producing reasonable household load patterns as a function of weather as compared to results in past years, results from other programs and general knowledge about how the program works.  This reality-check test is a crucial way to test the assumptions that go into the model.  The ex ante estimates that </w:t>
      </w:r>
      <w:r>
        <w:t xml:space="preserve">are presented in this </w:t>
      </w:r>
      <w:r w:rsidRPr="005862E3">
        <w:t>report were carefully reviewed and generally display the expected patterns across event conditions and are consistent with other studies after judgmentally accounting for expected differences due to weather conditions and other factors.</w:t>
      </w:r>
      <w:r w:rsidRPr="00146B1E">
        <w:t xml:space="preserve">  </w:t>
      </w:r>
    </w:p>
    <w:p w:rsidR="00203A5B" w:rsidRDefault="00203A5B" w:rsidP="005641AE">
      <w:pPr>
        <w:pStyle w:val="Heading2"/>
      </w:pPr>
      <w:bookmarkStart w:id="33" w:name="_Toc349548905"/>
      <w:bookmarkStart w:id="34" w:name="_Toc350953036"/>
      <w:r w:rsidRPr="00CA623F">
        <w:t>Ex Ante Impact Estimation Methodology</w:t>
      </w:r>
      <w:bookmarkEnd w:id="33"/>
      <w:bookmarkEnd w:id="34"/>
    </w:p>
    <w:p w:rsidR="00203A5B" w:rsidRDefault="00203A5B" w:rsidP="00203A5B">
      <w:pPr>
        <w:pStyle w:val="BodyParagraph"/>
      </w:pPr>
      <w:r>
        <w:t xml:space="preserve">In contrast to the ex post portion of this report, the same method was used to produce both residential and commercial ex ante results.  Calculating the ex ante load impacts is a multi-step process, but is driven by a straightforward approach to modeling load impacts.  In short, load impacts from the previous </w:t>
      </w:r>
      <w:r w:rsidR="006C5209">
        <w:t>three</w:t>
      </w:r>
      <w:r>
        <w:t xml:space="preserve"> years are modeled as a function of temperature and the parameters are used in a regression model to predict load impacts under ex ante weather conditions.  Reference loads are developed and, for residential customers, snapback is added back into the load shapes for the Excel load impact tables.  This section presents a detailed description of the ex ante methodology.</w:t>
      </w:r>
    </w:p>
    <w:p w:rsidR="00203A5B" w:rsidRPr="00CA623F" w:rsidRDefault="00203A5B" w:rsidP="005641AE">
      <w:pPr>
        <w:pStyle w:val="BodyBeforeBullet"/>
      </w:pPr>
      <w:r>
        <w:t xml:space="preserve">Ex ante load impacts are developed by using the available ex post data.  For both residential and commercial customers, load impacts during the overlapping event hours from 2010, 2011 and 2012 </w:t>
      </w:r>
      <w:r w:rsidR="00D250DD">
        <w:t>from</w:t>
      </w:r>
      <w:r>
        <w:t xml:space="preserve"> 2 to 4 PM are modeled as a function of the average temperature for the first 17 hours of each event day.  Per ton load impacts are used so that load impacts are scalable to ex ante scenarios where the tonnage and number of devices per premise may be different.  The models are run separately by customer type (residential or commercial) and cycling strategy and the parameters from the models are used to predict load impacts under 1-in-2 and 1-in-10 ex ante weather conditions.  </w:t>
      </w:r>
      <w:r w:rsidRPr="00CA623F">
        <w:t>The final regression only includes one explanatory variable beca</w:t>
      </w:r>
      <w:r>
        <w:t>use more complicated models were not found to perform better in cross-validation.</w:t>
      </w:r>
      <w:r>
        <w:rPr>
          <w:rStyle w:val="FootnoteReference"/>
        </w:rPr>
        <w:footnoteReference w:id="4"/>
      </w:r>
      <w:r>
        <w:t xml:space="preserve">  </w:t>
      </w:r>
      <w:r w:rsidRPr="00CA623F">
        <w:t xml:space="preserve">The model that </w:t>
      </w:r>
      <w:r>
        <w:t>was used to predict</w:t>
      </w:r>
      <w:r w:rsidRPr="00CA623F">
        <w:t xml:space="preserve"> average ex post impacts</w:t>
      </w:r>
      <w:r>
        <w:t xml:space="preserve"> was</w:t>
      </w:r>
      <w:r w:rsidRPr="00CA623F">
        <w:t>:</w:t>
      </w:r>
    </w:p>
    <w:p w:rsidR="00203A5B" w:rsidRDefault="00D66338" w:rsidP="00203A5B">
      <w:pPr>
        <w:pStyle w:val="BodyParagraph"/>
        <w:rPr>
          <w:rFonts w:eastAsiaTheme="minorEastAsia"/>
          <w:sz w:val="24"/>
          <w:szCs w:val="24"/>
        </w:rPr>
      </w:pPr>
      <m:oMathPara>
        <m:oMath>
          <m:sSub>
            <m:sSubPr>
              <m:ctrlPr>
                <w:rPr>
                  <w:rFonts w:ascii="Cambria Math" w:hAnsi="Cambria Math" w:cs="Arial"/>
                  <w:sz w:val="24"/>
                  <w:szCs w:val="24"/>
                </w:rPr>
              </m:ctrlPr>
            </m:sSubPr>
            <m:e>
              <m:r>
                <w:rPr>
                  <w:rFonts w:ascii="Cambria Math" w:hAnsi="Cambria Math" w:cs="Arial"/>
                </w:rPr>
                <m:t>impact</m:t>
              </m:r>
            </m:e>
            <m:sub>
              <m:r>
                <w:rPr>
                  <w:rFonts w:ascii="Cambria Math" w:hAnsi="Cambria Math" w:cs="Arial"/>
                </w:rPr>
                <m:t>d</m:t>
              </m:r>
            </m:sub>
          </m:sSub>
          <m:r>
            <w:rPr>
              <w:rFonts w:asci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0</m:t>
              </m:r>
            </m:sub>
          </m:sSub>
          <m:r>
            <w:rPr>
              <w:rFonts w:ascii="Cambria Math" w:cs="Arial"/>
            </w:rPr>
            <m:t>+</m:t>
          </m:r>
          <m:sSub>
            <m:sSubPr>
              <m:ctrlPr>
                <w:rPr>
                  <w:rFonts w:ascii="Cambria Math" w:hAnsi="Cambria Math" w:cs="Arial"/>
                  <w:i/>
                </w:rPr>
              </m:ctrlPr>
            </m:sSubPr>
            <m:e>
              <m:r>
                <w:rPr>
                  <w:rFonts w:ascii="Cambria Math" w:cs="Arial"/>
                </w:rPr>
                <m:t>b</m:t>
              </m:r>
            </m:e>
            <m:sub>
              <m:r>
                <w:rPr>
                  <w:rFonts w:ascii="Cambria Math" w:cs="Arial"/>
                </w:rPr>
                <m:t>1</m:t>
              </m:r>
            </m:sub>
          </m:sSub>
          <m:sSub>
            <m:sSubPr>
              <m:ctrlPr>
                <w:rPr>
                  <w:rFonts w:ascii="Cambria Math" w:hAnsi="Cambria Math" w:cs="Arial"/>
                  <w:sz w:val="24"/>
                  <w:szCs w:val="24"/>
                </w:rPr>
              </m:ctrlPr>
            </m:sSubPr>
            <m:e>
              <m:r>
                <w:rPr>
                  <w:rFonts w:ascii="Cambria Math" w:hAnsi="Cambria Math" w:cs="Arial"/>
                </w:rPr>
                <m:t>∙</m:t>
              </m:r>
              <m:r>
                <w:rPr>
                  <w:rFonts w:ascii="Cambria Math" w:cs="Arial"/>
                </w:rPr>
                <m:t>mean17</m:t>
              </m:r>
            </m:e>
            <m:sub>
              <m:r>
                <m:rPr>
                  <m:sty m:val="p"/>
                </m:rPr>
                <w:rPr>
                  <w:rFonts w:ascii="Cambria Math" w:hAnsi="Cambria Math" w:cs="Arial"/>
                  <w:sz w:val="24"/>
                  <w:szCs w:val="24"/>
                </w:rPr>
                <m:t xml:space="preserve">d </m:t>
              </m:r>
            </m:sub>
          </m:sSub>
          <m:r>
            <m:rPr>
              <m:sty m:val="b"/>
            </m:rPr>
            <w:rPr>
              <w:rFonts w:ascii="Cambria Math" w:eastAsia="Times New Roman" w:hAnsi="Cambria Math"/>
            </w:rPr>
            <m:t>+</m:t>
          </m:r>
          <m:sSub>
            <m:sSubPr>
              <m:ctrlPr>
                <w:rPr>
                  <w:rFonts w:ascii="Cambria Math" w:hAnsi="Cambria Math"/>
                  <w:sz w:val="24"/>
                  <w:szCs w:val="24"/>
                </w:rPr>
              </m:ctrlPr>
            </m:sSubPr>
            <m:e>
              <m:r>
                <m:rPr>
                  <m:sty m:val="p"/>
                </m:rPr>
                <w:rPr>
                  <w:rFonts w:ascii="Cambria Math" w:hAnsi="Cambria Math"/>
                </w:rPr>
                <m:t>ε</m:t>
              </m:r>
            </m:e>
            <m:sub>
              <m:r>
                <w:rPr>
                  <w:rFonts w:ascii="Cambria Math" w:hAnsi="Cambria Math"/>
                </w:rPr>
                <m:t>d</m:t>
              </m:r>
            </m:sub>
          </m:sSub>
        </m:oMath>
      </m:oMathPara>
    </w:p>
    <w:p w:rsidR="00203A5B" w:rsidRPr="00CA623F" w:rsidRDefault="00203A5B" w:rsidP="00203A5B">
      <w:pPr>
        <w:pStyle w:val="TableFigureCaption"/>
      </w:pPr>
      <w:r w:rsidRPr="00CA623F">
        <w:t>Table 3</w:t>
      </w:r>
      <w:r w:rsidRPr="00CA623F">
        <w:noBreakHyphen/>
      </w:r>
      <w:r w:rsidR="006C5209">
        <w:t>9</w:t>
      </w:r>
      <w:r w:rsidRPr="00CA623F">
        <w:t>:</w:t>
      </w:r>
      <w:r w:rsidR="005641AE">
        <w:t xml:space="preserve"> </w:t>
      </w:r>
      <w:r w:rsidRPr="00CA623F">
        <w:t>Ex Ante Regression Variables</w:t>
      </w: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
        <w:gridCol w:w="8142"/>
      </w:tblGrid>
      <w:tr w:rsidR="00203A5B" w:rsidRPr="00CA623F" w:rsidTr="00203A5B">
        <w:trPr>
          <w:trHeight w:val="276"/>
          <w:tblHeader/>
          <w:jc w:val="center"/>
        </w:trPr>
        <w:tc>
          <w:tcPr>
            <w:tcW w:w="544" w:type="pct"/>
            <w:tcBorders>
              <w:top w:val="single" w:sz="4" w:space="0" w:color="auto"/>
              <w:left w:val="single" w:sz="4" w:space="0" w:color="auto"/>
              <w:bottom w:val="single" w:sz="4" w:space="0" w:color="auto"/>
              <w:right w:val="single" w:sz="8" w:space="0" w:color="FFFFFF"/>
            </w:tcBorders>
            <w:shd w:val="clear" w:color="auto" w:fill="1F497D" w:themeFill="text2"/>
            <w:hideMark/>
          </w:tcPr>
          <w:p w:rsidR="00203A5B" w:rsidRPr="005641AE" w:rsidRDefault="00203A5B" w:rsidP="005641AE">
            <w:pPr>
              <w:pStyle w:val="TableHeader"/>
            </w:pPr>
            <w:r w:rsidRPr="005641AE">
              <w:t>Variable</w:t>
            </w:r>
          </w:p>
        </w:tc>
        <w:tc>
          <w:tcPr>
            <w:tcW w:w="4456" w:type="pct"/>
            <w:tcBorders>
              <w:top w:val="single" w:sz="4" w:space="0" w:color="auto"/>
              <w:left w:val="single" w:sz="8" w:space="0" w:color="FFFFFF"/>
              <w:bottom w:val="single" w:sz="4" w:space="0" w:color="auto"/>
              <w:right w:val="single" w:sz="4" w:space="0" w:color="auto"/>
            </w:tcBorders>
            <w:shd w:val="clear" w:color="auto" w:fill="1F497D" w:themeFill="text2"/>
            <w:hideMark/>
          </w:tcPr>
          <w:p w:rsidR="00203A5B" w:rsidRPr="005641AE" w:rsidRDefault="00203A5B" w:rsidP="005641AE">
            <w:pPr>
              <w:pStyle w:val="TableHeader"/>
            </w:pPr>
            <w:r w:rsidRPr="005641AE">
              <w:t>Description</w:t>
            </w:r>
          </w:p>
        </w:tc>
      </w:tr>
      <w:tr w:rsidR="00203A5B" w:rsidRPr="00CA623F" w:rsidTr="00203A5B">
        <w:trPr>
          <w:trHeight w:val="276"/>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3A5B" w:rsidRPr="00CA623F" w:rsidRDefault="00203A5B" w:rsidP="00203A5B">
            <w:pPr>
              <w:pStyle w:val="TableText"/>
              <w:rPr>
                <w:rFonts w:ascii="Calibri" w:hAnsi="Calibri"/>
                <w:i/>
              </w:rPr>
            </w:pPr>
            <w:proofErr w:type="spellStart"/>
            <w:r>
              <w:rPr>
                <w:rFonts w:ascii="Calibri" w:hAnsi="Calibri"/>
                <w:i/>
              </w:rPr>
              <w:t>I</w:t>
            </w:r>
            <w:r w:rsidRPr="00CA623F">
              <w:rPr>
                <w:rFonts w:ascii="Calibri" w:hAnsi="Calibri"/>
                <w:i/>
              </w:rPr>
              <w:t>mpact</w:t>
            </w:r>
            <w:r>
              <w:rPr>
                <w:rFonts w:ascii="Calibri" w:hAnsi="Calibri"/>
                <w:i/>
                <w:vertAlign w:val="subscript"/>
              </w:rPr>
              <w:t>d</w:t>
            </w:r>
            <w:proofErr w:type="spellEnd"/>
          </w:p>
        </w:tc>
        <w:tc>
          <w:tcPr>
            <w:tcW w:w="4456" w:type="pct"/>
            <w:tcBorders>
              <w:top w:val="single" w:sz="4" w:space="0" w:color="auto"/>
              <w:left w:val="single" w:sz="4" w:space="0" w:color="auto"/>
              <w:bottom w:val="single" w:sz="4" w:space="0" w:color="auto"/>
              <w:right w:val="single" w:sz="4" w:space="0" w:color="auto"/>
            </w:tcBorders>
            <w:shd w:val="clear" w:color="auto" w:fill="FFFFFF"/>
            <w:hideMark/>
          </w:tcPr>
          <w:p w:rsidR="00203A5B" w:rsidRPr="005641AE" w:rsidRDefault="00203A5B" w:rsidP="005641AE">
            <w:pPr>
              <w:pStyle w:val="TableText"/>
              <w:jc w:val="left"/>
            </w:pPr>
            <w:r w:rsidRPr="005641AE">
              <w:t>Average per ton ex post load impact for each event day from 2 to 4 PM</w:t>
            </w:r>
          </w:p>
        </w:tc>
      </w:tr>
      <w:tr w:rsidR="00203A5B" w:rsidRPr="00CA623F" w:rsidTr="00203A5B">
        <w:trPr>
          <w:trHeight w:val="276"/>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3A5B" w:rsidRPr="00CA623F" w:rsidRDefault="00D66338" w:rsidP="00203A5B">
            <w:pPr>
              <w:pStyle w:val="TableText"/>
              <w:rPr>
                <w:szCs w:val="18"/>
              </w:rPr>
            </w:pPr>
            <m:oMathPara>
              <m:oMathParaPr>
                <m:jc m:val="left"/>
              </m:oMathParaP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0</m:t>
                    </m:r>
                  </m:sub>
                </m:sSub>
              </m:oMath>
            </m:oMathPara>
          </w:p>
        </w:tc>
        <w:tc>
          <w:tcPr>
            <w:tcW w:w="4456" w:type="pct"/>
            <w:tcBorders>
              <w:top w:val="single" w:sz="4" w:space="0" w:color="auto"/>
              <w:left w:val="single" w:sz="4" w:space="0" w:color="auto"/>
              <w:bottom w:val="single" w:sz="4" w:space="0" w:color="auto"/>
              <w:right w:val="single" w:sz="4" w:space="0" w:color="auto"/>
            </w:tcBorders>
            <w:shd w:val="clear" w:color="auto" w:fill="FFFFFF"/>
            <w:hideMark/>
          </w:tcPr>
          <w:p w:rsidR="00203A5B" w:rsidRPr="005641AE" w:rsidRDefault="00203A5B" w:rsidP="005641AE">
            <w:pPr>
              <w:pStyle w:val="TableText"/>
              <w:jc w:val="left"/>
            </w:pPr>
            <w:r w:rsidRPr="005641AE">
              <w:t>Estimated constant</w:t>
            </w:r>
          </w:p>
        </w:tc>
      </w:tr>
      <w:tr w:rsidR="00203A5B" w:rsidRPr="00CA623F" w:rsidTr="00203A5B">
        <w:trPr>
          <w:trHeight w:val="276"/>
          <w:jc w:val="center"/>
        </w:trPr>
        <w:tc>
          <w:tcPr>
            <w:tcW w:w="544" w:type="pct"/>
            <w:tcBorders>
              <w:top w:val="single" w:sz="4" w:space="0" w:color="auto"/>
              <w:left w:val="single" w:sz="4" w:space="0" w:color="auto"/>
              <w:bottom w:val="single" w:sz="4" w:space="0" w:color="auto"/>
              <w:right w:val="single" w:sz="4" w:space="0" w:color="auto"/>
            </w:tcBorders>
            <w:vAlign w:val="center"/>
            <w:hideMark/>
          </w:tcPr>
          <w:p w:rsidR="00203A5B" w:rsidRPr="00CA623F" w:rsidRDefault="00D66338" w:rsidP="00203A5B">
            <w:pPr>
              <w:pStyle w:val="TableText"/>
              <w:rPr>
                <w:szCs w:val="18"/>
              </w:rPr>
            </w:pPr>
            <m:oMathPara>
              <m:oMathParaPr>
                <m:jc m:val="left"/>
              </m:oMathParaP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1</m:t>
                    </m:r>
                  </m:sub>
                </m:sSub>
              </m:oMath>
            </m:oMathPara>
          </w:p>
        </w:tc>
        <w:tc>
          <w:tcPr>
            <w:tcW w:w="4456" w:type="pct"/>
            <w:tcBorders>
              <w:top w:val="single" w:sz="4" w:space="0" w:color="auto"/>
              <w:left w:val="single" w:sz="4" w:space="0" w:color="auto"/>
              <w:bottom w:val="single" w:sz="4" w:space="0" w:color="auto"/>
              <w:right w:val="single" w:sz="4" w:space="0" w:color="auto"/>
            </w:tcBorders>
            <w:hideMark/>
          </w:tcPr>
          <w:p w:rsidR="00203A5B" w:rsidRPr="005641AE" w:rsidRDefault="00203A5B" w:rsidP="005641AE">
            <w:pPr>
              <w:pStyle w:val="TableText"/>
              <w:jc w:val="left"/>
            </w:pPr>
            <w:r w:rsidRPr="005641AE">
              <w:t>Estimated parameter coefficient</w:t>
            </w:r>
          </w:p>
        </w:tc>
      </w:tr>
      <w:tr w:rsidR="00203A5B" w:rsidRPr="00CA623F" w:rsidTr="00203A5B">
        <w:trPr>
          <w:trHeight w:val="276"/>
          <w:jc w:val="center"/>
        </w:trPr>
        <w:tc>
          <w:tcPr>
            <w:tcW w:w="544" w:type="pct"/>
            <w:tcBorders>
              <w:top w:val="single" w:sz="4" w:space="0" w:color="auto"/>
              <w:left w:val="single" w:sz="4" w:space="0" w:color="auto"/>
              <w:bottom w:val="single" w:sz="4" w:space="0" w:color="auto"/>
              <w:right w:val="single" w:sz="4" w:space="0" w:color="auto"/>
            </w:tcBorders>
            <w:vAlign w:val="center"/>
            <w:hideMark/>
          </w:tcPr>
          <w:p w:rsidR="00203A5B" w:rsidRPr="00CA623F" w:rsidRDefault="00D66338" w:rsidP="00203A5B">
            <w:pPr>
              <w:pStyle w:val="TableText"/>
              <w:rPr>
                <w:i/>
              </w:rPr>
            </w:pPr>
            <m:oMathPara>
              <m:oMathParaPr>
                <m:jc m:val="left"/>
              </m:oMathParaPr>
              <m:oMath>
                <m:sSub>
                  <m:sSubPr>
                    <m:ctrlPr>
                      <w:rPr>
                        <w:rFonts w:ascii="Cambria Math" w:hAnsi="Cambria Math"/>
                        <w:i/>
                      </w:rPr>
                    </m:ctrlPr>
                  </m:sSubPr>
                  <m:e>
                    <m:r>
                      <w:rPr>
                        <w:rFonts w:ascii="Cambria Math" w:hAnsi="Cambria Math"/>
                      </w:rPr>
                      <m:t>mean17</m:t>
                    </m:r>
                  </m:e>
                  <m:sub>
                    <m:r>
                      <w:rPr>
                        <w:rFonts w:ascii="Cambria Math" w:hAnsi="Cambria Math"/>
                      </w:rPr>
                      <m:t>d</m:t>
                    </m:r>
                  </m:sub>
                </m:sSub>
              </m:oMath>
            </m:oMathPara>
          </w:p>
        </w:tc>
        <w:tc>
          <w:tcPr>
            <w:tcW w:w="4456" w:type="pct"/>
            <w:tcBorders>
              <w:top w:val="single" w:sz="4" w:space="0" w:color="auto"/>
              <w:left w:val="single" w:sz="4" w:space="0" w:color="auto"/>
              <w:bottom w:val="single" w:sz="4" w:space="0" w:color="auto"/>
              <w:right w:val="single" w:sz="4" w:space="0" w:color="auto"/>
            </w:tcBorders>
            <w:hideMark/>
          </w:tcPr>
          <w:p w:rsidR="00203A5B" w:rsidRPr="005641AE" w:rsidRDefault="00203A5B" w:rsidP="005641AE">
            <w:pPr>
              <w:pStyle w:val="TableText"/>
              <w:jc w:val="left"/>
            </w:pPr>
            <w:r w:rsidRPr="005641AE">
              <w:t>Average temperature over the 17 hours prior to the start of the event for each event day</w:t>
            </w:r>
          </w:p>
        </w:tc>
      </w:tr>
      <w:tr w:rsidR="00203A5B" w:rsidRPr="00CA623F" w:rsidTr="00203A5B">
        <w:trPr>
          <w:trHeight w:val="278"/>
          <w:jc w:val="center"/>
        </w:trPr>
        <w:tc>
          <w:tcPr>
            <w:tcW w:w="544" w:type="pct"/>
            <w:tcBorders>
              <w:top w:val="single" w:sz="4" w:space="0" w:color="auto"/>
              <w:left w:val="single" w:sz="4" w:space="0" w:color="auto"/>
              <w:bottom w:val="single" w:sz="4" w:space="0" w:color="auto"/>
              <w:right w:val="single" w:sz="4" w:space="0" w:color="auto"/>
            </w:tcBorders>
            <w:vAlign w:val="center"/>
            <w:hideMark/>
          </w:tcPr>
          <w:p w:rsidR="00203A5B" w:rsidRPr="00E01941" w:rsidRDefault="00D66338" w:rsidP="00203A5B">
            <w:pPr>
              <w:pStyle w:val="TableText"/>
              <w:rPr>
                <w:rFonts w:ascii="Calibri" w:hAnsi="Calibri"/>
              </w:rPr>
            </w:pPr>
            <m:oMathPara>
              <m:oMathParaPr>
                <m:jc m:val="left"/>
              </m:oMathParaPr>
              <m:oMath>
                <m:sSub>
                  <m:sSubPr>
                    <m:ctrlPr>
                      <w:rPr>
                        <w:rFonts w:ascii="Cambria Math" w:hAnsi="Cambria Math"/>
                        <w:sz w:val="24"/>
                        <w:szCs w:val="24"/>
                      </w:rPr>
                    </m:ctrlPr>
                  </m:sSubPr>
                  <m:e>
                    <m:r>
                      <m:rPr>
                        <m:sty m:val="p"/>
                      </m:rPr>
                      <w:rPr>
                        <w:rFonts w:ascii="Cambria Math" w:hAnsi="Cambria Math"/>
                      </w:rPr>
                      <m:t>ε</m:t>
                    </m:r>
                  </m:e>
                  <m:sub>
                    <m:r>
                      <w:rPr>
                        <w:rFonts w:ascii="Cambria Math" w:hAnsi="Cambria Math"/>
                      </w:rPr>
                      <m:t>d</m:t>
                    </m:r>
                  </m:sub>
                </m:sSub>
              </m:oMath>
            </m:oMathPara>
          </w:p>
        </w:tc>
        <w:tc>
          <w:tcPr>
            <w:tcW w:w="4456" w:type="pct"/>
            <w:tcBorders>
              <w:top w:val="single" w:sz="4" w:space="0" w:color="auto"/>
              <w:left w:val="single" w:sz="4" w:space="0" w:color="auto"/>
              <w:bottom w:val="single" w:sz="4" w:space="0" w:color="auto"/>
              <w:right w:val="single" w:sz="4" w:space="0" w:color="auto"/>
            </w:tcBorders>
            <w:hideMark/>
          </w:tcPr>
          <w:p w:rsidR="00203A5B" w:rsidRPr="005641AE" w:rsidRDefault="00203A5B" w:rsidP="005641AE">
            <w:pPr>
              <w:pStyle w:val="TableText"/>
              <w:jc w:val="left"/>
            </w:pPr>
            <w:r w:rsidRPr="005641AE">
              <w:t>The error term for each day, d</w:t>
            </w:r>
          </w:p>
        </w:tc>
      </w:tr>
    </w:tbl>
    <w:p w:rsidR="00203A5B" w:rsidRDefault="00203A5B" w:rsidP="005641AE">
      <w:pPr>
        <w:pStyle w:val="BodyParaAfterTableFigure"/>
      </w:pPr>
      <w:r>
        <w:t>Figures 3-4 through 3-7 show the ex post impacts from 2010 through 2012 by customer type and cycling strategy graphed against the ex ante predictions that are developed based on these load impacts.  The ex ante estimates for residential customers follow from the ex post impacts and are quite plausible.  While there is more noise in the commercial ex post estimates, the linear prediction through these estimates results in ex ante estimates that are conservatively in the middle of the range of ex post estimates.</w:t>
      </w:r>
      <w:r w:rsidR="003C46D8">
        <w:t xml:space="preserve">  The figures also show that for each program segment, there is only one event day that has been observed where temperatures were similar to the hottest ex ante conditions.  This indicates that the impact estimates under the hottest conditions—September 1-in-10—are particularly uncertain and should be expected to be sensitive to small amounts of additional data.  This was the case this year, as is shown in Section 5.  Most ex ante impact estimates were quite stable between 2011 and 2012, but September 1-in-10 changed the most, even though no events were observed under similar conditions in 2012.</w:t>
      </w:r>
    </w:p>
    <w:p w:rsidR="005641AE" w:rsidRDefault="00203A5B" w:rsidP="00203A5B">
      <w:pPr>
        <w:pStyle w:val="TableFigureCaption"/>
      </w:pPr>
      <w:r w:rsidRPr="005F157B">
        <w:t xml:space="preserve">Figure 3-4: </w:t>
      </w:r>
      <w:r>
        <w:t xml:space="preserve">Average 2 to 4 PM </w:t>
      </w:r>
      <w:proofErr w:type="gramStart"/>
      <w:r>
        <w:t>Ex</w:t>
      </w:r>
      <w:proofErr w:type="gramEnd"/>
      <w:r>
        <w:t xml:space="preserve"> Post Load Impacts and Ex Ante Predictions</w:t>
      </w:r>
      <w:r w:rsidRPr="00CA623F">
        <w:br/>
      </w:r>
      <w:r>
        <w:t>Residential 50% Cycling</w:t>
      </w:r>
    </w:p>
    <w:p w:rsidR="00203A5B" w:rsidRDefault="00203A5B" w:rsidP="005641AE">
      <w:pPr>
        <w:pStyle w:val="BodyParagraph"/>
        <w:jc w:val="center"/>
      </w:pPr>
      <w:r w:rsidRPr="005F157B">
        <w:rPr>
          <w:noProof/>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41AE" w:rsidRDefault="00203A5B" w:rsidP="00203A5B">
      <w:pPr>
        <w:pStyle w:val="TableFigureCaption"/>
      </w:pPr>
      <w:r w:rsidRPr="005F157B">
        <w:t>Figure 3-</w:t>
      </w:r>
      <w:r>
        <w:t>5</w:t>
      </w:r>
      <w:r w:rsidRPr="005F157B">
        <w:t xml:space="preserve">: </w:t>
      </w:r>
      <w:r>
        <w:t xml:space="preserve">Average 2 to 4 PM </w:t>
      </w:r>
      <w:proofErr w:type="gramStart"/>
      <w:r>
        <w:t>Ex</w:t>
      </w:r>
      <w:proofErr w:type="gramEnd"/>
      <w:r>
        <w:t xml:space="preserve"> Post Load Impacts and Ex Ante Predictions</w:t>
      </w:r>
      <w:r w:rsidRPr="00CA623F">
        <w:br/>
      </w:r>
      <w:r>
        <w:t>Residential 100% Cycling</w:t>
      </w:r>
    </w:p>
    <w:p w:rsidR="00203A5B" w:rsidRDefault="00203A5B" w:rsidP="005641AE">
      <w:pPr>
        <w:pStyle w:val="BodyParagraph"/>
        <w:jc w:val="center"/>
      </w:pPr>
      <w:r w:rsidRPr="005F157B">
        <w:rPr>
          <w:noProof/>
        </w:rPr>
        <w:drawing>
          <wp:inline distT="0" distB="0" distL="0" distR="0">
            <wp:extent cx="4572000" cy="27432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41AE" w:rsidRDefault="00203A5B" w:rsidP="00203A5B">
      <w:pPr>
        <w:pStyle w:val="TableFigureCaption"/>
      </w:pPr>
      <w:r w:rsidRPr="005F157B">
        <w:t>Figure 3-</w:t>
      </w:r>
      <w:r>
        <w:t>6</w:t>
      </w:r>
      <w:r w:rsidRPr="005F157B">
        <w:t xml:space="preserve">: </w:t>
      </w:r>
      <w:r>
        <w:t xml:space="preserve">Average 2 to 4 PM </w:t>
      </w:r>
      <w:proofErr w:type="gramStart"/>
      <w:r>
        <w:t>Ex</w:t>
      </w:r>
      <w:proofErr w:type="gramEnd"/>
      <w:r>
        <w:t xml:space="preserve"> Post Load Impacts and Ex Ante Predictions</w:t>
      </w:r>
      <w:r w:rsidRPr="00CA623F">
        <w:br/>
      </w:r>
      <w:r>
        <w:t>Commercial 30% Cycling</w:t>
      </w:r>
    </w:p>
    <w:p w:rsidR="00203A5B" w:rsidRDefault="00203A5B" w:rsidP="005641AE">
      <w:pPr>
        <w:pStyle w:val="BodyParagraph"/>
        <w:jc w:val="center"/>
      </w:pPr>
      <w:r w:rsidRPr="009F1F54">
        <w:rPr>
          <w:noProof/>
        </w:rPr>
        <w:drawing>
          <wp:inline distT="0" distB="0" distL="0" distR="0">
            <wp:extent cx="4572000" cy="27432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41AE" w:rsidRDefault="00203A5B" w:rsidP="00203A5B">
      <w:pPr>
        <w:pStyle w:val="TableFigureCaption"/>
      </w:pPr>
      <w:r w:rsidRPr="005F157B">
        <w:t>Figure 3-</w:t>
      </w:r>
      <w:r>
        <w:t>7</w:t>
      </w:r>
      <w:r w:rsidRPr="005F157B">
        <w:t xml:space="preserve">: </w:t>
      </w:r>
      <w:r>
        <w:t xml:space="preserve">Average 2 to 4 PM </w:t>
      </w:r>
      <w:proofErr w:type="gramStart"/>
      <w:r>
        <w:t>Ex</w:t>
      </w:r>
      <w:proofErr w:type="gramEnd"/>
      <w:r>
        <w:t xml:space="preserve"> Post Load Impacts and Ex Ante Predictions</w:t>
      </w:r>
      <w:r w:rsidRPr="00CA623F">
        <w:br/>
      </w:r>
      <w:r>
        <w:t>Commercial 50% Cycling</w:t>
      </w:r>
    </w:p>
    <w:p w:rsidR="00203A5B" w:rsidRPr="00CA623F" w:rsidRDefault="00203A5B" w:rsidP="005641AE">
      <w:pPr>
        <w:pStyle w:val="BodyParagraph"/>
        <w:jc w:val="center"/>
        <w:rPr>
          <w:highlight w:val="yellow"/>
        </w:rPr>
      </w:pPr>
      <w:r w:rsidRPr="009F1F54">
        <w:rPr>
          <w:noProof/>
        </w:rPr>
        <w:drawing>
          <wp:inline distT="0" distB="0" distL="0" distR="0">
            <wp:extent cx="4572000" cy="2743200"/>
            <wp:effectExtent l="19050" t="0" r="19050" b="0"/>
            <wp:docPr id="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3A5B" w:rsidRPr="00CA623F" w:rsidRDefault="00203A5B" w:rsidP="00203A5B">
      <w:pPr>
        <w:pStyle w:val="BodyParaAfterTableFigure"/>
      </w:pPr>
      <w:r>
        <w:t>The next</w:t>
      </w:r>
      <w:r w:rsidRPr="00CA623F">
        <w:t xml:space="preserve"> st</w:t>
      </w:r>
      <w:r>
        <w:t>ep in estimating load impacts i</w:t>
      </w:r>
      <w:r w:rsidRPr="00CA623F">
        <w:t xml:space="preserve">s to </w:t>
      </w:r>
      <w:r>
        <w:t>translate average impacts from 2 to 4</w:t>
      </w:r>
      <w:r w:rsidRPr="00CA623F">
        <w:t xml:space="preserve"> PM to hourly impacts over the entire range of time required for prediction, 1 to 6 PM.  Hourly ex post impact estimates for each event in </w:t>
      </w:r>
      <w:r>
        <w:t>2012 are</w:t>
      </w:r>
      <w:r w:rsidRPr="00CA623F">
        <w:t xml:space="preserve"> expressed as a fraction of the a</w:t>
      </w:r>
      <w:r>
        <w:t>verage impact from 2 to 4 PM.</w:t>
      </w:r>
      <w:r w:rsidRPr="00CA623F">
        <w:t xml:space="preserve"> </w:t>
      </w:r>
      <w:fldSimple w:instr=" REF _Ref308704790  \* MERGEFORMAT ">
        <w:r w:rsidR="00E379AC" w:rsidRPr="00CA623F">
          <w:t xml:space="preserve">Table </w:t>
        </w:r>
        <w:r w:rsidR="00E379AC" w:rsidRPr="00CA623F">
          <w:rPr>
            <w:noProof/>
          </w:rPr>
          <w:t>3</w:t>
        </w:r>
      </w:fldSimple>
      <w:r w:rsidR="00D250DD">
        <w:t>-</w:t>
      </w:r>
      <w:r w:rsidR="006C5209">
        <w:t>10</w:t>
      </w:r>
      <w:r w:rsidRPr="00CA623F">
        <w:t xml:space="preserve"> gives an example of this process.  The first column of </w:t>
      </w:r>
      <w:fldSimple w:instr=" REF _Ref308704790  \* MERGEFORMAT ">
        <w:r w:rsidR="00E379AC" w:rsidRPr="00CA623F">
          <w:t xml:space="preserve">Table </w:t>
        </w:r>
        <w:r w:rsidR="00E379AC" w:rsidRPr="00CA623F">
          <w:rPr>
            <w:noProof/>
          </w:rPr>
          <w:t>3</w:t>
        </w:r>
      </w:fldSimple>
      <w:r w:rsidR="00D250DD">
        <w:t>-</w:t>
      </w:r>
      <w:r w:rsidR="006C5209">
        <w:t>10</w:t>
      </w:r>
      <w:r w:rsidRPr="00CA623F">
        <w:t xml:space="preserve"> shows how the average event impact for each hour of the five hour events compa</w:t>
      </w:r>
      <w:r>
        <w:t>red to the average impact from 2 to 4</w:t>
      </w:r>
      <w:r w:rsidRPr="00CA623F">
        <w:t xml:space="preserve"> PM</w:t>
      </w:r>
      <w:r>
        <w:t xml:space="preserve">.  This example is limited to customers in residential 100% cycling, but the methodology carries through for both customer classes and all cycling options.  </w:t>
      </w:r>
      <w:r w:rsidRPr="00CA623F">
        <w:t>To illustrate, the second column shows the proportions in the</w:t>
      </w:r>
      <w:r>
        <w:t xml:space="preserve"> first column multiplied </w:t>
      </w:r>
      <w:proofErr w:type="gramStart"/>
      <w:r>
        <w:t>by 0.13</w:t>
      </w:r>
      <w:r w:rsidRPr="00CA623F">
        <w:t xml:space="preserve"> kW</w:t>
      </w:r>
      <w:r>
        <w:t>/Ton</w:t>
      </w:r>
      <w:r w:rsidRPr="00CA623F">
        <w:t>, the</w:t>
      </w:r>
      <w:r>
        <w:t xml:space="preserve"> average predicted impact from 2 to 4</w:t>
      </w:r>
      <w:r w:rsidRPr="00CA623F">
        <w:t xml:space="preserve"> PM for </w:t>
      </w:r>
      <w:r>
        <w:t>residential</w:t>
      </w:r>
      <w:r w:rsidRPr="00CA623F">
        <w:t xml:space="preserve"> customers during a typical event day during a 1-in-2 weather year</w:t>
      </w:r>
      <w:proofErr w:type="gramEnd"/>
      <w:r w:rsidRPr="00CA623F">
        <w:t xml:space="preserve">.  To calculate the estimated impact </w:t>
      </w:r>
      <w:r>
        <w:t xml:space="preserve">for 1 to 2 PM, for example, </w:t>
      </w:r>
      <w:proofErr w:type="gramStart"/>
      <w:r>
        <w:t>0.13</w:t>
      </w:r>
      <w:r w:rsidRPr="00CA623F">
        <w:t xml:space="preserve"> kW</w:t>
      </w:r>
      <w:r>
        <w:t>/Ton</w:t>
      </w:r>
      <w:proofErr w:type="gramEnd"/>
      <w:r>
        <w:t xml:space="preserve"> is multiplied by 84% to yield an impact of 0.11</w:t>
      </w:r>
      <w:r w:rsidRPr="00CA623F">
        <w:t xml:space="preserve"> kW</w:t>
      </w:r>
      <w:r>
        <w:t>/Ton</w:t>
      </w:r>
      <w:r w:rsidRPr="00CA623F">
        <w:t>.  The same strategy is applied for all five hours of the event, as illustrated in Table</w:t>
      </w:r>
      <w:r w:rsidR="005641AE">
        <w:t> </w:t>
      </w:r>
      <w:r w:rsidRPr="00CA623F">
        <w:t>3-</w:t>
      </w:r>
      <w:r w:rsidR="006C5209">
        <w:t>10</w:t>
      </w:r>
      <w:r w:rsidRPr="00CA623F">
        <w:t>.</w:t>
      </w:r>
    </w:p>
    <w:p w:rsidR="00203A5B" w:rsidRPr="00B809B4" w:rsidRDefault="00203A5B" w:rsidP="00203A5B">
      <w:pPr>
        <w:pStyle w:val="TableFigureCaption"/>
      </w:pPr>
      <w:bookmarkStart w:id="35" w:name="_Ref308704790"/>
      <w:r w:rsidRPr="00CA623F">
        <w:t>Table 3</w:t>
      </w:r>
      <w:bookmarkEnd w:id="35"/>
      <w:r w:rsidR="005641AE">
        <w:t>-</w:t>
      </w:r>
      <w:r w:rsidR="006C5209">
        <w:t>10</w:t>
      </w:r>
      <w:r w:rsidRPr="00CA623F">
        <w:t>:</w:t>
      </w:r>
      <w:r>
        <w:t xml:space="preserve"> Hourly Impact Compared to Average Impact from 2-4 PM</w:t>
      </w:r>
      <w:r w:rsidRPr="00CA623F">
        <w:br/>
      </w:r>
      <w:r>
        <w:t>Residential 100% Cycling</w:t>
      </w:r>
    </w:p>
    <w:tbl>
      <w:tblPr>
        <w:tblW w:w="4934" w:type="dxa"/>
        <w:jc w:val="center"/>
        <w:tblInd w:w="89" w:type="dxa"/>
        <w:tblLook w:val="04A0"/>
      </w:tblPr>
      <w:tblGrid>
        <w:gridCol w:w="995"/>
        <w:gridCol w:w="1890"/>
        <w:gridCol w:w="2049"/>
      </w:tblGrid>
      <w:tr w:rsidR="00203A5B" w:rsidRPr="00CA623F" w:rsidTr="00203A5B">
        <w:trPr>
          <w:trHeight w:val="765"/>
          <w:jc w:val="center"/>
        </w:trPr>
        <w:tc>
          <w:tcPr>
            <w:tcW w:w="995"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5641AE" w:rsidRDefault="00203A5B" w:rsidP="005641AE">
            <w:pPr>
              <w:pStyle w:val="TableHeader"/>
            </w:pPr>
            <w:r w:rsidRPr="005641AE">
              <w:t>Hour of Event</w:t>
            </w:r>
          </w:p>
        </w:tc>
        <w:tc>
          <w:tcPr>
            <w:tcW w:w="1890" w:type="dxa"/>
            <w:tcBorders>
              <w:top w:val="single" w:sz="4" w:space="0" w:color="auto"/>
              <w:left w:val="nil"/>
              <w:bottom w:val="single" w:sz="4" w:space="0" w:color="auto"/>
              <w:right w:val="single" w:sz="4" w:space="0" w:color="FFFFFF"/>
            </w:tcBorders>
            <w:shd w:val="clear" w:color="000000" w:fill="1F497D"/>
            <w:vAlign w:val="center"/>
            <w:hideMark/>
          </w:tcPr>
          <w:p w:rsidR="00203A5B" w:rsidRPr="005641AE" w:rsidRDefault="00203A5B" w:rsidP="005641AE">
            <w:pPr>
              <w:pStyle w:val="TableHeader"/>
            </w:pPr>
            <w:r w:rsidRPr="005641AE">
              <w:t>Hourly Impact/ Average 3–5 PM Impact (%)</w:t>
            </w:r>
          </w:p>
        </w:tc>
        <w:tc>
          <w:tcPr>
            <w:tcW w:w="2049" w:type="dxa"/>
            <w:tcBorders>
              <w:top w:val="single" w:sz="4" w:space="0" w:color="auto"/>
              <w:left w:val="nil"/>
              <w:bottom w:val="single" w:sz="4" w:space="0" w:color="auto"/>
              <w:right w:val="single" w:sz="4" w:space="0" w:color="auto"/>
            </w:tcBorders>
            <w:shd w:val="clear" w:color="000000" w:fill="1F497D"/>
            <w:vAlign w:val="center"/>
            <w:hideMark/>
          </w:tcPr>
          <w:p w:rsidR="00203A5B" w:rsidRPr="005641AE" w:rsidRDefault="00203A5B" w:rsidP="005641AE">
            <w:pPr>
              <w:pStyle w:val="TableHeader"/>
            </w:pPr>
            <w:r w:rsidRPr="005641AE">
              <w:t xml:space="preserve">Hourly Impact for </w:t>
            </w:r>
            <w:r w:rsidRPr="005641AE">
              <w:br/>
              <w:t>Typical Event Day, 1-in-2 Weather (kW/Ton)</w:t>
            </w:r>
          </w:p>
        </w:tc>
      </w:tr>
      <w:tr w:rsidR="00203A5B" w:rsidRPr="00CA623F" w:rsidTr="00203A5B">
        <w:trPr>
          <w:trHeight w:val="300"/>
          <w:jc w:val="center"/>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rsidRPr="00CA623F">
              <w:t>1-2 PM</w:t>
            </w:r>
          </w:p>
        </w:tc>
        <w:tc>
          <w:tcPr>
            <w:tcW w:w="1890" w:type="dxa"/>
            <w:tcBorders>
              <w:top w:val="nil"/>
              <w:left w:val="nil"/>
              <w:bottom w:val="single" w:sz="4" w:space="0" w:color="auto"/>
              <w:right w:val="single" w:sz="4" w:space="0" w:color="auto"/>
            </w:tcBorders>
            <w:shd w:val="clear" w:color="auto" w:fill="auto"/>
            <w:vAlign w:val="center"/>
            <w:hideMark/>
          </w:tcPr>
          <w:p w:rsidR="00203A5B" w:rsidRPr="00CA623F" w:rsidRDefault="00203A5B" w:rsidP="005641AE">
            <w:pPr>
              <w:pStyle w:val="TableText"/>
            </w:pPr>
            <w:r>
              <w:t>84</w:t>
            </w:r>
          </w:p>
        </w:tc>
        <w:tc>
          <w:tcPr>
            <w:tcW w:w="2049" w:type="dxa"/>
            <w:tcBorders>
              <w:top w:val="nil"/>
              <w:left w:val="nil"/>
              <w:bottom w:val="single" w:sz="4" w:space="0" w:color="auto"/>
              <w:right w:val="single" w:sz="4" w:space="0" w:color="auto"/>
            </w:tcBorders>
            <w:shd w:val="clear" w:color="auto" w:fill="auto"/>
            <w:vAlign w:val="bottom"/>
            <w:hideMark/>
          </w:tcPr>
          <w:p w:rsidR="00203A5B" w:rsidRPr="00CA623F" w:rsidRDefault="00203A5B" w:rsidP="005641AE">
            <w:pPr>
              <w:pStyle w:val="TableText"/>
            </w:pPr>
            <w:r w:rsidRPr="00CA623F">
              <w:t>0.</w:t>
            </w:r>
            <w:r>
              <w:t>11</w:t>
            </w:r>
          </w:p>
        </w:tc>
      </w:tr>
      <w:tr w:rsidR="00203A5B" w:rsidRPr="00CA623F" w:rsidTr="00203A5B">
        <w:trPr>
          <w:trHeight w:val="300"/>
          <w:jc w:val="center"/>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rsidRPr="00CA623F">
              <w:t>2-3 PM</w:t>
            </w:r>
          </w:p>
        </w:tc>
        <w:tc>
          <w:tcPr>
            <w:tcW w:w="1890" w:type="dxa"/>
            <w:tcBorders>
              <w:top w:val="nil"/>
              <w:left w:val="nil"/>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t>90</w:t>
            </w:r>
          </w:p>
        </w:tc>
        <w:tc>
          <w:tcPr>
            <w:tcW w:w="2049" w:type="dxa"/>
            <w:tcBorders>
              <w:top w:val="nil"/>
              <w:left w:val="nil"/>
              <w:bottom w:val="single" w:sz="4" w:space="0" w:color="auto"/>
              <w:right w:val="single" w:sz="4" w:space="0" w:color="auto"/>
            </w:tcBorders>
            <w:shd w:val="clear" w:color="auto" w:fill="auto"/>
            <w:vAlign w:val="bottom"/>
            <w:hideMark/>
          </w:tcPr>
          <w:p w:rsidR="00203A5B" w:rsidRPr="00CA623F" w:rsidRDefault="00203A5B" w:rsidP="005641AE">
            <w:pPr>
              <w:pStyle w:val="TableText"/>
            </w:pPr>
            <w:r w:rsidRPr="00CA623F">
              <w:t>0.</w:t>
            </w:r>
            <w:r>
              <w:t>12</w:t>
            </w:r>
          </w:p>
        </w:tc>
      </w:tr>
      <w:tr w:rsidR="00203A5B" w:rsidRPr="00CA623F" w:rsidTr="00203A5B">
        <w:trPr>
          <w:trHeight w:val="300"/>
          <w:jc w:val="center"/>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rsidRPr="00CA623F">
              <w:t>3-4 PM</w:t>
            </w:r>
          </w:p>
        </w:tc>
        <w:tc>
          <w:tcPr>
            <w:tcW w:w="1890" w:type="dxa"/>
            <w:tcBorders>
              <w:top w:val="nil"/>
              <w:left w:val="nil"/>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t>1.10</w:t>
            </w:r>
          </w:p>
        </w:tc>
        <w:tc>
          <w:tcPr>
            <w:tcW w:w="2049" w:type="dxa"/>
            <w:tcBorders>
              <w:top w:val="nil"/>
              <w:left w:val="nil"/>
              <w:bottom w:val="single" w:sz="4" w:space="0" w:color="auto"/>
              <w:right w:val="single" w:sz="4" w:space="0" w:color="auto"/>
            </w:tcBorders>
            <w:shd w:val="clear" w:color="auto" w:fill="auto"/>
            <w:vAlign w:val="bottom"/>
            <w:hideMark/>
          </w:tcPr>
          <w:p w:rsidR="00203A5B" w:rsidRPr="00CA623F" w:rsidRDefault="00203A5B" w:rsidP="005641AE">
            <w:pPr>
              <w:pStyle w:val="TableText"/>
            </w:pPr>
            <w:r w:rsidRPr="00CA623F">
              <w:t>0.</w:t>
            </w:r>
            <w:r>
              <w:t>14</w:t>
            </w:r>
          </w:p>
        </w:tc>
      </w:tr>
      <w:tr w:rsidR="00203A5B" w:rsidRPr="00CA623F" w:rsidTr="00203A5B">
        <w:trPr>
          <w:trHeight w:val="300"/>
          <w:jc w:val="center"/>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rsidRPr="00CA623F">
              <w:t>4-5 PM</w:t>
            </w:r>
          </w:p>
        </w:tc>
        <w:tc>
          <w:tcPr>
            <w:tcW w:w="1890" w:type="dxa"/>
            <w:tcBorders>
              <w:top w:val="nil"/>
              <w:left w:val="nil"/>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t>1.15</w:t>
            </w:r>
          </w:p>
        </w:tc>
        <w:tc>
          <w:tcPr>
            <w:tcW w:w="2049" w:type="dxa"/>
            <w:tcBorders>
              <w:top w:val="nil"/>
              <w:left w:val="nil"/>
              <w:bottom w:val="single" w:sz="4" w:space="0" w:color="auto"/>
              <w:right w:val="single" w:sz="4" w:space="0" w:color="auto"/>
            </w:tcBorders>
            <w:shd w:val="clear" w:color="auto" w:fill="auto"/>
            <w:vAlign w:val="bottom"/>
            <w:hideMark/>
          </w:tcPr>
          <w:p w:rsidR="00203A5B" w:rsidRPr="00CA623F" w:rsidRDefault="00203A5B" w:rsidP="005641AE">
            <w:pPr>
              <w:pStyle w:val="TableText"/>
            </w:pPr>
            <w:r w:rsidRPr="00CA623F">
              <w:t>0.</w:t>
            </w:r>
            <w:r>
              <w:t>15</w:t>
            </w:r>
          </w:p>
        </w:tc>
      </w:tr>
      <w:tr w:rsidR="00203A5B" w:rsidRPr="00CA623F" w:rsidTr="00203A5B">
        <w:trPr>
          <w:trHeight w:val="300"/>
          <w:jc w:val="center"/>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rsidRPr="00CA623F">
              <w:t>5-6 PM</w:t>
            </w:r>
          </w:p>
        </w:tc>
        <w:tc>
          <w:tcPr>
            <w:tcW w:w="1890" w:type="dxa"/>
            <w:tcBorders>
              <w:top w:val="nil"/>
              <w:left w:val="nil"/>
              <w:bottom w:val="single" w:sz="4" w:space="0" w:color="auto"/>
              <w:right w:val="single" w:sz="4" w:space="0" w:color="auto"/>
            </w:tcBorders>
            <w:shd w:val="clear" w:color="auto" w:fill="auto"/>
            <w:noWrap/>
            <w:vAlign w:val="center"/>
            <w:hideMark/>
          </w:tcPr>
          <w:p w:rsidR="00203A5B" w:rsidRPr="00CA623F" w:rsidRDefault="00203A5B" w:rsidP="005641AE">
            <w:pPr>
              <w:pStyle w:val="TableText"/>
            </w:pPr>
            <w:r>
              <w:t>87</w:t>
            </w:r>
          </w:p>
        </w:tc>
        <w:tc>
          <w:tcPr>
            <w:tcW w:w="2049" w:type="dxa"/>
            <w:tcBorders>
              <w:top w:val="nil"/>
              <w:left w:val="nil"/>
              <w:bottom w:val="single" w:sz="4" w:space="0" w:color="auto"/>
              <w:right w:val="single" w:sz="4" w:space="0" w:color="auto"/>
            </w:tcBorders>
            <w:shd w:val="clear" w:color="auto" w:fill="auto"/>
            <w:vAlign w:val="bottom"/>
            <w:hideMark/>
          </w:tcPr>
          <w:p w:rsidR="00203A5B" w:rsidRPr="00CA623F" w:rsidRDefault="00203A5B" w:rsidP="005641AE">
            <w:pPr>
              <w:pStyle w:val="TableText"/>
            </w:pPr>
            <w:r w:rsidRPr="00CA623F">
              <w:t>0.</w:t>
            </w:r>
            <w:r>
              <w:t>11</w:t>
            </w:r>
          </w:p>
        </w:tc>
      </w:tr>
    </w:tbl>
    <w:p w:rsidR="00203A5B" w:rsidRPr="000F1301" w:rsidRDefault="00203A5B" w:rsidP="00203A5B">
      <w:pPr>
        <w:pStyle w:val="BodyParaAfterTableFigure"/>
      </w:pPr>
      <w:r w:rsidRPr="00CA623F">
        <w:t xml:space="preserve">This method constrains the relative size of event impacts across different hours to be the same for each event.  Event impacts vary with weather, as usual, but in this model the ratio of the impact at 4 PM to the impact at 5 PM, for example, is always the same.  A separate ex ante model could be used for each event hour separately.  Such a strategy would have the virtue of independently identifying the effect of weather on event impacts at different times of day.  </w:t>
      </w:r>
      <w:r>
        <w:t>However, where there are only a moderate number of events, that strategy risks fitting spurious trends to individual hours or trends across hours that conflict with one another unrealistically</w:t>
      </w:r>
      <w:r w:rsidRPr="00CA623F">
        <w:t>.  Given the highly auto-correlated nature of the data, the differential impact of weather on different event hours is likely to be difficult to measure as compared to the primary effect of temperature on average event impact</w:t>
      </w:r>
      <w:r w:rsidR="00D250DD">
        <w:t>s</w:t>
      </w:r>
      <w:r w:rsidRPr="00CA623F">
        <w:t xml:space="preserve">.  </w:t>
      </w:r>
    </w:p>
    <w:p w:rsidR="00203A5B" w:rsidRDefault="00203A5B" w:rsidP="005641AE">
      <w:pPr>
        <w:pStyle w:val="BodyBeforeBullet"/>
      </w:pPr>
      <w:r>
        <w:t>Due to similar concerns, reference loads are calculated in much the same way as load impacts.  As is the case with load impact estimation, models are run separately and reference loads are calculated separately by customer type and cycling strategy.  The process can be expressed in a series of steps:</w:t>
      </w:r>
    </w:p>
    <w:p w:rsidR="00203A5B" w:rsidRDefault="00203A5B" w:rsidP="005641AE">
      <w:pPr>
        <w:pStyle w:val="Bullets"/>
      </w:pPr>
      <w:r>
        <w:t>Average control group usage during the 2 to 4 PM time period on 2012 event days is modeled as a function of mean17;</w:t>
      </w:r>
    </w:p>
    <w:p w:rsidR="00203A5B" w:rsidRDefault="00203A5B" w:rsidP="005641AE">
      <w:pPr>
        <w:pStyle w:val="Bullets"/>
      </w:pPr>
      <w:r>
        <w:t>The parameters from this regression are used to predict average usage during the 2 to 4 PM time period under ex ante weather conditions;</w:t>
      </w:r>
    </w:p>
    <w:p w:rsidR="00203A5B" w:rsidRDefault="00203A5B" w:rsidP="005641AE">
      <w:pPr>
        <w:pStyle w:val="Bullets"/>
      </w:pPr>
      <w:r>
        <w:t>A ratio between each ex ante prediction and average 2012 control group usage during the 2 to 4 PM time period across all 2012 event days is calculated; and</w:t>
      </w:r>
    </w:p>
    <w:p w:rsidR="00203A5B" w:rsidRDefault="00203A5B" w:rsidP="005641AE">
      <w:pPr>
        <w:pStyle w:val="BulletLast"/>
      </w:pPr>
      <w:r>
        <w:t>Average control group load profiles for the entire average 2012 event day are adjusted by</w:t>
      </w:r>
      <w:r w:rsidR="005641AE">
        <w:t> </w:t>
      </w:r>
      <w:r>
        <w:t>the</w:t>
      </w:r>
      <w:r w:rsidR="005641AE">
        <w:t> </w:t>
      </w:r>
      <w:r>
        <w:t>ratio specific to each set of ex ante weather conditions to produce the final ex ante reference</w:t>
      </w:r>
      <w:r w:rsidR="005641AE">
        <w:t> </w:t>
      </w:r>
      <w:r>
        <w:t>loads.</w:t>
      </w:r>
    </w:p>
    <w:p w:rsidR="00203A5B" w:rsidRDefault="00203A5B" w:rsidP="005641AE">
      <w:pPr>
        <w:pStyle w:val="BodyBeforeBullet"/>
      </w:pPr>
      <w:r>
        <w:t xml:space="preserve">Because snapback is observed ex post, producing ex ante load impact tables in Excel requires adding in snapback.  Like load impacts and reference loads, snapback for </w:t>
      </w:r>
      <w:proofErr w:type="gramStart"/>
      <w:r>
        <w:t>residential customers is</w:t>
      </w:r>
      <w:proofErr w:type="gramEnd"/>
      <w:r>
        <w:t xml:space="preserve"> calculated by cycling strategy.  The calculation consists of the following steps:</w:t>
      </w:r>
    </w:p>
    <w:p w:rsidR="00E03387" w:rsidRDefault="00203A5B">
      <w:pPr>
        <w:pStyle w:val="Bullets"/>
        <w:numPr>
          <w:ilvl w:val="0"/>
          <w:numId w:val="13"/>
        </w:numPr>
      </w:pPr>
      <w:r>
        <w:t xml:space="preserve">Average the snapback values across the </w:t>
      </w:r>
      <w:r w:rsidR="00D250DD">
        <w:t>six</w:t>
      </w:r>
      <w:r>
        <w:t xml:space="preserve"> hours after each ex post event</w:t>
      </w:r>
      <w:r w:rsidR="00D250DD">
        <w:t>.</w:t>
      </w:r>
    </w:p>
    <w:p w:rsidR="00E03387" w:rsidRDefault="00203A5B">
      <w:pPr>
        <w:pStyle w:val="Bullets"/>
        <w:numPr>
          <w:ilvl w:val="0"/>
          <w:numId w:val="13"/>
        </w:numPr>
      </w:pPr>
      <w:r>
        <w:t>Develop a ratio between snapback in each hour and snapback in the first hour</w:t>
      </w:r>
      <w:r w:rsidR="00D250DD">
        <w:t>.</w:t>
      </w:r>
    </w:p>
    <w:p w:rsidR="00E03387" w:rsidRDefault="00203A5B">
      <w:pPr>
        <w:pStyle w:val="Bullets"/>
        <w:numPr>
          <w:ilvl w:val="0"/>
          <w:numId w:val="13"/>
        </w:numPr>
      </w:pPr>
      <w:r>
        <w:t>Multiply the snapback value in the first hour by the ratios previously used to scale the ex post reference load to ex ante weather conditions</w:t>
      </w:r>
      <w:r w:rsidR="00D250DD">
        <w:t>.</w:t>
      </w:r>
    </w:p>
    <w:p w:rsidR="00E03387" w:rsidRDefault="00203A5B">
      <w:pPr>
        <w:pStyle w:val="BulletLast"/>
        <w:numPr>
          <w:ilvl w:val="0"/>
          <w:numId w:val="13"/>
        </w:numPr>
      </w:pPr>
      <w:r>
        <w:t>Multiply the adjusted snapback values for each set of ex ante weather conditions by the snapback ratios to get snapback values for the six hours after each ex ante event.</w:t>
      </w:r>
    </w:p>
    <w:p w:rsidR="00203A5B" w:rsidRPr="00027501" w:rsidRDefault="00203A5B" w:rsidP="00203A5B">
      <w:pPr>
        <w:pStyle w:val="BodyParagraph"/>
      </w:pPr>
      <w:r>
        <w:t>Commercial snapback was estimated to be zero based on the available data.</w:t>
      </w:r>
    </w:p>
    <w:p w:rsidR="00203A5B" w:rsidRDefault="00203A5B" w:rsidP="00203A5B">
      <w:pPr>
        <w:pStyle w:val="BodyParaAfterTableFigure"/>
      </w:pPr>
      <w:r>
        <w:br w:type="page"/>
      </w:r>
    </w:p>
    <w:p w:rsidR="00203A5B" w:rsidRDefault="00203A5B" w:rsidP="00203A5B">
      <w:pPr>
        <w:pStyle w:val="Heading1"/>
      </w:pPr>
      <w:bookmarkStart w:id="36" w:name="_Toc349548906"/>
      <w:bookmarkStart w:id="37" w:name="_Toc350953037"/>
      <w:r>
        <w:t>Ex Post Load Impact Estimates</w:t>
      </w:r>
      <w:bookmarkEnd w:id="36"/>
      <w:bookmarkEnd w:id="37"/>
    </w:p>
    <w:p w:rsidR="00203A5B" w:rsidRDefault="00203A5B" w:rsidP="00203A5B">
      <w:pPr>
        <w:pStyle w:val="BodyParagraph"/>
      </w:pPr>
      <w:r>
        <w:t xml:space="preserve">This section contains the ex post load impact estimates for program year 2012.  Residential estimates are provided first, followed by commercial estimates.  The section also contains an analysis on control device communication failure and an analysis of the distribution of impacts across customers.  </w:t>
      </w:r>
    </w:p>
    <w:p w:rsidR="00203A5B" w:rsidRDefault="00203A5B" w:rsidP="002A60E0">
      <w:pPr>
        <w:pStyle w:val="Heading2"/>
      </w:pPr>
      <w:bookmarkStart w:id="38" w:name="_Toc349548907"/>
      <w:bookmarkStart w:id="39" w:name="_Toc350953038"/>
      <w:r w:rsidRPr="002A60E0">
        <w:t>Residential</w:t>
      </w:r>
      <w:r>
        <w:t xml:space="preserve"> Ex Post Load Impact Estimates</w:t>
      </w:r>
      <w:bookmarkEnd w:id="38"/>
      <w:bookmarkEnd w:id="39"/>
    </w:p>
    <w:p w:rsidR="00203A5B" w:rsidRPr="006E3D23" w:rsidRDefault="00203A5B" w:rsidP="00203A5B">
      <w:pPr>
        <w:pStyle w:val="BodyParagraph"/>
      </w:pPr>
      <w:r>
        <w:t>Table 4-1 shows the ex post load impact estimates for residential Summer Saver customers for 2012.  Summer Saver residential customers delivered an average aggregate load reduction over the eight events of 16 MW.  Residential impacts ranged from a low of 9 MW on September 15, to a high of 19 MW on August 13 and September 14</w:t>
      </w:r>
      <w:r w:rsidRPr="00FA655B">
        <w:t>.</w:t>
      </w:r>
      <w:r>
        <w:t xml:space="preserve">  Only 6,381 of the 22,928 residential customers were signed up for weekend events, which explains why the September 15 aggregate load reduction is the smallest of any event despite the fact that the per premise and per CAC unit results are the greatest of any event.  These results also provide no evidence that program performance in 2012 deviated significantly from 2011 or 2010.</w:t>
      </w:r>
    </w:p>
    <w:p w:rsidR="00203A5B" w:rsidRDefault="00203A5B" w:rsidP="00203A5B">
      <w:pPr>
        <w:pStyle w:val="TableFigureCaption"/>
        <w:rPr>
          <w:rFonts w:cs="Arial"/>
        </w:rPr>
      </w:pPr>
      <w:r w:rsidRPr="00A65162">
        <w:t xml:space="preserve">Table </w:t>
      </w:r>
      <w:r>
        <w:t>4-1:</w:t>
      </w:r>
      <w:r w:rsidR="002A60E0">
        <w:t xml:space="preserve"> </w:t>
      </w:r>
      <w:r>
        <w:t>Residential Ex Post Load Impact Estimates</w:t>
      </w:r>
    </w:p>
    <w:tbl>
      <w:tblPr>
        <w:tblW w:w="7460" w:type="dxa"/>
        <w:jc w:val="center"/>
        <w:tblInd w:w="93" w:type="dxa"/>
        <w:tblLook w:val="04A0"/>
      </w:tblPr>
      <w:tblGrid>
        <w:gridCol w:w="1180"/>
        <w:gridCol w:w="1703"/>
        <w:gridCol w:w="1604"/>
        <w:gridCol w:w="1493"/>
        <w:gridCol w:w="1480"/>
      </w:tblGrid>
      <w:tr w:rsidR="00203A5B" w:rsidRPr="00902392" w:rsidTr="00203A5B">
        <w:trPr>
          <w:trHeight w:val="300"/>
          <w:jc w:val="center"/>
        </w:trPr>
        <w:tc>
          <w:tcPr>
            <w:tcW w:w="118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902392" w:rsidRDefault="00203A5B" w:rsidP="002A60E0">
            <w:pPr>
              <w:pStyle w:val="TableHeader"/>
            </w:pPr>
            <w:r w:rsidRPr="00902392">
              <w:t>Date</w:t>
            </w:r>
          </w:p>
        </w:tc>
        <w:tc>
          <w:tcPr>
            <w:tcW w:w="4800" w:type="dxa"/>
            <w:gridSpan w:val="3"/>
            <w:tcBorders>
              <w:top w:val="single" w:sz="4" w:space="0" w:color="auto"/>
              <w:left w:val="nil"/>
              <w:bottom w:val="single" w:sz="4" w:space="0" w:color="FFFFFF"/>
              <w:right w:val="single" w:sz="4" w:space="0" w:color="FFFFFF"/>
            </w:tcBorders>
            <w:shd w:val="clear" w:color="000000" w:fill="1F497D"/>
            <w:noWrap/>
            <w:vAlign w:val="center"/>
            <w:hideMark/>
          </w:tcPr>
          <w:p w:rsidR="00203A5B" w:rsidRPr="00902392" w:rsidRDefault="00203A5B" w:rsidP="002A60E0">
            <w:pPr>
              <w:pStyle w:val="TableHeader"/>
            </w:pPr>
            <w:r w:rsidRPr="00902392">
              <w:t>Impact</w:t>
            </w:r>
          </w:p>
        </w:tc>
        <w:tc>
          <w:tcPr>
            <w:tcW w:w="1480"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902392" w:rsidRDefault="00203A5B" w:rsidP="002A60E0">
            <w:pPr>
              <w:pStyle w:val="TableHeader"/>
            </w:pPr>
            <w:r w:rsidRPr="00902392">
              <w:t>Temperature During Event (</w:t>
            </w:r>
            <w:r w:rsidRPr="00902392">
              <w:rPr>
                <w:rFonts w:cs="Calibri"/>
              </w:rPr>
              <w:t>°</w:t>
            </w:r>
            <w:r w:rsidRPr="00902392">
              <w:t>F)</w:t>
            </w:r>
          </w:p>
        </w:tc>
      </w:tr>
      <w:tr w:rsidR="00203A5B" w:rsidRPr="00902392" w:rsidTr="00203A5B">
        <w:trPr>
          <w:trHeight w:val="300"/>
          <w:jc w:val="center"/>
        </w:trPr>
        <w:tc>
          <w:tcPr>
            <w:tcW w:w="1180" w:type="dxa"/>
            <w:vMerge/>
            <w:tcBorders>
              <w:top w:val="single" w:sz="4" w:space="0" w:color="auto"/>
              <w:left w:val="single" w:sz="4" w:space="0" w:color="auto"/>
              <w:bottom w:val="single" w:sz="4" w:space="0" w:color="000000"/>
              <w:right w:val="single" w:sz="4" w:space="0" w:color="FFFFFF"/>
            </w:tcBorders>
            <w:vAlign w:val="center"/>
            <w:hideMark/>
          </w:tcPr>
          <w:p w:rsidR="00203A5B" w:rsidRPr="00902392" w:rsidRDefault="00203A5B" w:rsidP="002A60E0">
            <w:pPr>
              <w:pStyle w:val="TableHeader"/>
            </w:pPr>
          </w:p>
        </w:tc>
        <w:tc>
          <w:tcPr>
            <w:tcW w:w="1703" w:type="dxa"/>
            <w:tcBorders>
              <w:top w:val="nil"/>
              <w:left w:val="nil"/>
              <w:bottom w:val="single" w:sz="4" w:space="0" w:color="auto"/>
              <w:right w:val="single" w:sz="4" w:space="0" w:color="FFFFFF"/>
            </w:tcBorders>
            <w:shd w:val="clear" w:color="000000" w:fill="1F497D"/>
            <w:noWrap/>
            <w:vAlign w:val="center"/>
            <w:hideMark/>
          </w:tcPr>
          <w:p w:rsidR="00203A5B" w:rsidRPr="00902392" w:rsidRDefault="00203A5B" w:rsidP="002A60E0">
            <w:pPr>
              <w:pStyle w:val="TableHeader"/>
            </w:pPr>
            <w:r w:rsidRPr="00902392">
              <w:t>Per CAC Unit (kW)</w:t>
            </w:r>
          </w:p>
        </w:tc>
        <w:tc>
          <w:tcPr>
            <w:tcW w:w="1604" w:type="dxa"/>
            <w:tcBorders>
              <w:top w:val="nil"/>
              <w:left w:val="nil"/>
              <w:bottom w:val="single" w:sz="4" w:space="0" w:color="auto"/>
              <w:right w:val="single" w:sz="4" w:space="0" w:color="FFFFFF"/>
            </w:tcBorders>
            <w:shd w:val="clear" w:color="000000" w:fill="1F497D"/>
            <w:noWrap/>
            <w:vAlign w:val="center"/>
            <w:hideMark/>
          </w:tcPr>
          <w:p w:rsidR="00203A5B" w:rsidRPr="00902392" w:rsidRDefault="00203A5B" w:rsidP="002A60E0">
            <w:pPr>
              <w:pStyle w:val="TableHeader"/>
            </w:pPr>
            <w:r w:rsidRPr="00902392">
              <w:t>Per Premise (kW)</w:t>
            </w:r>
          </w:p>
        </w:tc>
        <w:tc>
          <w:tcPr>
            <w:tcW w:w="1493" w:type="dxa"/>
            <w:tcBorders>
              <w:top w:val="nil"/>
              <w:left w:val="nil"/>
              <w:bottom w:val="single" w:sz="4" w:space="0" w:color="auto"/>
              <w:right w:val="single" w:sz="4" w:space="0" w:color="FFFFFF"/>
            </w:tcBorders>
            <w:shd w:val="clear" w:color="000000" w:fill="1F497D"/>
            <w:noWrap/>
            <w:vAlign w:val="center"/>
            <w:hideMark/>
          </w:tcPr>
          <w:p w:rsidR="00203A5B" w:rsidRPr="00902392" w:rsidRDefault="00203A5B" w:rsidP="002A60E0">
            <w:pPr>
              <w:pStyle w:val="TableHeader"/>
            </w:pPr>
            <w:r w:rsidRPr="00902392">
              <w:t>Aggregate (MW)</w:t>
            </w:r>
          </w:p>
        </w:tc>
        <w:tc>
          <w:tcPr>
            <w:tcW w:w="1480" w:type="dxa"/>
            <w:vMerge/>
            <w:tcBorders>
              <w:top w:val="single" w:sz="4" w:space="0" w:color="auto"/>
              <w:left w:val="single" w:sz="4" w:space="0" w:color="FFFFFF"/>
              <w:bottom w:val="single" w:sz="4" w:space="0" w:color="000000"/>
              <w:right w:val="single" w:sz="4" w:space="0" w:color="auto"/>
            </w:tcBorders>
            <w:vAlign w:val="center"/>
            <w:hideMark/>
          </w:tcPr>
          <w:p w:rsidR="00203A5B" w:rsidRPr="00902392" w:rsidRDefault="00203A5B" w:rsidP="002A60E0">
            <w:pPr>
              <w:pStyle w:val="TableHeader"/>
            </w:pP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0.47</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0.55</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13</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86</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10-Aug-12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0.55</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0.65</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15</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82</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13-Aug-12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0.70</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0.83</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19</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88</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17-Aug-12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0.62</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0.73</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17</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87</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13-Sep-12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0.45</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0.53</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12</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80</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14-Sep-12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0.69</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0.81</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19</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100</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15-Sep-12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1.18</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1.35</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9</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95</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1-Oct-12</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0.54</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0.64</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15</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86</w:t>
            </w:r>
          </w:p>
        </w:tc>
      </w:tr>
      <w:tr w:rsidR="00203A5B" w:rsidRPr="00902392"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Average*</w:t>
            </w:r>
          </w:p>
        </w:tc>
        <w:tc>
          <w:tcPr>
            <w:tcW w:w="170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0.61</w:t>
            </w:r>
          </w:p>
        </w:tc>
        <w:tc>
          <w:tcPr>
            <w:tcW w:w="1604"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0.72</w:t>
            </w:r>
          </w:p>
        </w:tc>
        <w:tc>
          <w:tcPr>
            <w:tcW w:w="1493"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16</w:t>
            </w:r>
          </w:p>
        </w:tc>
        <w:tc>
          <w:tcPr>
            <w:tcW w:w="1480" w:type="dxa"/>
            <w:tcBorders>
              <w:top w:val="nil"/>
              <w:left w:val="nil"/>
              <w:bottom w:val="single" w:sz="4" w:space="0" w:color="auto"/>
              <w:right w:val="single" w:sz="4" w:space="0" w:color="auto"/>
            </w:tcBorders>
            <w:shd w:val="clear" w:color="auto" w:fill="auto"/>
            <w:noWrap/>
            <w:vAlign w:val="center"/>
            <w:hideMark/>
          </w:tcPr>
          <w:p w:rsidR="00203A5B" w:rsidRPr="00902392" w:rsidRDefault="00203A5B" w:rsidP="002A60E0">
            <w:pPr>
              <w:pStyle w:val="TableText"/>
            </w:pPr>
            <w:r w:rsidRPr="00902392">
              <w:t>89</w:t>
            </w:r>
          </w:p>
        </w:tc>
      </w:tr>
      <w:tr w:rsidR="00203A5B" w:rsidRPr="00902392" w:rsidTr="00203A5B">
        <w:trPr>
          <w:trHeight w:val="300"/>
          <w:jc w:val="center"/>
        </w:trPr>
        <w:tc>
          <w:tcPr>
            <w:tcW w:w="7460" w:type="dxa"/>
            <w:gridSpan w:val="5"/>
            <w:tcBorders>
              <w:top w:val="nil"/>
              <w:left w:val="nil"/>
              <w:bottom w:val="nil"/>
              <w:right w:val="nil"/>
            </w:tcBorders>
            <w:shd w:val="clear" w:color="auto" w:fill="auto"/>
            <w:noWrap/>
            <w:vAlign w:val="center"/>
            <w:hideMark/>
          </w:tcPr>
          <w:p w:rsidR="00E03387" w:rsidRDefault="00203A5B">
            <w:pPr>
              <w:pStyle w:val="Footnote"/>
            </w:pPr>
            <w:r w:rsidRPr="00902392">
              <w:t>*reflects the average 2-hour event from 2-4 PM, omitting the Aug. 10 and Sept. 15 events.</w:t>
            </w:r>
          </w:p>
        </w:tc>
      </w:tr>
    </w:tbl>
    <w:p w:rsidR="00203A5B" w:rsidRDefault="00203A5B" w:rsidP="002A60E0">
      <w:pPr>
        <w:pStyle w:val="Heading2"/>
        <w:spacing w:before="360"/>
      </w:pPr>
      <w:bookmarkStart w:id="40" w:name="_Toc349548908"/>
      <w:bookmarkStart w:id="41" w:name="_Toc350953039"/>
      <w:r>
        <w:t>Commercial Ex Post Load Impact Results</w:t>
      </w:r>
      <w:bookmarkEnd w:id="40"/>
      <w:bookmarkEnd w:id="41"/>
    </w:p>
    <w:p w:rsidR="00203A5B" w:rsidRDefault="00203A5B" w:rsidP="00203A5B">
      <w:pPr>
        <w:pStyle w:val="BodyParagraph"/>
      </w:pPr>
      <w:r>
        <w:t xml:space="preserve">Table 4-2 shows the ex post load impact estimates for commercial Summer Saver customers for 2012.  Summer Saver commercial customers delivered an average aggregate load reduction over the </w:t>
      </w:r>
      <w:r w:rsidR="00D250DD">
        <w:t xml:space="preserve">6 </w:t>
      </w:r>
      <w:r>
        <w:t>events of 3 MW.  Commercial impacts ranged from a low of 1 MW on August 8, September 13 and September 15 to a high of 6 MW on August 17</w:t>
      </w:r>
      <w:r w:rsidRPr="00FA655B">
        <w:t>.</w:t>
      </w:r>
      <w:r>
        <w:t xml:space="preserve">  However, only 470 commercial customers are signed up for weekend </w:t>
      </w:r>
      <w:proofErr w:type="gramStart"/>
      <w:r>
        <w:t>events</w:t>
      </w:r>
      <w:r w:rsidR="00D250DD">
        <w:t>,</w:t>
      </w:r>
      <w:r>
        <w:t xml:space="preserve"> which means</w:t>
      </w:r>
      <w:proofErr w:type="gramEnd"/>
      <w:r>
        <w:t xml:space="preserve"> that September 15 should not be included in this comparison.  These results provide no evidence that program performance in 2012 deviated significantly from 2011 or 2010.</w:t>
      </w:r>
    </w:p>
    <w:p w:rsidR="00203A5B" w:rsidRPr="007B08B9" w:rsidRDefault="00203A5B" w:rsidP="00203A5B">
      <w:pPr>
        <w:pStyle w:val="TableFigureCaption"/>
        <w:rPr>
          <w:rFonts w:cs="Arial"/>
        </w:rPr>
      </w:pPr>
      <w:r w:rsidRPr="00A65162">
        <w:t xml:space="preserve">Table </w:t>
      </w:r>
      <w:r>
        <w:t>4-2: Commercial Ex Post Load Impact Estimates</w:t>
      </w:r>
    </w:p>
    <w:tbl>
      <w:tblPr>
        <w:tblW w:w="7317" w:type="dxa"/>
        <w:jc w:val="center"/>
        <w:tblInd w:w="93" w:type="dxa"/>
        <w:tblLook w:val="04A0"/>
      </w:tblPr>
      <w:tblGrid>
        <w:gridCol w:w="1157"/>
        <w:gridCol w:w="1639"/>
        <w:gridCol w:w="1544"/>
        <w:gridCol w:w="1437"/>
        <w:gridCol w:w="1540"/>
      </w:tblGrid>
      <w:tr w:rsidR="00203A5B" w:rsidRPr="00CE5451" w:rsidTr="00203A5B">
        <w:trPr>
          <w:trHeight w:val="300"/>
          <w:jc w:val="center"/>
        </w:trPr>
        <w:tc>
          <w:tcPr>
            <w:tcW w:w="1157"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CE5451" w:rsidRDefault="00203A5B" w:rsidP="002A60E0">
            <w:pPr>
              <w:pStyle w:val="TableHeader"/>
            </w:pPr>
            <w:r w:rsidRPr="00CE5451">
              <w:t>Date</w:t>
            </w:r>
          </w:p>
        </w:tc>
        <w:tc>
          <w:tcPr>
            <w:tcW w:w="4620" w:type="dxa"/>
            <w:gridSpan w:val="3"/>
            <w:tcBorders>
              <w:top w:val="single" w:sz="4" w:space="0" w:color="auto"/>
              <w:left w:val="nil"/>
              <w:bottom w:val="single" w:sz="4" w:space="0" w:color="FFFFFF"/>
              <w:right w:val="single" w:sz="4" w:space="0" w:color="FFFFFF"/>
            </w:tcBorders>
            <w:shd w:val="clear" w:color="000000" w:fill="1F497D"/>
            <w:noWrap/>
            <w:vAlign w:val="center"/>
            <w:hideMark/>
          </w:tcPr>
          <w:p w:rsidR="00203A5B" w:rsidRPr="00CE5451" w:rsidRDefault="00203A5B" w:rsidP="002A60E0">
            <w:pPr>
              <w:pStyle w:val="TableHeader"/>
            </w:pPr>
            <w:r w:rsidRPr="00CE5451">
              <w:t>Impact</w:t>
            </w:r>
          </w:p>
        </w:tc>
        <w:tc>
          <w:tcPr>
            <w:tcW w:w="1540"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CE5451" w:rsidRDefault="00203A5B" w:rsidP="002A60E0">
            <w:pPr>
              <w:pStyle w:val="TableHeader"/>
            </w:pPr>
            <w:r w:rsidRPr="00CE5451">
              <w:t>Temperature During Event (</w:t>
            </w:r>
            <w:r w:rsidRPr="00CE5451">
              <w:rPr>
                <w:rFonts w:cs="Calibri"/>
              </w:rPr>
              <w:t>°</w:t>
            </w:r>
            <w:r w:rsidRPr="00CE5451">
              <w:t>F)</w:t>
            </w:r>
          </w:p>
        </w:tc>
      </w:tr>
      <w:tr w:rsidR="00203A5B" w:rsidRPr="00CE5451" w:rsidTr="00203A5B">
        <w:trPr>
          <w:trHeight w:val="300"/>
          <w:jc w:val="center"/>
        </w:trPr>
        <w:tc>
          <w:tcPr>
            <w:tcW w:w="1157" w:type="dxa"/>
            <w:vMerge/>
            <w:tcBorders>
              <w:top w:val="single" w:sz="4" w:space="0" w:color="auto"/>
              <w:left w:val="single" w:sz="4" w:space="0" w:color="auto"/>
              <w:bottom w:val="single" w:sz="4" w:space="0" w:color="000000"/>
              <w:right w:val="single" w:sz="4" w:space="0" w:color="FFFFFF"/>
            </w:tcBorders>
            <w:vAlign w:val="center"/>
            <w:hideMark/>
          </w:tcPr>
          <w:p w:rsidR="00203A5B" w:rsidRPr="00CE5451" w:rsidRDefault="00203A5B" w:rsidP="002A60E0">
            <w:pPr>
              <w:pStyle w:val="TableHeader"/>
            </w:pPr>
          </w:p>
        </w:tc>
        <w:tc>
          <w:tcPr>
            <w:tcW w:w="1639" w:type="dxa"/>
            <w:tcBorders>
              <w:top w:val="nil"/>
              <w:left w:val="nil"/>
              <w:bottom w:val="single" w:sz="4" w:space="0" w:color="auto"/>
              <w:right w:val="single" w:sz="4" w:space="0" w:color="FFFFFF"/>
            </w:tcBorders>
            <w:shd w:val="clear" w:color="000000" w:fill="1F497D"/>
            <w:noWrap/>
            <w:vAlign w:val="center"/>
            <w:hideMark/>
          </w:tcPr>
          <w:p w:rsidR="00203A5B" w:rsidRPr="00CE5451" w:rsidRDefault="00203A5B" w:rsidP="002A60E0">
            <w:pPr>
              <w:pStyle w:val="TableHeader"/>
            </w:pPr>
            <w:r w:rsidRPr="00CE5451">
              <w:t>Per CAC Unit (kW)</w:t>
            </w:r>
          </w:p>
        </w:tc>
        <w:tc>
          <w:tcPr>
            <w:tcW w:w="1544" w:type="dxa"/>
            <w:tcBorders>
              <w:top w:val="nil"/>
              <w:left w:val="nil"/>
              <w:bottom w:val="single" w:sz="4" w:space="0" w:color="auto"/>
              <w:right w:val="single" w:sz="4" w:space="0" w:color="FFFFFF"/>
            </w:tcBorders>
            <w:shd w:val="clear" w:color="000000" w:fill="1F497D"/>
            <w:noWrap/>
            <w:vAlign w:val="center"/>
            <w:hideMark/>
          </w:tcPr>
          <w:p w:rsidR="00203A5B" w:rsidRPr="00CE5451" w:rsidRDefault="00203A5B" w:rsidP="002A60E0">
            <w:pPr>
              <w:pStyle w:val="TableHeader"/>
            </w:pPr>
            <w:r w:rsidRPr="00CE5451">
              <w:t>Per Premise (kW)</w:t>
            </w:r>
          </w:p>
        </w:tc>
        <w:tc>
          <w:tcPr>
            <w:tcW w:w="1437" w:type="dxa"/>
            <w:tcBorders>
              <w:top w:val="nil"/>
              <w:left w:val="nil"/>
              <w:bottom w:val="single" w:sz="4" w:space="0" w:color="auto"/>
              <w:right w:val="single" w:sz="4" w:space="0" w:color="FFFFFF"/>
            </w:tcBorders>
            <w:shd w:val="clear" w:color="000000" w:fill="1F497D"/>
            <w:noWrap/>
            <w:vAlign w:val="center"/>
            <w:hideMark/>
          </w:tcPr>
          <w:p w:rsidR="00203A5B" w:rsidRPr="00CE5451" w:rsidRDefault="00203A5B" w:rsidP="002A60E0">
            <w:pPr>
              <w:pStyle w:val="TableHeader"/>
            </w:pPr>
            <w:r w:rsidRPr="00CE5451">
              <w:t>Aggregate (MW)</w:t>
            </w:r>
          </w:p>
        </w:tc>
        <w:tc>
          <w:tcPr>
            <w:tcW w:w="1540" w:type="dxa"/>
            <w:vMerge/>
            <w:tcBorders>
              <w:top w:val="single" w:sz="4" w:space="0" w:color="auto"/>
              <w:left w:val="single" w:sz="4" w:space="0" w:color="FFFFFF"/>
              <w:bottom w:val="single" w:sz="4" w:space="0" w:color="000000"/>
              <w:right w:val="single" w:sz="4" w:space="0" w:color="auto"/>
            </w:tcBorders>
            <w:vAlign w:val="center"/>
            <w:hideMark/>
          </w:tcPr>
          <w:p w:rsidR="00203A5B" w:rsidRPr="00CE5451" w:rsidRDefault="00203A5B" w:rsidP="002A60E0">
            <w:pPr>
              <w:pStyle w:val="TableHeader"/>
            </w:pP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8-Aug-12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0.14</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0.29</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84</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10-Aug-12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0.37</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0.76</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4</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81</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13-Aug-12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0.26</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0.53</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3</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86</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17-Aug-12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0.61</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1.24</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6</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86</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13-Sep-12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0.06</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0.13</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78</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14-Sep-12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0.39</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0.82</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4</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96</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15-Sep-12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0.70</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1.34</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95</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1-Oct-12</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0.35</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0.72</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3</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84</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Average*</w:t>
            </w:r>
          </w:p>
        </w:tc>
        <w:tc>
          <w:tcPr>
            <w:tcW w:w="1639"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0.30</w:t>
            </w:r>
          </w:p>
        </w:tc>
        <w:tc>
          <w:tcPr>
            <w:tcW w:w="1544"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0.62</w:t>
            </w:r>
          </w:p>
        </w:tc>
        <w:tc>
          <w:tcPr>
            <w:tcW w:w="1437"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3</w:t>
            </w:r>
          </w:p>
        </w:tc>
        <w:tc>
          <w:tcPr>
            <w:tcW w:w="154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86</w:t>
            </w:r>
          </w:p>
        </w:tc>
      </w:tr>
      <w:tr w:rsidR="00203A5B" w:rsidRPr="00CE5451" w:rsidTr="00203A5B">
        <w:trPr>
          <w:trHeight w:val="300"/>
          <w:jc w:val="center"/>
        </w:trPr>
        <w:tc>
          <w:tcPr>
            <w:tcW w:w="7317" w:type="dxa"/>
            <w:gridSpan w:val="5"/>
            <w:tcBorders>
              <w:top w:val="nil"/>
              <w:left w:val="nil"/>
              <w:bottom w:val="nil"/>
              <w:right w:val="nil"/>
            </w:tcBorders>
            <w:shd w:val="clear" w:color="auto" w:fill="auto"/>
            <w:noWrap/>
            <w:vAlign w:val="center"/>
            <w:hideMark/>
          </w:tcPr>
          <w:p w:rsidR="00E03387" w:rsidRDefault="00203A5B">
            <w:pPr>
              <w:pStyle w:val="Footnote"/>
              <w:rPr>
                <w:rFonts w:eastAsia="Times New Roman" w:cs="Arial"/>
                <w:b/>
                <w:color w:val="FFFFFF"/>
              </w:rPr>
            </w:pPr>
            <w:r w:rsidRPr="00CE5451">
              <w:t>*reflects the average 2-hour event from 2-4 PM, omitting the Aug. 10 and Sept. 15 events.</w:t>
            </w:r>
          </w:p>
        </w:tc>
      </w:tr>
    </w:tbl>
    <w:p w:rsidR="00203A5B" w:rsidRDefault="00203A5B" w:rsidP="002A60E0">
      <w:pPr>
        <w:pStyle w:val="Heading2"/>
        <w:spacing w:before="360"/>
      </w:pPr>
      <w:bookmarkStart w:id="42" w:name="_Toc349548909"/>
      <w:bookmarkStart w:id="43" w:name="_Toc350953040"/>
      <w:r>
        <w:t>Load Impacts by Cycling Option</w:t>
      </w:r>
      <w:bookmarkEnd w:id="42"/>
      <w:bookmarkEnd w:id="43"/>
    </w:p>
    <w:p w:rsidR="00203A5B" w:rsidRDefault="00203A5B" w:rsidP="00203A5B">
      <w:pPr>
        <w:pStyle w:val="BodyParagraph"/>
      </w:pPr>
      <w:r>
        <w:t xml:space="preserve">Table 4-3 shows load impacts per CAC unit and in aggregate by cycling option for residential and commercial customers.  The average impact per unit is higher for the more intensive cycling options.  This is in contrast to 2011 where within each segment, the average impact per unit was very close.  </w:t>
      </w:r>
    </w:p>
    <w:p w:rsidR="00203A5B" w:rsidRPr="002A60E0" w:rsidRDefault="00203A5B" w:rsidP="002A60E0">
      <w:pPr>
        <w:pStyle w:val="TableFigureCaption"/>
      </w:pPr>
      <w:r w:rsidRPr="002A60E0">
        <w:t>Table 4-3: Per CAC Unit Load Reductions by Cycling Option (kW)</w:t>
      </w:r>
      <w:r w:rsidRPr="002A60E0" w:rsidDel="00460C2A">
        <w:t xml:space="preserve"> </w:t>
      </w:r>
    </w:p>
    <w:tbl>
      <w:tblPr>
        <w:tblW w:w="8837" w:type="dxa"/>
        <w:jc w:val="center"/>
        <w:tblInd w:w="93" w:type="dxa"/>
        <w:tblLook w:val="04A0"/>
      </w:tblPr>
      <w:tblGrid>
        <w:gridCol w:w="1157"/>
        <w:gridCol w:w="960"/>
        <w:gridCol w:w="960"/>
        <w:gridCol w:w="960"/>
        <w:gridCol w:w="960"/>
        <w:gridCol w:w="1242"/>
        <w:gridCol w:w="866"/>
        <w:gridCol w:w="866"/>
        <w:gridCol w:w="866"/>
      </w:tblGrid>
      <w:tr w:rsidR="00203A5B" w:rsidRPr="00CE5451" w:rsidTr="00203A5B">
        <w:trPr>
          <w:trHeight w:val="300"/>
          <w:jc w:val="center"/>
        </w:trPr>
        <w:tc>
          <w:tcPr>
            <w:tcW w:w="1157"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bottom"/>
            <w:hideMark/>
          </w:tcPr>
          <w:p w:rsidR="00203A5B" w:rsidRPr="00CE5451" w:rsidRDefault="00203A5B" w:rsidP="002A60E0">
            <w:pPr>
              <w:pStyle w:val="TableHeader"/>
            </w:pPr>
            <w:r w:rsidRPr="00CE5451">
              <w:t>Date</w:t>
            </w:r>
          </w:p>
        </w:tc>
        <w:tc>
          <w:tcPr>
            <w:tcW w:w="3840" w:type="dxa"/>
            <w:gridSpan w:val="4"/>
            <w:tcBorders>
              <w:top w:val="single" w:sz="4" w:space="0" w:color="auto"/>
              <w:left w:val="nil"/>
              <w:bottom w:val="single" w:sz="4" w:space="0" w:color="FFFFFF"/>
              <w:right w:val="single" w:sz="4" w:space="0" w:color="FFFFFF"/>
            </w:tcBorders>
            <w:shd w:val="clear" w:color="000000" w:fill="1F497D"/>
            <w:noWrap/>
            <w:vAlign w:val="bottom"/>
            <w:hideMark/>
          </w:tcPr>
          <w:p w:rsidR="00203A5B" w:rsidRPr="00CE5451" w:rsidRDefault="00203A5B" w:rsidP="002A60E0">
            <w:pPr>
              <w:pStyle w:val="TableHeader"/>
            </w:pPr>
            <w:r w:rsidRPr="00CE5451">
              <w:t>Per CAC (kW)</w:t>
            </w:r>
          </w:p>
        </w:tc>
        <w:tc>
          <w:tcPr>
            <w:tcW w:w="3840" w:type="dxa"/>
            <w:gridSpan w:val="4"/>
            <w:tcBorders>
              <w:top w:val="single" w:sz="4" w:space="0" w:color="auto"/>
              <w:left w:val="nil"/>
              <w:bottom w:val="single" w:sz="4" w:space="0" w:color="FFFFFF"/>
              <w:right w:val="single" w:sz="4" w:space="0" w:color="000000"/>
            </w:tcBorders>
            <w:shd w:val="clear" w:color="000000" w:fill="1F497D"/>
            <w:noWrap/>
            <w:vAlign w:val="bottom"/>
            <w:hideMark/>
          </w:tcPr>
          <w:p w:rsidR="00203A5B" w:rsidRPr="00CE5451" w:rsidRDefault="00203A5B" w:rsidP="002A60E0">
            <w:pPr>
              <w:pStyle w:val="TableHeader"/>
            </w:pPr>
            <w:r w:rsidRPr="00CE5451">
              <w:t>Aggregate (MW)</w:t>
            </w:r>
          </w:p>
        </w:tc>
      </w:tr>
      <w:tr w:rsidR="00203A5B" w:rsidRPr="00CE5451" w:rsidTr="00203A5B">
        <w:trPr>
          <w:trHeight w:val="300"/>
          <w:jc w:val="center"/>
        </w:trPr>
        <w:tc>
          <w:tcPr>
            <w:tcW w:w="1157" w:type="dxa"/>
            <w:vMerge/>
            <w:tcBorders>
              <w:top w:val="single" w:sz="4" w:space="0" w:color="auto"/>
              <w:left w:val="single" w:sz="4" w:space="0" w:color="auto"/>
              <w:bottom w:val="single" w:sz="4" w:space="0" w:color="000000"/>
              <w:right w:val="single" w:sz="4" w:space="0" w:color="FFFFFF"/>
            </w:tcBorders>
            <w:vAlign w:val="center"/>
            <w:hideMark/>
          </w:tcPr>
          <w:p w:rsidR="00203A5B" w:rsidRPr="00CE5451" w:rsidRDefault="00203A5B" w:rsidP="002A60E0">
            <w:pPr>
              <w:pStyle w:val="TableHeader"/>
            </w:pPr>
          </w:p>
        </w:tc>
        <w:tc>
          <w:tcPr>
            <w:tcW w:w="3840" w:type="dxa"/>
            <w:gridSpan w:val="4"/>
            <w:tcBorders>
              <w:top w:val="single" w:sz="4" w:space="0" w:color="FFFFFF"/>
              <w:left w:val="nil"/>
              <w:bottom w:val="single" w:sz="4" w:space="0" w:color="FFFFFF"/>
              <w:right w:val="single" w:sz="4" w:space="0" w:color="FFFFFF"/>
            </w:tcBorders>
            <w:shd w:val="clear" w:color="000000" w:fill="1F497D"/>
            <w:noWrap/>
            <w:vAlign w:val="bottom"/>
            <w:hideMark/>
          </w:tcPr>
          <w:p w:rsidR="00203A5B" w:rsidRPr="00CE5451" w:rsidRDefault="00203A5B" w:rsidP="002A60E0">
            <w:pPr>
              <w:pStyle w:val="TableHeader"/>
            </w:pPr>
            <w:r w:rsidRPr="00CE5451">
              <w:t>Cycling Option</w:t>
            </w:r>
          </w:p>
        </w:tc>
        <w:tc>
          <w:tcPr>
            <w:tcW w:w="3840" w:type="dxa"/>
            <w:gridSpan w:val="4"/>
            <w:tcBorders>
              <w:top w:val="single" w:sz="4" w:space="0" w:color="FFFFFF"/>
              <w:left w:val="nil"/>
              <w:bottom w:val="single" w:sz="4" w:space="0" w:color="FFFFFF"/>
              <w:right w:val="single" w:sz="4" w:space="0" w:color="000000"/>
            </w:tcBorders>
            <w:shd w:val="clear" w:color="000000" w:fill="1F497D"/>
            <w:noWrap/>
            <w:vAlign w:val="bottom"/>
            <w:hideMark/>
          </w:tcPr>
          <w:p w:rsidR="00203A5B" w:rsidRPr="00CE5451" w:rsidRDefault="00203A5B" w:rsidP="002A60E0">
            <w:pPr>
              <w:pStyle w:val="TableHeader"/>
            </w:pPr>
            <w:r w:rsidRPr="00CE5451">
              <w:t>Cycling Option</w:t>
            </w:r>
          </w:p>
        </w:tc>
      </w:tr>
      <w:tr w:rsidR="00203A5B" w:rsidRPr="00CE5451" w:rsidTr="00203A5B">
        <w:trPr>
          <w:trHeight w:val="300"/>
          <w:jc w:val="center"/>
        </w:trPr>
        <w:tc>
          <w:tcPr>
            <w:tcW w:w="1157" w:type="dxa"/>
            <w:vMerge/>
            <w:tcBorders>
              <w:top w:val="single" w:sz="4" w:space="0" w:color="auto"/>
              <w:left w:val="single" w:sz="4" w:space="0" w:color="auto"/>
              <w:bottom w:val="single" w:sz="4" w:space="0" w:color="000000"/>
              <w:right w:val="single" w:sz="4" w:space="0" w:color="FFFFFF"/>
            </w:tcBorders>
            <w:vAlign w:val="center"/>
            <w:hideMark/>
          </w:tcPr>
          <w:p w:rsidR="00203A5B" w:rsidRPr="00CE5451" w:rsidRDefault="00203A5B" w:rsidP="002A60E0">
            <w:pPr>
              <w:pStyle w:val="TableHeader"/>
            </w:pPr>
          </w:p>
        </w:tc>
        <w:tc>
          <w:tcPr>
            <w:tcW w:w="1920" w:type="dxa"/>
            <w:gridSpan w:val="2"/>
            <w:tcBorders>
              <w:top w:val="single" w:sz="4" w:space="0" w:color="FFFFFF"/>
              <w:left w:val="nil"/>
              <w:bottom w:val="single" w:sz="4" w:space="0" w:color="FFFFFF"/>
              <w:right w:val="single" w:sz="4" w:space="0" w:color="FFFFFF"/>
            </w:tcBorders>
            <w:shd w:val="clear" w:color="000000" w:fill="1F497D"/>
            <w:noWrap/>
            <w:vAlign w:val="bottom"/>
            <w:hideMark/>
          </w:tcPr>
          <w:p w:rsidR="00203A5B" w:rsidRPr="00CE5451" w:rsidRDefault="00203A5B" w:rsidP="002A60E0">
            <w:pPr>
              <w:pStyle w:val="TableHeader"/>
            </w:pPr>
            <w:r w:rsidRPr="00CE5451">
              <w:t>Residential</w:t>
            </w:r>
          </w:p>
        </w:tc>
        <w:tc>
          <w:tcPr>
            <w:tcW w:w="1920" w:type="dxa"/>
            <w:gridSpan w:val="2"/>
            <w:tcBorders>
              <w:top w:val="single" w:sz="4" w:space="0" w:color="FFFFFF"/>
              <w:left w:val="nil"/>
              <w:bottom w:val="single" w:sz="4" w:space="0" w:color="FFFFFF"/>
              <w:right w:val="single" w:sz="4" w:space="0" w:color="FFFFFF"/>
            </w:tcBorders>
            <w:shd w:val="clear" w:color="000000" w:fill="1F497D"/>
            <w:noWrap/>
            <w:vAlign w:val="bottom"/>
            <w:hideMark/>
          </w:tcPr>
          <w:p w:rsidR="00203A5B" w:rsidRPr="00CE5451" w:rsidRDefault="00203A5B" w:rsidP="002A60E0">
            <w:pPr>
              <w:pStyle w:val="TableHeader"/>
            </w:pPr>
            <w:r w:rsidRPr="00CE5451">
              <w:t>Commercial</w:t>
            </w:r>
          </w:p>
        </w:tc>
        <w:tc>
          <w:tcPr>
            <w:tcW w:w="2108" w:type="dxa"/>
            <w:gridSpan w:val="2"/>
            <w:tcBorders>
              <w:top w:val="single" w:sz="4" w:space="0" w:color="FFFFFF"/>
              <w:left w:val="nil"/>
              <w:bottom w:val="single" w:sz="4" w:space="0" w:color="FFFFFF"/>
              <w:right w:val="single" w:sz="4" w:space="0" w:color="FFFFFF"/>
            </w:tcBorders>
            <w:shd w:val="clear" w:color="000000" w:fill="1F497D"/>
            <w:noWrap/>
            <w:vAlign w:val="bottom"/>
            <w:hideMark/>
          </w:tcPr>
          <w:p w:rsidR="00203A5B" w:rsidRPr="00CE5451" w:rsidRDefault="00203A5B" w:rsidP="002A60E0">
            <w:pPr>
              <w:pStyle w:val="TableHeader"/>
            </w:pPr>
            <w:r w:rsidRPr="00CE5451">
              <w:t>Residential</w:t>
            </w:r>
          </w:p>
        </w:tc>
        <w:tc>
          <w:tcPr>
            <w:tcW w:w="1732" w:type="dxa"/>
            <w:gridSpan w:val="2"/>
            <w:tcBorders>
              <w:top w:val="single" w:sz="4" w:space="0" w:color="FFFFFF"/>
              <w:left w:val="nil"/>
              <w:bottom w:val="single" w:sz="4" w:space="0" w:color="FFFFFF"/>
              <w:right w:val="single" w:sz="4" w:space="0" w:color="000000"/>
            </w:tcBorders>
            <w:shd w:val="clear" w:color="000000" w:fill="1F497D"/>
            <w:noWrap/>
            <w:vAlign w:val="bottom"/>
            <w:hideMark/>
          </w:tcPr>
          <w:p w:rsidR="00203A5B" w:rsidRPr="00CE5451" w:rsidRDefault="00203A5B" w:rsidP="002A60E0">
            <w:pPr>
              <w:pStyle w:val="TableHeader"/>
            </w:pPr>
            <w:r w:rsidRPr="00CE5451">
              <w:t>Commercial</w:t>
            </w:r>
          </w:p>
        </w:tc>
      </w:tr>
      <w:tr w:rsidR="00203A5B" w:rsidRPr="00CE5451" w:rsidTr="00203A5B">
        <w:trPr>
          <w:trHeight w:val="300"/>
          <w:jc w:val="center"/>
        </w:trPr>
        <w:tc>
          <w:tcPr>
            <w:tcW w:w="1157" w:type="dxa"/>
            <w:vMerge/>
            <w:tcBorders>
              <w:top w:val="single" w:sz="4" w:space="0" w:color="auto"/>
              <w:left w:val="single" w:sz="4" w:space="0" w:color="auto"/>
              <w:bottom w:val="single" w:sz="4" w:space="0" w:color="000000"/>
              <w:right w:val="single" w:sz="4" w:space="0" w:color="FFFFFF"/>
            </w:tcBorders>
            <w:vAlign w:val="center"/>
            <w:hideMark/>
          </w:tcPr>
          <w:p w:rsidR="00203A5B" w:rsidRPr="00CE5451" w:rsidRDefault="00203A5B" w:rsidP="002A60E0">
            <w:pPr>
              <w:pStyle w:val="TableHeader"/>
            </w:pPr>
          </w:p>
        </w:tc>
        <w:tc>
          <w:tcPr>
            <w:tcW w:w="960" w:type="dxa"/>
            <w:tcBorders>
              <w:top w:val="nil"/>
              <w:left w:val="nil"/>
              <w:bottom w:val="single" w:sz="4" w:space="0" w:color="auto"/>
              <w:right w:val="single" w:sz="4" w:space="0" w:color="FFFFFF"/>
            </w:tcBorders>
            <w:shd w:val="clear" w:color="000000" w:fill="1F497D"/>
            <w:noWrap/>
            <w:vAlign w:val="bottom"/>
            <w:hideMark/>
          </w:tcPr>
          <w:p w:rsidR="00203A5B" w:rsidRPr="00CE5451" w:rsidRDefault="00203A5B" w:rsidP="002A60E0">
            <w:pPr>
              <w:pStyle w:val="TableHeader"/>
            </w:pPr>
            <w:r w:rsidRPr="00CE5451">
              <w:t>100</w:t>
            </w:r>
          </w:p>
        </w:tc>
        <w:tc>
          <w:tcPr>
            <w:tcW w:w="960" w:type="dxa"/>
            <w:tcBorders>
              <w:top w:val="nil"/>
              <w:left w:val="nil"/>
              <w:bottom w:val="single" w:sz="4" w:space="0" w:color="auto"/>
              <w:right w:val="single" w:sz="4" w:space="0" w:color="FFFFFF"/>
            </w:tcBorders>
            <w:shd w:val="clear" w:color="000000" w:fill="1F497D"/>
            <w:noWrap/>
            <w:vAlign w:val="bottom"/>
            <w:hideMark/>
          </w:tcPr>
          <w:p w:rsidR="00203A5B" w:rsidRPr="00CE5451" w:rsidRDefault="00203A5B" w:rsidP="002A60E0">
            <w:pPr>
              <w:pStyle w:val="TableHeader"/>
            </w:pPr>
            <w:r w:rsidRPr="00CE5451">
              <w:t>50</w:t>
            </w:r>
          </w:p>
        </w:tc>
        <w:tc>
          <w:tcPr>
            <w:tcW w:w="960" w:type="dxa"/>
            <w:tcBorders>
              <w:top w:val="nil"/>
              <w:left w:val="nil"/>
              <w:bottom w:val="single" w:sz="4" w:space="0" w:color="auto"/>
              <w:right w:val="single" w:sz="4" w:space="0" w:color="FFFFFF"/>
            </w:tcBorders>
            <w:shd w:val="clear" w:color="000000" w:fill="1F497D"/>
            <w:noWrap/>
            <w:vAlign w:val="bottom"/>
            <w:hideMark/>
          </w:tcPr>
          <w:p w:rsidR="00203A5B" w:rsidRPr="00CE5451" w:rsidRDefault="00203A5B" w:rsidP="002A60E0">
            <w:pPr>
              <w:pStyle w:val="TableHeader"/>
            </w:pPr>
            <w:r w:rsidRPr="00CE5451">
              <w:t>50</w:t>
            </w:r>
          </w:p>
        </w:tc>
        <w:tc>
          <w:tcPr>
            <w:tcW w:w="960" w:type="dxa"/>
            <w:tcBorders>
              <w:top w:val="nil"/>
              <w:left w:val="nil"/>
              <w:bottom w:val="single" w:sz="4" w:space="0" w:color="auto"/>
              <w:right w:val="single" w:sz="4" w:space="0" w:color="FFFFFF"/>
            </w:tcBorders>
            <w:shd w:val="clear" w:color="000000" w:fill="1F497D"/>
            <w:noWrap/>
            <w:vAlign w:val="bottom"/>
            <w:hideMark/>
          </w:tcPr>
          <w:p w:rsidR="00203A5B" w:rsidRPr="00CE5451" w:rsidRDefault="00203A5B" w:rsidP="002A60E0">
            <w:pPr>
              <w:pStyle w:val="TableHeader"/>
            </w:pPr>
            <w:r w:rsidRPr="00CE5451">
              <w:t>30</w:t>
            </w:r>
          </w:p>
        </w:tc>
        <w:tc>
          <w:tcPr>
            <w:tcW w:w="1242" w:type="dxa"/>
            <w:tcBorders>
              <w:top w:val="nil"/>
              <w:left w:val="nil"/>
              <w:bottom w:val="single" w:sz="4" w:space="0" w:color="auto"/>
              <w:right w:val="single" w:sz="4" w:space="0" w:color="FFFFFF"/>
            </w:tcBorders>
            <w:shd w:val="clear" w:color="000000" w:fill="1F497D"/>
            <w:noWrap/>
            <w:vAlign w:val="bottom"/>
            <w:hideMark/>
          </w:tcPr>
          <w:p w:rsidR="00203A5B" w:rsidRPr="00CE5451" w:rsidRDefault="00203A5B" w:rsidP="002A60E0">
            <w:pPr>
              <w:pStyle w:val="TableHeader"/>
            </w:pPr>
            <w:r w:rsidRPr="00CE5451">
              <w:t>100</w:t>
            </w:r>
          </w:p>
        </w:tc>
        <w:tc>
          <w:tcPr>
            <w:tcW w:w="866" w:type="dxa"/>
            <w:tcBorders>
              <w:top w:val="nil"/>
              <w:left w:val="nil"/>
              <w:bottom w:val="single" w:sz="4" w:space="0" w:color="auto"/>
              <w:right w:val="single" w:sz="4" w:space="0" w:color="FFFFFF"/>
            </w:tcBorders>
            <w:shd w:val="clear" w:color="000000" w:fill="1F497D"/>
            <w:noWrap/>
            <w:vAlign w:val="bottom"/>
            <w:hideMark/>
          </w:tcPr>
          <w:p w:rsidR="00203A5B" w:rsidRPr="00CE5451" w:rsidRDefault="00203A5B" w:rsidP="002A60E0">
            <w:pPr>
              <w:pStyle w:val="TableHeader"/>
            </w:pPr>
            <w:r w:rsidRPr="00CE5451">
              <w:t>50</w:t>
            </w:r>
          </w:p>
        </w:tc>
        <w:tc>
          <w:tcPr>
            <w:tcW w:w="866" w:type="dxa"/>
            <w:tcBorders>
              <w:top w:val="nil"/>
              <w:left w:val="nil"/>
              <w:bottom w:val="single" w:sz="4" w:space="0" w:color="auto"/>
              <w:right w:val="single" w:sz="4" w:space="0" w:color="FFFFFF"/>
            </w:tcBorders>
            <w:shd w:val="clear" w:color="000000" w:fill="1F497D"/>
            <w:noWrap/>
            <w:vAlign w:val="bottom"/>
            <w:hideMark/>
          </w:tcPr>
          <w:p w:rsidR="00203A5B" w:rsidRPr="00CE5451" w:rsidRDefault="00203A5B" w:rsidP="002A60E0">
            <w:pPr>
              <w:pStyle w:val="TableHeader"/>
            </w:pPr>
            <w:r w:rsidRPr="00CE5451">
              <w:t>50</w:t>
            </w:r>
          </w:p>
        </w:tc>
        <w:tc>
          <w:tcPr>
            <w:tcW w:w="866" w:type="dxa"/>
            <w:tcBorders>
              <w:top w:val="nil"/>
              <w:left w:val="nil"/>
              <w:bottom w:val="single" w:sz="4" w:space="0" w:color="auto"/>
              <w:right w:val="single" w:sz="4" w:space="0" w:color="auto"/>
            </w:tcBorders>
            <w:shd w:val="clear" w:color="000000" w:fill="1F497D"/>
            <w:noWrap/>
            <w:vAlign w:val="bottom"/>
            <w:hideMark/>
          </w:tcPr>
          <w:p w:rsidR="00203A5B" w:rsidRPr="00CE5451" w:rsidRDefault="00203A5B" w:rsidP="002A60E0">
            <w:pPr>
              <w:pStyle w:val="TableHeader"/>
            </w:pPr>
            <w:r w:rsidRPr="00CE5451">
              <w:t>30</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8-Aug-12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0.47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0.47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0.18</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7</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6</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10-Aug-12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0.62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0.47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0.35</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9</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6</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2</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13-Aug-12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0.68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0.21</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10</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9</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2</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17-Aug-12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0.53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0.39</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10</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7</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5</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13-Sep-12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0.59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0.06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0.05</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9</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4</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C0284D" w:rsidP="002A60E0">
            <w:pPr>
              <w:pStyle w:val="TableText"/>
            </w:pPr>
            <w:r>
              <w:t>&lt;0.5</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C0284D" w:rsidP="002A60E0">
            <w:pPr>
              <w:pStyle w:val="TableText"/>
            </w:pPr>
            <w:r>
              <w:t>&lt;0.5</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14-Sep-12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0.65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0.46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0.27</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11</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3</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r>
      <w:tr w:rsidR="00C0284D"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rsidRPr="00CE5451">
              <w:t>15-Sep-12</w:t>
            </w:r>
          </w:p>
        </w:tc>
        <w:tc>
          <w:tcPr>
            <w:tcW w:w="960"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rsidRPr="00CE5451">
              <w:t>1.31</w:t>
            </w:r>
          </w:p>
        </w:tc>
        <w:tc>
          <w:tcPr>
            <w:tcW w:w="960"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rsidRPr="00CE5451">
              <w:t>0.36</w:t>
            </w:r>
          </w:p>
        </w:tc>
        <w:tc>
          <w:tcPr>
            <w:tcW w:w="960"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rsidRPr="00CE5451">
              <w:t>0.82</w:t>
            </w:r>
          </w:p>
        </w:tc>
        <w:tc>
          <w:tcPr>
            <w:tcW w:w="960"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rsidRPr="00CE5451">
              <w:t>0.48</w:t>
            </w:r>
          </w:p>
        </w:tc>
        <w:tc>
          <w:tcPr>
            <w:tcW w:w="1242"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rsidRPr="00CE5451">
              <w:t>8</w:t>
            </w:r>
          </w:p>
        </w:tc>
        <w:tc>
          <w:tcPr>
            <w:tcW w:w="866"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t>&lt;0.5</w:t>
            </w:r>
          </w:p>
        </w:tc>
        <w:tc>
          <w:tcPr>
            <w:tcW w:w="866"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t>&lt;0.5</w:t>
            </w:r>
          </w:p>
        </w:tc>
        <w:tc>
          <w:tcPr>
            <w:tcW w:w="866" w:type="dxa"/>
            <w:tcBorders>
              <w:top w:val="nil"/>
              <w:left w:val="nil"/>
              <w:bottom w:val="single" w:sz="4" w:space="0" w:color="auto"/>
              <w:right w:val="single" w:sz="4" w:space="0" w:color="auto"/>
            </w:tcBorders>
            <w:shd w:val="clear" w:color="auto" w:fill="auto"/>
            <w:noWrap/>
            <w:vAlign w:val="center"/>
            <w:hideMark/>
          </w:tcPr>
          <w:p w:rsidR="00C0284D" w:rsidRPr="00CE5451" w:rsidRDefault="00C0284D" w:rsidP="002A60E0">
            <w:pPr>
              <w:pStyle w:val="TableText"/>
            </w:pPr>
            <w:r>
              <w:t>&lt;0.5</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1-Oct-12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0.54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0.54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0.27</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8</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7</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3</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r>
      <w:tr w:rsidR="00203A5B" w:rsidRPr="00CE5451"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Average*</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0.70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0.51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0.34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0.24</w:t>
            </w:r>
          </w:p>
        </w:tc>
        <w:tc>
          <w:tcPr>
            <w:tcW w:w="1242"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10</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6</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2</w:t>
            </w:r>
          </w:p>
        </w:tc>
        <w:tc>
          <w:tcPr>
            <w:tcW w:w="866" w:type="dxa"/>
            <w:tcBorders>
              <w:top w:val="nil"/>
              <w:left w:val="nil"/>
              <w:bottom w:val="single" w:sz="4" w:space="0" w:color="auto"/>
              <w:right w:val="single" w:sz="4" w:space="0" w:color="auto"/>
            </w:tcBorders>
            <w:shd w:val="clear" w:color="auto" w:fill="auto"/>
            <w:noWrap/>
            <w:vAlign w:val="center"/>
            <w:hideMark/>
          </w:tcPr>
          <w:p w:rsidR="00203A5B" w:rsidRPr="00CE5451" w:rsidRDefault="00203A5B" w:rsidP="002A60E0">
            <w:pPr>
              <w:pStyle w:val="TableText"/>
            </w:pPr>
            <w:r w:rsidRPr="00CE5451">
              <w:t>1</w:t>
            </w:r>
          </w:p>
        </w:tc>
      </w:tr>
      <w:tr w:rsidR="00203A5B" w:rsidRPr="00CE5451" w:rsidTr="00203A5B">
        <w:trPr>
          <w:trHeight w:val="300"/>
          <w:jc w:val="center"/>
        </w:trPr>
        <w:tc>
          <w:tcPr>
            <w:tcW w:w="7105" w:type="dxa"/>
            <w:gridSpan w:val="7"/>
            <w:tcBorders>
              <w:top w:val="nil"/>
              <w:left w:val="nil"/>
              <w:bottom w:val="nil"/>
              <w:right w:val="nil"/>
            </w:tcBorders>
            <w:shd w:val="clear" w:color="auto" w:fill="auto"/>
            <w:noWrap/>
            <w:vAlign w:val="center"/>
            <w:hideMark/>
          </w:tcPr>
          <w:p w:rsidR="00E03387" w:rsidRDefault="00203A5B">
            <w:pPr>
              <w:pStyle w:val="Footnote"/>
              <w:rPr>
                <w:rFonts w:eastAsia="Times New Roman" w:cs="Arial"/>
                <w:b/>
                <w:color w:val="FFFFFF"/>
              </w:rPr>
            </w:pPr>
            <w:r w:rsidRPr="00CE5451">
              <w:t>*reflects the average 2-hour event from 2-4 PM, omitting the Aug. 10 and Sept. 15 events.</w:t>
            </w:r>
          </w:p>
        </w:tc>
        <w:tc>
          <w:tcPr>
            <w:tcW w:w="866" w:type="dxa"/>
            <w:tcBorders>
              <w:top w:val="nil"/>
              <w:left w:val="nil"/>
              <w:bottom w:val="nil"/>
              <w:right w:val="nil"/>
            </w:tcBorders>
            <w:shd w:val="clear" w:color="auto" w:fill="auto"/>
            <w:noWrap/>
            <w:vAlign w:val="bottom"/>
            <w:hideMark/>
          </w:tcPr>
          <w:p w:rsidR="00203A5B" w:rsidRPr="00CE5451" w:rsidRDefault="00203A5B" w:rsidP="00203A5B">
            <w:pPr>
              <w:spacing w:after="0" w:line="240" w:lineRule="auto"/>
              <w:rPr>
                <w:rFonts w:eastAsia="Times New Roman" w:cs="Calibri"/>
                <w:color w:val="000000"/>
              </w:rPr>
            </w:pPr>
          </w:p>
        </w:tc>
        <w:tc>
          <w:tcPr>
            <w:tcW w:w="866" w:type="dxa"/>
            <w:tcBorders>
              <w:top w:val="nil"/>
              <w:left w:val="nil"/>
              <w:bottom w:val="nil"/>
              <w:right w:val="nil"/>
            </w:tcBorders>
            <w:shd w:val="clear" w:color="auto" w:fill="auto"/>
            <w:noWrap/>
            <w:vAlign w:val="bottom"/>
            <w:hideMark/>
          </w:tcPr>
          <w:p w:rsidR="00203A5B" w:rsidRPr="00CE5451" w:rsidRDefault="00203A5B" w:rsidP="00203A5B">
            <w:pPr>
              <w:spacing w:after="0" w:line="240" w:lineRule="auto"/>
              <w:rPr>
                <w:rFonts w:eastAsia="Times New Roman" w:cs="Calibri"/>
                <w:color w:val="000000"/>
              </w:rPr>
            </w:pPr>
          </w:p>
        </w:tc>
      </w:tr>
    </w:tbl>
    <w:p w:rsidR="00203A5B" w:rsidRDefault="00203A5B" w:rsidP="00203A5B">
      <w:pPr>
        <w:pStyle w:val="BodyParaAfterTableFigure"/>
      </w:pPr>
      <w:r>
        <w:t xml:space="preserve">It is also important to note the significant differences in usage between cycling options that mask the difference in load impacts between cycling options, particularly for residential customers.  Residential customers enrolled on 50% cycling used about 2.5 kW across the hours of 2 to 4 PM on the average event day, while residential customers enrolled on 100% cycling used roughly 2 kW during the same time period.  Scaling the 100% cycling results to the 50% cycling loads, the impact for the average event for customers on 100% cycling would be about 0.90 kW.  The difference in usage for commercial customers on 30% cycling and 50% cycling during this same time period is about 5%, with customers on the 30% cycling option using slightly more.  This does not have a material impact on the results by cycling option for commercial customers. </w:t>
      </w:r>
    </w:p>
    <w:p w:rsidR="00203A5B" w:rsidRPr="00263F86" w:rsidRDefault="00263F86" w:rsidP="002A60E0">
      <w:pPr>
        <w:pStyle w:val="Heading2"/>
        <w:rPr>
          <w:rFonts w:eastAsia="Times New Roman"/>
        </w:rPr>
      </w:pPr>
      <w:bookmarkStart w:id="44" w:name="_Toc350953041"/>
      <w:r w:rsidRPr="00263F86">
        <w:rPr>
          <w:rFonts w:eastAsia="Times New Roman"/>
        </w:rPr>
        <w:t>Free Riders</w:t>
      </w:r>
      <w:bookmarkEnd w:id="44"/>
    </w:p>
    <w:p w:rsidR="00351B4E" w:rsidRDefault="00263F86" w:rsidP="00263F86">
      <w:pPr>
        <w:pStyle w:val="BodyParagraph"/>
      </w:pPr>
      <w:r>
        <w:t>One important issue for the cost-effectiveness of the program is the fraction of customers who sign up for the program, but who</w:t>
      </w:r>
      <w:r w:rsidR="00351B4E">
        <w:t xml:space="preserve"> do not use their air conditioning much or at all.  These customers are compensated for being on the program, but are likely to provide little load impact.  To examine the fraction of possible free riders on the program, FSC used sub-metered data collected for contract settlement between AER and SDG&amp;E to find the fraction of each population segment that had little AC usage.  The sub-metered data was collected from a representative sample of residential and commercial AC units.  The sample contained 620 AC units divided approximately evenly between the four combinations of </w:t>
      </w:r>
      <w:r w:rsidR="003750A7">
        <w:t xml:space="preserve">percentage </w:t>
      </w:r>
      <w:r w:rsidR="00351B4E">
        <w:t xml:space="preserve">cycling option and residential/commercial. FSC calculated the fraction of AC units in each segment that had zero usage, averaged over all 11 AM-7 PM on days with high temperature above 80°F. FSC also calculated the same fraction for units with average usage below 0.05 kW over the same set of hours.  </w:t>
      </w:r>
      <w:r w:rsidR="00BF4DB9">
        <w:t xml:space="preserve">The same calculations were also done dividing the population based on the weekday-only versus seven day event option.  </w:t>
      </w:r>
      <w:r w:rsidR="00351B4E">
        <w:t xml:space="preserve">The results are shown in Tables </w:t>
      </w:r>
      <w:r w:rsidR="00BF4DB9">
        <w:t>4-4 and 4-5.  By both metrics, residential customers on 100% cycling are much more likely to use very little AC.  The differences between the weekday only option and the all week option for residential customers is smaller, but there is a tendency for weekday only customers to be more likely to use very little AC.  Commercial customers are generally much less likely to use very little AC, which makes sense.  The differences between the commercial cycling options are fairly small in Table 4-6.</w:t>
      </w:r>
    </w:p>
    <w:p w:rsidR="00BF4DB9" w:rsidRDefault="00BF4DB9" w:rsidP="00BF4DB9">
      <w:pPr>
        <w:pStyle w:val="TableFigureCaption"/>
      </w:pPr>
      <w:r>
        <w:t>Table 4-4: Fraction of Residential AC Units with Small Average Usage on Warm Afternoons</w:t>
      </w:r>
    </w:p>
    <w:tbl>
      <w:tblPr>
        <w:tblW w:w="5845" w:type="dxa"/>
        <w:jc w:val="center"/>
        <w:tblInd w:w="-386" w:type="dxa"/>
        <w:tblLook w:val="04A0"/>
      </w:tblPr>
      <w:tblGrid>
        <w:gridCol w:w="1353"/>
        <w:gridCol w:w="846"/>
        <w:gridCol w:w="1074"/>
        <w:gridCol w:w="1270"/>
        <w:gridCol w:w="1302"/>
      </w:tblGrid>
      <w:tr w:rsidR="00BF4DB9" w:rsidRPr="00BF4DB9" w:rsidTr="00BF4DB9">
        <w:trPr>
          <w:trHeight w:val="300"/>
          <w:jc w:val="center"/>
        </w:trPr>
        <w:tc>
          <w:tcPr>
            <w:tcW w:w="1353"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BF4DB9" w:rsidRPr="00BF4DB9" w:rsidRDefault="00BF4DB9" w:rsidP="00BF4DB9">
            <w:pPr>
              <w:pStyle w:val="TableHeader"/>
              <w:keepNext/>
            </w:pPr>
            <w:r w:rsidRPr="00BF4DB9">
              <w:t>Average Usage</w:t>
            </w:r>
          </w:p>
        </w:tc>
        <w:tc>
          <w:tcPr>
            <w:tcW w:w="1920" w:type="dxa"/>
            <w:gridSpan w:val="2"/>
            <w:tcBorders>
              <w:top w:val="single" w:sz="4" w:space="0" w:color="auto"/>
              <w:left w:val="nil"/>
              <w:bottom w:val="single" w:sz="4" w:space="0" w:color="FFFFFF"/>
              <w:right w:val="single" w:sz="4" w:space="0" w:color="FFFFFF"/>
            </w:tcBorders>
            <w:shd w:val="clear" w:color="000000" w:fill="1F497D"/>
            <w:noWrap/>
            <w:vAlign w:val="center"/>
            <w:hideMark/>
          </w:tcPr>
          <w:p w:rsidR="00BF4DB9" w:rsidRPr="00BF4DB9" w:rsidRDefault="00BF4DB9" w:rsidP="00BF4DB9">
            <w:pPr>
              <w:pStyle w:val="TableHeader"/>
              <w:keepNext/>
            </w:pPr>
            <w:r w:rsidRPr="00BF4DB9">
              <w:t>Cycling Percentage</w:t>
            </w:r>
          </w:p>
        </w:tc>
        <w:tc>
          <w:tcPr>
            <w:tcW w:w="2572" w:type="dxa"/>
            <w:gridSpan w:val="2"/>
            <w:tcBorders>
              <w:top w:val="single" w:sz="4" w:space="0" w:color="auto"/>
              <w:left w:val="nil"/>
              <w:bottom w:val="single" w:sz="4" w:space="0" w:color="FFFFFF"/>
              <w:right w:val="single" w:sz="4" w:space="0" w:color="000000"/>
            </w:tcBorders>
            <w:shd w:val="clear" w:color="000000" w:fill="1F497D"/>
            <w:noWrap/>
            <w:vAlign w:val="center"/>
            <w:hideMark/>
          </w:tcPr>
          <w:p w:rsidR="00BF4DB9" w:rsidRPr="00BF4DB9" w:rsidRDefault="00BF4DB9" w:rsidP="00BF4DB9">
            <w:pPr>
              <w:pStyle w:val="TableHeader"/>
              <w:keepNext/>
            </w:pPr>
            <w:r w:rsidRPr="00BF4DB9">
              <w:t>Cycle Plan</w:t>
            </w:r>
          </w:p>
        </w:tc>
      </w:tr>
      <w:tr w:rsidR="00BF4DB9" w:rsidRPr="00BF4DB9" w:rsidTr="00BF4DB9">
        <w:trPr>
          <w:trHeight w:val="300"/>
          <w:jc w:val="center"/>
        </w:trPr>
        <w:tc>
          <w:tcPr>
            <w:tcW w:w="1353" w:type="dxa"/>
            <w:vMerge/>
            <w:tcBorders>
              <w:top w:val="single" w:sz="4" w:space="0" w:color="auto"/>
              <w:left w:val="single" w:sz="4" w:space="0" w:color="auto"/>
              <w:bottom w:val="single" w:sz="4" w:space="0" w:color="000000"/>
              <w:right w:val="single" w:sz="4" w:space="0" w:color="FFFFFF"/>
            </w:tcBorders>
            <w:vAlign w:val="center"/>
            <w:hideMark/>
          </w:tcPr>
          <w:p w:rsidR="00BF4DB9" w:rsidRPr="00BF4DB9" w:rsidRDefault="00BF4DB9" w:rsidP="00BF4DB9">
            <w:pPr>
              <w:pStyle w:val="TableHeader"/>
              <w:keepNext/>
            </w:pPr>
          </w:p>
        </w:tc>
        <w:tc>
          <w:tcPr>
            <w:tcW w:w="846" w:type="dxa"/>
            <w:tcBorders>
              <w:top w:val="nil"/>
              <w:left w:val="nil"/>
              <w:bottom w:val="single" w:sz="4" w:space="0" w:color="auto"/>
              <w:right w:val="single" w:sz="4" w:space="0" w:color="FFFFFF"/>
            </w:tcBorders>
            <w:shd w:val="clear" w:color="000000" w:fill="1F497D"/>
            <w:noWrap/>
            <w:vAlign w:val="center"/>
            <w:hideMark/>
          </w:tcPr>
          <w:p w:rsidR="00BF4DB9" w:rsidRPr="00BF4DB9" w:rsidRDefault="00BF4DB9" w:rsidP="00BF4DB9">
            <w:pPr>
              <w:pStyle w:val="TableHeader"/>
              <w:keepNext/>
            </w:pPr>
            <w:r w:rsidRPr="00BF4DB9">
              <w:t>50%</w:t>
            </w:r>
          </w:p>
        </w:tc>
        <w:tc>
          <w:tcPr>
            <w:tcW w:w="1074" w:type="dxa"/>
            <w:tcBorders>
              <w:top w:val="nil"/>
              <w:left w:val="nil"/>
              <w:bottom w:val="single" w:sz="4" w:space="0" w:color="auto"/>
              <w:right w:val="single" w:sz="4" w:space="0" w:color="FFFFFF"/>
            </w:tcBorders>
            <w:shd w:val="clear" w:color="000000" w:fill="1F497D"/>
            <w:noWrap/>
            <w:vAlign w:val="center"/>
            <w:hideMark/>
          </w:tcPr>
          <w:p w:rsidR="00BF4DB9" w:rsidRPr="00BF4DB9" w:rsidRDefault="00BF4DB9" w:rsidP="00BF4DB9">
            <w:pPr>
              <w:pStyle w:val="TableHeader"/>
              <w:keepNext/>
            </w:pPr>
            <w:r w:rsidRPr="00BF4DB9">
              <w:t>100%</w:t>
            </w:r>
          </w:p>
        </w:tc>
        <w:tc>
          <w:tcPr>
            <w:tcW w:w="1270" w:type="dxa"/>
            <w:tcBorders>
              <w:top w:val="nil"/>
              <w:left w:val="nil"/>
              <w:bottom w:val="single" w:sz="4" w:space="0" w:color="auto"/>
              <w:right w:val="single" w:sz="4" w:space="0" w:color="FFFFFF"/>
            </w:tcBorders>
            <w:shd w:val="clear" w:color="000000" w:fill="1F497D"/>
            <w:noWrap/>
            <w:vAlign w:val="center"/>
            <w:hideMark/>
          </w:tcPr>
          <w:p w:rsidR="00BF4DB9" w:rsidRPr="00BF4DB9" w:rsidRDefault="00BF4DB9" w:rsidP="00BF4DB9">
            <w:pPr>
              <w:pStyle w:val="TableHeader"/>
              <w:keepNext/>
            </w:pPr>
            <w:r>
              <w:t>Weekday only</w:t>
            </w:r>
          </w:p>
        </w:tc>
        <w:tc>
          <w:tcPr>
            <w:tcW w:w="1302" w:type="dxa"/>
            <w:tcBorders>
              <w:top w:val="nil"/>
              <w:left w:val="nil"/>
              <w:bottom w:val="single" w:sz="4" w:space="0" w:color="auto"/>
              <w:right w:val="single" w:sz="4" w:space="0" w:color="auto"/>
            </w:tcBorders>
            <w:shd w:val="clear" w:color="000000" w:fill="1F497D"/>
            <w:noWrap/>
            <w:vAlign w:val="center"/>
            <w:hideMark/>
          </w:tcPr>
          <w:p w:rsidR="00BF4DB9" w:rsidRPr="00BF4DB9" w:rsidRDefault="00BF4DB9" w:rsidP="00BF4DB9">
            <w:pPr>
              <w:pStyle w:val="TableHeader"/>
              <w:keepNext/>
            </w:pPr>
            <w:r w:rsidRPr="00BF4DB9">
              <w:t>All Week</w:t>
            </w:r>
          </w:p>
        </w:tc>
      </w:tr>
      <w:tr w:rsidR="00BF4DB9" w:rsidRPr="00BF4DB9" w:rsidTr="00BF4DB9">
        <w:trPr>
          <w:trHeight w:val="300"/>
          <w:jc w:val="center"/>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rsidR="00BF4DB9" w:rsidRPr="00BF4DB9" w:rsidRDefault="00BF4DB9" w:rsidP="00BF4DB9">
            <w:pPr>
              <w:pStyle w:val="TableText"/>
              <w:keepNext/>
            </w:pPr>
            <w:r w:rsidRPr="00BF4DB9">
              <w:t>0 kW</w:t>
            </w:r>
          </w:p>
        </w:tc>
        <w:tc>
          <w:tcPr>
            <w:tcW w:w="846"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keepNext/>
            </w:pPr>
            <w:r w:rsidRPr="00BF4DB9">
              <w:t>5%</w:t>
            </w:r>
          </w:p>
        </w:tc>
        <w:tc>
          <w:tcPr>
            <w:tcW w:w="1074"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keepNext/>
            </w:pPr>
            <w:r w:rsidRPr="00BF4DB9">
              <w:t>9%</w:t>
            </w:r>
          </w:p>
        </w:tc>
        <w:tc>
          <w:tcPr>
            <w:tcW w:w="1270"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keepNext/>
            </w:pPr>
            <w:r w:rsidRPr="00BF4DB9">
              <w:t>5%</w:t>
            </w:r>
          </w:p>
        </w:tc>
        <w:tc>
          <w:tcPr>
            <w:tcW w:w="1302"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keepNext/>
            </w:pPr>
            <w:r w:rsidRPr="00BF4DB9">
              <w:t>9%</w:t>
            </w:r>
          </w:p>
        </w:tc>
      </w:tr>
      <w:tr w:rsidR="00BF4DB9" w:rsidRPr="00BF4DB9" w:rsidTr="00BF4DB9">
        <w:trPr>
          <w:trHeight w:val="300"/>
          <w:jc w:val="center"/>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&lt;0.05 kW</w:t>
            </w:r>
          </w:p>
        </w:tc>
        <w:tc>
          <w:tcPr>
            <w:tcW w:w="846"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13%</w:t>
            </w:r>
          </w:p>
        </w:tc>
        <w:tc>
          <w:tcPr>
            <w:tcW w:w="1074"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25%</w:t>
            </w:r>
          </w:p>
        </w:tc>
        <w:tc>
          <w:tcPr>
            <w:tcW w:w="1270"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22%</w:t>
            </w:r>
          </w:p>
        </w:tc>
        <w:tc>
          <w:tcPr>
            <w:tcW w:w="1302"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17%</w:t>
            </w:r>
          </w:p>
        </w:tc>
      </w:tr>
    </w:tbl>
    <w:p w:rsidR="00BF4DB9" w:rsidRDefault="00BF4DB9" w:rsidP="00BF4DB9">
      <w:pPr>
        <w:pStyle w:val="TableFigureCaption"/>
      </w:pPr>
    </w:p>
    <w:p w:rsidR="00BF4DB9" w:rsidRDefault="00BF4DB9" w:rsidP="00BF4DB9">
      <w:pPr>
        <w:pStyle w:val="TableFigureCaption"/>
      </w:pPr>
      <w:r>
        <w:t>Table 4-5: Fraction of Commercial AC Units with Small Average Usage on Warm Afternoons</w:t>
      </w:r>
    </w:p>
    <w:tbl>
      <w:tblPr>
        <w:tblW w:w="5845" w:type="dxa"/>
        <w:jc w:val="center"/>
        <w:tblInd w:w="-386" w:type="dxa"/>
        <w:tblLook w:val="04A0"/>
      </w:tblPr>
      <w:tblGrid>
        <w:gridCol w:w="1353"/>
        <w:gridCol w:w="846"/>
        <w:gridCol w:w="1074"/>
        <w:gridCol w:w="1270"/>
        <w:gridCol w:w="1302"/>
      </w:tblGrid>
      <w:tr w:rsidR="00BF4DB9" w:rsidRPr="00BF4DB9" w:rsidTr="00D2252A">
        <w:trPr>
          <w:trHeight w:val="300"/>
          <w:jc w:val="center"/>
        </w:trPr>
        <w:tc>
          <w:tcPr>
            <w:tcW w:w="1353"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BF4DB9" w:rsidRPr="00BF4DB9" w:rsidRDefault="00BF4DB9" w:rsidP="00BF4DB9">
            <w:pPr>
              <w:pStyle w:val="TableHeader"/>
              <w:keepNext/>
            </w:pPr>
            <w:r w:rsidRPr="00BF4DB9">
              <w:t>Average Usage</w:t>
            </w:r>
          </w:p>
        </w:tc>
        <w:tc>
          <w:tcPr>
            <w:tcW w:w="1920" w:type="dxa"/>
            <w:gridSpan w:val="2"/>
            <w:tcBorders>
              <w:top w:val="single" w:sz="4" w:space="0" w:color="auto"/>
              <w:left w:val="nil"/>
              <w:bottom w:val="single" w:sz="4" w:space="0" w:color="FFFFFF"/>
              <w:right w:val="single" w:sz="4" w:space="0" w:color="FFFFFF"/>
            </w:tcBorders>
            <w:shd w:val="clear" w:color="000000" w:fill="1F497D"/>
            <w:noWrap/>
            <w:vAlign w:val="center"/>
            <w:hideMark/>
          </w:tcPr>
          <w:p w:rsidR="00BF4DB9" w:rsidRPr="00BF4DB9" w:rsidRDefault="00BF4DB9" w:rsidP="00BF4DB9">
            <w:pPr>
              <w:pStyle w:val="TableHeader"/>
              <w:keepNext/>
            </w:pPr>
            <w:r w:rsidRPr="00BF4DB9">
              <w:t>Cycling Percentage</w:t>
            </w:r>
          </w:p>
        </w:tc>
        <w:tc>
          <w:tcPr>
            <w:tcW w:w="2572" w:type="dxa"/>
            <w:gridSpan w:val="2"/>
            <w:tcBorders>
              <w:top w:val="single" w:sz="4" w:space="0" w:color="auto"/>
              <w:left w:val="nil"/>
              <w:bottom w:val="single" w:sz="4" w:space="0" w:color="FFFFFF"/>
              <w:right w:val="single" w:sz="4" w:space="0" w:color="000000"/>
            </w:tcBorders>
            <w:shd w:val="clear" w:color="000000" w:fill="1F497D"/>
            <w:noWrap/>
            <w:vAlign w:val="center"/>
            <w:hideMark/>
          </w:tcPr>
          <w:p w:rsidR="00BF4DB9" w:rsidRPr="00BF4DB9" w:rsidRDefault="00BF4DB9" w:rsidP="00BF4DB9">
            <w:pPr>
              <w:pStyle w:val="TableHeader"/>
              <w:keepNext/>
            </w:pPr>
            <w:r w:rsidRPr="00BF4DB9">
              <w:t>Cycle Plan</w:t>
            </w:r>
          </w:p>
        </w:tc>
      </w:tr>
      <w:tr w:rsidR="00BF4DB9" w:rsidRPr="00BF4DB9" w:rsidTr="00D2252A">
        <w:trPr>
          <w:trHeight w:val="300"/>
          <w:jc w:val="center"/>
        </w:trPr>
        <w:tc>
          <w:tcPr>
            <w:tcW w:w="1353" w:type="dxa"/>
            <w:vMerge/>
            <w:tcBorders>
              <w:top w:val="single" w:sz="4" w:space="0" w:color="auto"/>
              <w:left w:val="single" w:sz="4" w:space="0" w:color="auto"/>
              <w:bottom w:val="single" w:sz="4" w:space="0" w:color="000000"/>
              <w:right w:val="single" w:sz="4" w:space="0" w:color="FFFFFF"/>
            </w:tcBorders>
            <w:vAlign w:val="center"/>
            <w:hideMark/>
          </w:tcPr>
          <w:p w:rsidR="00BF4DB9" w:rsidRPr="00BF4DB9" w:rsidRDefault="00BF4DB9" w:rsidP="00BF4DB9">
            <w:pPr>
              <w:pStyle w:val="TableHeader"/>
              <w:keepNext/>
            </w:pPr>
          </w:p>
        </w:tc>
        <w:tc>
          <w:tcPr>
            <w:tcW w:w="846" w:type="dxa"/>
            <w:tcBorders>
              <w:top w:val="nil"/>
              <w:left w:val="nil"/>
              <w:bottom w:val="single" w:sz="4" w:space="0" w:color="auto"/>
              <w:right w:val="single" w:sz="4" w:space="0" w:color="FFFFFF"/>
            </w:tcBorders>
            <w:shd w:val="clear" w:color="000000" w:fill="1F497D"/>
            <w:noWrap/>
            <w:vAlign w:val="center"/>
            <w:hideMark/>
          </w:tcPr>
          <w:p w:rsidR="00BF4DB9" w:rsidRPr="00BF4DB9" w:rsidRDefault="00BF4DB9" w:rsidP="00BF4DB9">
            <w:pPr>
              <w:pStyle w:val="TableHeader"/>
              <w:keepNext/>
            </w:pPr>
            <w:r>
              <w:t>3</w:t>
            </w:r>
            <w:r w:rsidRPr="00BF4DB9">
              <w:t>0%</w:t>
            </w:r>
          </w:p>
        </w:tc>
        <w:tc>
          <w:tcPr>
            <w:tcW w:w="1074" w:type="dxa"/>
            <w:tcBorders>
              <w:top w:val="nil"/>
              <w:left w:val="nil"/>
              <w:bottom w:val="single" w:sz="4" w:space="0" w:color="auto"/>
              <w:right w:val="single" w:sz="4" w:space="0" w:color="FFFFFF"/>
            </w:tcBorders>
            <w:shd w:val="clear" w:color="000000" w:fill="1F497D"/>
            <w:noWrap/>
            <w:vAlign w:val="center"/>
            <w:hideMark/>
          </w:tcPr>
          <w:p w:rsidR="00BF4DB9" w:rsidRPr="00BF4DB9" w:rsidRDefault="00BF4DB9" w:rsidP="00BF4DB9">
            <w:pPr>
              <w:pStyle w:val="TableHeader"/>
              <w:keepNext/>
            </w:pPr>
            <w:r>
              <w:t>5</w:t>
            </w:r>
            <w:r w:rsidRPr="00BF4DB9">
              <w:t>0%</w:t>
            </w:r>
          </w:p>
        </w:tc>
        <w:tc>
          <w:tcPr>
            <w:tcW w:w="1270" w:type="dxa"/>
            <w:tcBorders>
              <w:top w:val="nil"/>
              <w:left w:val="nil"/>
              <w:bottom w:val="single" w:sz="4" w:space="0" w:color="auto"/>
              <w:right w:val="single" w:sz="4" w:space="0" w:color="FFFFFF"/>
            </w:tcBorders>
            <w:shd w:val="clear" w:color="000000" w:fill="1F497D"/>
            <w:noWrap/>
            <w:vAlign w:val="center"/>
            <w:hideMark/>
          </w:tcPr>
          <w:p w:rsidR="00BF4DB9" w:rsidRPr="00BF4DB9" w:rsidRDefault="00BF4DB9" w:rsidP="00BF4DB9">
            <w:pPr>
              <w:pStyle w:val="TableHeader"/>
              <w:keepNext/>
            </w:pPr>
            <w:r>
              <w:t>Weekday only</w:t>
            </w:r>
          </w:p>
        </w:tc>
        <w:tc>
          <w:tcPr>
            <w:tcW w:w="1302" w:type="dxa"/>
            <w:tcBorders>
              <w:top w:val="nil"/>
              <w:left w:val="nil"/>
              <w:bottom w:val="single" w:sz="4" w:space="0" w:color="auto"/>
              <w:right w:val="single" w:sz="4" w:space="0" w:color="auto"/>
            </w:tcBorders>
            <w:shd w:val="clear" w:color="000000" w:fill="1F497D"/>
            <w:noWrap/>
            <w:vAlign w:val="center"/>
            <w:hideMark/>
          </w:tcPr>
          <w:p w:rsidR="00BF4DB9" w:rsidRPr="00BF4DB9" w:rsidRDefault="00BF4DB9" w:rsidP="00BF4DB9">
            <w:pPr>
              <w:pStyle w:val="TableHeader"/>
              <w:keepNext/>
            </w:pPr>
            <w:r w:rsidRPr="00BF4DB9">
              <w:t>All Week</w:t>
            </w:r>
          </w:p>
        </w:tc>
      </w:tr>
      <w:tr w:rsidR="00BF4DB9" w:rsidRPr="00BF4DB9" w:rsidTr="00D2252A">
        <w:trPr>
          <w:trHeight w:val="300"/>
          <w:jc w:val="center"/>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rsidR="00BF4DB9" w:rsidRPr="00BF4DB9" w:rsidRDefault="00BF4DB9" w:rsidP="00BF4DB9">
            <w:pPr>
              <w:pStyle w:val="TableText"/>
              <w:keepNext/>
            </w:pPr>
            <w:r w:rsidRPr="00BF4DB9">
              <w:t>0 kW</w:t>
            </w:r>
          </w:p>
        </w:tc>
        <w:tc>
          <w:tcPr>
            <w:tcW w:w="846"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1%</w:t>
            </w:r>
          </w:p>
        </w:tc>
        <w:tc>
          <w:tcPr>
            <w:tcW w:w="1074"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0%</w:t>
            </w:r>
          </w:p>
        </w:tc>
        <w:tc>
          <w:tcPr>
            <w:tcW w:w="1270"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0%</w:t>
            </w:r>
          </w:p>
        </w:tc>
        <w:tc>
          <w:tcPr>
            <w:tcW w:w="1302"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1%</w:t>
            </w:r>
          </w:p>
        </w:tc>
      </w:tr>
      <w:tr w:rsidR="00BF4DB9" w:rsidRPr="00BF4DB9" w:rsidTr="00D2252A">
        <w:trPr>
          <w:trHeight w:val="300"/>
          <w:jc w:val="center"/>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rsidR="00BF4DB9" w:rsidRPr="00BF4DB9" w:rsidRDefault="00BF4DB9" w:rsidP="00D2252A">
            <w:pPr>
              <w:pStyle w:val="TableText"/>
            </w:pPr>
            <w:r w:rsidRPr="00BF4DB9">
              <w:t>&lt;0.05 kW</w:t>
            </w:r>
          </w:p>
        </w:tc>
        <w:tc>
          <w:tcPr>
            <w:tcW w:w="846"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6%</w:t>
            </w:r>
          </w:p>
        </w:tc>
        <w:tc>
          <w:tcPr>
            <w:tcW w:w="1074"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8%</w:t>
            </w:r>
          </w:p>
        </w:tc>
        <w:tc>
          <w:tcPr>
            <w:tcW w:w="1270"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6%</w:t>
            </w:r>
          </w:p>
        </w:tc>
        <w:tc>
          <w:tcPr>
            <w:tcW w:w="1302" w:type="dxa"/>
            <w:tcBorders>
              <w:top w:val="nil"/>
              <w:left w:val="nil"/>
              <w:bottom w:val="single" w:sz="4" w:space="0" w:color="auto"/>
              <w:right w:val="single" w:sz="4" w:space="0" w:color="auto"/>
            </w:tcBorders>
            <w:shd w:val="clear" w:color="auto" w:fill="auto"/>
            <w:noWrap/>
            <w:vAlign w:val="bottom"/>
            <w:hideMark/>
          </w:tcPr>
          <w:p w:rsidR="00BF4DB9" w:rsidRPr="00BF4DB9" w:rsidRDefault="00BF4DB9" w:rsidP="00BF4DB9">
            <w:pPr>
              <w:pStyle w:val="TableText"/>
            </w:pPr>
            <w:r w:rsidRPr="00BF4DB9">
              <w:t>7%</w:t>
            </w:r>
          </w:p>
        </w:tc>
      </w:tr>
    </w:tbl>
    <w:p w:rsidR="00203A5B" w:rsidRPr="002E7599" w:rsidRDefault="00203A5B" w:rsidP="00203A5B">
      <w:pPr>
        <w:pStyle w:val="BodyParagraph"/>
      </w:pPr>
    </w:p>
    <w:p w:rsidR="00203A5B" w:rsidRDefault="00203A5B" w:rsidP="002A60E0">
      <w:pPr>
        <w:pStyle w:val="Heading2"/>
      </w:pPr>
      <w:bookmarkStart w:id="45" w:name="_Toc349548911"/>
      <w:bookmarkStart w:id="46" w:name="_Toc350953042"/>
      <w:r w:rsidRPr="002A60E0">
        <w:t>The</w:t>
      </w:r>
      <w:r>
        <w:t xml:space="preserve"> Distribution of Impacts </w:t>
      </w:r>
      <w:proofErr w:type="gramStart"/>
      <w:r w:rsidR="00E379AC">
        <w:t>A</w:t>
      </w:r>
      <w:r>
        <w:t>cross</w:t>
      </w:r>
      <w:proofErr w:type="gramEnd"/>
      <w:r>
        <w:t xml:space="preserve"> Customers</w:t>
      </w:r>
      <w:bookmarkEnd w:id="45"/>
      <w:bookmarkEnd w:id="46"/>
    </w:p>
    <w:p w:rsidR="00203A5B" w:rsidRDefault="00203A5B" w:rsidP="00203A5B">
      <w:pPr>
        <w:pStyle w:val="BodyParagraph"/>
      </w:pPr>
      <w:r>
        <w:t xml:space="preserve">Table 4-5 shows estimated event impacts for customers segmented into deciles of average load on hot, non-event days.  In this procedure, each customer was placed into a decile category based on their average usage during the peak hours </w:t>
      </w:r>
      <w:r w:rsidR="00D250DD">
        <w:t>of</w:t>
      </w:r>
      <w:r>
        <w:t xml:space="preserve"> 11 AM to 6 PM on hot non-event weekdays.  </w:t>
      </w:r>
    </w:p>
    <w:p w:rsidR="00203A5B" w:rsidRDefault="00203A5B" w:rsidP="00203A5B">
      <w:pPr>
        <w:pStyle w:val="BodyParagraph"/>
      </w:pPr>
      <w:r>
        <w:t xml:space="preserve">For residential customers, impact estimates were calculated separately for each decile using the average control and treatment group loads for each decile on the average event day.  The commercial customer impact estimates by decile were calculated separately for each decile using a panel model for each decile and estimating the average event effect.  </w:t>
      </w:r>
    </w:p>
    <w:p w:rsidR="00203A5B" w:rsidRDefault="00203A5B" w:rsidP="00203A5B">
      <w:pPr>
        <w:pStyle w:val="BodyParagraph"/>
      </w:pPr>
      <w:r>
        <w:t xml:space="preserve">As </w:t>
      </w:r>
      <w:r w:rsidR="00D250DD">
        <w:t>T</w:t>
      </w:r>
      <w:r>
        <w:t>able</w:t>
      </w:r>
      <w:r w:rsidR="00D250DD">
        <w:t xml:space="preserve"> 4-5</w:t>
      </w:r>
      <w:r>
        <w:t xml:space="preserve"> shows, non-event day loads are strongly predictive of average impacts.  The table indicates that the top 30% of customers provide 68% and 52% of residential and commercial aggregate load impacts, respectively.</w:t>
      </w:r>
    </w:p>
    <w:p w:rsidR="00203A5B" w:rsidRDefault="00203A5B" w:rsidP="00203A5B">
      <w:pPr>
        <w:pStyle w:val="BodyParagraph"/>
      </w:pPr>
      <w:r>
        <w:t>Table 4-5 also reports the standard errors of the estimates for each decile.  It is important to note that</w:t>
      </w:r>
      <w:r w:rsidR="00D250DD">
        <w:t> </w:t>
      </w:r>
      <w:r>
        <w:t>while the overall trends in the table are consistent and likely reflect a true underlying pattern, the</w:t>
      </w:r>
      <w:r w:rsidR="00D250DD">
        <w:t> </w:t>
      </w:r>
      <w:r>
        <w:t>estimates at the decile level have fairly large standard errors.  This is more pronounced for the commercial analysis since regression-based methods with more inherent variability were used.  For example, the impact estimate for the highest decile for residential customers is statistically significantly different at the 5% level from the impact in all other deciles, but the impacts in the 7</w:t>
      </w:r>
      <w:r w:rsidRPr="007709B6">
        <w:rPr>
          <w:vertAlign w:val="superscript"/>
        </w:rPr>
        <w:t>th</w:t>
      </w:r>
      <w:r>
        <w:t xml:space="preserve"> and 8</w:t>
      </w:r>
      <w:r w:rsidRPr="007709B6">
        <w:rPr>
          <w:vertAlign w:val="superscript"/>
        </w:rPr>
        <w:t>th</w:t>
      </w:r>
      <w:r>
        <w:t xml:space="preserve"> deciles are not statistically significantly different from each other.  For commercial customers, the impact estimates in some of the lowest deciles (1 and 2) are statistically significantly different from the impacts estimates in some of the highest deciles (8 and 9).  However, impact estimates in neighboring deciles are not statistically significantly different from each other.</w:t>
      </w:r>
    </w:p>
    <w:p w:rsidR="00203A5B" w:rsidRDefault="00203A5B" w:rsidP="00BA5B35">
      <w:pPr>
        <w:pStyle w:val="TableFigureCaption"/>
      </w:pPr>
      <w:r>
        <w:t>Table 4-</w:t>
      </w:r>
      <w:r w:rsidR="00BF4DB9">
        <w:t>6</w:t>
      </w:r>
      <w:r>
        <w:t>: Average Estimated Impacts within Deciles of Usage</w:t>
      </w:r>
    </w:p>
    <w:tbl>
      <w:tblPr>
        <w:tblW w:w="6800" w:type="dxa"/>
        <w:jc w:val="center"/>
        <w:tblInd w:w="93" w:type="dxa"/>
        <w:tblLook w:val="04A0"/>
      </w:tblPr>
      <w:tblGrid>
        <w:gridCol w:w="960"/>
        <w:gridCol w:w="1006"/>
        <w:gridCol w:w="960"/>
        <w:gridCol w:w="1083"/>
        <w:gridCol w:w="1006"/>
        <w:gridCol w:w="960"/>
        <w:gridCol w:w="1083"/>
      </w:tblGrid>
      <w:tr w:rsidR="00203A5B" w:rsidRPr="00C31969" w:rsidTr="00203A5B">
        <w:trPr>
          <w:trHeight w:val="300"/>
          <w:jc w:val="center"/>
        </w:trPr>
        <w:tc>
          <w:tcPr>
            <w:tcW w:w="96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C31969" w:rsidRDefault="00203A5B" w:rsidP="00BA5B35">
            <w:pPr>
              <w:pStyle w:val="TableHeader"/>
              <w:keepNext/>
            </w:pPr>
            <w:bookmarkStart w:id="47" w:name="_Toc318368316"/>
            <w:r w:rsidRPr="00C31969">
              <w:t>Decile</w:t>
            </w:r>
          </w:p>
        </w:tc>
        <w:tc>
          <w:tcPr>
            <w:tcW w:w="2920" w:type="dxa"/>
            <w:gridSpan w:val="3"/>
            <w:tcBorders>
              <w:top w:val="single" w:sz="4" w:space="0" w:color="auto"/>
              <w:left w:val="nil"/>
              <w:bottom w:val="single" w:sz="4" w:space="0" w:color="FFFFFF"/>
              <w:right w:val="single" w:sz="4" w:space="0" w:color="FFFFFF"/>
            </w:tcBorders>
            <w:shd w:val="clear" w:color="000000" w:fill="1F497D"/>
            <w:vAlign w:val="center"/>
            <w:hideMark/>
          </w:tcPr>
          <w:p w:rsidR="00203A5B" w:rsidRPr="00C31969" w:rsidRDefault="00203A5B" w:rsidP="00BA5B35">
            <w:pPr>
              <w:pStyle w:val="TableHeader"/>
              <w:keepNext/>
            </w:pPr>
            <w:r w:rsidRPr="00C31969">
              <w:t>Residential Customers</w:t>
            </w:r>
          </w:p>
        </w:tc>
        <w:tc>
          <w:tcPr>
            <w:tcW w:w="2920" w:type="dxa"/>
            <w:gridSpan w:val="3"/>
            <w:tcBorders>
              <w:top w:val="single" w:sz="4" w:space="0" w:color="auto"/>
              <w:left w:val="nil"/>
              <w:bottom w:val="single" w:sz="4" w:space="0" w:color="FFFFFF"/>
              <w:right w:val="single" w:sz="4" w:space="0" w:color="000000"/>
            </w:tcBorders>
            <w:shd w:val="clear" w:color="000000" w:fill="1F497D"/>
            <w:vAlign w:val="center"/>
            <w:hideMark/>
          </w:tcPr>
          <w:p w:rsidR="00203A5B" w:rsidRPr="00C31969" w:rsidRDefault="00203A5B" w:rsidP="00BA5B35">
            <w:pPr>
              <w:pStyle w:val="TableHeader"/>
              <w:keepNext/>
            </w:pPr>
            <w:r w:rsidRPr="00C31969">
              <w:t>Commercial Customers</w:t>
            </w:r>
          </w:p>
        </w:tc>
      </w:tr>
      <w:tr w:rsidR="00203A5B" w:rsidRPr="00C31969" w:rsidTr="00203A5B">
        <w:trPr>
          <w:trHeight w:val="720"/>
          <w:jc w:val="center"/>
        </w:trPr>
        <w:tc>
          <w:tcPr>
            <w:tcW w:w="960" w:type="dxa"/>
            <w:vMerge/>
            <w:tcBorders>
              <w:top w:val="single" w:sz="4" w:space="0" w:color="auto"/>
              <w:left w:val="single" w:sz="4" w:space="0" w:color="auto"/>
              <w:bottom w:val="single" w:sz="4" w:space="0" w:color="000000"/>
              <w:right w:val="single" w:sz="4" w:space="0" w:color="FFFFFF"/>
            </w:tcBorders>
            <w:vAlign w:val="center"/>
            <w:hideMark/>
          </w:tcPr>
          <w:p w:rsidR="00203A5B" w:rsidRPr="00C31969" w:rsidRDefault="00203A5B" w:rsidP="00BA5B35">
            <w:pPr>
              <w:pStyle w:val="TableHeader"/>
              <w:keepNext/>
            </w:pPr>
          </w:p>
        </w:tc>
        <w:tc>
          <w:tcPr>
            <w:tcW w:w="960" w:type="dxa"/>
            <w:tcBorders>
              <w:top w:val="nil"/>
              <w:left w:val="nil"/>
              <w:bottom w:val="single" w:sz="4" w:space="0" w:color="auto"/>
              <w:right w:val="single" w:sz="4" w:space="0" w:color="FFFFFF"/>
            </w:tcBorders>
            <w:shd w:val="clear" w:color="000000" w:fill="1F497D"/>
            <w:vAlign w:val="center"/>
            <w:hideMark/>
          </w:tcPr>
          <w:p w:rsidR="00203A5B" w:rsidRPr="00C31969" w:rsidRDefault="00203A5B" w:rsidP="00BA5B35">
            <w:pPr>
              <w:pStyle w:val="TableHeader"/>
              <w:keepNext/>
            </w:pPr>
            <w:r w:rsidRPr="00C31969">
              <w:t>Average Impact (kW)</w:t>
            </w:r>
          </w:p>
        </w:tc>
        <w:tc>
          <w:tcPr>
            <w:tcW w:w="960" w:type="dxa"/>
            <w:tcBorders>
              <w:top w:val="nil"/>
              <w:left w:val="nil"/>
              <w:bottom w:val="single" w:sz="4" w:space="0" w:color="auto"/>
              <w:right w:val="single" w:sz="4" w:space="0" w:color="FFFFFF"/>
            </w:tcBorders>
            <w:shd w:val="clear" w:color="000000" w:fill="1F497D"/>
            <w:vAlign w:val="center"/>
            <w:hideMark/>
          </w:tcPr>
          <w:p w:rsidR="00203A5B" w:rsidRPr="00C31969" w:rsidRDefault="00203A5B" w:rsidP="00BA5B35">
            <w:pPr>
              <w:pStyle w:val="TableHeader"/>
              <w:keepNext/>
            </w:pPr>
            <w:r w:rsidRPr="00C31969">
              <w:t>% of Total</w:t>
            </w:r>
          </w:p>
        </w:tc>
        <w:tc>
          <w:tcPr>
            <w:tcW w:w="1000" w:type="dxa"/>
            <w:tcBorders>
              <w:top w:val="nil"/>
              <w:left w:val="nil"/>
              <w:bottom w:val="single" w:sz="4" w:space="0" w:color="auto"/>
              <w:right w:val="single" w:sz="4" w:space="0" w:color="FFFFFF"/>
            </w:tcBorders>
            <w:shd w:val="clear" w:color="000000" w:fill="1F497D"/>
            <w:vAlign w:val="center"/>
            <w:hideMark/>
          </w:tcPr>
          <w:p w:rsidR="00203A5B" w:rsidRPr="00C31969" w:rsidRDefault="00203A5B" w:rsidP="00BA5B35">
            <w:pPr>
              <w:pStyle w:val="TableHeader"/>
              <w:keepNext/>
            </w:pPr>
            <w:r w:rsidRPr="00C31969">
              <w:t>Impact Standard Error (kW)</w:t>
            </w:r>
          </w:p>
        </w:tc>
        <w:tc>
          <w:tcPr>
            <w:tcW w:w="960" w:type="dxa"/>
            <w:tcBorders>
              <w:top w:val="nil"/>
              <w:left w:val="nil"/>
              <w:bottom w:val="single" w:sz="4" w:space="0" w:color="auto"/>
              <w:right w:val="single" w:sz="4" w:space="0" w:color="FFFFFF"/>
            </w:tcBorders>
            <w:shd w:val="clear" w:color="000000" w:fill="1F497D"/>
            <w:vAlign w:val="center"/>
            <w:hideMark/>
          </w:tcPr>
          <w:p w:rsidR="00203A5B" w:rsidRPr="00C31969" w:rsidRDefault="00203A5B" w:rsidP="00BA5B35">
            <w:pPr>
              <w:pStyle w:val="TableHeader"/>
              <w:keepNext/>
            </w:pPr>
            <w:r w:rsidRPr="00C31969">
              <w:t>Average Impact (kW)</w:t>
            </w:r>
          </w:p>
        </w:tc>
        <w:tc>
          <w:tcPr>
            <w:tcW w:w="960" w:type="dxa"/>
            <w:tcBorders>
              <w:top w:val="nil"/>
              <w:left w:val="nil"/>
              <w:bottom w:val="single" w:sz="4" w:space="0" w:color="auto"/>
              <w:right w:val="single" w:sz="4" w:space="0" w:color="FFFFFF"/>
            </w:tcBorders>
            <w:shd w:val="clear" w:color="000000" w:fill="1F497D"/>
            <w:vAlign w:val="center"/>
            <w:hideMark/>
          </w:tcPr>
          <w:p w:rsidR="00203A5B" w:rsidRPr="00C31969" w:rsidRDefault="00203A5B" w:rsidP="00BA5B35">
            <w:pPr>
              <w:pStyle w:val="TableHeader"/>
              <w:keepNext/>
            </w:pPr>
            <w:r w:rsidRPr="00C31969">
              <w:t>% of Total</w:t>
            </w:r>
          </w:p>
        </w:tc>
        <w:tc>
          <w:tcPr>
            <w:tcW w:w="1000" w:type="dxa"/>
            <w:tcBorders>
              <w:top w:val="nil"/>
              <w:left w:val="nil"/>
              <w:bottom w:val="single" w:sz="4" w:space="0" w:color="auto"/>
              <w:right w:val="single" w:sz="4" w:space="0" w:color="auto"/>
            </w:tcBorders>
            <w:shd w:val="clear" w:color="000000" w:fill="1F497D"/>
            <w:vAlign w:val="center"/>
            <w:hideMark/>
          </w:tcPr>
          <w:p w:rsidR="00203A5B" w:rsidRPr="00C31969" w:rsidRDefault="00203A5B" w:rsidP="00BA5B35">
            <w:pPr>
              <w:pStyle w:val="TableHeader"/>
              <w:keepNext/>
            </w:pPr>
            <w:r w:rsidRPr="00C31969">
              <w:t>Impact Standard Error (kW)</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-0.04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0.08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0.05</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-0.04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0.19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3%</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0.11</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-0.02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0.37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6%</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0.14</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2%</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0.70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12%</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0.17</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0.41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7%</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0.66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11%</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0.19</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0.54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9%</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0.54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9%</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0.30</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0.89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15%</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0.39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6%</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0.21</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1.01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17%</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0.89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15%</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0.32</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1.32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22%</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0.08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1.45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BA5B35">
            <w:pPr>
              <w:pStyle w:val="TableText"/>
              <w:keepNext/>
            </w:pPr>
            <w:r w:rsidRPr="00C31969">
              <w:t>24%</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BA5B35">
            <w:pPr>
              <w:pStyle w:val="TableText"/>
              <w:keepNext/>
            </w:pPr>
            <w:r w:rsidRPr="00C31969">
              <w:t>0.46</w:t>
            </w:r>
          </w:p>
        </w:tc>
      </w:tr>
      <w:tr w:rsidR="00203A5B" w:rsidRPr="00C31969" w:rsidTr="00203A5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3A5B" w:rsidRPr="00C31969" w:rsidRDefault="00203A5B" w:rsidP="002A60E0">
            <w:pPr>
              <w:pStyle w:val="TableText"/>
            </w:pPr>
            <w:r w:rsidRPr="00C31969">
              <w:t>10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2A60E0">
            <w:pPr>
              <w:pStyle w:val="TableText"/>
            </w:pPr>
            <w:r w:rsidRPr="00C31969">
              <w:t>1.72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2A60E0">
            <w:pPr>
              <w:pStyle w:val="TableText"/>
            </w:pPr>
            <w:r w:rsidRPr="00C31969">
              <w:t>29%</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2A60E0">
            <w:pPr>
              <w:pStyle w:val="TableText"/>
            </w:pPr>
            <w:r w:rsidRPr="00C31969">
              <w:t>0.10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2A60E0">
            <w:pPr>
              <w:pStyle w:val="TableText"/>
            </w:pPr>
            <w:r w:rsidRPr="00C31969">
              <w:t>0.79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C31969" w:rsidRDefault="00203A5B" w:rsidP="002A60E0">
            <w:pPr>
              <w:pStyle w:val="TableText"/>
            </w:pPr>
            <w:r w:rsidRPr="00C31969">
              <w:t>13%</w:t>
            </w:r>
          </w:p>
        </w:tc>
        <w:tc>
          <w:tcPr>
            <w:tcW w:w="1000" w:type="dxa"/>
            <w:tcBorders>
              <w:top w:val="nil"/>
              <w:left w:val="nil"/>
              <w:bottom w:val="single" w:sz="4" w:space="0" w:color="auto"/>
              <w:right w:val="single" w:sz="4" w:space="0" w:color="auto"/>
            </w:tcBorders>
            <w:shd w:val="clear" w:color="auto" w:fill="auto"/>
            <w:vAlign w:val="center"/>
            <w:hideMark/>
          </w:tcPr>
          <w:p w:rsidR="00203A5B" w:rsidRPr="00C31969" w:rsidRDefault="00203A5B" w:rsidP="002A60E0">
            <w:pPr>
              <w:pStyle w:val="TableText"/>
            </w:pPr>
            <w:r w:rsidRPr="00C31969">
              <w:t>0.64</w:t>
            </w:r>
          </w:p>
        </w:tc>
      </w:tr>
    </w:tbl>
    <w:p w:rsidR="00203A5B" w:rsidRDefault="00203A5B" w:rsidP="00203A5B">
      <w:pPr>
        <w:pStyle w:val="Heading1"/>
        <w:numPr>
          <w:ilvl w:val="0"/>
          <w:numId w:val="0"/>
        </w:numPr>
        <w:ind w:left="432"/>
      </w:pPr>
    </w:p>
    <w:p w:rsidR="00203A5B" w:rsidRDefault="00203A5B" w:rsidP="00203A5B">
      <w:pPr>
        <w:rPr>
          <w:rFonts w:ascii="Arial Bold" w:eastAsia="Times New Roman" w:hAnsi="Arial Bold"/>
          <w:b/>
          <w:color w:val="433B67"/>
          <w:sz w:val="28"/>
          <w:szCs w:val="28"/>
        </w:rPr>
      </w:pPr>
      <w:r>
        <w:br w:type="page"/>
      </w:r>
    </w:p>
    <w:p w:rsidR="00203A5B" w:rsidRPr="00DF3D26" w:rsidRDefault="00203A5B" w:rsidP="00203A5B">
      <w:pPr>
        <w:pStyle w:val="Heading1"/>
      </w:pPr>
      <w:bookmarkStart w:id="48" w:name="_Toc349548912"/>
      <w:bookmarkStart w:id="49" w:name="_Toc350953043"/>
      <w:r w:rsidRPr="00DF3D26">
        <w:t>Ex Ante Load Impact</w:t>
      </w:r>
      <w:bookmarkEnd w:id="47"/>
      <w:r w:rsidRPr="00DF3D26">
        <w:t xml:space="preserve"> Estimates</w:t>
      </w:r>
      <w:bookmarkEnd w:id="48"/>
      <w:bookmarkEnd w:id="49"/>
    </w:p>
    <w:p w:rsidR="00203A5B" w:rsidRPr="00DF3D26" w:rsidRDefault="00203A5B" w:rsidP="00203A5B">
      <w:pPr>
        <w:pStyle w:val="BodyParagraph"/>
        <w:rPr>
          <w:rFonts w:eastAsia="Calibri" w:cs="Times New Roman"/>
        </w:rPr>
      </w:pPr>
      <w:r w:rsidRPr="00DF3D26">
        <w:rPr>
          <w:rFonts w:eastAsia="Calibri" w:cs="Times New Roman"/>
        </w:rPr>
        <w:t>The models described above were used to estimate load impacts based on ex ante event conditions and enrollment projections for the years 201</w:t>
      </w:r>
      <w:r>
        <w:t>3</w:t>
      </w:r>
      <w:r w:rsidRPr="00DF3D26">
        <w:rPr>
          <w:rFonts w:eastAsia="Calibri" w:cs="Times New Roman"/>
        </w:rPr>
        <w:t xml:space="preserve"> through 202</w:t>
      </w:r>
      <w:r>
        <w:t>3</w:t>
      </w:r>
      <w:r w:rsidRPr="00DF3D26">
        <w:rPr>
          <w:rFonts w:eastAsia="Calibri" w:cs="Times New Roman"/>
        </w:rPr>
        <w:t xml:space="preserve">.  Enrollment is not expected to change in the future, so the tables </w:t>
      </w:r>
      <w:r w:rsidR="00D250DD">
        <w:rPr>
          <w:rFonts w:eastAsia="Calibri" w:cs="Times New Roman"/>
        </w:rPr>
        <w:t>in this section</w:t>
      </w:r>
      <w:r w:rsidR="00D250DD" w:rsidRPr="00DF3D26">
        <w:rPr>
          <w:rFonts w:eastAsia="Calibri" w:cs="Times New Roman"/>
        </w:rPr>
        <w:t xml:space="preserve"> </w:t>
      </w:r>
      <w:r w:rsidRPr="00DF3D26">
        <w:rPr>
          <w:rFonts w:eastAsia="Calibri" w:cs="Times New Roman"/>
        </w:rPr>
        <w:t>represent predictions for the whole period 201</w:t>
      </w:r>
      <w:r>
        <w:t>3</w:t>
      </w:r>
      <w:r w:rsidRPr="00DF3D26">
        <w:rPr>
          <w:rFonts w:eastAsia="Calibri" w:cs="Times New Roman"/>
        </w:rPr>
        <w:t xml:space="preserve"> through 202</w:t>
      </w:r>
      <w:r>
        <w:t>3</w:t>
      </w:r>
      <w:r w:rsidRPr="00DF3D26">
        <w:rPr>
          <w:rFonts w:eastAsia="Calibri" w:cs="Times New Roman"/>
        </w:rPr>
        <w:t>.  FSC was provided with data by SDG&amp;E that represents weather under 1-in-2 and 1-in-10 year conditions for each monthly system peak day.</w:t>
      </w:r>
      <w:r w:rsidRPr="00DF3D26">
        <w:rPr>
          <w:rStyle w:val="FootnoteReference"/>
          <w:rFonts w:eastAsia="Calibri" w:cs="Times New Roman"/>
        </w:rPr>
        <w:footnoteReference w:id="5"/>
      </w:r>
      <w:r w:rsidRPr="00DF3D26">
        <w:rPr>
          <w:rFonts w:eastAsia="Calibri" w:cs="Times New Roman"/>
        </w:rPr>
        <w:t xml:space="preserve">  The ex ante event window is from 1 to 6 PM, which is the CPUC resource adequacy window.  </w:t>
      </w:r>
    </w:p>
    <w:p w:rsidR="00203A5B" w:rsidRPr="00DF3D26" w:rsidRDefault="00203A5B" w:rsidP="00203A5B">
      <w:pPr>
        <w:pStyle w:val="BodyParagraph"/>
      </w:pPr>
      <w:r w:rsidRPr="00DF3D26">
        <w:t>Tables 5-1 and 5-2 summarize the average and aggregate load impact estimates for residential and commercial customers, respectively.  Aggregate impacts are based on steady enrollment level</w:t>
      </w:r>
      <w:r>
        <w:t>s equal to those as of fall 2012</w:t>
      </w:r>
      <w:r w:rsidRPr="00DF3D26">
        <w:t xml:space="preserve">.  Load impact estimates are presented for the average AC unit and for each customer segment as a whole.  </w:t>
      </w:r>
    </w:p>
    <w:p w:rsidR="00203A5B" w:rsidRPr="00DF3D26" w:rsidRDefault="00203A5B" w:rsidP="00203A5B">
      <w:pPr>
        <w:pStyle w:val="BodyParagraph"/>
      </w:pPr>
      <w:r w:rsidRPr="00DF3D26">
        <w:t>For a typical event with 1-in-2 year weather conditions, the av</w:t>
      </w:r>
      <w:r>
        <w:t>erage impact per AC unit is 0.43</w:t>
      </w:r>
      <w:r w:rsidRPr="00DF3D26">
        <w:t xml:space="preserve"> kW for</w:t>
      </w:r>
      <w:r w:rsidR="00286600">
        <w:t> </w:t>
      </w:r>
      <w:r w:rsidRPr="00DF3D26">
        <w:t xml:space="preserve">residential customers.  The 1-in-10 year typical event day estimate </w:t>
      </w:r>
      <w:r>
        <w:t>is 19% higher at 0.51</w:t>
      </w:r>
      <w:r w:rsidRPr="00DF3D26">
        <w:t xml:space="preserve"> kW.  The aggregate program load reduction potential for residential customers is 12 MW for a typical event day under 1-in-2 year weather conditions and 14 MW under 1-in-10 year weather conditions.  September ex ante conditions are much hotter than typical conditions.  The residential program is estimated to</w:t>
      </w:r>
      <w:r>
        <w:t xml:space="preserve"> provide an average impact of 20</w:t>
      </w:r>
      <w:r w:rsidRPr="00DF3D26">
        <w:t xml:space="preserve"> MW over a </w:t>
      </w:r>
      <w:r w:rsidR="00286600">
        <w:t>5</w:t>
      </w:r>
      <w:r w:rsidRPr="00DF3D26">
        <w:t>-hour event on a 1-in-10 September event day.</w:t>
      </w:r>
    </w:p>
    <w:p w:rsidR="00203A5B" w:rsidRPr="00DF3D26" w:rsidRDefault="00203A5B" w:rsidP="00203A5B">
      <w:pPr>
        <w:pStyle w:val="BodyParagraph"/>
      </w:pPr>
      <w:r w:rsidRPr="00DF3D26">
        <w:t>There is significant variation in load impacts across months and weather conditions.  Based on 1-in-2 year weath</w:t>
      </w:r>
      <w:r>
        <w:t xml:space="preserve">er, the low temperatures in May and June </w:t>
      </w:r>
      <w:r w:rsidRPr="00DF3D26">
        <w:t xml:space="preserve">typically experienced in San Diego, result in small average and aggregate </w:t>
      </w:r>
      <w:r>
        <w:t>load impact estimates.  The May and June</w:t>
      </w:r>
      <w:r w:rsidRPr="00DF3D26">
        <w:t xml:space="preserve"> 1-in-2 impact</w:t>
      </w:r>
      <w:r>
        <w:t>s</w:t>
      </w:r>
      <w:r w:rsidRPr="00DF3D26">
        <w:t xml:space="preserve"> for </w:t>
      </w:r>
      <w:r>
        <w:t>residential customers are only about 25</w:t>
      </w:r>
      <w:r w:rsidRPr="00DF3D26">
        <w:t>%</w:t>
      </w:r>
      <w:r>
        <w:t xml:space="preserve"> and 31%</w:t>
      </w:r>
      <w:r w:rsidRPr="00DF3D26">
        <w:t xml:space="preserve"> of the September estimate,</w:t>
      </w:r>
      <w:r>
        <w:t xml:space="preserve"> respectively,</w:t>
      </w:r>
      <w:r w:rsidRPr="00DF3D26">
        <w:t xml:space="preserve"> which is the highest of any month in 1-in-2 year weather conditions.  For residential customers</w:t>
      </w:r>
      <w:r>
        <w:t>,</w:t>
      </w:r>
      <w:r w:rsidRPr="00DF3D26">
        <w:t xml:space="preserve"> the</w:t>
      </w:r>
      <w:r>
        <w:t xml:space="preserve"> May and</w:t>
      </w:r>
      <w:r w:rsidRPr="00DF3D26">
        <w:t xml:space="preserve"> June 1-in-10 year estimate</w:t>
      </w:r>
      <w:r>
        <w:t>s are</w:t>
      </w:r>
      <w:r w:rsidRPr="00DF3D26">
        <w:t xml:space="preserve"> </w:t>
      </w:r>
      <w:r>
        <w:t>more than 2.5 times</w:t>
      </w:r>
      <w:r w:rsidRPr="00DF3D26">
        <w:t xml:space="preserve"> the 1-in-2 year estimate</w:t>
      </w:r>
      <w:r>
        <w:t>s</w:t>
      </w:r>
      <w:r w:rsidRPr="00DF3D26">
        <w:t>, which is a result of the</w:t>
      </w:r>
      <w:r>
        <w:t xml:space="preserve"> 1-in-10</w:t>
      </w:r>
      <w:r w:rsidRPr="00DF3D26">
        <w:t xml:space="preserve"> </w:t>
      </w:r>
      <w:r>
        <w:t>temperatures</w:t>
      </w:r>
      <w:r w:rsidRPr="00DF3D26">
        <w:t xml:space="preserve"> being </w:t>
      </w:r>
      <w:r>
        <w:t>much warmer than the 1-in-2</w:t>
      </w:r>
      <w:r w:rsidRPr="00DF3D26">
        <w:t xml:space="preserve"> </w:t>
      </w:r>
      <w:r>
        <w:t>temperatures</w:t>
      </w:r>
      <w:r w:rsidRPr="00DF3D26">
        <w:t xml:space="preserve"> for</w:t>
      </w:r>
      <w:r>
        <w:t xml:space="preserve"> May and</w:t>
      </w:r>
      <w:r w:rsidRPr="00DF3D26">
        <w:t xml:space="preserve"> June.  </w:t>
      </w:r>
    </w:p>
    <w:p w:rsidR="00203A5B" w:rsidRPr="00DF3D26" w:rsidRDefault="00203A5B" w:rsidP="00203A5B">
      <w:pPr>
        <w:pStyle w:val="BodyParagraph"/>
      </w:pPr>
      <w:r w:rsidRPr="00DF3D26">
        <w:t>Commercial customers are estimated to provide lower per CAC unit impacts than residential customers.  Due to the smaller number of commercial installations in the program, aggregate impacts</w:t>
      </w:r>
      <w:r w:rsidR="00286600">
        <w:t> </w:t>
      </w:r>
      <w:r w:rsidRPr="00DF3D26">
        <w:t>for the commercial segment are much smaller than for residential customers.  The commercial program is expected to provide the highest impact under 1-in-10 conditions in September,</w:t>
      </w:r>
      <w:r w:rsidR="00286600">
        <w:t> </w:t>
      </w:r>
      <w:r>
        <w:t>when its expected impact is 6</w:t>
      </w:r>
      <w:r w:rsidRPr="00DF3D26">
        <w:t xml:space="preserve"> MW.</w:t>
      </w:r>
    </w:p>
    <w:p w:rsidR="00203A5B" w:rsidRPr="00DF3D26" w:rsidRDefault="00203A5B" w:rsidP="00203A5B">
      <w:pPr>
        <w:pStyle w:val="BodyParagraph"/>
      </w:pPr>
      <w:r w:rsidRPr="00DF3D26">
        <w:t>Tables 5-3 and 5-4 provide ex ante estimates on an hourly basis for residential and commercial customers, respectively.  Residential impacts peak in the hours 3-5 PM, while commercial impacts are</w:t>
      </w:r>
      <w:r w:rsidR="00286600">
        <w:t> </w:t>
      </w:r>
      <w:r w:rsidRPr="00DF3D26">
        <w:t xml:space="preserve">relatively flat over the event hours.  </w:t>
      </w:r>
    </w:p>
    <w:p w:rsidR="00203A5B" w:rsidRPr="00BA5B35" w:rsidRDefault="00203A5B" w:rsidP="00BA5B35">
      <w:pPr>
        <w:pStyle w:val="BodyParagraph"/>
      </w:pPr>
      <w:r w:rsidRPr="00DF3D26">
        <w:t>Table 5-5 provides program-level ex ante aggregate estimates for each hour.  The program is expected to provide its highest impact under 1-in-10 conditions in September.  Under those conditions, the average impact over the e</w:t>
      </w:r>
      <w:r>
        <w:t>vent window is expected to be 25</w:t>
      </w:r>
      <w:r w:rsidRPr="00DF3D26">
        <w:t xml:space="preserve"> MW, with an hourly peak</w:t>
      </w:r>
      <w:r w:rsidR="00286600">
        <w:t> </w:t>
      </w:r>
      <w:r w:rsidRPr="00DF3D26">
        <w:t>o</w:t>
      </w:r>
      <w:r>
        <w:t>f 29 MW from 4</w:t>
      </w:r>
      <w:r w:rsidRPr="00DF3D26">
        <w:t xml:space="preserve"> to 5 PM.</w:t>
      </w:r>
    </w:p>
    <w:p w:rsidR="00203A5B" w:rsidRPr="00DF3D26" w:rsidDel="00073F9F" w:rsidRDefault="00203A5B" w:rsidP="00203A5B">
      <w:pPr>
        <w:pStyle w:val="TableFigureCaption"/>
      </w:pPr>
      <w:r w:rsidRPr="00DF3D26">
        <w:t>Table 5-1:</w:t>
      </w:r>
      <w:r w:rsidR="00957E31">
        <w:t xml:space="preserve"> </w:t>
      </w:r>
      <w:r w:rsidRPr="00DF3D26">
        <w:t>Summer Saver Residential Ex Ante Impact Estimates</w:t>
      </w:r>
    </w:p>
    <w:tbl>
      <w:tblPr>
        <w:tblW w:w="0" w:type="auto"/>
        <w:jc w:val="center"/>
        <w:tblInd w:w="93" w:type="dxa"/>
        <w:tblLook w:val="04A0"/>
      </w:tblPr>
      <w:tblGrid>
        <w:gridCol w:w="2238"/>
        <w:gridCol w:w="1422"/>
        <w:gridCol w:w="1239"/>
        <w:gridCol w:w="1309"/>
        <w:gridCol w:w="1141"/>
      </w:tblGrid>
      <w:tr w:rsidR="00203A5B" w:rsidRPr="00BF5EF4" w:rsidTr="00203A5B">
        <w:trPr>
          <w:trHeight w:val="300"/>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BF5EF4" w:rsidRDefault="00203A5B" w:rsidP="00957E31">
            <w:pPr>
              <w:pStyle w:val="TableHeader"/>
            </w:pPr>
            <w:r w:rsidRPr="00BF5EF4">
              <w:t>Day Type</w:t>
            </w:r>
          </w:p>
        </w:tc>
        <w:tc>
          <w:tcPr>
            <w:tcW w:w="0" w:type="auto"/>
            <w:gridSpan w:val="2"/>
            <w:tcBorders>
              <w:top w:val="single" w:sz="4" w:space="0" w:color="auto"/>
              <w:left w:val="nil"/>
              <w:bottom w:val="single" w:sz="4" w:space="0" w:color="FFFFFF"/>
              <w:right w:val="single" w:sz="4" w:space="0" w:color="FFFFFF"/>
            </w:tcBorders>
            <w:shd w:val="clear" w:color="000000" w:fill="1F497D"/>
            <w:noWrap/>
            <w:vAlign w:val="center"/>
            <w:hideMark/>
          </w:tcPr>
          <w:p w:rsidR="00203A5B" w:rsidRPr="00BF5EF4" w:rsidRDefault="00203A5B" w:rsidP="00957E31">
            <w:pPr>
              <w:pStyle w:val="TableHeader"/>
            </w:pPr>
            <w:r w:rsidRPr="00BF5EF4">
              <w:t>Per CAC Unit Impact (kW)</w:t>
            </w:r>
          </w:p>
        </w:tc>
        <w:tc>
          <w:tcPr>
            <w:tcW w:w="0" w:type="auto"/>
            <w:gridSpan w:val="2"/>
            <w:tcBorders>
              <w:top w:val="single" w:sz="4" w:space="0" w:color="auto"/>
              <w:left w:val="nil"/>
              <w:bottom w:val="single" w:sz="4" w:space="0" w:color="FFFFFF"/>
              <w:right w:val="single" w:sz="4" w:space="0" w:color="000000"/>
            </w:tcBorders>
            <w:shd w:val="clear" w:color="000000" w:fill="1F497D"/>
            <w:noWrap/>
            <w:vAlign w:val="center"/>
            <w:hideMark/>
          </w:tcPr>
          <w:p w:rsidR="00203A5B" w:rsidRPr="00BF5EF4" w:rsidRDefault="00203A5B" w:rsidP="00957E31">
            <w:pPr>
              <w:pStyle w:val="TableHeader"/>
            </w:pPr>
            <w:r w:rsidRPr="00BF5EF4">
              <w:t>Aggregate Impact (MW)</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957E31">
            <w:pPr>
              <w:pStyle w:val="TableHeader"/>
            </w:pPr>
          </w:p>
        </w:tc>
        <w:tc>
          <w:tcPr>
            <w:tcW w:w="0" w:type="auto"/>
            <w:gridSpan w:val="2"/>
            <w:tcBorders>
              <w:top w:val="single" w:sz="4" w:space="0" w:color="FFFFFF"/>
              <w:left w:val="nil"/>
              <w:bottom w:val="single" w:sz="4" w:space="0" w:color="FFFFFF"/>
              <w:right w:val="single" w:sz="4" w:space="0" w:color="FFFFFF"/>
            </w:tcBorders>
            <w:shd w:val="clear" w:color="000000" w:fill="1F497D"/>
            <w:noWrap/>
            <w:vAlign w:val="center"/>
            <w:hideMark/>
          </w:tcPr>
          <w:p w:rsidR="00203A5B" w:rsidRPr="00BF5EF4" w:rsidRDefault="00203A5B" w:rsidP="00957E31">
            <w:pPr>
              <w:pStyle w:val="TableHeader"/>
            </w:pPr>
            <w:r w:rsidRPr="00BF5EF4">
              <w:t>Weather Year</w:t>
            </w:r>
          </w:p>
        </w:tc>
        <w:tc>
          <w:tcPr>
            <w:tcW w:w="0" w:type="auto"/>
            <w:gridSpan w:val="2"/>
            <w:tcBorders>
              <w:top w:val="single" w:sz="4" w:space="0" w:color="FFFFFF"/>
              <w:left w:val="nil"/>
              <w:bottom w:val="single" w:sz="4" w:space="0" w:color="FFFFFF"/>
              <w:right w:val="single" w:sz="4" w:space="0" w:color="000000"/>
            </w:tcBorders>
            <w:shd w:val="clear" w:color="000000" w:fill="1F497D"/>
            <w:noWrap/>
            <w:vAlign w:val="center"/>
            <w:hideMark/>
          </w:tcPr>
          <w:p w:rsidR="00203A5B" w:rsidRPr="00BF5EF4" w:rsidRDefault="00203A5B" w:rsidP="00957E31">
            <w:pPr>
              <w:pStyle w:val="TableHeader"/>
            </w:pPr>
            <w:r w:rsidRPr="00BF5EF4">
              <w:t>Weather Year</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957E31">
            <w:pPr>
              <w:pStyle w:val="TableHeader"/>
            </w:pP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957E31">
            <w:pPr>
              <w:pStyle w:val="TableHeader"/>
            </w:pPr>
            <w:r w:rsidRPr="00BF5EF4">
              <w:t>1-in-10</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957E31">
            <w:pPr>
              <w:pStyle w:val="TableHeader"/>
            </w:pPr>
            <w:r w:rsidRPr="00BF5EF4">
              <w:t>1-in-2</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957E31">
            <w:pPr>
              <w:pStyle w:val="TableHeader"/>
            </w:pPr>
            <w:r w:rsidRPr="00BF5EF4">
              <w:t>1-in-10</w:t>
            </w:r>
          </w:p>
        </w:tc>
        <w:tc>
          <w:tcPr>
            <w:tcW w:w="0" w:type="auto"/>
            <w:tcBorders>
              <w:top w:val="nil"/>
              <w:left w:val="nil"/>
              <w:bottom w:val="single" w:sz="4" w:space="0" w:color="auto"/>
              <w:right w:val="single" w:sz="4" w:space="0" w:color="auto"/>
            </w:tcBorders>
            <w:shd w:val="clear" w:color="000000" w:fill="1F497D"/>
            <w:noWrap/>
            <w:vAlign w:val="center"/>
            <w:hideMark/>
          </w:tcPr>
          <w:p w:rsidR="00203A5B" w:rsidRPr="00BF5EF4" w:rsidRDefault="00203A5B" w:rsidP="00957E31">
            <w:pPr>
              <w:pStyle w:val="TableHeader"/>
            </w:pPr>
            <w:r w:rsidRPr="00BF5EF4">
              <w:t>1-in-2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Typical Event Day</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0.51</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0.43</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May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0.38</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0.15</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11</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4</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June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0.49</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0.17</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13</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5</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July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0.50</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0.44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August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0.52</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0.42</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September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0.71</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0.56</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20</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16</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October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0.40</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0.30</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11</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8</w:t>
            </w:r>
          </w:p>
        </w:tc>
      </w:tr>
    </w:tbl>
    <w:p w:rsidR="00203A5B" w:rsidRPr="00DF3D26" w:rsidRDefault="00203A5B" w:rsidP="00203A5B">
      <w:pPr>
        <w:pStyle w:val="TableFigureCaption"/>
      </w:pPr>
    </w:p>
    <w:p w:rsidR="00203A5B" w:rsidRPr="00DF3D26" w:rsidRDefault="00203A5B" w:rsidP="00203A5B">
      <w:pPr>
        <w:pStyle w:val="TableFigureCaption"/>
      </w:pPr>
      <w:r w:rsidRPr="00DF3D26">
        <w:t>Table 5-2:</w:t>
      </w:r>
      <w:r w:rsidR="00957E31">
        <w:t xml:space="preserve"> </w:t>
      </w:r>
      <w:r w:rsidRPr="00DF3D26">
        <w:t>Summer Saver Commercial Ex Ante Impact Estimates</w:t>
      </w:r>
    </w:p>
    <w:tbl>
      <w:tblPr>
        <w:tblW w:w="0" w:type="auto"/>
        <w:jc w:val="center"/>
        <w:tblInd w:w="93" w:type="dxa"/>
        <w:tblLook w:val="04A0"/>
      </w:tblPr>
      <w:tblGrid>
        <w:gridCol w:w="2238"/>
        <w:gridCol w:w="1422"/>
        <w:gridCol w:w="1239"/>
        <w:gridCol w:w="1309"/>
        <w:gridCol w:w="1141"/>
      </w:tblGrid>
      <w:tr w:rsidR="00203A5B" w:rsidRPr="00BF5EF4" w:rsidTr="00203A5B">
        <w:trPr>
          <w:trHeight w:val="300"/>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BF5EF4" w:rsidRDefault="00203A5B" w:rsidP="00957E31">
            <w:pPr>
              <w:pStyle w:val="TableHeader"/>
            </w:pPr>
            <w:r w:rsidRPr="00BF5EF4">
              <w:t>Day Type</w:t>
            </w:r>
          </w:p>
        </w:tc>
        <w:tc>
          <w:tcPr>
            <w:tcW w:w="0" w:type="auto"/>
            <w:gridSpan w:val="2"/>
            <w:tcBorders>
              <w:top w:val="single" w:sz="4" w:space="0" w:color="auto"/>
              <w:left w:val="nil"/>
              <w:bottom w:val="single" w:sz="4" w:space="0" w:color="FFFFFF"/>
              <w:right w:val="single" w:sz="4" w:space="0" w:color="FFFFFF"/>
            </w:tcBorders>
            <w:shd w:val="clear" w:color="000000" w:fill="1F497D"/>
            <w:noWrap/>
            <w:vAlign w:val="center"/>
            <w:hideMark/>
          </w:tcPr>
          <w:p w:rsidR="00203A5B" w:rsidRPr="00BF5EF4" w:rsidRDefault="00203A5B" w:rsidP="00957E31">
            <w:pPr>
              <w:pStyle w:val="TableHeader"/>
            </w:pPr>
            <w:r w:rsidRPr="00BF5EF4">
              <w:t>Per CAC Unit Impact (kW)</w:t>
            </w:r>
          </w:p>
        </w:tc>
        <w:tc>
          <w:tcPr>
            <w:tcW w:w="0" w:type="auto"/>
            <w:gridSpan w:val="2"/>
            <w:tcBorders>
              <w:top w:val="single" w:sz="4" w:space="0" w:color="auto"/>
              <w:left w:val="nil"/>
              <w:bottom w:val="single" w:sz="4" w:space="0" w:color="FFFFFF"/>
              <w:right w:val="single" w:sz="4" w:space="0" w:color="000000"/>
            </w:tcBorders>
            <w:shd w:val="clear" w:color="000000" w:fill="1F497D"/>
            <w:noWrap/>
            <w:vAlign w:val="center"/>
            <w:hideMark/>
          </w:tcPr>
          <w:p w:rsidR="00203A5B" w:rsidRPr="00BF5EF4" w:rsidRDefault="00203A5B" w:rsidP="00957E31">
            <w:pPr>
              <w:pStyle w:val="TableHeader"/>
            </w:pPr>
            <w:r w:rsidRPr="00BF5EF4">
              <w:t>Aggregate Impact (MW)</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957E31">
            <w:pPr>
              <w:pStyle w:val="TableHeader"/>
            </w:pPr>
          </w:p>
        </w:tc>
        <w:tc>
          <w:tcPr>
            <w:tcW w:w="0" w:type="auto"/>
            <w:gridSpan w:val="2"/>
            <w:tcBorders>
              <w:top w:val="single" w:sz="4" w:space="0" w:color="FFFFFF"/>
              <w:left w:val="nil"/>
              <w:bottom w:val="single" w:sz="4" w:space="0" w:color="FFFFFF"/>
              <w:right w:val="single" w:sz="4" w:space="0" w:color="FFFFFF"/>
            </w:tcBorders>
            <w:shd w:val="clear" w:color="000000" w:fill="1F497D"/>
            <w:noWrap/>
            <w:vAlign w:val="center"/>
            <w:hideMark/>
          </w:tcPr>
          <w:p w:rsidR="00203A5B" w:rsidRPr="00BF5EF4" w:rsidRDefault="00203A5B" w:rsidP="00957E31">
            <w:pPr>
              <w:pStyle w:val="TableHeader"/>
            </w:pPr>
            <w:r w:rsidRPr="00BF5EF4">
              <w:t>Weather Year</w:t>
            </w:r>
          </w:p>
        </w:tc>
        <w:tc>
          <w:tcPr>
            <w:tcW w:w="0" w:type="auto"/>
            <w:gridSpan w:val="2"/>
            <w:tcBorders>
              <w:top w:val="single" w:sz="4" w:space="0" w:color="FFFFFF"/>
              <w:left w:val="nil"/>
              <w:bottom w:val="single" w:sz="4" w:space="0" w:color="FFFFFF"/>
              <w:right w:val="single" w:sz="4" w:space="0" w:color="000000"/>
            </w:tcBorders>
            <w:shd w:val="clear" w:color="000000" w:fill="1F497D"/>
            <w:noWrap/>
            <w:vAlign w:val="center"/>
            <w:hideMark/>
          </w:tcPr>
          <w:p w:rsidR="00203A5B" w:rsidRPr="00BF5EF4" w:rsidRDefault="00203A5B" w:rsidP="00957E31">
            <w:pPr>
              <w:pStyle w:val="TableHeader"/>
            </w:pPr>
            <w:r w:rsidRPr="00BF5EF4">
              <w:t>Weather Year</w:t>
            </w:r>
          </w:p>
        </w:tc>
      </w:tr>
      <w:tr w:rsidR="00203A5B" w:rsidRPr="00BF5EF4" w:rsidTr="00203A5B">
        <w:trPr>
          <w:trHeight w:val="300"/>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203A5B" w:rsidRPr="00BF5EF4" w:rsidRDefault="00203A5B" w:rsidP="00957E31">
            <w:pPr>
              <w:pStyle w:val="TableHeader"/>
            </w:pP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957E31">
            <w:pPr>
              <w:pStyle w:val="TableHeader"/>
            </w:pPr>
            <w:r w:rsidRPr="00BF5EF4">
              <w:t>1-in-10</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957E31">
            <w:pPr>
              <w:pStyle w:val="TableHeader"/>
            </w:pPr>
            <w:r w:rsidRPr="00BF5EF4">
              <w:t>1-in-2</w:t>
            </w:r>
          </w:p>
        </w:tc>
        <w:tc>
          <w:tcPr>
            <w:tcW w:w="0" w:type="auto"/>
            <w:tcBorders>
              <w:top w:val="nil"/>
              <w:left w:val="nil"/>
              <w:bottom w:val="single" w:sz="4" w:space="0" w:color="auto"/>
              <w:right w:val="single" w:sz="4" w:space="0" w:color="FFFFFF"/>
            </w:tcBorders>
            <w:shd w:val="clear" w:color="000000" w:fill="1F497D"/>
            <w:noWrap/>
            <w:vAlign w:val="center"/>
            <w:hideMark/>
          </w:tcPr>
          <w:p w:rsidR="00203A5B" w:rsidRPr="00BF5EF4" w:rsidRDefault="00203A5B" w:rsidP="00957E31">
            <w:pPr>
              <w:pStyle w:val="TableHeader"/>
            </w:pPr>
            <w:r w:rsidRPr="00BF5EF4">
              <w:t>1-in-10</w:t>
            </w:r>
          </w:p>
        </w:tc>
        <w:tc>
          <w:tcPr>
            <w:tcW w:w="0" w:type="auto"/>
            <w:tcBorders>
              <w:top w:val="nil"/>
              <w:left w:val="nil"/>
              <w:bottom w:val="single" w:sz="4" w:space="0" w:color="auto"/>
              <w:right w:val="single" w:sz="4" w:space="0" w:color="auto"/>
            </w:tcBorders>
            <w:shd w:val="clear" w:color="000000" w:fill="1F497D"/>
            <w:noWrap/>
            <w:vAlign w:val="center"/>
            <w:hideMark/>
          </w:tcPr>
          <w:p w:rsidR="00203A5B" w:rsidRPr="00BF5EF4" w:rsidRDefault="00203A5B" w:rsidP="00957E31">
            <w:pPr>
              <w:pStyle w:val="TableHeader"/>
            </w:pPr>
            <w:r w:rsidRPr="00BF5EF4">
              <w:t>1-in-2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Typical Event Day</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0.36</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0.30</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4</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May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0.28</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0.12</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3</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1</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June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0.33</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0.13</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2</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July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0.31</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4</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August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0.36</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0.30</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4</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3</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September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0.49</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0.40</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6</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5</w:t>
            </w:r>
          </w:p>
        </w:tc>
      </w:tr>
      <w:tr w:rsidR="00203A5B" w:rsidRPr="00BF5EF4" w:rsidTr="00203A5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October Monthly Peak</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0.29</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0.22</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3</w:t>
            </w:r>
          </w:p>
        </w:tc>
        <w:tc>
          <w:tcPr>
            <w:tcW w:w="0" w:type="auto"/>
            <w:tcBorders>
              <w:top w:val="nil"/>
              <w:left w:val="nil"/>
              <w:bottom w:val="single" w:sz="4" w:space="0" w:color="auto"/>
              <w:right w:val="single" w:sz="4" w:space="0" w:color="auto"/>
            </w:tcBorders>
            <w:shd w:val="clear" w:color="auto" w:fill="auto"/>
            <w:noWrap/>
            <w:vAlign w:val="center"/>
            <w:hideMark/>
          </w:tcPr>
          <w:p w:rsidR="00203A5B" w:rsidRPr="00BF5EF4" w:rsidRDefault="00203A5B" w:rsidP="00957E31">
            <w:pPr>
              <w:pStyle w:val="TableText"/>
            </w:pPr>
            <w:r w:rsidRPr="00BF5EF4">
              <w:t>3</w:t>
            </w:r>
          </w:p>
        </w:tc>
      </w:tr>
    </w:tbl>
    <w:p w:rsidR="00203A5B" w:rsidRPr="00DF3D26" w:rsidRDefault="00203A5B" w:rsidP="00203A5B">
      <w:pPr>
        <w:pStyle w:val="BodyParaAfterTableFigure"/>
      </w:pPr>
    </w:p>
    <w:p w:rsidR="00203A5B" w:rsidRPr="00DF3D26" w:rsidRDefault="00203A5B" w:rsidP="00203A5B">
      <w:pPr>
        <w:pStyle w:val="BodyParaAfterTableFigure"/>
      </w:pPr>
      <w:r w:rsidRPr="00DF3D26">
        <w:t xml:space="preserve"> </w:t>
      </w:r>
    </w:p>
    <w:p w:rsidR="00203A5B" w:rsidRPr="00DF3D26" w:rsidRDefault="00203A5B" w:rsidP="00203A5B">
      <w:pPr>
        <w:pStyle w:val="BodyParagraph"/>
      </w:pPr>
      <w:r w:rsidRPr="00DF3D26">
        <w:br w:type="page"/>
      </w:r>
    </w:p>
    <w:p w:rsidR="00203A5B" w:rsidRPr="00DF3D26" w:rsidRDefault="00203A5B" w:rsidP="00203A5B">
      <w:pPr>
        <w:pStyle w:val="TableFigureCaption"/>
      </w:pPr>
      <w:r w:rsidRPr="00DF3D26">
        <w:t>Table 5-3:</w:t>
      </w:r>
      <w:r w:rsidR="00957E31">
        <w:t xml:space="preserve"> </w:t>
      </w:r>
      <w:r w:rsidRPr="00DF3D26">
        <w:t>Aggregate Load Reductions by Day Type, Weather Year and Hour</w:t>
      </w:r>
      <w:r w:rsidRPr="00DF3D26">
        <w:br/>
        <w:t>All Residential Customers</w:t>
      </w:r>
    </w:p>
    <w:tbl>
      <w:tblPr>
        <w:tblW w:w="8992" w:type="dxa"/>
        <w:jc w:val="center"/>
        <w:tblInd w:w="93" w:type="dxa"/>
        <w:tblLook w:val="04A0"/>
      </w:tblPr>
      <w:tblGrid>
        <w:gridCol w:w="1006"/>
        <w:gridCol w:w="2320"/>
        <w:gridCol w:w="820"/>
        <w:gridCol w:w="960"/>
        <w:gridCol w:w="960"/>
        <w:gridCol w:w="960"/>
        <w:gridCol w:w="960"/>
        <w:gridCol w:w="1006"/>
      </w:tblGrid>
      <w:tr w:rsidR="00203A5B" w:rsidRPr="00574B6B" w:rsidTr="00286600">
        <w:trPr>
          <w:trHeight w:val="300"/>
          <w:jc w:val="center"/>
        </w:trPr>
        <w:tc>
          <w:tcPr>
            <w:tcW w:w="1006" w:type="dxa"/>
            <w:vMerge w:val="restart"/>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203A5B" w:rsidRPr="00574B6B" w:rsidRDefault="00203A5B" w:rsidP="00957E31">
            <w:pPr>
              <w:pStyle w:val="TableHeader"/>
              <w:spacing w:before="20" w:after="20"/>
            </w:pPr>
            <w:r w:rsidRPr="00574B6B">
              <w:t>Weather Year</w:t>
            </w:r>
          </w:p>
        </w:tc>
        <w:tc>
          <w:tcPr>
            <w:tcW w:w="2320" w:type="dxa"/>
            <w:vMerge w:val="restart"/>
            <w:tcBorders>
              <w:top w:val="single" w:sz="4" w:space="0" w:color="000000"/>
              <w:left w:val="single" w:sz="4" w:space="0" w:color="FFFFFF"/>
              <w:bottom w:val="single" w:sz="4" w:space="0" w:color="000000"/>
              <w:right w:val="single" w:sz="4" w:space="0" w:color="FFFFFF"/>
            </w:tcBorders>
            <w:shd w:val="clear" w:color="000000" w:fill="1F497D"/>
            <w:vAlign w:val="center"/>
            <w:hideMark/>
          </w:tcPr>
          <w:p w:rsidR="00203A5B" w:rsidRPr="00574B6B" w:rsidRDefault="00203A5B" w:rsidP="00957E31">
            <w:pPr>
              <w:pStyle w:val="TableHeader"/>
              <w:spacing w:before="20" w:after="20"/>
            </w:pPr>
            <w:r w:rsidRPr="00574B6B">
              <w:t>Day Type</w:t>
            </w:r>
          </w:p>
        </w:tc>
        <w:tc>
          <w:tcPr>
            <w:tcW w:w="4660" w:type="dxa"/>
            <w:gridSpan w:val="5"/>
            <w:tcBorders>
              <w:top w:val="single" w:sz="4" w:space="0" w:color="000000"/>
              <w:left w:val="nil"/>
              <w:bottom w:val="single" w:sz="4" w:space="0" w:color="FFFFFF"/>
              <w:right w:val="single" w:sz="4" w:space="0" w:color="FFFFFF"/>
            </w:tcBorders>
            <w:shd w:val="clear" w:color="000000" w:fill="1F497D"/>
            <w:noWrap/>
            <w:vAlign w:val="center"/>
            <w:hideMark/>
          </w:tcPr>
          <w:p w:rsidR="00203A5B" w:rsidRPr="00574B6B" w:rsidRDefault="00203A5B" w:rsidP="00957E31">
            <w:pPr>
              <w:pStyle w:val="TableHeader"/>
              <w:spacing w:before="20" w:after="20"/>
            </w:pPr>
            <w:r w:rsidRPr="00574B6B">
              <w:t>Hour of Day</w:t>
            </w:r>
          </w:p>
        </w:tc>
        <w:tc>
          <w:tcPr>
            <w:tcW w:w="1006" w:type="dxa"/>
            <w:vMerge w:val="restart"/>
            <w:tcBorders>
              <w:top w:val="single" w:sz="4" w:space="0" w:color="000000"/>
              <w:left w:val="single" w:sz="4" w:space="0" w:color="FFFFFF"/>
              <w:bottom w:val="single" w:sz="4" w:space="0" w:color="000000"/>
              <w:right w:val="single" w:sz="4" w:space="0" w:color="000000"/>
            </w:tcBorders>
            <w:shd w:val="clear" w:color="000000" w:fill="1F497D"/>
            <w:vAlign w:val="center"/>
            <w:hideMark/>
          </w:tcPr>
          <w:p w:rsidR="00203A5B" w:rsidRPr="00574B6B" w:rsidRDefault="00203A5B" w:rsidP="00957E31">
            <w:pPr>
              <w:pStyle w:val="TableHeader"/>
              <w:spacing w:before="20" w:after="20"/>
            </w:pPr>
            <w:r w:rsidRPr="00574B6B">
              <w:t>Average</w:t>
            </w:r>
          </w:p>
        </w:tc>
      </w:tr>
      <w:tr w:rsidR="00203A5B" w:rsidRPr="00574B6B" w:rsidTr="00286600">
        <w:trPr>
          <w:trHeight w:val="510"/>
          <w:jc w:val="center"/>
        </w:trPr>
        <w:tc>
          <w:tcPr>
            <w:tcW w:w="1006" w:type="dxa"/>
            <w:vMerge/>
            <w:tcBorders>
              <w:top w:val="single" w:sz="4" w:space="0" w:color="000000"/>
              <w:left w:val="single" w:sz="4" w:space="0" w:color="000000"/>
              <w:bottom w:val="single" w:sz="4" w:space="0" w:color="000000"/>
              <w:right w:val="single" w:sz="4" w:space="0" w:color="FFFFFF"/>
            </w:tcBorders>
            <w:vAlign w:val="center"/>
            <w:hideMark/>
          </w:tcPr>
          <w:p w:rsidR="00203A5B" w:rsidRPr="00574B6B" w:rsidRDefault="00203A5B" w:rsidP="00957E31">
            <w:pPr>
              <w:pStyle w:val="TableHeader"/>
              <w:spacing w:before="20" w:after="20"/>
            </w:pPr>
          </w:p>
        </w:tc>
        <w:tc>
          <w:tcPr>
            <w:tcW w:w="2320" w:type="dxa"/>
            <w:vMerge/>
            <w:tcBorders>
              <w:top w:val="single" w:sz="4" w:space="0" w:color="000000"/>
              <w:left w:val="single" w:sz="4" w:space="0" w:color="FFFFFF"/>
              <w:bottom w:val="single" w:sz="4" w:space="0" w:color="000000"/>
              <w:right w:val="single" w:sz="4" w:space="0" w:color="FFFFFF"/>
            </w:tcBorders>
            <w:vAlign w:val="center"/>
            <w:hideMark/>
          </w:tcPr>
          <w:p w:rsidR="00203A5B" w:rsidRPr="00574B6B" w:rsidRDefault="00203A5B" w:rsidP="00957E31">
            <w:pPr>
              <w:pStyle w:val="TableHeader"/>
              <w:spacing w:before="20" w:after="20"/>
            </w:pPr>
          </w:p>
        </w:tc>
        <w:tc>
          <w:tcPr>
            <w:tcW w:w="820" w:type="dxa"/>
            <w:tcBorders>
              <w:top w:val="nil"/>
              <w:left w:val="nil"/>
              <w:bottom w:val="single" w:sz="4" w:space="0" w:color="000000"/>
              <w:right w:val="single" w:sz="4" w:space="0" w:color="FFFFFF"/>
            </w:tcBorders>
            <w:shd w:val="clear" w:color="000000" w:fill="1F497D"/>
            <w:vAlign w:val="center"/>
            <w:hideMark/>
          </w:tcPr>
          <w:p w:rsidR="00203A5B" w:rsidRPr="00574B6B" w:rsidRDefault="00203A5B" w:rsidP="00957E31">
            <w:pPr>
              <w:pStyle w:val="TableHeader"/>
              <w:spacing w:before="20" w:after="20"/>
            </w:pPr>
            <w:r w:rsidRPr="00574B6B">
              <w:t>1 to 2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574B6B" w:rsidRDefault="00203A5B" w:rsidP="00957E31">
            <w:pPr>
              <w:pStyle w:val="TableHeader"/>
              <w:spacing w:before="20" w:after="20"/>
            </w:pPr>
            <w:r w:rsidRPr="00574B6B">
              <w:t>2 to 3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574B6B" w:rsidRDefault="00203A5B" w:rsidP="00957E31">
            <w:pPr>
              <w:pStyle w:val="TableHeader"/>
              <w:spacing w:before="20" w:after="20"/>
            </w:pPr>
            <w:r w:rsidRPr="00574B6B">
              <w:t>3 to 4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574B6B" w:rsidRDefault="00203A5B" w:rsidP="00957E31">
            <w:pPr>
              <w:pStyle w:val="TableHeader"/>
              <w:spacing w:before="20" w:after="20"/>
            </w:pPr>
            <w:r w:rsidRPr="00574B6B">
              <w:t>4 to 5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574B6B" w:rsidRDefault="00203A5B" w:rsidP="00957E31">
            <w:pPr>
              <w:pStyle w:val="TableHeader"/>
              <w:spacing w:before="20" w:after="20"/>
            </w:pPr>
            <w:r w:rsidRPr="00574B6B">
              <w:t>5 to 6 PM</w:t>
            </w:r>
          </w:p>
        </w:tc>
        <w:tc>
          <w:tcPr>
            <w:tcW w:w="1006" w:type="dxa"/>
            <w:vMerge/>
            <w:tcBorders>
              <w:top w:val="single" w:sz="4" w:space="0" w:color="000000"/>
              <w:left w:val="single" w:sz="4" w:space="0" w:color="FFFFFF"/>
              <w:bottom w:val="single" w:sz="4" w:space="0" w:color="000000"/>
              <w:right w:val="single" w:sz="4" w:space="0" w:color="000000"/>
            </w:tcBorders>
            <w:vAlign w:val="center"/>
            <w:hideMark/>
          </w:tcPr>
          <w:p w:rsidR="00203A5B" w:rsidRPr="00574B6B" w:rsidRDefault="00203A5B" w:rsidP="00957E31">
            <w:pPr>
              <w:pStyle w:val="TableHeader"/>
              <w:spacing w:before="20" w:after="20"/>
            </w:pPr>
          </w:p>
        </w:tc>
      </w:tr>
      <w:tr w:rsidR="00203A5B" w:rsidRPr="00574B6B" w:rsidTr="00286600">
        <w:trPr>
          <w:trHeight w:val="30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1-in-2</w:t>
            </w: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rPr>
                <w:iCs/>
              </w:rPr>
              <w:t>Typical Event Day</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9</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May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4</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June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5</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July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9</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August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9</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September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16</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October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6</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8</w:t>
            </w:r>
          </w:p>
        </w:tc>
      </w:tr>
      <w:tr w:rsidR="00203A5B" w:rsidRPr="00574B6B" w:rsidTr="00286600">
        <w:trPr>
          <w:trHeight w:val="30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1-in-10</w:t>
            </w: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rPr>
                <w:iCs/>
              </w:rPr>
              <w:t>Typical Event Day</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May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8</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June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10</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July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August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14</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September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20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23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22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15</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20</w:t>
            </w:r>
          </w:p>
        </w:tc>
      </w:tr>
      <w:tr w:rsidR="00203A5B" w:rsidRPr="00574B6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574B6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October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8</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574B6B" w:rsidRDefault="00203A5B" w:rsidP="00957E31">
            <w:pPr>
              <w:pStyle w:val="TableText"/>
              <w:spacing w:before="20" w:after="20"/>
            </w:pPr>
            <w:r w:rsidRPr="00574B6B">
              <w:t>11</w:t>
            </w:r>
          </w:p>
        </w:tc>
      </w:tr>
    </w:tbl>
    <w:p w:rsidR="00203A5B" w:rsidRPr="00DF3D26" w:rsidRDefault="00203A5B" w:rsidP="00203A5B">
      <w:pPr>
        <w:pStyle w:val="TableFigureCaption"/>
        <w:jc w:val="left"/>
      </w:pPr>
    </w:p>
    <w:p w:rsidR="00203A5B" w:rsidRPr="00DF3D26" w:rsidRDefault="00203A5B" w:rsidP="00957E31">
      <w:pPr>
        <w:pStyle w:val="TableFigureCaption"/>
      </w:pPr>
      <w:r w:rsidRPr="00DF3D26">
        <w:t>Table 5-4:</w:t>
      </w:r>
      <w:r w:rsidR="00957E31">
        <w:t xml:space="preserve"> </w:t>
      </w:r>
      <w:r w:rsidRPr="00DF3D26">
        <w:t>Aggregate Load Reductions by Day Type, Weather Year and Hour</w:t>
      </w:r>
      <w:r w:rsidRPr="00DF3D26">
        <w:br/>
        <w:t>All Commercial Customers</w:t>
      </w:r>
    </w:p>
    <w:tbl>
      <w:tblPr>
        <w:tblW w:w="8992" w:type="dxa"/>
        <w:jc w:val="center"/>
        <w:tblInd w:w="93" w:type="dxa"/>
        <w:tblLook w:val="04A0"/>
      </w:tblPr>
      <w:tblGrid>
        <w:gridCol w:w="1006"/>
        <w:gridCol w:w="2320"/>
        <w:gridCol w:w="820"/>
        <w:gridCol w:w="960"/>
        <w:gridCol w:w="960"/>
        <w:gridCol w:w="960"/>
        <w:gridCol w:w="960"/>
        <w:gridCol w:w="1006"/>
      </w:tblGrid>
      <w:tr w:rsidR="00203A5B" w:rsidRPr="0033333B" w:rsidTr="00286600">
        <w:trPr>
          <w:trHeight w:val="300"/>
          <w:jc w:val="center"/>
        </w:trPr>
        <w:tc>
          <w:tcPr>
            <w:tcW w:w="1006" w:type="dxa"/>
            <w:vMerge w:val="restart"/>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203A5B" w:rsidRPr="0033333B" w:rsidRDefault="00203A5B" w:rsidP="00957E31">
            <w:pPr>
              <w:pStyle w:val="TableHeader"/>
              <w:spacing w:before="20" w:after="20"/>
            </w:pPr>
            <w:r w:rsidRPr="0033333B">
              <w:t>Weather Year</w:t>
            </w:r>
          </w:p>
        </w:tc>
        <w:tc>
          <w:tcPr>
            <w:tcW w:w="2320" w:type="dxa"/>
            <w:vMerge w:val="restart"/>
            <w:tcBorders>
              <w:top w:val="single" w:sz="4" w:space="0" w:color="000000"/>
              <w:left w:val="single" w:sz="4" w:space="0" w:color="FFFFFF"/>
              <w:bottom w:val="single" w:sz="4" w:space="0" w:color="000000"/>
              <w:right w:val="single" w:sz="4" w:space="0" w:color="FFFFFF"/>
            </w:tcBorders>
            <w:shd w:val="clear" w:color="000000" w:fill="1F497D"/>
            <w:vAlign w:val="center"/>
            <w:hideMark/>
          </w:tcPr>
          <w:p w:rsidR="00203A5B" w:rsidRPr="0033333B" w:rsidRDefault="00203A5B" w:rsidP="00957E31">
            <w:pPr>
              <w:pStyle w:val="TableHeader"/>
              <w:spacing w:before="20" w:after="20"/>
            </w:pPr>
            <w:r w:rsidRPr="0033333B">
              <w:t>Day Type</w:t>
            </w:r>
          </w:p>
        </w:tc>
        <w:tc>
          <w:tcPr>
            <w:tcW w:w="4660" w:type="dxa"/>
            <w:gridSpan w:val="5"/>
            <w:tcBorders>
              <w:top w:val="single" w:sz="4" w:space="0" w:color="000000"/>
              <w:left w:val="nil"/>
              <w:bottom w:val="single" w:sz="4" w:space="0" w:color="FFFFFF"/>
              <w:right w:val="single" w:sz="4" w:space="0" w:color="FFFFFF"/>
            </w:tcBorders>
            <w:shd w:val="clear" w:color="000000" w:fill="1F497D"/>
            <w:noWrap/>
            <w:vAlign w:val="center"/>
            <w:hideMark/>
          </w:tcPr>
          <w:p w:rsidR="00203A5B" w:rsidRPr="0033333B" w:rsidRDefault="00203A5B" w:rsidP="00957E31">
            <w:pPr>
              <w:pStyle w:val="TableHeader"/>
              <w:spacing w:before="20" w:after="20"/>
            </w:pPr>
            <w:r w:rsidRPr="0033333B">
              <w:t>Hour of Day</w:t>
            </w:r>
          </w:p>
        </w:tc>
        <w:tc>
          <w:tcPr>
            <w:tcW w:w="1006" w:type="dxa"/>
            <w:vMerge w:val="restart"/>
            <w:tcBorders>
              <w:top w:val="single" w:sz="4" w:space="0" w:color="000000"/>
              <w:left w:val="single" w:sz="4" w:space="0" w:color="FFFFFF"/>
              <w:bottom w:val="single" w:sz="4" w:space="0" w:color="000000"/>
              <w:right w:val="single" w:sz="4" w:space="0" w:color="000000"/>
            </w:tcBorders>
            <w:shd w:val="clear" w:color="000000" w:fill="1F497D"/>
            <w:vAlign w:val="center"/>
            <w:hideMark/>
          </w:tcPr>
          <w:p w:rsidR="00203A5B" w:rsidRPr="0033333B" w:rsidRDefault="00203A5B" w:rsidP="00957E31">
            <w:pPr>
              <w:pStyle w:val="TableHeader"/>
              <w:spacing w:before="20" w:after="20"/>
            </w:pPr>
            <w:r w:rsidRPr="0033333B">
              <w:t>Average</w:t>
            </w:r>
          </w:p>
        </w:tc>
      </w:tr>
      <w:tr w:rsidR="00203A5B" w:rsidRPr="0033333B" w:rsidTr="00286600">
        <w:trPr>
          <w:trHeight w:val="510"/>
          <w:jc w:val="center"/>
        </w:trPr>
        <w:tc>
          <w:tcPr>
            <w:tcW w:w="1006" w:type="dxa"/>
            <w:vMerge/>
            <w:tcBorders>
              <w:top w:val="single" w:sz="4" w:space="0" w:color="000000"/>
              <w:left w:val="single" w:sz="4" w:space="0" w:color="000000"/>
              <w:bottom w:val="single" w:sz="4" w:space="0" w:color="000000"/>
              <w:right w:val="single" w:sz="4" w:space="0" w:color="FFFFFF"/>
            </w:tcBorders>
            <w:vAlign w:val="center"/>
            <w:hideMark/>
          </w:tcPr>
          <w:p w:rsidR="00203A5B" w:rsidRPr="0033333B" w:rsidRDefault="00203A5B" w:rsidP="00957E31">
            <w:pPr>
              <w:pStyle w:val="TableHeader"/>
              <w:spacing w:before="20" w:after="20"/>
            </w:pPr>
          </w:p>
        </w:tc>
        <w:tc>
          <w:tcPr>
            <w:tcW w:w="2320" w:type="dxa"/>
            <w:vMerge/>
            <w:tcBorders>
              <w:top w:val="single" w:sz="4" w:space="0" w:color="000000"/>
              <w:left w:val="single" w:sz="4" w:space="0" w:color="FFFFFF"/>
              <w:bottom w:val="single" w:sz="4" w:space="0" w:color="000000"/>
              <w:right w:val="single" w:sz="4" w:space="0" w:color="FFFFFF"/>
            </w:tcBorders>
            <w:vAlign w:val="center"/>
            <w:hideMark/>
          </w:tcPr>
          <w:p w:rsidR="00203A5B" w:rsidRPr="0033333B" w:rsidRDefault="00203A5B" w:rsidP="00957E31">
            <w:pPr>
              <w:pStyle w:val="TableHeader"/>
              <w:spacing w:before="20" w:after="20"/>
            </w:pPr>
          </w:p>
        </w:tc>
        <w:tc>
          <w:tcPr>
            <w:tcW w:w="82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spacing w:before="20" w:after="20"/>
            </w:pPr>
            <w:r w:rsidRPr="0033333B">
              <w:t>1 to 2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spacing w:before="20" w:after="20"/>
            </w:pPr>
            <w:r w:rsidRPr="0033333B">
              <w:t>2 to 3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spacing w:before="20" w:after="20"/>
            </w:pPr>
            <w:r w:rsidRPr="0033333B">
              <w:t>3 to 4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spacing w:before="20" w:after="20"/>
            </w:pPr>
            <w:r w:rsidRPr="0033333B">
              <w:t>4 to 5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spacing w:before="20" w:after="20"/>
            </w:pPr>
            <w:r w:rsidRPr="0033333B">
              <w:t>5 to 6 PM</w:t>
            </w:r>
          </w:p>
        </w:tc>
        <w:tc>
          <w:tcPr>
            <w:tcW w:w="1006" w:type="dxa"/>
            <w:vMerge/>
            <w:tcBorders>
              <w:top w:val="single" w:sz="4" w:space="0" w:color="000000"/>
              <w:left w:val="single" w:sz="4" w:space="0" w:color="FFFFFF"/>
              <w:bottom w:val="single" w:sz="4" w:space="0" w:color="000000"/>
              <w:right w:val="single" w:sz="4" w:space="0" w:color="000000"/>
            </w:tcBorders>
            <w:vAlign w:val="center"/>
            <w:hideMark/>
          </w:tcPr>
          <w:p w:rsidR="00203A5B" w:rsidRPr="0033333B" w:rsidRDefault="00203A5B" w:rsidP="00957E31">
            <w:pPr>
              <w:pStyle w:val="TableHeader"/>
              <w:spacing w:before="20" w:after="20"/>
            </w:pPr>
          </w:p>
        </w:tc>
      </w:tr>
      <w:tr w:rsidR="00203A5B" w:rsidRPr="0033333B" w:rsidTr="00286600">
        <w:trPr>
          <w:trHeight w:val="30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1-in-2</w:t>
            </w: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rPr>
                <w:iCs/>
              </w:rPr>
              <w:t>Typical Event Day</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May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June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2</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July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August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September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October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2</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r>
      <w:tr w:rsidR="00203A5B" w:rsidRPr="0033333B" w:rsidTr="00286600">
        <w:trPr>
          <w:trHeight w:val="30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1-in-10</w:t>
            </w: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rPr>
                <w:iCs/>
              </w:rPr>
              <w:t>Typical Event Day</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May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June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July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August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September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5</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6</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spacing w:before="20" w:after="20"/>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October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spacing w:before="20" w:after="20"/>
            </w:pPr>
            <w:r w:rsidRPr="0033333B">
              <w:t>3</w:t>
            </w:r>
          </w:p>
        </w:tc>
      </w:tr>
    </w:tbl>
    <w:p w:rsidR="00203A5B" w:rsidRPr="00DF3D26" w:rsidRDefault="00203A5B" w:rsidP="00203A5B">
      <w:pPr>
        <w:pStyle w:val="TableFigureCaption"/>
      </w:pPr>
      <w:r w:rsidRPr="00DF3D26">
        <w:br w:type="page"/>
        <w:t>Table 5-5:</w:t>
      </w:r>
      <w:r w:rsidR="00957E31">
        <w:t xml:space="preserve"> </w:t>
      </w:r>
      <w:r w:rsidRPr="00DF3D26">
        <w:t>Aggregate Load Reductions by Day Type, Weather Year and Hour</w:t>
      </w:r>
      <w:r w:rsidRPr="00DF3D26">
        <w:br/>
        <w:t>All Customers</w:t>
      </w:r>
    </w:p>
    <w:tbl>
      <w:tblPr>
        <w:tblW w:w="8992" w:type="dxa"/>
        <w:jc w:val="center"/>
        <w:tblInd w:w="93" w:type="dxa"/>
        <w:tblLook w:val="04A0"/>
      </w:tblPr>
      <w:tblGrid>
        <w:gridCol w:w="1006"/>
        <w:gridCol w:w="2320"/>
        <w:gridCol w:w="820"/>
        <w:gridCol w:w="960"/>
        <w:gridCol w:w="960"/>
        <w:gridCol w:w="960"/>
        <w:gridCol w:w="960"/>
        <w:gridCol w:w="1006"/>
      </w:tblGrid>
      <w:tr w:rsidR="00203A5B" w:rsidRPr="0033333B" w:rsidTr="00286600">
        <w:trPr>
          <w:trHeight w:val="300"/>
          <w:jc w:val="center"/>
        </w:trPr>
        <w:tc>
          <w:tcPr>
            <w:tcW w:w="1006" w:type="dxa"/>
            <w:vMerge w:val="restart"/>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203A5B" w:rsidRPr="0033333B" w:rsidRDefault="00203A5B" w:rsidP="00957E31">
            <w:pPr>
              <w:pStyle w:val="TableHeader"/>
            </w:pPr>
            <w:r w:rsidRPr="0033333B">
              <w:t>Weather Year</w:t>
            </w:r>
          </w:p>
        </w:tc>
        <w:tc>
          <w:tcPr>
            <w:tcW w:w="2320" w:type="dxa"/>
            <w:vMerge w:val="restart"/>
            <w:tcBorders>
              <w:top w:val="single" w:sz="4" w:space="0" w:color="000000"/>
              <w:left w:val="single" w:sz="4" w:space="0" w:color="FFFFFF"/>
              <w:bottom w:val="single" w:sz="4" w:space="0" w:color="000000"/>
              <w:right w:val="single" w:sz="4" w:space="0" w:color="FFFFFF"/>
            </w:tcBorders>
            <w:shd w:val="clear" w:color="000000" w:fill="1F497D"/>
            <w:vAlign w:val="center"/>
            <w:hideMark/>
          </w:tcPr>
          <w:p w:rsidR="00203A5B" w:rsidRPr="0033333B" w:rsidRDefault="00203A5B" w:rsidP="00957E31">
            <w:pPr>
              <w:pStyle w:val="TableHeader"/>
            </w:pPr>
            <w:r w:rsidRPr="0033333B">
              <w:t>Day Type</w:t>
            </w:r>
          </w:p>
        </w:tc>
        <w:tc>
          <w:tcPr>
            <w:tcW w:w="4660" w:type="dxa"/>
            <w:gridSpan w:val="5"/>
            <w:tcBorders>
              <w:top w:val="single" w:sz="4" w:space="0" w:color="000000"/>
              <w:left w:val="nil"/>
              <w:bottom w:val="single" w:sz="4" w:space="0" w:color="FFFFFF"/>
              <w:right w:val="single" w:sz="4" w:space="0" w:color="FFFFFF"/>
            </w:tcBorders>
            <w:shd w:val="clear" w:color="000000" w:fill="1F497D"/>
            <w:noWrap/>
            <w:vAlign w:val="center"/>
            <w:hideMark/>
          </w:tcPr>
          <w:p w:rsidR="00203A5B" w:rsidRPr="0033333B" w:rsidRDefault="00203A5B" w:rsidP="00957E31">
            <w:pPr>
              <w:pStyle w:val="TableHeader"/>
            </w:pPr>
            <w:r w:rsidRPr="0033333B">
              <w:t>Hour of Day</w:t>
            </w:r>
          </w:p>
        </w:tc>
        <w:tc>
          <w:tcPr>
            <w:tcW w:w="1006" w:type="dxa"/>
            <w:vMerge w:val="restart"/>
            <w:tcBorders>
              <w:top w:val="single" w:sz="4" w:space="0" w:color="000000"/>
              <w:left w:val="single" w:sz="4" w:space="0" w:color="FFFFFF"/>
              <w:bottom w:val="single" w:sz="4" w:space="0" w:color="000000"/>
              <w:right w:val="single" w:sz="4" w:space="0" w:color="000000"/>
            </w:tcBorders>
            <w:shd w:val="clear" w:color="000000" w:fill="1F497D"/>
            <w:vAlign w:val="center"/>
            <w:hideMark/>
          </w:tcPr>
          <w:p w:rsidR="00203A5B" w:rsidRPr="0033333B" w:rsidRDefault="00203A5B" w:rsidP="00957E31">
            <w:pPr>
              <w:pStyle w:val="TableHeader"/>
            </w:pPr>
            <w:r w:rsidRPr="0033333B">
              <w:t>Average</w:t>
            </w:r>
          </w:p>
        </w:tc>
      </w:tr>
      <w:tr w:rsidR="00203A5B" w:rsidRPr="0033333B" w:rsidTr="00286600">
        <w:trPr>
          <w:trHeight w:val="510"/>
          <w:jc w:val="center"/>
        </w:trPr>
        <w:tc>
          <w:tcPr>
            <w:tcW w:w="1006" w:type="dxa"/>
            <w:vMerge/>
            <w:tcBorders>
              <w:top w:val="single" w:sz="4" w:space="0" w:color="000000"/>
              <w:left w:val="single" w:sz="4" w:space="0" w:color="000000"/>
              <w:bottom w:val="single" w:sz="4" w:space="0" w:color="000000"/>
              <w:right w:val="single" w:sz="4" w:space="0" w:color="FFFFFF"/>
            </w:tcBorders>
            <w:vAlign w:val="center"/>
            <w:hideMark/>
          </w:tcPr>
          <w:p w:rsidR="00203A5B" w:rsidRPr="0033333B" w:rsidRDefault="00203A5B" w:rsidP="00957E31">
            <w:pPr>
              <w:pStyle w:val="TableHeader"/>
            </w:pPr>
          </w:p>
        </w:tc>
        <w:tc>
          <w:tcPr>
            <w:tcW w:w="2320" w:type="dxa"/>
            <w:vMerge/>
            <w:tcBorders>
              <w:top w:val="single" w:sz="4" w:space="0" w:color="000000"/>
              <w:left w:val="single" w:sz="4" w:space="0" w:color="FFFFFF"/>
              <w:bottom w:val="single" w:sz="4" w:space="0" w:color="000000"/>
              <w:right w:val="single" w:sz="4" w:space="0" w:color="FFFFFF"/>
            </w:tcBorders>
            <w:vAlign w:val="center"/>
            <w:hideMark/>
          </w:tcPr>
          <w:p w:rsidR="00203A5B" w:rsidRPr="0033333B" w:rsidRDefault="00203A5B" w:rsidP="00957E31">
            <w:pPr>
              <w:pStyle w:val="TableHeader"/>
            </w:pPr>
          </w:p>
        </w:tc>
        <w:tc>
          <w:tcPr>
            <w:tcW w:w="82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pPr>
            <w:r w:rsidRPr="0033333B">
              <w:t>1 to 2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pPr>
            <w:r w:rsidRPr="0033333B">
              <w:t>2 to 3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pPr>
            <w:r w:rsidRPr="0033333B">
              <w:t>3 to 4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pPr>
            <w:r w:rsidRPr="0033333B">
              <w:t>4 to 5 PM</w:t>
            </w:r>
          </w:p>
        </w:tc>
        <w:tc>
          <w:tcPr>
            <w:tcW w:w="960" w:type="dxa"/>
            <w:tcBorders>
              <w:top w:val="nil"/>
              <w:left w:val="nil"/>
              <w:bottom w:val="single" w:sz="4" w:space="0" w:color="000000"/>
              <w:right w:val="single" w:sz="4" w:space="0" w:color="FFFFFF"/>
            </w:tcBorders>
            <w:shd w:val="clear" w:color="000000" w:fill="1F497D"/>
            <w:vAlign w:val="center"/>
            <w:hideMark/>
          </w:tcPr>
          <w:p w:rsidR="00203A5B" w:rsidRPr="0033333B" w:rsidRDefault="00203A5B" w:rsidP="00957E31">
            <w:pPr>
              <w:pStyle w:val="TableHeader"/>
            </w:pPr>
            <w:r w:rsidRPr="0033333B">
              <w:t>5 to 6 PM</w:t>
            </w:r>
          </w:p>
        </w:tc>
        <w:tc>
          <w:tcPr>
            <w:tcW w:w="1006" w:type="dxa"/>
            <w:vMerge/>
            <w:tcBorders>
              <w:top w:val="single" w:sz="4" w:space="0" w:color="000000"/>
              <w:left w:val="single" w:sz="4" w:space="0" w:color="FFFFFF"/>
              <w:bottom w:val="single" w:sz="4" w:space="0" w:color="000000"/>
              <w:right w:val="single" w:sz="4" w:space="0" w:color="000000"/>
            </w:tcBorders>
            <w:vAlign w:val="center"/>
            <w:hideMark/>
          </w:tcPr>
          <w:p w:rsidR="00203A5B" w:rsidRPr="0033333B" w:rsidRDefault="00203A5B" w:rsidP="00957E31">
            <w:pPr>
              <w:pStyle w:val="TableHeader"/>
            </w:pPr>
          </w:p>
        </w:tc>
      </w:tr>
      <w:tr w:rsidR="00203A5B" w:rsidRPr="0033333B" w:rsidTr="00286600">
        <w:trPr>
          <w:trHeight w:val="30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1-in-2</w:t>
            </w: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rPr>
                <w:iCs/>
              </w:rPr>
              <w:t>Typical Event Day</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12</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May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4</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June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5</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6</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July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12</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16</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August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12</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September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16</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20</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October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9</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11</w:t>
            </w:r>
          </w:p>
        </w:tc>
      </w:tr>
      <w:tr w:rsidR="00203A5B" w:rsidRPr="0033333B" w:rsidTr="00286600">
        <w:trPr>
          <w:trHeight w:val="30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1-in-10</w:t>
            </w: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rPr>
                <w:iCs/>
              </w:rPr>
              <w:t>Typical Event Day</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18</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May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13</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11</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June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July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17</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20</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18</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August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15</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19</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September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25</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20</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25</w:t>
            </w:r>
          </w:p>
        </w:tc>
      </w:tr>
      <w:tr w:rsidR="00203A5B" w:rsidRPr="0033333B" w:rsidTr="00286600">
        <w:trPr>
          <w:trHeight w:val="300"/>
          <w:jc w:val="center"/>
        </w:trPr>
        <w:tc>
          <w:tcPr>
            <w:tcW w:w="1006" w:type="dxa"/>
            <w:vMerge/>
            <w:tcBorders>
              <w:top w:val="nil"/>
              <w:left w:val="single" w:sz="4" w:space="0" w:color="auto"/>
              <w:bottom w:val="single" w:sz="4" w:space="0" w:color="auto"/>
              <w:right w:val="single" w:sz="4" w:space="0" w:color="auto"/>
            </w:tcBorders>
            <w:vAlign w:val="center"/>
            <w:hideMark/>
          </w:tcPr>
          <w:p w:rsidR="00203A5B" w:rsidRPr="0033333B" w:rsidRDefault="00203A5B" w:rsidP="00957E31">
            <w:pPr>
              <w:pStyle w:val="TableText"/>
            </w:pPr>
          </w:p>
        </w:tc>
        <w:tc>
          <w:tcPr>
            <w:tcW w:w="23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October Monthly Peak</w:t>
            </w:r>
          </w:p>
        </w:tc>
        <w:tc>
          <w:tcPr>
            <w:tcW w:w="82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11</w:t>
            </w:r>
          </w:p>
        </w:tc>
        <w:tc>
          <w:tcPr>
            <w:tcW w:w="1006" w:type="dxa"/>
            <w:tcBorders>
              <w:top w:val="nil"/>
              <w:left w:val="nil"/>
              <w:bottom w:val="single" w:sz="4" w:space="0" w:color="auto"/>
              <w:right w:val="single" w:sz="4" w:space="0" w:color="auto"/>
            </w:tcBorders>
            <w:shd w:val="clear" w:color="auto" w:fill="auto"/>
            <w:noWrap/>
            <w:vAlign w:val="center"/>
            <w:hideMark/>
          </w:tcPr>
          <w:p w:rsidR="00203A5B" w:rsidRPr="0033333B" w:rsidRDefault="00203A5B" w:rsidP="00957E31">
            <w:pPr>
              <w:pStyle w:val="TableText"/>
            </w:pPr>
            <w:r w:rsidRPr="0033333B">
              <w:t>14</w:t>
            </w:r>
          </w:p>
        </w:tc>
      </w:tr>
    </w:tbl>
    <w:p w:rsidR="00203A5B" w:rsidRDefault="00203A5B" w:rsidP="00203A5B">
      <w:pPr>
        <w:pStyle w:val="BodyParagraph"/>
      </w:pPr>
      <w:bookmarkStart w:id="50" w:name="_Toc347931625"/>
      <w:r>
        <w:br w:type="page"/>
      </w:r>
    </w:p>
    <w:p w:rsidR="00203A5B" w:rsidRDefault="00203A5B" w:rsidP="00203A5B">
      <w:pPr>
        <w:pStyle w:val="Heading1"/>
      </w:pPr>
      <w:bookmarkStart w:id="51" w:name="_Toc349548913"/>
      <w:bookmarkStart w:id="52" w:name="_Toc350953044"/>
      <w:r>
        <w:t>Data and Methodology</w:t>
      </w:r>
      <w:bookmarkEnd w:id="50"/>
      <w:r>
        <w:t xml:space="preserve"> - PTR for Summer Saver</w:t>
      </w:r>
      <w:r w:rsidR="00957E31">
        <w:t> </w:t>
      </w:r>
      <w:r>
        <w:t>Customers</w:t>
      </w:r>
      <w:bookmarkEnd w:id="51"/>
      <w:bookmarkEnd w:id="52"/>
    </w:p>
    <w:p w:rsidR="00203A5B" w:rsidRDefault="00203A5B" w:rsidP="00203A5B">
      <w:pPr>
        <w:pStyle w:val="BodyParagraph"/>
      </w:pPr>
      <w:r>
        <w:t xml:space="preserve">This section </w:t>
      </w:r>
      <w:r w:rsidRPr="005817A5">
        <w:t>summarizes</w:t>
      </w:r>
      <w:r>
        <w:t xml:space="preserve"> the datasets and analysis methods that were used to estimate load impacts for</w:t>
      </w:r>
      <w:r w:rsidRPr="00263B75">
        <w:t xml:space="preserve"> </w:t>
      </w:r>
      <w:r>
        <w:t>each PTR event for Summer Saver customers in 2012.  The load impacts from PTR for the Summer Saver population were found to be practically insignificant in a panel model that is meant to distinguish event days from non-event days.  Load impacts from the analysis of residential Summer Saver customers who received PTR alerts were significant and were calculated using two methods</w:t>
      </w:r>
      <w:r w:rsidR="00286600">
        <w:t>:</w:t>
      </w:r>
      <w:r>
        <w:t xml:space="preserve"> a matched control group and a panel model that uses information from hot non-event days, with the matched control group used for reporting.</w:t>
      </w:r>
    </w:p>
    <w:p w:rsidR="00203A5B" w:rsidRDefault="00203A5B" w:rsidP="00957E31">
      <w:pPr>
        <w:pStyle w:val="Heading2"/>
      </w:pPr>
      <w:bookmarkStart w:id="53" w:name="_Toc347931626"/>
      <w:bookmarkStart w:id="54" w:name="_Toc349548914"/>
      <w:bookmarkStart w:id="55" w:name="_Toc350953045"/>
      <w:r w:rsidRPr="00957E31">
        <w:t>Data</w:t>
      </w:r>
      <w:bookmarkEnd w:id="53"/>
      <w:bookmarkEnd w:id="54"/>
      <w:bookmarkEnd w:id="55"/>
    </w:p>
    <w:p w:rsidR="00203A5B" w:rsidRDefault="00203A5B" w:rsidP="00203A5B">
      <w:pPr>
        <w:pStyle w:val="BodyParagraph"/>
      </w:pPr>
      <w:r>
        <w:t>In 2012, seven PTR events were called.  Table 6-1 shows the date of each event</w:t>
      </w:r>
      <w:r w:rsidR="00286600">
        <w:t xml:space="preserve"> along with</w:t>
      </w:r>
      <w:r>
        <w:t xml:space="preserve"> the start and stop time of each event.  All residential and </w:t>
      </w:r>
      <w:r w:rsidRPr="002F02E6">
        <w:t>commercial</w:t>
      </w:r>
      <w:r>
        <w:t xml:space="preserve"> accounts were called for each event.  The samples used for the PTR load impact analysis for Summer Saver customers are exactly the same as those used for the Summer Saver load impact analysis; that is, a residential sample of 1,379 customers and a commercial sample of 393 customers.  However, a smaller sample of 121 residential customers who received PTR alerts was used to calculate the load impacts for the subset of 2,917 residential customers in the Summer Saver population who received PTR alerts.  The same analysis could not be carried out for commercial customers because only </w:t>
      </w:r>
      <w:r w:rsidR="00286600">
        <w:t xml:space="preserve">7 </w:t>
      </w:r>
      <w:r>
        <w:t xml:space="preserve">commercial customers in the sample of 393 received PTR alerts.  In 2012, PTR events lasted </w:t>
      </w:r>
      <w:r w:rsidR="00286600">
        <w:t xml:space="preserve">7 </w:t>
      </w:r>
      <w:r>
        <w:t>hours, beginning at 11 AM and ending at 6 PM.</w:t>
      </w:r>
    </w:p>
    <w:p w:rsidR="00203A5B" w:rsidRDefault="00203A5B" w:rsidP="00203A5B">
      <w:pPr>
        <w:pStyle w:val="TableFigureCaption"/>
      </w:pPr>
      <w:r w:rsidRPr="005E4F7C">
        <w:t xml:space="preserve">Table </w:t>
      </w:r>
      <w:r>
        <w:t>6-1</w:t>
      </w:r>
      <w:r w:rsidRPr="005E4F7C">
        <w:t>:</w:t>
      </w:r>
      <w:r>
        <w:t xml:space="preserve"> PTR 2012</w:t>
      </w:r>
      <w:r w:rsidRPr="005E4F7C">
        <w:t xml:space="preserve"> Event Summary</w:t>
      </w:r>
    </w:p>
    <w:tbl>
      <w:tblPr>
        <w:tblW w:w="4907" w:type="dxa"/>
        <w:jc w:val="center"/>
        <w:tblInd w:w="99" w:type="dxa"/>
        <w:tblLook w:val="04A0"/>
      </w:tblPr>
      <w:tblGrid>
        <w:gridCol w:w="1157"/>
        <w:gridCol w:w="1200"/>
        <w:gridCol w:w="1250"/>
        <w:gridCol w:w="1300"/>
      </w:tblGrid>
      <w:tr w:rsidR="00203A5B" w:rsidRPr="00940764" w:rsidTr="00203A5B">
        <w:trPr>
          <w:trHeight w:val="510"/>
          <w:jc w:val="center"/>
        </w:trPr>
        <w:tc>
          <w:tcPr>
            <w:tcW w:w="1157"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Date</w:t>
            </w:r>
          </w:p>
        </w:tc>
        <w:tc>
          <w:tcPr>
            <w:tcW w:w="1200" w:type="dxa"/>
            <w:tcBorders>
              <w:top w:val="single" w:sz="4" w:space="0" w:color="auto"/>
              <w:left w:val="nil"/>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Day of Week</w:t>
            </w:r>
          </w:p>
        </w:tc>
        <w:tc>
          <w:tcPr>
            <w:tcW w:w="1250" w:type="dxa"/>
            <w:tcBorders>
              <w:top w:val="single" w:sz="4" w:space="0" w:color="auto"/>
              <w:left w:val="nil"/>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Start Time</w:t>
            </w:r>
          </w:p>
        </w:tc>
        <w:tc>
          <w:tcPr>
            <w:tcW w:w="1300" w:type="dxa"/>
            <w:tcBorders>
              <w:top w:val="single" w:sz="4" w:space="0" w:color="auto"/>
              <w:left w:val="nil"/>
              <w:bottom w:val="single" w:sz="4" w:space="0" w:color="auto"/>
              <w:right w:val="single" w:sz="4" w:space="0" w:color="auto"/>
            </w:tcBorders>
            <w:shd w:val="clear" w:color="000000" w:fill="1F497D"/>
            <w:vAlign w:val="center"/>
            <w:hideMark/>
          </w:tcPr>
          <w:p w:rsidR="00203A5B" w:rsidRPr="00940764" w:rsidRDefault="00203A5B" w:rsidP="00957E31">
            <w:pPr>
              <w:pStyle w:val="TableHeader"/>
            </w:pPr>
            <w:r w:rsidRPr="00940764">
              <w:t>End Time</w:t>
            </w:r>
          </w:p>
        </w:tc>
      </w:tr>
      <w:tr w:rsidR="00203A5B" w:rsidRPr="00940764" w:rsidTr="00203A5B">
        <w:trPr>
          <w:trHeight w:val="300"/>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20-Jul-12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rFonts w:cs="Calibri"/>
              </w:rPr>
            </w:pPr>
            <w:r w:rsidRPr="00940764">
              <w:rPr>
                <w:rFonts w:cs="Calibri"/>
              </w:rPr>
              <w:t>Friday</w:t>
            </w:r>
          </w:p>
        </w:tc>
        <w:tc>
          <w:tcPr>
            <w:tcW w:w="1250" w:type="dxa"/>
            <w:tcBorders>
              <w:top w:val="single" w:sz="4" w:space="0" w:color="auto"/>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11:00 AM</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6:00 PM</w:t>
            </w:r>
          </w:p>
        </w:tc>
      </w:tr>
      <w:tr w:rsidR="00203A5B" w:rsidRPr="00940764"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9-Aug-12</w:t>
            </w:r>
          </w:p>
        </w:tc>
        <w:tc>
          <w:tcPr>
            <w:tcW w:w="120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rFonts w:cs="Calibri"/>
              </w:rPr>
            </w:pPr>
            <w:r w:rsidRPr="00940764">
              <w:rPr>
                <w:rFonts w:cs="Calibri"/>
              </w:rPr>
              <w:t>Thursday</w:t>
            </w:r>
          </w:p>
        </w:tc>
        <w:tc>
          <w:tcPr>
            <w:tcW w:w="125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11:00 AM</w:t>
            </w:r>
          </w:p>
        </w:tc>
        <w:tc>
          <w:tcPr>
            <w:tcW w:w="130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6:00 PM</w:t>
            </w:r>
          </w:p>
        </w:tc>
      </w:tr>
      <w:tr w:rsidR="00203A5B" w:rsidRPr="00940764"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10-Aug-12</w:t>
            </w:r>
          </w:p>
        </w:tc>
        <w:tc>
          <w:tcPr>
            <w:tcW w:w="120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rFonts w:cs="Calibri"/>
              </w:rPr>
            </w:pPr>
            <w:r w:rsidRPr="00940764">
              <w:rPr>
                <w:rFonts w:cs="Calibri"/>
              </w:rPr>
              <w:t>Friday</w:t>
            </w:r>
          </w:p>
        </w:tc>
        <w:tc>
          <w:tcPr>
            <w:tcW w:w="125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11:00 AM</w:t>
            </w:r>
          </w:p>
        </w:tc>
        <w:tc>
          <w:tcPr>
            <w:tcW w:w="130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6:00 PM</w:t>
            </w:r>
          </w:p>
        </w:tc>
      </w:tr>
      <w:tr w:rsidR="00203A5B" w:rsidRPr="00940764"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11-Aug-12</w:t>
            </w:r>
          </w:p>
        </w:tc>
        <w:tc>
          <w:tcPr>
            <w:tcW w:w="120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rFonts w:cs="Calibri"/>
              </w:rPr>
            </w:pPr>
            <w:r w:rsidRPr="00940764">
              <w:rPr>
                <w:rFonts w:cs="Calibri"/>
              </w:rPr>
              <w:t>Saturday</w:t>
            </w:r>
          </w:p>
        </w:tc>
        <w:tc>
          <w:tcPr>
            <w:tcW w:w="125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11:00 AM</w:t>
            </w:r>
          </w:p>
        </w:tc>
        <w:tc>
          <w:tcPr>
            <w:tcW w:w="130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6:00 PM</w:t>
            </w:r>
          </w:p>
        </w:tc>
      </w:tr>
      <w:tr w:rsidR="00203A5B" w:rsidRPr="00940764"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14-Aug-12</w:t>
            </w:r>
          </w:p>
        </w:tc>
        <w:tc>
          <w:tcPr>
            <w:tcW w:w="120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rFonts w:cs="Calibri"/>
              </w:rPr>
            </w:pPr>
            <w:r w:rsidRPr="00940764">
              <w:rPr>
                <w:rFonts w:cs="Calibri"/>
              </w:rPr>
              <w:t>Tuesday</w:t>
            </w:r>
          </w:p>
        </w:tc>
        <w:tc>
          <w:tcPr>
            <w:tcW w:w="125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11:00 AM</w:t>
            </w:r>
          </w:p>
        </w:tc>
        <w:tc>
          <w:tcPr>
            <w:tcW w:w="130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6:00 PM</w:t>
            </w:r>
          </w:p>
        </w:tc>
      </w:tr>
      <w:tr w:rsidR="00203A5B" w:rsidRPr="00940764"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21-Aug-12</w:t>
            </w:r>
          </w:p>
        </w:tc>
        <w:tc>
          <w:tcPr>
            <w:tcW w:w="120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rFonts w:cs="Calibri"/>
              </w:rPr>
            </w:pPr>
            <w:r w:rsidRPr="00940764">
              <w:rPr>
                <w:rFonts w:cs="Calibri"/>
              </w:rPr>
              <w:t>Tuesday</w:t>
            </w:r>
          </w:p>
        </w:tc>
        <w:tc>
          <w:tcPr>
            <w:tcW w:w="125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11:00 AM</w:t>
            </w:r>
          </w:p>
        </w:tc>
        <w:tc>
          <w:tcPr>
            <w:tcW w:w="130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6:00 PM</w:t>
            </w:r>
          </w:p>
        </w:tc>
      </w:tr>
      <w:tr w:rsidR="00203A5B" w:rsidRPr="00940764" w:rsidTr="00203A5B">
        <w:trPr>
          <w:trHeight w:val="300"/>
          <w:jc w:val="center"/>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15-Sep-12</w:t>
            </w:r>
          </w:p>
        </w:tc>
        <w:tc>
          <w:tcPr>
            <w:tcW w:w="120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rFonts w:cs="Calibri"/>
              </w:rPr>
            </w:pPr>
            <w:r w:rsidRPr="00940764">
              <w:rPr>
                <w:rFonts w:cs="Calibri"/>
              </w:rPr>
              <w:t>Saturday</w:t>
            </w:r>
          </w:p>
        </w:tc>
        <w:tc>
          <w:tcPr>
            <w:tcW w:w="125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11:00 AM</w:t>
            </w:r>
          </w:p>
        </w:tc>
        <w:tc>
          <w:tcPr>
            <w:tcW w:w="1300" w:type="dxa"/>
            <w:tcBorders>
              <w:top w:val="nil"/>
              <w:left w:val="nil"/>
              <w:bottom w:val="single" w:sz="4" w:space="0" w:color="auto"/>
              <w:right w:val="single" w:sz="4" w:space="0" w:color="auto"/>
            </w:tcBorders>
            <w:shd w:val="clear" w:color="000000" w:fill="FFFFFF"/>
            <w:vAlign w:val="center"/>
            <w:hideMark/>
          </w:tcPr>
          <w:p w:rsidR="00203A5B" w:rsidRPr="00940764" w:rsidRDefault="00203A5B" w:rsidP="00957E31">
            <w:pPr>
              <w:pStyle w:val="TableText"/>
            </w:pPr>
            <w:r w:rsidRPr="00940764">
              <w:t>6:00 PM</w:t>
            </w:r>
          </w:p>
        </w:tc>
      </w:tr>
    </w:tbl>
    <w:p w:rsidR="00203A5B" w:rsidRDefault="00203A5B" w:rsidP="00957E31">
      <w:pPr>
        <w:pStyle w:val="BodyParaAfterTableFigure"/>
      </w:pPr>
      <w:r w:rsidRPr="0054082D">
        <w:t>Table</w:t>
      </w:r>
      <w:r>
        <w:t>s</w:t>
      </w:r>
      <w:r w:rsidRPr="0054082D">
        <w:t xml:space="preserve"> </w:t>
      </w:r>
      <w:r>
        <w:t>3-2</w:t>
      </w:r>
      <w:r w:rsidRPr="0054082D">
        <w:t xml:space="preserve"> </w:t>
      </w:r>
      <w:r>
        <w:t xml:space="preserve">and 3-3 in the Summer Saver methodology section </w:t>
      </w:r>
      <w:r w:rsidRPr="0054082D">
        <w:t xml:space="preserve">show the distribution of </w:t>
      </w:r>
      <w:r>
        <w:t xml:space="preserve">CAC tonnage by cycling </w:t>
      </w:r>
      <w:r w:rsidRPr="0054082D">
        <w:t>option</w:t>
      </w:r>
      <w:r>
        <w:t xml:space="preserve"> and climate zone</w:t>
      </w:r>
      <w:r w:rsidRPr="0054082D">
        <w:t xml:space="preserve"> for the population</w:t>
      </w:r>
      <w:r>
        <w:t>s</w:t>
      </w:r>
      <w:r w:rsidRPr="0054082D">
        <w:t xml:space="preserve"> and sample</w:t>
      </w:r>
      <w:r>
        <w:t>s</w:t>
      </w:r>
      <w:r w:rsidRPr="0054082D">
        <w:t xml:space="preserve"> </w:t>
      </w:r>
      <w:r>
        <w:t xml:space="preserve">of </w:t>
      </w:r>
      <w:r w:rsidRPr="0054082D">
        <w:t xml:space="preserve">commercial </w:t>
      </w:r>
      <w:r>
        <w:t xml:space="preserve">and residential customers, respectively, </w:t>
      </w:r>
      <w:r w:rsidRPr="0054082D">
        <w:t xml:space="preserve">as of </w:t>
      </w:r>
      <w:r>
        <w:t>November 2012.  Table 6-2 shows the distribution of customers by cycling option and climate zone for the population and sample of residential Summer Saver customers who received PTR alerts.  The differences between the fraction of residential customers in each sample cell and each population cell are small; there are only small differences across climate zones and cycling options.  Final results are weighted based on cycling option, climate zone and tonnage – the same weights used for the analysis of Summer Saver load impacts.</w:t>
      </w:r>
    </w:p>
    <w:p w:rsidR="00203A5B" w:rsidRPr="00F90902" w:rsidRDefault="00203A5B" w:rsidP="00203A5B">
      <w:pPr>
        <w:pStyle w:val="TableFigureCaption"/>
      </w:pPr>
      <w:r>
        <w:t>Table 6-2: Distribution of Customers by Program Option and Climate Zone</w:t>
      </w:r>
      <w:r>
        <w:br/>
        <w:t>Residential Population</w:t>
      </w:r>
    </w:p>
    <w:tbl>
      <w:tblPr>
        <w:tblW w:w="8882" w:type="dxa"/>
        <w:tblInd w:w="99" w:type="dxa"/>
        <w:tblLook w:val="04A0"/>
      </w:tblPr>
      <w:tblGrid>
        <w:gridCol w:w="3020"/>
        <w:gridCol w:w="1146"/>
        <w:gridCol w:w="939"/>
        <w:gridCol w:w="939"/>
        <w:gridCol w:w="939"/>
        <w:gridCol w:w="939"/>
        <w:gridCol w:w="960"/>
      </w:tblGrid>
      <w:tr w:rsidR="00203A5B" w:rsidRPr="00940764" w:rsidTr="00957E31">
        <w:trPr>
          <w:trHeight w:val="510"/>
        </w:trPr>
        <w:tc>
          <w:tcPr>
            <w:tcW w:w="3020"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Alert Type</w:t>
            </w:r>
          </w:p>
        </w:tc>
        <w:tc>
          <w:tcPr>
            <w:tcW w:w="1146" w:type="dxa"/>
            <w:tcBorders>
              <w:top w:val="single" w:sz="4" w:space="0" w:color="auto"/>
              <w:left w:val="nil"/>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Group</w:t>
            </w:r>
          </w:p>
        </w:tc>
        <w:tc>
          <w:tcPr>
            <w:tcW w:w="939" w:type="dxa"/>
            <w:tcBorders>
              <w:top w:val="single" w:sz="4" w:space="0" w:color="auto"/>
              <w:left w:val="nil"/>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Climate Zone 1</w:t>
            </w:r>
          </w:p>
        </w:tc>
        <w:tc>
          <w:tcPr>
            <w:tcW w:w="939" w:type="dxa"/>
            <w:tcBorders>
              <w:top w:val="single" w:sz="4" w:space="0" w:color="auto"/>
              <w:left w:val="nil"/>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Climate Zone 2</w:t>
            </w:r>
          </w:p>
        </w:tc>
        <w:tc>
          <w:tcPr>
            <w:tcW w:w="939" w:type="dxa"/>
            <w:tcBorders>
              <w:top w:val="single" w:sz="4" w:space="0" w:color="auto"/>
              <w:left w:val="nil"/>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Climate Zone 3</w:t>
            </w:r>
          </w:p>
        </w:tc>
        <w:tc>
          <w:tcPr>
            <w:tcW w:w="939" w:type="dxa"/>
            <w:tcBorders>
              <w:top w:val="single" w:sz="4" w:space="0" w:color="auto"/>
              <w:left w:val="nil"/>
              <w:bottom w:val="single" w:sz="4" w:space="0" w:color="auto"/>
              <w:right w:val="single" w:sz="4" w:space="0" w:color="FFFFFF"/>
            </w:tcBorders>
            <w:shd w:val="clear" w:color="000000" w:fill="1F497D"/>
            <w:vAlign w:val="center"/>
            <w:hideMark/>
          </w:tcPr>
          <w:p w:rsidR="00203A5B" w:rsidRPr="00940764" w:rsidRDefault="00203A5B" w:rsidP="00957E31">
            <w:pPr>
              <w:pStyle w:val="TableHeader"/>
            </w:pPr>
            <w:r w:rsidRPr="00940764">
              <w:t>Climate Zone 4</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rsidR="00203A5B" w:rsidRPr="00940764" w:rsidRDefault="00203A5B" w:rsidP="00957E31">
            <w:pPr>
              <w:pStyle w:val="TableHeader"/>
            </w:pPr>
            <w:r w:rsidRPr="00940764">
              <w:t>Total</w:t>
            </w:r>
          </w:p>
        </w:tc>
      </w:tr>
      <w:tr w:rsidR="00203A5B" w:rsidRPr="00940764" w:rsidTr="00957E31">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Email</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pPr>
            <w:r w:rsidRPr="00940764">
              <w:t>Population</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15%</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49%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64%</w:t>
            </w:r>
          </w:p>
        </w:tc>
      </w:tr>
      <w:tr w:rsidR="00203A5B" w:rsidRPr="00940764" w:rsidTr="00957E31">
        <w:trPr>
          <w:trHeight w:val="30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203A5B" w:rsidRPr="00940764" w:rsidRDefault="00203A5B" w:rsidP="00957E31">
            <w:pPr>
              <w:pStyle w:val="TableText"/>
            </w:pPr>
          </w:p>
        </w:tc>
        <w:tc>
          <w:tcPr>
            <w:tcW w:w="1146" w:type="dxa"/>
            <w:tcBorders>
              <w:top w:val="nil"/>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pPr>
            <w:r w:rsidRPr="00940764">
              <w:t>Sample</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16%</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51%</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68%</w:t>
            </w:r>
          </w:p>
        </w:tc>
      </w:tr>
      <w:tr w:rsidR="00203A5B" w:rsidRPr="00940764" w:rsidTr="00957E31">
        <w:trPr>
          <w:trHeight w:val="300"/>
        </w:trPr>
        <w:tc>
          <w:tcPr>
            <w:tcW w:w="3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Text</w:t>
            </w:r>
          </w:p>
        </w:tc>
        <w:tc>
          <w:tcPr>
            <w:tcW w:w="1146" w:type="dxa"/>
            <w:tcBorders>
              <w:top w:val="nil"/>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pPr>
            <w:r w:rsidRPr="00940764">
              <w:t>Population</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3%</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9%</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12%</w:t>
            </w:r>
          </w:p>
        </w:tc>
      </w:tr>
      <w:tr w:rsidR="00203A5B" w:rsidRPr="00940764" w:rsidTr="00957E31">
        <w:trPr>
          <w:trHeight w:val="300"/>
        </w:trPr>
        <w:tc>
          <w:tcPr>
            <w:tcW w:w="3020" w:type="dxa"/>
            <w:vMerge/>
            <w:tcBorders>
              <w:top w:val="nil"/>
              <w:left w:val="single" w:sz="4" w:space="0" w:color="auto"/>
              <w:bottom w:val="single" w:sz="4" w:space="0" w:color="auto"/>
              <w:right w:val="single" w:sz="4" w:space="0" w:color="auto"/>
            </w:tcBorders>
            <w:vAlign w:val="center"/>
            <w:hideMark/>
          </w:tcPr>
          <w:p w:rsidR="00203A5B" w:rsidRPr="00940764" w:rsidRDefault="00203A5B" w:rsidP="00957E31">
            <w:pPr>
              <w:pStyle w:val="TableText"/>
            </w:pPr>
          </w:p>
        </w:tc>
        <w:tc>
          <w:tcPr>
            <w:tcW w:w="1146" w:type="dxa"/>
            <w:tcBorders>
              <w:top w:val="nil"/>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pPr>
            <w:r w:rsidRPr="00940764">
              <w:t>Sample</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2%</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12%</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15%</w:t>
            </w:r>
          </w:p>
        </w:tc>
      </w:tr>
      <w:tr w:rsidR="00203A5B" w:rsidRPr="00940764" w:rsidTr="00957E31">
        <w:trPr>
          <w:trHeight w:val="300"/>
        </w:trPr>
        <w:tc>
          <w:tcPr>
            <w:tcW w:w="3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3A5B" w:rsidRPr="00940764" w:rsidRDefault="00203A5B" w:rsidP="00957E31">
            <w:pPr>
              <w:pStyle w:val="TableText"/>
            </w:pPr>
            <w:r w:rsidRPr="00940764">
              <w:t>Both</w:t>
            </w:r>
          </w:p>
        </w:tc>
        <w:tc>
          <w:tcPr>
            <w:tcW w:w="1146" w:type="dxa"/>
            <w:tcBorders>
              <w:top w:val="nil"/>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pPr>
            <w:r w:rsidRPr="00940764">
              <w:t>Population</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5%</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23%</w:t>
            </w:r>
          </w:p>
        </w:tc>
      </w:tr>
      <w:tr w:rsidR="00203A5B" w:rsidRPr="00940764" w:rsidTr="00957E31">
        <w:trPr>
          <w:trHeight w:val="300"/>
        </w:trPr>
        <w:tc>
          <w:tcPr>
            <w:tcW w:w="3020" w:type="dxa"/>
            <w:vMerge/>
            <w:tcBorders>
              <w:top w:val="nil"/>
              <w:left w:val="single" w:sz="4" w:space="0" w:color="auto"/>
              <w:bottom w:val="single" w:sz="4" w:space="0" w:color="000000"/>
              <w:right w:val="single" w:sz="4" w:space="0" w:color="auto"/>
            </w:tcBorders>
            <w:vAlign w:val="center"/>
            <w:hideMark/>
          </w:tcPr>
          <w:p w:rsidR="00203A5B" w:rsidRPr="00940764" w:rsidRDefault="00203A5B" w:rsidP="00957E31">
            <w:pPr>
              <w:pStyle w:val="TableText"/>
            </w:pPr>
          </w:p>
        </w:tc>
        <w:tc>
          <w:tcPr>
            <w:tcW w:w="1146" w:type="dxa"/>
            <w:tcBorders>
              <w:top w:val="nil"/>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pPr>
            <w:r w:rsidRPr="00940764">
              <w:t>Sample</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3%</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14%</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pPr>
            <w:r w:rsidRPr="00940764">
              <w:t>17%</w:t>
            </w:r>
          </w:p>
        </w:tc>
      </w:tr>
      <w:tr w:rsidR="00203A5B" w:rsidRPr="00940764" w:rsidTr="00957E31">
        <w:trPr>
          <w:trHeight w:val="300"/>
        </w:trPr>
        <w:tc>
          <w:tcPr>
            <w:tcW w:w="3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Total</w:t>
            </w:r>
          </w:p>
        </w:tc>
        <w:tc>
          <w:tcPr>
            <w:tcW w:w="1146" w:type="dxa"/>
            <w:tcBorders>
              <w:top w:val="nil"/>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rPr>
                <w:b/>
                <w:bCs/>
              </w:rPr>
            </w:pPr>
            <w:r w:rsidRPr="00940764">
              <w:rPr>
                <w:b/>
                <w:bCs/>
              </w:rPr>
              <w:t>Population</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22%</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1%</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76%</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100%</w:t>
            </w:r>
          </w:p>
        </w:tc>
      </w:tr>
      <w:tr w:rsidR="00203A5B" w:rsidRPr="00940764" w:rsidTr="00957E31">
        <w:trPr>
          <w:trHeight w:val="300"/>
        </w:trPr>
        <w:tc>
          <w:tcPr>
            <w:tcW w:w="3020" w:type="dxa"/>
            <w:vMerge/>
            <w:tcBorders>
              <w:top w:val="nil"/>
              <w:left w:val="single" w:sz="4" w:space="0" w:color="auto"/>
              <w:bottom w:val="single" w:sz="4" w:space="0" w:color="auto"/>
              <w:right w:val="single" w:sz="4" w:space="0" w:color="auto"/>
            </w:tcBorders>
            <w:vAlign w:val="center"/>
            <w:hideMark/>
          </w:tcPr>
          <w:p w:rsidR="00203A5B" w:rsidRPr="00940764" w:rsidRDefault="00203A5B" w:rsidP="00957E31">
            <w:pPr>
              <w:pStyle w:val="TableText"/>
              <w:rPr>
                <w:b/>
                <w:bCs/>
              </w:rPr>
            </w:pPr>
          </w:p>
        </w:tc>
        <w:tc>
          <w:tcPr>
            <w:tcW w:w="1146" w:type="dxa"/>
            <w:tcBorders>
              <w:top w:val="nil"/>
              <w:left w:val="nil"/>
              <w:bottom w:val="single" w:sz="4" w:space="0" w:color="auto"/>
              <w:right w:val="single" w:sz="4" w:space="0" w:color="auto"/>
            </w:tcBorders>
            <w:shd w:val="clear" w:color="auto" w:fill="auto"/>
            <w:vAlign w:val="center"/>
            <w:hideMark/>
          </w:tcPr>
          <w:p w:rsidR="00203A5B" w:rsidRPr="00940764" w:rsidRDefault="00203A5B" w:rsidP="00957E31">
            <w:pPr>
              <w:pStyle w:val="TableText"/>
              <w:rPr>
                <w:b/>
                <w:bCs/>
              </w:rPr>
            </w:pPr>
            <w:r w:rsidRPr="00940764">
              <w:rPr>
                <w:b/>
                <w:bCs/>
              </w:rPr>
              <w:t>Sample</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21%</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2%</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0%</w:t>
            </w:r>
          </w:p>
        </w:tc>
        <w:tc>
          <w:tcPr>
            <w:tcW w:w="939"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78%</w:t>
            </w:r>
          </w:p>
        </w:tc>
        <w:tc>
          <w:tcPr>
            <w:tcW w:w="960" w:type="dxa"/>
            <w:tcBorders>
              <w:top w:val="nil"/>
              <w:left w:val="nil"/>
              <w:bottom w:val="single" w:sz="4" w:space="0" w:color="auto"/>
              <w:right w:val="single" w:sz="4" w:space="0" w:color="auto"/>
            </w:tcBorders>
            <w:shd w:val="clear" w:color="auto" w:fill="auto"/>
            <w:noWrap/>
            <w:vAlign w:val="center"/>
            <w:hideMark/>
          </w:tcPr>
          <w:p w:rsidR="00203A5B" w:rsidRPr="00940764" w:rsidRDefault="00203A5B" w:rsidP="00957E31">
            <w:pPr>
              <w:pStyle w:val="TableText"/>
              <w:rPr>
                <w:b/>
                <w:bCs/>
              </w:rPr>
            </w:pPr>
            <w:r w:rsidRPr="00940764">
              <w:rPr>
                <w:b/>
                <w:bCs/>
              </w:rPr>
              <w:t>100%</w:t>
            </w:r>
          </w:p>
        </w:tc>
      </w:tr>
      <w:tr w:rsidR="00203A5B" w:rsidRPr="00940764" w:rsidTr="00957E31">
        <w:trPr>
          <w:trHeight w:val="300"/>
        </w:trPr>
        <w:tc>
          <w:tcPr>
            <w:tcW w:w="8882" w:type="dxa"/>
            <w:gridSpan w:val="7"/>
            <w:tcBorders>
              <w:top w:val="nil"/>
              <w:left w:val="nil"/>
              <w:bottom w:val="nil"/>
              <w:right w:val="nil"/>
            </w:tcBorders>
            <w:shd w:val="clear" w:color="auto" w:fill="auto"/>
            <w:noWrap/>
            <w:vAlign w:val="bottom"/>
            <w:hideMark/>
          </w:tcPr>
          <w:p w:rsidR="00E03387" w:rsidRDefault="00203A5B">
            <w:pPr>
              <w:pStyle w:val="Footnote"/>
            </w:pPr>
            <w:r w:rsidRPr="00940764">
              <w:t xml:space="preserve">*2,917 </w:t>
            </w:r>
            <w:r w:rsidR="00286600">
              <w:t>c</w:t>
            </w:r>
            <w:r w:rsidRPr="00940764">
              <w:t>ustomers in the SS Population received alerts, 121 of these customers are represented in the sample</w:t>
            </w:r>
            <w:r w:rsidR="00286600">
              <w:t>.</w:t>
            </w:r>
          </w:p>
        </w:tc>
      </w:tr>
    </w:tbl>
    <w:p w:rsidR="00203A5B" w:rsidRPr="00146B1E" w:rsidRDefault="00203A5B" w:rsidP="00957E31">
      <w:pPr>
        <w:pStyle w:val="Heading2"/>
        <w:spacing w:before="360"/>
      </w:pPr>
      <w:bookmarkStart w:id="56" w:name="_Toc347931627"/>
      <w:bookmarkStart w:id="57" w:name="_Toc349548915"/>
      <w:bookmarkStart w:id="58" w:name="_Toc350953046"/>
      <w:r w:rsidRPr="00146B1E">
        <w:t>Methodology</w:t>
      </w:r>
      <w:bookmarkEnd w:id="56"/>
      <w:bookmarkEnd w:id="57"/>
      <w:bookmarkEnd w:id="58"/>
    </w:p>
    <w:p w:rsidR="00203A5B" w:rsidRPr="00146B1E" w:rsidRDefault="00203A5B" w:rsidP="00203A5B">
      <w:pPr>
        <w:pStyle w:val="BodyParagraph"/>
      </w:pPr>
      <w:r w:rsidRPr="00146B1E">
        <w:t xml:space="preserve">The primary source of information </w:t>
      </w:r>
      <w:r>
        <w:t>available for the 2012 evaluation</w:t>
      </w:r>
      <w:r w:rsidRPr="00146B1E">
        <w:t xml:space="preserve"> of</w:t>
      </w:r>
      <w:r>
        <w:t xml:space="preserve"> PTR for</w:t>
      </w:r>
      <w:r w:rsidRPr="00146B1E">
        <w:t xml:space="preserve"> Summer Saver</w:t>
      </w:r>
      <w:r>
        <w:t xml:space="preserve"> customers is </w:t>
      </w:r>
      <w:r w:rsidRPr="00146B1E">
        <w:t xml:space="preserve">load observed during </w:t>
      </w:r>
      <w:r>
        <w:t>non-event times</w:t>
      </w:r>
      <w:r w:rsidRPr="00146B1E">
        <w:t xml:space="preserve">.  Under this </w:t>
      </w:r>
      <w:r>
        <w:t>approach</w:t>
      </w:r>
      <w:r w:rsidRPr="00146B1E">
        <w:t xml:space="preserve">, </w:t>
      </w:r>
      <w:r>
        <w:t>the information from days comparable to event days is used as the basis for the reference load on an event day, usually with some sort of adjustment.  This type of analysis was carried out for residential and commercial customers, but no load impacts from PTR could be detected.  A similar type of analysis did produce detectable load impacts for residential customers who received PTR alerts.  However, a better approach for modeling the load impacts associated with these customers that automatically accounts for Summer Saver event days is to use a matched control group of customers who did not receive PTR alerts.  The matched control group method is not without some controversy since the customers in the control group were exposed to the PTR events.  Results are provided for both methods, but the matched control group results are the results used for reporting.</w:t>
      </w:r>
    </w:p>
    <w:p w:rsidR="00203A5B" w:rsidRDefault="00203A5B" w:rsidP="00203A5B">
      <w:pPr>
        <w:pStyle w:val="BodyParagraph"/>
      </w:pPr>
      <w:r>
        <w:t xml:space="preserve">In summary, </w:t>
      </w:r>
      <w:r w:rsidRPr="00146B1E">
        <w:t>reside</w:t>
      </w:r>
      <w:r>
        <w:t>ntial and commercial ex post load impacts are shown to be implausible in a series of panel models that seek to distinguish event days from non-event days.  Load impacts were modeled for residential customers who received PTR alerts using both a panel model and a matched control group of customers who did not receive PTR alerts, with the matched control group results used for</w:t>
      </w:r>
      <w:r w:rsidR="00286600">
        <w:t> </w:t>
      </w:r>
      <w:r>
        <w:t>reporting.</w:t>
      </w:r>
      <w:r w:rsidRPr="00146B1E">
        <w:t xml:space="preserve"> </w:t>
      </w:r>
    </w:p>
    <w:p w:rsidR="00203A5B" w:rsidRDefault="00203A5B" w:rsidP="00957E31">
      <w:pPr>
        <w:pStyle w:val="Heading3"/>
      </w:pPr>
      <w:bookmarkStart w:id="59" w:name="_Toc347931628"/>
      <w:bookmarkStart w:id="60" w:name="_Toc349548916"/>
      <w:bookmarkStart w:id="61" w:name="_Toc350953047"/>
      <w:r w:rsidRPr="00957E31">
        <w:t>Residential</w:t>
      </w:r>
      <w:r>
        <w:t xml:space="preserve"> and Commercial Customer Ex Post</w:t>
      </w:r>
      <w:r w:rsidR="00957E31">
        <w:t> </w:t>
      </w:r>
      <w:r>
        <w:t>Methodology</w:t>
      </w:r>
      <w:bookmarkEnd w:id="59"/>
      <w:bookmarkEnd w:id="60"/>
      <w:bookmarkEnd w:id="61"/>
    </w:p>
    <w:p w:rsidR="00203A5B" w:rsidRDefault="00203A5B" w:rsidP="00203A5B">
      <w:pPr>
        <w:pStyle w:val="BodyParagraph"/>
      </w:pPr>
      <w:r>
        <w:t xml:space="preserve">Because information from a control group was not available for the analysis of PTR load impacts for the Summer Saver population, we instead used the available data in a series of panel models that incorporate information from hot non-event days and control for time-consistent customer characteristics that could be confounded with load impacts.  </w:t>
      </w:r>
    </w:p>
    <w:p w:rsidR="00203A5B" w:rsidRDefault="00203A5B" w:rsidP="00957E31">
      <w:pPr>
        <w:pStyle w:val="BodyParagraph"/>
      </w:pPr>
      <w:r>
        <w:t>A panel model approach to modeling demand response events is different than individual customer regressions in that data from all of the customers is used in a single regression model.  In this case, an indicator variable for the presence of a PTR event is used as the treatment variable in a model of kW usage that controls for daily temperature effects.  The usage metric is average usage from 11 AM to 6PM (the time period corresponding to PTR events).  Data from non-event days is included in the model estimation to determine if the indicator variable will pick up a negative and statistically significant effect on PTR event days.  Customers are assumed to reduce usage on these days relative to days when no events are called.  A number of different weather variables were tested and separate models were run with non-PTR days limited to days with maximum temperature equal to or above 75, 80, 85, or 90 degrees Fahrenheit, for a total of 12 models for both residential and commercial customers.  Fixed effects estimation is used to control for time-consistent unobservable characteristics at the customer level and the standard errors from the regression are corrected to account for the correlation of observations from the same customer.</w:t>
      </w:r>
    </w:p>
    <w:p w:rsidR="00203A5B" w:rsidRDefault="00203A5B" w:rsidP="00957E31">
      <w:pPr>
        <w:pStyle w:val="BodyBeforeBullet"/>
      </w:pPr>
      <w:r>
        <w:t>Table 6-3</w:t>
      </w:r>
      <w:r w:rsidRPr="00146B1E">
        <w:t xml:space="preserve"> defines the variables </w:t>
      </w:r>
      <w:r>
        <w:t>in the regression models</w:t>
      </w:r>
      <w:r w:rsidRPr="00146B1E">
        <w:t xml:space="preserve">.  </w:t>
      </w:r>
      <w:r>
        <w:t>The regression specification was:</w:t>
      </w:r>
    </w:p>
    <w:p w:rsidR="00203A5B" w:rsidRDefault="00D66338" w:rsidP="00203A5B">
      <w:pPr>
        <w:pStyle w:val="BodyParagraph"/>
        <w:rPr>
          <w:rFonts w:eastAsiaTheme="minorEastAsia"/>
        </w:rPr>
      </w:pPr>
      <m:oMathPara>
        <m:oMath>
          <m:sSub>
            <m:sSubPr>
              <m:ctrlPr>
                <w:rPr>
                  <w:rFonts w:ascii="Cambria Math" w:hAnsi="Cambria Math"/>
                  <w:i/>
                </w:rPr>
              </m:ctrlPr>
            </m:sSubPr>
            <m:e>
              <m:r>
                <w:rPr>
                  <w:rFonts w:ascii="Cambria Math" w:hAnsi="Cambria Math"/>
                </w:rPr>
                <m:t>meankW11to6</m:t>
              </m:r>
            </m:e>
            <m:sub>
              <m:r>
                <w:rPr>
                  <w:rFonts w:ascii="Cambria Math" w:hAnsi="Cambria Math"/>
                </w:rPr>
                <m:t>id</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PTRevent</m:t>
              </m:r>
            </m:e>
            <m:sub>
              <m:r>
                <w:rPr>
                  <w:rFonts w:ascii="Cambria Math" w:hAnsi="Cambria Math"/>
                </w:rPr>
                <m:t>id</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*weather</m:t>
              </m:r>
            </m:e>
            <m:sub>
              <m:r>
                <w:rPr>
                  <w:rFonts w:ascii="Cambria Math" w:hAnsi="Cambria Math"/>
                </w:rPr>
                <m:t>id</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*weathersqr</m:t>
              </m:r>
            </m:e>
            <m:sub>
              <m:r>
                <w:rPr>
                  <w:rFonts w:ascii="Cambria Math" w:hAnsi="Cambria Math"/>
                </w:rPr>
                <m:t>id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id</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m:oMathPara>
    </w:p>
    <w:p w:rsidR="00203A5B" w:rsidRPr="00957E31" w:rsidRDefault="00203A5B" w:rsidP="00957E31">
      <w:pPr>
        <w:pStyle w:val="TableFigureCaption"/>
      </w:pPr>
      <w:r w:rsidRPr="00957E31">
        <w:t>Table 6-3: Description of PTR Regression Variables</w:t>
      </w:r>
    </w:p>
    <w:tbl>
      <w:tblPr>
        <w:tblW w:w="4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1"/>
        <w:gridCol w:w="7792"/>
      </w:tblGrid>
      <w:tr w:rsidR="00203A5B" w:rsidRPr="00146B1E" w:rsidTr="00957E31">
        <w:trPr>
          <w:trHeight w:val="276"/>
          <w:tblHeader/>
          <w:jc w:val="center"/>
        </w:trPr>
        <w:tc>
          <w:tcPr>
            <w:tcW w:w="725" w:type="pct"/>
            <w:tcBorders>
              <w:top w:val="single" w:sz="4" w:space="0" w:color="auto"/>
              <w:left w:val="single" w:sz="4" w:space="0" w:color="auto"/>
              <w:bottom w:val="single" w:sz="4" w:space="0" w:color="auto"/>
              <w:right w:val="single" w:sz="8" w:space="0" w:color="FFFFFF"/>
            </w:tcBorders>
            <w:shd w:val="clear" w:color="auto" w:fill="1F497D"/>
            <w:hideMark/>
          </w:tcPr>
          <w:p w:rsidR="00203A5B" w:rsidRPr="00957E31" w:rsidRDefault="00203A5B" w:rsidP="00957E31">
            <w:pPr>
              <w:pStyle w:val="TableHeader"/>
            </w:pPr>
            <w:r w:rsidRPr="00957E31">
              <w:t>Variable</w:t>
            </w:r>
          </w:p>
        </w:tc>
        <w:tc>
          <w:tcPr>
            <w:tcW w:w="4275" w:type="pct"/>
            <w:tcBorders>
              <w:top w:val="single" w:sz="4" w:space="0" w:color="auto"/>
              <w:left w:val="single" w:sz="8" w:space="0" w:color="FFFFFF"/>
              <w:bottom w:val="single" w:sz="4" w:space="0" w:color="auto"/>
              <w:right w:val="single" w:sz="4" w:space="0" w:color="auto"/>
            </w:tcBorders>
            <w:shd w:val="clear" w:color="auto" w:fill="1F497D"/>
            <w:hideMark/>
          </w:tcPr>
          <w:p w:rsidR="00203A5B" w:rsidRPr="00957E31" w:rsidRDefault="00203A5B" w:rsidP="00957E31">
            <w:pPr>
              <w:pStyle w:val="TableHeader"/>
            </w:pPr>
            <w:r w:rsidRPr="00957E31">
              <w:t>Description</w:t>
            </w:r>
          </w:p>
        </w:tc>
      </w:tr>
      <w:tr w:rsidR="00203A5B" w:rsidRPr="00146B1E" w:rsidTr="00957E31">
        <w:trPr>
          <w:trHeight w:val="276"/>
          <w:jc w:val="center"/>
        </w:trPr>
        <w:tc>
          <w:tcPr>
            <w:tcW w:w="725"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keepNext/>
              <w:rPr>
                <w:szCs w:val="18"/>
              </w:rPr>
            </w:pPr>
            <m:oMathPara>
              <m:oMathParaPr>
                <m:jc m:val="left"/>
              </m:oMathParaPr>
              <m:oMath>
                <m:sSub>
                  <m:sSubPr>
                    <m:ctrlPr>
                      <w:rPr>
                        <w:rFonts w:ascii="Cambria Math" w:eastAsia="Calibri" w:hAnsi="Cambria Math" w:cs="Times New Roman"/>
                        <w:i/>
                        <w:szCs w:val="18"/>
                      </w:rPr>
                    </m:ctrlPr>
                  </m:sSubPr>
                  <m:e>
                    <m:r>
                      <w:rPr>
                        <w:rFonts w:ascii="Cambria Math" w:eastAsia="Calibri" w:hAnsi="Cambria Math" w:cs="Times New Roman"/>
                        <w:szCs w:val="18"/>
                      </w:rPr>
                      <m:t>b</m:t>
                    </m:r>
                  </m:e>
                  <m:sub>
                    <m:r>
                      <w:rPr>
                        <w:rFonts w:ascii="Cambria Math" w:eastAsia="Calibri" w:hAnsi="Cambria Math" w:cs="Times New Roman"/>
                        <w:szCs w:val="18"/>
                      </w:rPr>
                      <m:t>n</m:t>
                    </m:r>
                  </m:sub>
                </m:sSub>
              </m:oMath>
            </m:oMathPara>
          </w:p>
        </w:tc>
        <w:tc>
          <w:tcPr>
            <w:tcW w:w="4275"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Estimated parameter coefficients</w:t>
            </w:r>
          </w:p>
        </w:tc>
      </w:tr>
      <w:tr w:rsidR="00203A5B" w:rsidRPr="00146B1E" w:rsidTr="00957E31">
        <w:trPr>
          <w:trHeight w:val="276"/>
          <w:jc w:val="center"/>
        </w:trPr>
        <w:tc>
          <w:tcPr>
            <w:tcW w:w="725"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keepNext/>
              <w:rPr>
                <w:szCs w:val="18"/>
              </w:rPr>
            </w:pPr>
            <m:oMathPara>
              <m:oMathParaPr>
                <m:jc m:val="left"/>
              </m:oMathParaPr>
              <m:oMath>
                <m:sSub>
                  <m:sSubPr>
                    <m:ctrlPr>
                      <w:rPr>
                        <w:rFonts w:ascii="Cambria Math" w:hAnsi="Cambria Math"/>
                        <w:i/>
                      </w:rPr>
                    </m:ctrlPr>
                  </m:sSubPr>
                  <m:e>
                    <m:r>
                      <w:rPr>
                        <w:rFonts w:ascii="Cambria Math" w:hAnsi="Cambria Math"/>
                      </w:rPr>
                      <m:t>PTRevent</m:t>
                    </m:r>
                  </m:e>
                  <m:sub>
                    <m:r>
                      <w:rPr>
                        <w:rFonts w:ascii="Cambria Math" w:hAnsi="Cambria Math"/>
                      </w:rPr>
                      <m:t>id</m:t>
                    </m:r>
                  </m:sub>
                </m:sSub>
              </m:oMath>
            </m:oMathPara>
          </w:p>
        </w:tc>
        <w:tc>
          <w:tcPr>
            <w:tcW w:w="4275"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Indicator variables representing whether or not a PTR event occurred for customer, i, on day, d</w:t>
            </w:r>
          </w:p>
        </w:tc>
      </w:tr>
      <w:tr w:rsidR="00203A5B" w:rsidRPr="00146B1E" w:rsidTr="00957E31">
        <w:trPr>
          <w:trHeight w:val="276"/>
          <w:jc w:val="center"/>
        </w:trPr>
        <w:tc>
          <w:tcPr>
            <w:tcW w:w="725"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keepNext/>
              <w:rPr>
                <w:szCs w:val="18"/>
              </w:rPr>
            </w:pPr>
            <m:oMathPara>
              <m:oMathParaPr>
                <m:jc m:val="left"/>
              </m:oMathParaPr>
              <m:oMath>
                <m:sSub>
                  <m:sSubPr>
                    <m:ctrlPr>
                      <w:rPr>
                        <w:rFonts w:ascii="Cambria Math" w:hAnsi="Cambria Math"/>
                        <w:i/>
                      </w:rPr>
                    </m:ctrlPr>
                  </m:sSubPr>
                  <m:e>
                    <m:r>
                      <w:rPr>
                        <w:rFonts w:ascii="Cambria Math" w:hAnsi="Cambria Math"/>
                      </w:rPr>
                      <m:t>weather</m:t>
                    </m:r>
                  </m:e>
                  <m:sub>
                    <m:r>
                      <w:rPr>
                        <w:rFonts w:ascii="Cambria Math" w:hAnsi="Cambria Math"/>
                      </w:rPr>
                      <m:t>id</m:t>
                    </m:r>
                  </m:sub>
                </m:sSub>
              </m:oMath>
            </m:oMathPara>
          </w:p>
        </w:tc>
        <w:tc>
          <w:tcPr>
            <w:tcW w:w="4275"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Weather variable specific to each customer, i, with a value for each day, d</w:t>
            </w:r>
          </w:p>
        </w:tc>
      </w:tr>
      <w:tr w:rsidR="00203A5B" w:rsidRPr="00146B1E" w:rsidTr="00957E31">
        <w:trPr>
          <w:trHeight w:val="276"/>
          <w:jc w:val="center"/>
        </w:trPr>
        <w:tc>
          <w:tcPr>
            <w:tcW w:w="725"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keepNext/>
              <w:rPr>
                <w:szCs w:val="18"/>
              </w:rPr>
            </w:pPr>
            <m:oMathPara>
              <m:oMathParaPr>
                <m:jc m:val="left"/>
              </m:oMathParaPr>
              <m:oMath>
                <m:sSub>
                  <m:sSubPr>
                    <m:ctrlPr>
                      <w:rPr>
                        <w:rFonts w:ascii="Cambria Math" w:hAnsi="Cambria Math"/>
                        <w:i/>
                      </w:rPr>
                    </m:ctrlPr>
                  </m:sSubPr>
                  <m:e>
                    <m:r>
                      <w:rPr>
                        <w:rFonts w:ascii="Cambria Math" w:hAnsi="Cambria Math"/>
                      </w:rPr>
                      <m:t>weathersqr</m:t>
                    </m:r>
                  </m:e>
                  <m:sub>
                    <m:r>
                      <w:rPr>
                        <w:rFonts w:ascii="Cambria Math" w:hAnsi="Cambria Math"/>
                      </w:rPr>
                      <m:t>id</m:t>
                    </m:r>
                  </m:sub>
                </m:sSub>
              </m:oMath>
            </m:oMathPara>
          </w:p>
        </w:tc>
        <w:tc>
          <w:tcPr>
            <w:tcW w:w="4275"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Square of the weather variable specific to each customer, i, with a value for each day, d</w:t>
            </w:r>
          </w:p>
        </w:tc>
      </w:tr>
      <w:tr w:rsidR="00203A5B" w:rsidRPr="00146B1E" w:rsidTr="00957E31">
        <w:trPr>
          <w:trHeight w:val="276"/>
          <w:jc w:val="center"/>
        </w:trPr>
        <w:tc>
          <w:tcPr>
            <w:tcW w:w="725"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id</m:t>
                    </m:r>
                  </m:sub>
                </m:sSub>
              </m:oMath>
            </m:oMathPara>
          </w:p>
        </w:tc>
        <w:tc>
          <w:tcPr>
            <w:tcW w:w="4275" w:type="pct"/>
            <w:tcBorders>
              <w:top w:val="single" w:sz="4" w:space="0" w:color="auto"/>
              <w:left w:val="single" w:sz="4" w:space="0" w:color="auto"/>
              <w:bottom w:val="single" w:sz="4" w:space="0" w:color="auto"/>
              <w:right w:val="single" w:sz="4" w:space="0" w:color="auto"/>
            </w:tcBorders>
            <w:hideMark/>
          </w:tcPr>
          <w:p w:rsidR="00203A5B" w:rsidRPr="00957E31" w:rsidRDefault="00203A5B" w:rsidP="0005064E">
            <w:pPr>
              <w:pStyle w:val="TableText"/>
              <w:jc w:val="left"/>
            </w:pPr>
            <w:r w:rsidRPr="00957E31">
              <w:t>Error term for</w:t>
            </w:r>
            <w:r w:rsidR="0005064E">
              <w:t xml:space="preserve"> each customer, </w:t>
            </w:r>
            <w:proofErr w:type="spellStart"/>
            <w:r w:rsidR="0005064E">
              <w:t>i</w:t>
            </w:r>
            <w:proofErr w:type="spellEnd"/>
            <w:r w:rsidR="0005064E">
              <w:t xml:space="preserve">, for </w:t>
            </w:r>
            <w:r w:rsidRPr="00957E31">
              <w:t>each day, d</w:t>
            </w:r>
          </w:p>
        </w:tc>
      </w:tr>
      <w:tr w:rsidR="00203A5B" w:rsidRPr="00146B1E" w:rsidTr="00957E31">
        <w:trPr>
          <w:trHeight w:val="276"/>
          <w:jc w:val="center"/>
        </w:trPr>
        <w:tc>
          <w:tcPr>
            <w:tcW w:w="725"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keepNext/>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i</m:t>
                    </m:r>
                  </m:sub>
                </m:sSub>
              </m:oMath>
            </m:oMathPara>
          </w:p>
        </w:tc>
        <w:tc>
          <w:tcPr>
            <w:tcW w:w="4275"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Indicator variable for each customer, i, captures customer-level fixed effects</w:t>
            </w:r>
          </w:p>
        </w:tc>
      </w:tr>
    </w:tbl>
    <w:p w:rsidR="00203A5B" w:rsidRDefault="00203A5B" w:rsidP="00203A5B">
      <w:pPr>
        <w:pStyle w:val="BodyParaAfterTableFigure"/>
      </w:pPr>
      <w:r w:rsidRPr="006B4954">
        <w:t xml:space="preserve">The </w:t>
      </w:r>
      <w:r>
        <w:t xml:space="preserve">important </w:t>
      </w:r>
      <w:r w:rsidRPr="006B4954">
        <w:t>output from</w:t>
      </w:r>
      <w:r>
        <w:t xml:space="preserve"> these regressions is a coefficient on the indicator variable for a PTR event.  If the coefficient is negative and statistically significant then there is evidence that PTR load impacts can be detected and that the analysis of PTR for residential and commercial Summer Saver customers is a fruitful analysis.</w:t>
      </w:r>
    </w:p>
    <w:p w:rsidR="00203A5B" w:rsidRDefault="00203A5B" w:rsidP="00957E31">
      <w:pPr>
        <w:pStyle w:val="Heading3"/>
      </w:pPr>
      <w:bookmarkStart w:id="62" w:name="_Toc349548917"/>
      <w:bookmarkStart w:id="63" w:name="_Toc350953048"/>
      <w:r>
        <w:t>Residential PTR Alerts Ex Post Methodology</w:t>
      </w:r>
      <w:bookmarkEnd w:id="62"/>
      <w:bookmarkEnd w:id="63"/>
    </w:p>
    <w:p w:rsidR="00203A5B" w:rsidRDefault="00203A5B" w:rsidP="00203A5B">
      <w:pPr>
        <w:pStyle w:val="BodyParagraph"/>
      </w:pPr>
      <w:r>
        <w:t>The load impacts for residential customers who received PTR alerts were calculated using two separate methods, a matched control group with an adjustment and a panel model, which adjusts hot non-event days to form a reference load.  The matched control group method relies on a strong assumption that customers who did not receive PTR alerts, but who were otherwise enrolled in PTR</w:t>
      </w:r>
      <w:r w:rsidR="00286600">
        <w:t>,</w:t>
      </w:r>
      <w:r>
        <w:t xml:space="preserve"> can be used as controls for customers who received PTR alerts.  </w:t>
      </w:r>
      <w:r w:rsidR="00057FA6">
        <w:t>T</w:t>
      </w:r>
      <w:r>
        <w:t xml:space="preserve">he load impacts calculated using the matched control </w:t>
      </w:r>
      <w:proofErr w:type="gramStart"/>
      <w:r>
        <w:t>group are</w:t>
      </w:r>
      <w:proofErr w:type="gramEnd"/>
      <w:r>
        <w:t xml:space="preserve"> greater than the load impacts calculated using the panel model</w:t>
      </w:r>
      <w:r w:rsidR="00057FA6">
        <w:t>, meaning that if this assumption is not true, then the matched control group estimates are still probably the more accurate estimates</w:t>
      </w:r>
      <w:r>
        <w:t xml:space="preserve">. </w:t>
      </w:r>
    </w:p>
    <w:p w:rsidR="00203A5B" w:rsidRDefault="00203A5B" w:rsidP="00203A5B">
      <w:pPr>
        <w:pStyle w:val="BodyParagraph"/>
      </w:pPr>
      <w:r>
        <w:t xml:space="preserve">The method used to assemble the matched control group is designed to ensure </w:t>
      </w:r>
      <w:r w:rsidR="00057FA6">
        <w:t>that the control group has characteristics as similar as possible to the alerted PTR customers and therefore is likely to provide a valid counterfactual</w:t>
      </w:r>
      <w:r>
        <w:t>.  The 121 customers in the residential Summer Saver sample who received PTR alerts were matched to customers in the sample who did not receive PTR alerts.  This was done using a procedure known as propensity score matching.  In this procedure, a probit model is used to estimate a score for each customer.  In this case, the score was based on kW usage on a set of 10 hot</w:t>
      </w:r>
      <w:r w:rsidR="00286600">
        <w:t> </w:t>
      </w:r>
      <w:r>
        <w:t>non-event days.  A probit model is a regression model designed to estimate probabilities – in this case, the probability that customers who did not receive PTR alerts have similar usage profiles to customers who did receive PTR alerts, absent an event.  Each customer in the control group is matched to a customer who received PTR alerts.  The impacts are calculated by taking the difference between the adjusted load shapes from the matched control group and the load shapes of the customers who received the PTR alerts.  This method automatically accounts for Summer Saver events on days when both Summer Saver and PTR events were called because roughly the same proportion of customers in the control and treatment groups was subject to Summer Saver events.</w:t>
      </w:r>
    </w:p>
    <w:p w:rsidR="00203A5B" w:rsidRDefault="00203A5B" w:rsidP="00203A5B">
      <w:pPr>
        <w:pStyle w:val="BodyParagraph"/>
      </w:pPr>
      <w:r>
        <w:t xml:space="preserve">The panel model approach to modeling load impacts for residential Summer Saver customers who received PTR alerts consists of estimating a predictive model of kW usage on hot non-event days and then applying the parameters from that model to the temperature characteristics of an event day to determine a reference load.  </w:t>
      </w:r>
      <w:r w:rsidR="00057FA6">
        <w:t xml:space="preserve">This is a within-subjects method.  </w:t>
      </w:r>
      <w:r>
        <w:t xml:space="preserve">The reference load is then adjusted based on the event-day load profiles during the five hours leading up to the PTR event, as discussed previously in this evaluation.  This method </w:t>
      </w:r>
      <w:r w:rsidR="00057FA6">
        <w:t xml:space="preserve">is based on the strong assumption </w:t>
      </w:r>
      <w:r>
        <w:t>that usage on hot non-event days can effectively be matched to usage on event days based on temperature.  However, as mentioned before, it is an essential validation check for the load impacts calculated with the matched control group.</w:t>
      </w:r>
    </w:p>
    <w:p w:rsidR="00203A5B" w:rsidRDefault="00203A5B" w:rsidP="00957E31">
      <w:pPr>
        <w:pStyle w:val="BodyBeforeBullet"/>
      </w:pPr>
      <w:r>
        <w:t>Table 6-4</w:t>
      </w:r>
      <w:r w:rsidRPr="00146B1E">
        <w:t xml:space="preserve"> defines the variables </w:t>
      </w:r>
      <w:r>
        <w:t>in the regression model</w:t>
      </w:r>
      <w:r w:rsidRPr="00146B1E">
        <w:t xml:space="preserve">.  </w:t>
      </w:r>
      <w:r>
        <w:t>The models were run separately by hour for a total of 24 models.  The regression specification was:</w:t>
      </w:r>
    </w:p>
    <w:p w:rsidR="00203A5B" w:rsidRDefault="00D66338" w:rsidP="00203A5B">
      <w:pPr>
        <w:pStyle w:val="BodyParagraph"/>
        <w:rPr>
          <w:rFonts w:eastAsiaTheme="minorEastAsia"/>
        </w:rPr>
      </w:pPr>
      <m:oMathPara>
        <m:oMath>
          <m:sSub>
            <m:sSubPr>
              <m:ctrlPr>
                <w:rPr>
                  <w:rFonts w:ascii="Cambria Math" w:hAnsi="Cambria Math"/>
                  <w:i/>
                </w:rPr>
              </m:ctrlPr>
            </m:sSubPr>
            <m:e>
              <m:r>
                <w:rPr>
                  <w:rFonts w:ascii="Cambria Math" w:hAnsi="Cambria Math"/>
                </w:rPr>
                <m:t>kW</m:t>
              </m:r>
            </m:e>
            <m:sub>
              <m:r>
                <w:rPr>
                  <w:rFonts w:ascii="Cambria Math" w:hAnsi="Cambria Math"/>
                </w:rPr>
                <m:t>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mean17</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oMath>
      </m:oMathPara>
    </w:p>
    <w:p w:rsidR="00203A5B" w:rsidRPr="00146B1E" w:rsidRDefault="00203A5B" w:rsidP="00203A5B">
      <w:pPr>
        <w:pStyle w:val="TableFigureCaption"/>
      </w:pPr>
      <w:r>
        <w:t>Table 6-4</w:t>
      </w:r>
      <w:r w:rsidRPr="00146B1E">
        <w:t xml:space="preserve">: </w:t>
      </w:r>
      <w:r>
        <w:t>Description of PTR</w:t>
      </w:r>
      <w:r w:rsidRPr="00146B1E">
        <w:t xml:space="preserve"> Regression Variables</w:t>
      </w:r>
    </w:p>
    <w:tbl>
      <w:tblPr>
        <w:tblW w:w="4300"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7201"/>
      </w:tblGrid>
      <w:tr w:rsidR="00203A5B" w:rsidRPr="00146B1E" w:rsidTr="00286600">
        <w:trPr>
          <w:trHeight w:val="276"/>
          <w:tblHeader/>
          <w:jc w:val="center"/>
        </w:trPr>
        <w:tc>
          <w:tcPr>
            <w:tcW w:w="628" w:type="pct"/>
            <w:tcBorders>
              <w:top w:val="single" w:sz="4" w:space="0" w:color="auto"/>
              <w:left w:val="single" w:sz="4" w:space="0" w:color="auto"/>
              <w:bottom w:val="single" w:sz="4" w:space="0" w:color="auto"/>
              <w:right w:val="single" w:sz="8" w:space="0" w:color="FFFFFF"/>
            </w:tcBorders>
            <w:shd w:val="clear" w:color="auto" w:fill="1F497D"/>
            <w:hideMark/>
          </w:tcPr>
          <w:p w:rsidR="00203A5B" w:rsidRPr="00957E31" w:rsidRDefault="00203A5B" w:rsidP="00957E31">
            <w:pPr>
              <w:pStyle w:val="TableHeader"/>
            </w:pPr>
            <w:r w:rsidRPr="00957E31">
              <w:t>Variable</w:t>
            </w:r>
          </w:p>
        </w:tc>
        <w:tc>
          <w:tcPr>
            <w:tcW w:w="4372" w:type="pct"/>
            <w:tcBorders>
              <w:top w:val="single" w:sz="4" w:space="0" w:color="auto"/>
              <w:left w:val="single" w:sz="8" w:space="0" w:color="FFFFFF"/>
              <w:bottom w:val="single" w:sz="4" w:space="0" w:color="auto"/>
              <w:right w:val="single" w:sz="4" w:space="0" w:color="auto"/>
            </w:tcBorders>
            <w:shd w:val="clear" w:color="auto" w:fill="1F497D"/>
            <w:hideMark/>
          </w:tcPr>
          <w:p w:rsidR="00203A5B" w:rsidRPr="00957E31" w:rsidRDefault="00203A5B" w:rsidP="00957E31">
            <w:pPr>
              <w:pStyle w:val="TableHeader"/>
            </w:pPr>
            <w:r w:rsidRPr="00957E31">
              <w:t>Description</w:t>
            </w:r>
          </w:p>
        </w:tc>
      </w:tr>
      <w:tr w:rsidR="00203A5B" w:rsidRPr="00146B1E" w:rsidTr="00286600">
        <w:trPr>
          <w:trHeight w:val="276"/>
          <w:jc w:val="center"/>
        </w:trPr>
        <w:tc>
          <w:tcPr>
            <w:tcW w:w="628" w:type="pct"/>
            <w:tcBorders>
              <w:top w:val="single" w:sz="4" w:space="0" w:color="auto"/>
              <w:left w:val="single" w:sz="4" w:space="0" w:color="auto"/>
              <w:bottom w:val="single" w:sz="4" w:space="0" w:color="auto"/>
              <w:right w:val="single" w:sz="4" w:space="0" w:color="auto"/>
            </w:tcBorders>
            <w:vAlign w:val="center"/>
            <w:hideMark/>
          </w:tcPr>
          <w:p w:rsidR="00203A5B" w:rsidRPr="00AA0B91" w:rsidRDefault="00D66338" w:rsidP="00203A5B">
            <w:pPr>
              <w:pStyle w:val="TableText"/>
              <w:keepNext/>
              <w:rPr>
                <w:rFonts w:ascii="Calibri" w:eastAsia="Calibri" w:hAnsi="Calibri" w:cs="Times New Roman"/>
                <w:szCs w:val="18"/>
              </w:rPr>
            </w:pPr>
            <m:oMathPara>
              <m:oMathParaPr>
                <m:jc m:val="left"/>
              </m:oMathParaPr>
              <m:oMath>
                <m:sSub>
                  <m:sSubPr>
                    <m:ctrlPr>
                      <w:rPr>
                        <w:rFonts w:ascii="Cambria Math" w:eastAsia="Calibri" w:hAnsi="Cambria Math" w:cs="Times New Roman"/>
                        <w:i/>
                        <w:szCs w:val="18"/>
                      </w:rPr>
                    </m:ctrlPr>
                  </m:sSubPr>
                  <m:e>
                    <m:r>
                      <w:rPr>
                        <w:rFonts w:ascii="Cambria Math" w:eastAsia="Calibri" w:hAnsi="Cambria Math" w:cs="Times New Roman"/>
                        <w:szCs w:val="18"/>
                      </w:rPr>
                      <m:t>b</m:t>
                    </m:r>
                  </m:e>
                  <m:sub>
                    <m:r>
                      <w:rPr>
                        <w:rFonts w:ascii="Cambria Math" w:eastAsia="Calibri" w:hAnsi="Cambria Math" w:cs="Times New Roman"/>
                        <w:szCs w:val="18"/>
                      </w:rPr>
                      <m:t>0</m:t>
                    </m:r>
                  </m:sub>
                </m:sSub>
              </m:oMath>
            </m:oMathPara>
          </w:p>
        </w:tc>
        <w:tc>
          <w:tcPr>
            <w:tcW w:w="4372"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Estimated constant</w:t>
            </w:r>
          </w:p>
        </w:tc>
      </w:tr>
      <w:tr w:rsidR="00203A5B" w:rsidRPr="00146B1E" w:rsidTr="00286600">
        <w:trPr>
          <w:trHeight w:val="276"/>
          <w:jc w:val="center"/>
        </w:trPr>
        <w:tc>
          <w:tcPr>
            <w:tcW w:w="628"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keepNext/>
              <w:rPr>
                <w:szCs w:val="18"/>
              </w:rPr>
            </w:pPr>
            <m:oMathPara>
              <m:oMathParaPr>
                <m:jc m:val="left"/>
              </m:oMathParaPr>
              <m:oMath>
                <m:sSub>
                  <m:sSubPr>
                    <m:ctrlPr>
                      <w:rPr>
                        <w:rFonts w:ascii="Cambria Math" w:eastAsia="Calibri" w:hAnsi="Cambria Math" w:cs="Times New Roman"/>
                        <w:i/>
                        <w:szCs w:val="18"/>
                      </w:rPr>
                    </m:ctrlPr>
                  </m:sSubPr>
                  <m:e>
                    <m:r>
                      <w:rPr>
                        <w:rFonts w:ascii="Cambria Math" w:eastAsia="Calibri" w:hAnsi="Cambria Math" w:cs="Times New Roman"/>
                        <w:szCs w:val="18"/>
                      </w:rPr>
                      <m:t>b</m:t>
                    </m:r>
                  </m:e>
                  <m:sub>
                    <m:r>
                      <w:rPr>
                        <w:rFonts w:ascii="Cambria Math" w:eastAsia="Calibri" w:hAnsi="Cambria Math" w:cs="Times New Roman"/>
                        <w:szCs w:val="18"/>
                      </w:rPr>
                      <m:t>1</m:t>
                    </m:r>
                  </m:sub>
                </m:sSub>
              </m:oMath>
            </m:oMathPara>
          </w:p>
        </w:tc>
        <w:tc>
          <w:tcPr>
            <w:tcW w:w="4372"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Estimated parameter coefficient</w:t>
            </w:r>
          </w:p>
        </w:tc>
      </w:tr>
      <w:tr w:rsidR="00203A5B" w:rsidRPr="00146B1E" w:rsidTr="00286600">
        <w:trPr>
          <w:trHeight w:val="276"/>
          <w:jc w:val="center"/>
        </w:trPr>
        <w:tc>
          <w:tcPr>
            <w:tcW w:w="628"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keepNext/>
              <w:rPr>
                <w:szCs w:val="18"/>
              </w:rPr>
            </w:pPr>
            <m:oMathPara>
              <m:oMathParaPr>
                <m:jc m:val="left"/>
              </m:oMathParaPr>
              <m:oMath>
                <m:sSub>
                  <m:sSubPr>
                    <m:ctrlPr>
                      <w:rPr>
                        <w:rFonts w:ascii="Cambria Math" w:hAnsi="Cambria Math"/>
                        <w:i/>
                      </w:rPr>
                    </m:ctrlPr>
                  </m:sSubPr>
                  <m:e>
                    <m:r>
                      <w:rPr>
                        <w:rFonts w:ascii="Cambria Math" w:hAnsi="Cambria Math"/>
                      </w:rPr>
                      <m:t>mean17</m:t>
                    </m:r>
                  </m:e>
                  <m:sub>
                    <m:r>
                      <w:rPr>
                        <w:rFonts w:ascii="Cambria Math" w:hAnsi="Cambria Math"/>
                      </w:rPr>
                      <m:t>t</m:t>
                    </m:r>
                  </m:sub>
                </m:sSub>
              </m:oMath>
            </m:oMathPara>
          </w:p>
        </w:tc>
        <w:tc>
          <w:tcPr>
            <w:tcW w:w="4372"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Average of the first 17 hourly temperature readings with a value for each time interval, t, corresponding to the daily value</w:t>
            </w:r>
          </w:p>
        </w:tc>
      </w:tr>
      <w:tr w:rsidR="00203A5B" w:rsidRPr="00146B1E" w:rsidTr="00286600">
        <w:trPr>
          <w:trHeight w:val="276"/>
          <w:jc w:val="center"/>
        </w:trPr>
        <w:tc>
          <w:tcPr>
            <w:tcW w:w="628" w:type="pct"/>
            <w:tcBorders>
              <w:top w:val="single" w:sz="4" w:space="0" w:color="auto"/>
              <w:left w:val="single" w:sz="4" w:space="0" w:color="auto"/>
              <w:bottom w:val="single" w:sz="4" w:space="0" w:color="auto"/>
              <w:right w:val="single" w:sz="4" w:space="0" w:color="auto"/>
            </w:tcBorders>
            <w:vAlign w:val="center"/>
            <w:hideMark/>
          </w:tcPr>
          <w:p w:rsidR="00203A5B" w:rsidRPr="00146B1E" w:rsidRDefault="00D66338" w:rsidP="00203A5B">
            <w:pPr>
              <w:pStyle w:val="TableText"/>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t</m:t>
                    </m:r>
                  </m:sub>
                </m:sSub>
              </m:oMath>
            </m:oMathPara>
          </w:p>
        </w:tc>
        <w:tc>
          <w:tcPr>
            <w:tcW w:w="4372" w:type="pct"/>
            <w:tcBorders>
              <w:top w:val="single" w:sz="4" w:space="0" w:color="auto"/>
              <w:left w:val="single" w:sz="4" w:space="0" w:color="auto"/>
              <w:bottom w:val="single" w:sz="4" w:space="0" w:color="auto"/>
              <w:right w:val="single" w:sz="4" w:space="0" w:color="auto"/>
            </w:tcBorders>
            <w:hideMark/>
          </w:tcPr>
          <w:p w:rsidR="00203A5B" w:rsidRPr="00957E31" w:rsidRDefault="00203A5B" w:rsidP="00957E31">
            <w:pPr>
              <w:pStyle w:val="TableText"/>
              <w:jc w:val="left"/>
            </w:pPr>
            <w:r w:rsidRPr="00957E31">
              <w:t>Error term for each time interval, t</w:t>
            </w:r>
          </w:p>
        </w:tc>
      </w:tr>
    </w:tbl>
    <w:p w:rsidR="00203A5B" w:rsidRPr="00146B1E" w:rsidRDefault="00203A5B" w:rsidP="00957E31">
      <w:pPr>
        <w:pStyle w:val="Heading3"/>
        <w:spacing w:before="360"/>
        <w:ind w:left="1354" w:hanging="994"/>
      </w:pPr>
      <w:bookmarkStart w:id="64" w:name="_Toc349548918"/>
      <w:bookmarkStart w:id="65" w:name="_Toc350953049"/>
      <w:r>
        <w:t>Validity of Residential PTR Alerts Ex Post Load Impact</w:t>
      </w:r>
      <w:r w:rsidR="00957E31">
        <w:t> </w:t>
      </w:r>
      <w:r>
        <w:t>Estimates</w:t>
      </w:r>
      <w:bookmarkEnd w:id="64"/>
      <w:bookmarkEnd w:id="65"/>
    </w:p>
    <w:p w:rsidR="00203A5B" w:rsidRDefault="00203A5B" w:rsidP="00203A5B">
      <w:pPr>
        <w:pStyle w:val="BodyParagraph"/>
      </w:pPr>
      <w:r>
        <w:t>Figure 6-1 shows the average load within the treatment group and the matched control group averaged over the five hottest non-event days of the summer.  As the figure shows, the two groups are quite well-balanced in terms of average hourly usage, especially during the time period when events are likely to occur.</w:t>
      </w:r>
    </w:p>
    <w:p w:rsidR="00203A5B" w:rsidRDefault="00203A5B" w:rsidP="00203A5B">
      <w:pPr>
        <w:pStyle w:val="TableFigureCaption"/>
      </w:pPr>
      <w:r>
        <w:t>Figure 6-1: Residential Treatment and Matched Control Group Comparison</w:t>
      </w:r>
      <w:r>
        <w:br/>
        <w:t xml:space="preserve">Average Load on </w:t>
      </w:r>
      <w:r w:rsidR="00286600">
        <w:t xml:space="preserve">the </w:t>
      </w:r>
      <w:r>
        <w:t>Five Hottest Non-</w:t>
      </w:r>
      <w:r w:rsidR="00286600">
        <w:t>e</w:t>
      </w:r>
      <w:r>
        <w:t>vent Days</w:t>
      </w:r>
    </w:p>
    <w:p w:rsidR="00203A5B" w:rsidRDefault="00203A5B" w:rsidP="00203A5B">
      <w:pPr>
        <w:pStyle w:val="BodyParagraph"/>
        <w:jc w:val="center"/>
      </w:pPr>
      <w:r w:rsidRPr="00DD486D">
        <w:rPr>
          <w:noProof/>
        </w:rPr>
        <w:drawing>
          <wp:inline distT="0" distB="0" distL="0" distR="0">
            <wp:extent cx="4572000" cy="2743200"/>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2CAC" w:rsidRDefault="00192CAC" w:rsidP="00203A5B">
      <w:pPr>
        <w:pStyle w:val="BodyParagraph"/>
        <w:jc w:val="center"/>
      </w:pPr>
    </w:p>
    <w:p w:rsidR="00192CAC" w:rsidRDefault="00574971" w:rsidP="00192CAC">
      <w:pPr>
        <w:pStyle w:val="Heading2"/>
      </w:pPr>
      <w:bookmarkStart w:id="66" w:name="_Toc350953050"/>
      <w:r>
        <w:t xml:space="preserve">Residential PTR Alerts </w:t>
      </w:r>
      <w:r w:rsidR="00192CAC" w:rsidRPr="00CA623F">
        <w:t>Ex Ante Impact Estimation Methodology</w:t>
      </w:r>
      <w:bookmarkEnd w:id="66"/>
    </w:p>
    <w:p w:rsidR="00192CAC" w:rsidRDefault="00192CAC" w:rsidP="00192CAC">
      <w:pPr>
        <w:pStyle w:val="BodyParagraph"/>
      </w:pPr>
      <w:r>
        <w:t>The same method used for the Summer Saver ex ante a</w:t>
      </w:r>
      <w:r w:rsidR="00FE48E1">
        <w:t>nalysis was used to produce</w:t>
      </w:r>
      <w:r>
        <w:t xml:space="preserve"> ex ante load impacts for residential customers who are forecast to receive PTR alerts.  Similar to the Summer Saver ex ante analysis, load impacts from 2012 are modeled as a function of temperature and the parameters are used in a regression model to predict load impacts under ex ante weather conditions.</w:t>
      </w:r>
      <w:r w:rsidR="00FE48E1">
        <w:rPr>
          <w:rStyle w:val="FootnoteReference"/>
        </w:rPr>
        <w:footnoteReference w:id="6"/>
      </w:r>
      <w:r>
        <w:t xml:space="preserve">  Reference loads are developed using the control group load profiles on event days in</w:t>
      </w:r>
      <w:r w:rsidR="00FE48E1">
        <w:t xml:space="preserve"> a regression model that relates</w:t>
      </w:r>
      <w:r>
        <w:t xml:space="preserve"> usage to temperature.  A detailed description of the ex ante methodology can be found in Sectio</w:t>
      </w:r>
      <w:r w:rsidR="00BA4804">
        <w:t>n 3 of this</w:t>
      </w:r>
      <w:r>
        <w:t xml:space="preserve"> report.</w:t>
      </w:r>
    </w:p>
    <w:p w:rsidR="00192CAC" w:rsidRDefault="00FE48E1" w:rsidP="00192CAC">
      <w:pPr>
        <w:pStyle w:val="BodyParaAfterTableFigure"/>
      </w:pPr>
      <w:r>
        <w:t>Figure 6-2</w:t>
      </w:r>
      <w:r w:rsidR="00192CAC">
        <w:t xml:space="preserve"> show</w:t>
      </w:r>
      <w:r>
        <w:t>s the ex ante</w:t>
      </w:r>
      <w:r w:rsidR="00192CAC">
        <w:t xml:space="preserve"> impacts from </w:t>
      </w:r>
      <w:r>
        <w:t>2012</w:t>
      </w:r>
      <w:r w:rsidR="00192CAC">
        <w:t xml:space="preserve"> graphed against the ex ante predictions</w:t>
      </w:r>
      <w:r w:rsidR="00574971">
        <w:t xml:space="preserve"> that are developed based on tho</w:t>
      </w:r>
      <w:r w:rsidR="00192CAC">
        <w:t>se load impacts.  The ex ante estimates for residential customers follow fro</w:t>
      </w:r>
      <w:r>
        <w:t>m the ex post impacts, however, the mean17 values used to predict the ex ante impacts are capped at the minimum</w:t>
      </w:r>
      <w:r w:rsidR="003C0588">
        <w:t xml:space="preserve"> and maximum values of the mean</w:t>
      </w:r>
      <w:r>
        <w:t>17 values observed ex post.  With so few data points available, the model is quite sensitive to each data point.  In this case, the linear trend is too strong to be plausible</w:t>
      </w:r>
      <w:r w:rsidR="00F51124">
        <w:t xml:space="preserve"> outside of the observable range</w:t>
      </w:r>
      <w:r>
        <w:t>.  It can be inferred</w:t>
      </w:r>
      <w:r w:rsidR="00574971">
        <w:t xml:space="preserve"> from F</w:t>
      </w:r>
      <w:r>
        <w:t>igure 6-2 that the model would start to predict negative load impacts at mean17 values below about 70</w:t>
      </w:r>
      <w:r>
        <w:rPr>
          <w:rFonts w:ascii="Agency FB" w:hAnsi="Agency FB"/>
        </w:rPr>
        <w:t>°</w:t>
      </w:r>
      <w:r>
        <w:t xml:space="preserve"> Fahrenheit</w:t>
      </w:r>
      <w:r w:rsidR="00E40E91">
        <w:t>.  The model fails this rudimentary check of general plausibility and is there</w:t>
      </w:r>
      <w:r w:rsidR="00574971">
        <w:t>fore not used for extrapolation to temperature conditions outside the bounds of the data from</w:t>
      </w:r>
      <w:r w:rsidR="003953C6">
        <w:t xml:space="preserve"> which the model was</w:t>
      </w:r>
      <w:r w:rsidR="00574971">
        <w:t xml:space="preserve"> derived.</w:t>
      </w:r>
    </w:p>
    <w:p w:rsidR="00192CAC" w:rsidRDefault="00192CAC" w:rsidP="00192CAC">
      <w:pPr>
        <w:pStyle w:val="TableFigureCaption"/>
      </w:pPr>
      <w:r>
        <w:t>Figure 6-2</w:t>
      </w:r>
      <w:r w:rsidRPr="005F157B">
        <w:t xml:space="preserve">: </w:t>
      </w:r>
      <w:r>
        <w:t xml:space="preserve">Average 11 AM to 6 PM </w:t>
      </w:r>
      <w:proofErr w:type="gramStart"/>
      <w:r>
        <w:t>Ex</w:t>
      </w:r>
      <w:proofErr w:type="gramEnd"/>
      <w:r>
        <w:t xml:space="preserve"> Post Load Impacts and Ex Ante Predictions</w:t>
      </w:r>
      <w:r w:rsidRPr="00CA623F">
        <w:br/>
      </w:r>
      <w:r>
        <w:t>Residential Summer Saver Customer Who Received PTR Alerts</w:t>
      </w:r>
    </w:p>
    <w:p w:rsidR="00957E31" w:rsidRDefault="00FE48E1" w:rsidP="00E40E91">
      <w:pPr>
        <w:pStyle w:val="BodyParagraph"/>
        <w:jc w:val="center"/>
      </w:pPr>
      <w:r w:rsidRPr="00FE48E1">
        <w:rPr>
          <w:noProof/>
        </w:rPr>
        <w:drawing>
          <wp:inline distT="0" distB="0" distL="0" distR="0">
            <wp:extent cx="4572000" cy="2743200"/>
            <wp:effectExtent l="19050" t="0" r="1905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57E31">
        <w:br w:type="page"/>
      </w:r>
    </w:p>
    <w:p w:rsidR="00203A5B" w:rsidRDefault="00203A5B" w:rsidP="00957E31">
      <w:pPr>
        <w:pStyle w:val="Heading1"/>
      </w:pPr>
      <w:bookmarkStart w:id="67" w:name="_Toc347931633"/>
      <w:bookmarkStart w:id="68" w:name="_Toc349548919"/>
      <w:bookmarkStart w:id="69" w:name="_Toc350953051"/>
      <w:r>
        <w:t>Ex Post Load Impact Estimates</w:t>
      </w:r>
      <w:bookmarkEnd w:id="67"/>
      <w:r>
        <w:t xml:space="preserve"> - PTR for Summer Saver</w:t>
      </w:r>
      <w:r w:rsidR="00957E31">
        <w:t> </w:t>
      </w:r>
      <w:r>
        <w:t>Customers</w:t>
      </w:r>
      <w:bookmarkEnd w:id="68"/>
      <w:bookmarkEnd w:id="69"/>
    </w:p>
    <w:p w:rsidR="00203A5B" w:rsidRDefault="00203A5B" w:rsidP="00203A5B">
      <w:pPr>
        <w:pStyle w:val="BodyParagraph"/>
      </w:pPr>
      <w:r>
        <w:t>This section contains the ex post load impact estimates for program year 2012.  Residential and commercial load impacts for the Summer Saver population are shown first, followed by load impacts for residential customers who received PTR alerts.</w:t>
      </w:r>
    </w:p>
    <w:p w:rsidR="00203A5B" w:rsidRDefault="00203A5B" w:rsidP="00957E31">
      <w:pPr>
        <w:pStyle w:val="Heading2"/>
      </w:pPr>
      <w:bookmarkStart w:id="70" w:name="_Toc347931634"/>
      <w:bookmarkStart w:id="71" w:name="_Toc349548920"/>
      <w:bookmarkStart w:id="72" w:name="_Toc350953052"/>
      <w:r w:rsidRPr="00957E31">
        <w:t>Residential</w:t>
      </w:r>
      <w:r>
        <w:t xml:space="preserve"> and Commercial Ex Post Load Impact</w:t>
      </w:r>
      <w:r w:rsidR="00957E31">
        <w:t> </w:t>
      </w:r>
      <w:r>
        <w:t>Estimates</w:t>
      </w:r>
      <w:bookmarkEnd w:id="70"/>
      <w:bookmarkEnd w:id="71"/>
      <w:bookmarkEnd w:id="72"/>
    </w:p>
    <w:p w:rsidR="00203A5B" w:rsidRPr="006E3D23" w:rsidRDefault="00203A5B" w:rsidP="00203A5B">
      <w:pPr>
        <w:pStyle w:val="BodyParagraph"/>
      </w:pPr>
      <w:r>
        <w:t>Table 7-1 does not show ex post load impacts from PTR for residential and commercial Summer Saver customers.  Instead, it shows the results from 12 different models that were designed to test whether PTR load impacts could be detected for the Summer Saver population.  As discussed in the methodology section, 12 panel models were run for both residential and commercial customers, for a</w:t>
      </w:r>
      <w:r w:rsidR="00A05FAB">
        <w:t> </w:t>
      </w:r>
      <w:r>
        <w:t>total of 24 models.  The panel models include an indicator variable for PTR events in a function of usage that also controls for temperature.  The models vary across two dimensions.  Three different types of temperature variables were tested.  Also, four different temperature thresholds were used to determine the characteristics of the dataset from which the parameters of each model were derived.  The goal is to determine if PTR events can be detected with some regularity under a variety of plausible model specifications.  If PTR events are detectable, the coefficient on the PTR event variable for most of the models should be negative and significant.  Table 7-1 indicates how many coefficients fall into the categories of positive and significant, negative and significant</w:t>
      </w:r>
      <w:r w:rsidR="00A05FAB">
        <w:t>,</w:t>
      </w:r>
      <w:r>
        <w:t xml:space="preserve"> and insignificant across the 24 models.  While a number of the coefficients on the PTR event variables are positive and significant, only one coefficient is negative and significant.  </w:t>
      </w:r>
      <w:r w:rsidR="00553301">
        <w:t>A positive coefficient indicates that the model’s estimated effect of PTR is an increase in load.  This is implausible as a true outcome given the incentives a customer faces during a PTR event.  This result indicates that the available reference days for modeling are not sufficient for detecting load impacts.</w:t>
      </w:r>
    </w:p>
    <w:p w:rsidR="00203A5B" w:rsidRDefault="00203A5B" w:rsidP="00203A5B">
      <w:pPr>
        <w:pStyle w:val="TableFigureCaption"/>
        <w:rPr>
          <w:rFonts w:cs="Arial"/>
        </w:rPr>
      </w:pPr>
      <w:r w:rsidRPr="00A65162">
        <w:t xml:space="preserve">Table </w:t>
      </w:r>
      <w:r>
        <w:t>7-1:</w:t>
      </w:r>
      <w:r w:rsidR="00957E31">
        <w:t xml:space="preserve"> </w:t>
      </w:r>
      <w:r>
        <w:t>Significance of Ex Post Load Impact Estimates</w:t>
      </w:r>
    </w:p>
    <w:tbl>
      <w:tblPr>
        <w:tblW w:w="5040" w:type="dxa"/>
        <w:jc w:val="center"/>
        <w:tblInd w:w="93" w:type="dxa"/>
        <w:tblLook w:val="04A0"/>
      </w:tblPr>
      <w:tblGrid>
        <w:gridCol w:w="1220"/>
        <w:gridCol w:w="1240"/>
        <w:gridCol w:w="1340"/>
        <w:gridCol w:w="1394"/>
      </w:tblGrid>
      <w:tr w:rsidR="00203A5B" w:rsidRPr="00E05064" w:rsidTr="00203A5B">
        <w:trPr>
          <w:trHeight w:val="510"/>
          <w:jc w:val="center"/>
        </w:trPr>
        <w:tc>
          <w:tcPr>
            <w:tcW w:w="1220"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203A5B" w:rsidRPr="00E05064" w:rsidRDefault="00203A5B" w:rsidP="00957E31">
            <w:pPr>
              <w:pStyle w:val="TableHeader"/>
            </w:pPr>
            <w:r w:rsidRPr="00E05064">
              <w:t>Customer Type</w:t>
            </w:r>
          </w:p>
        </w:tc>
        <w:tc>
          <w:tcPr>
            <w:tcW w:w="1240" w:type="dxa"/>
            <w:tcBorders>
              <w:top w:val="single" w:sz="4" w:space="0" w:color="auto"/>
              <w:left w:val="nil"/>
              <w:bottom w:val="single" w:sz="4" w:space="0" w:color="auto"/>
              <w:right w:val="single" w:sz="4" w:space="0" w:color="FFFFFF"/>
            </w:tcBorders>
            <w:shd w:val="clear" w:color="000000" w:fill="1F497D"/>
            <w:vAlign w:val="center"/>
            <w:hideMark/>
          </w:tcPr>
          <w:p w:rsidR="00203A5B" w:rsidRPr="00E05064" w:rsidRDefault="00203A5B" w:rsidP="00957E31">
            <w:pPr>
              <w:pStyle w:val="TableHeader"/>
            </w:pPr>
            <w:r w:rsidRPr="00E05064">
              <w:t>Positive and Significant</w:t>
            </w:r>
          </w:p>
        </w:tc>
        <w:tc>
          <w:tcPr>
            <w:tcW w:w="1340" w:type="dxa"/>
            <w:tcBorders>
              <w:top w:val="single" w:sz="4" w:space="0" w:color="auto"/>
              <w:left w:val="nil"/>
              <w:bottom w:val="single" w:sz="4" w:space="0" w:color="auto"/>
              <w:right w:val="single" w:sz="4" w:space="0" w:color="FFFFFF"/>
            </w:tcBorders>
            <w:shd w:val="clear" w:color="000000" w:fill="1F497D"/>
            <w:vAlign w:val="center"/>
            <w:hideMark/>
          </w:tcPr>
          <w:p w:rsidR="00203A5B" w:rsidRPr="00E05064" w:rsidRDefault="00203A5B" w:rsidP="00957E31">
            <w:pPr>
              <w:pStyle w:val="TableHeader"/>
            </w:pPr>
            <w:r w:rsidRPr="00E05064">
              <w:t>Negative and Significant</w:t>
            </w:r>
          </w:p>
        </w:tc>
        <w:tc>
          <w:tcPr>
            <w:tcW w:w="1240" w:type="dxa"/>
            <w:tcBorders>
              <w:top w:val="single" w:sz="4" w:space="0" w:color="auto"/>
              <w:left w:val="nil"/>
              <w:bottom w:val="single" w:sz="4" w:space="0" w:color="auto"/>
              <w:right w:val="single" w:sz="4" w:space="0" w:color="auto"/>
            </w:tcBorders>
            <w:shd w:val="clear" w:color="000000" w:fill="1F497D"/>
            <w:vAlign w:val="center"/>
            <w:hideMark/>
          </w:tcPr>
          <w:p w:rsidR="00203A5B" w:rsidRPr="00E05064" w:rsidRDefault="00203A5B" w:rsidP="00957E31">
            <w:pPr>
              <w:pStyle w:val="TableHeader"/>
            </w:pPr>
            <w:r w:rsidRPr="00E05064">
              <w:t>Insignificant</w:t>
            </w:r>
          </w:p>
        </w:tc>
      </w:tr>
      <w:tr w:rsidR="00203A5B" w:rsidRPr="00E05064" w:rsidTr="00203A5B">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Residential</w:t>
            </w:r>
          </w:p>
        </w:tc>
        <w:tc>
          <w:tcPr>
            <w:tcW w:w="1240" w:type="dxa"/>
            <w:tcBorders>
              <w:top w:val="nil"/>
              <w:left w:val="nil"/>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7</w:t>
            </w:r>
          </w:p>
        </w:tc>
        <w:tc>
          <w:tcPr>
            <w:tcW w:w="1340" w:type="dxa"/>
            <w:tcBorders>
              <w:top w:val="nil"/>
              <w:left w:val="nil"/>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1</w:t>
            </w:r>
          </w:p>
        </w:tc>
        <w:tc>
          <w:tcPr>
            <w:tcW w:w="1240" w:type="dxa"/>
            <w:tcBorders>
              <w:top w:val="nil"/>
              <w:left w:val="nil"/>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4</w:t>
            </w:r>
          </w:p>
        </w:tc>
      </w:tr>
      <w:tr w:rsidR="00203A5B" w:rsidRPr="00E05064" w:rsidTr="00203A5B">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Commercial</w:t>
            </w:r>
          </w:p>
        </w:tc>
        <w:tc>
          <w:tcPr>
            <w:tcW w:w="1240" w:type="dxa"/>
            <w:tcBorders>
              <w:top w:val="nil"/>
              <w:left w:val="nil"/>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6</w:t>
            </w:r>
          </w:p>
        </w:tc>
        <w:tc>
          <w:tcPr>
            <w:tcW w:w="1340" w:type="dxa"/>
            <w:tcBorders>
              <w:top w:val="nil"/>
              <w:left w:val="nil"/>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0</w:t>
            </w:r>
          </w:p>
        </w:tc>
        <w:tc>
          <w:tcPr>
            <w:tcW w:w="1240" w:type="dxa"/>
            <w:tcBorders>
              <w:top w:val="nil"/>
              <w:left w:val="nil"/>
              <w:bottom w:val="single" w:sz="4" w:space="0" w:color="auto"/>
              <w:right w:val="single" w:sz="4" w:space="0" w:color="auto"/>
            </w:tcBorders>
            <w:shd w:val="clear" w:color="auto" w:fill="auto"/>
            <w:noWrap/>
            <w:vAlign w:val="center"/>
            <w:hideMark/>
          </w:tcPr>
          <w:p w:rsidR="00203A5B" w:rsidRPr="00E05064" w:rsidRDefault="00203A5B" w:rsidP="00957E31">
            <w:pPr>
              <w:pStyle w:val="TableText"/>
            </w:pPr>
            <w:r w:rsidRPr="00E05064">
              <w:t>6</w:t>
            </w:r>
          </w:p>
        </w:tc>
      </w:tr>
      <w:tr w:rsidR="00203A5B" w:rsidRPr="00E05064" w:rsidTr="00203A5B">
        <w:trPr>
          <w:trHeight w:val="300"/>
          <w:jc w:val="center"/>
        </w:trPr>
        <w:tc>
          <w:tcPr>
            <w:tcW w:w="5040" w:type="dxa"/>
            <w:gridSpan w:val="4"/>
            <w:tcBorders>
              <w:top w:val="nil"/>
              <w:left w:val="nil"/>
              <w:bottom w:val="nil"/>
              <w:right w:val="nil"/>
            </w:tcBorders>
            <w:shd w:val="clear" w:color="auto" w:fill="auto"/>
            <w:noWrap/>
            <w:vAlign w:val="bottom"/>
            <w:hideMark/>
          </w:tcPr>
          <w:p w:rsidR="00203A5B" w:rsidRPr="00E05064" w:rsidRDefault="00203A5B" w:rsidP="00957E31">
            <w:pPr>
              <w:pStyle w:val="Footnote"/>
            </w:pPr>
            <w:r w:rsidRPr="00E05064">
              <w:t>*Significance measured at the 95% confidence level</w:t>
            </w:r>
            <w:r w:rsidR="00A05FAB">
              <w:t>.</w:t>
            </w:r>
          </w:p>
        </w:tc>
      </w:tr>
    </w:tbl>
    <w:p w:rsidR="00E03387" w:rsidRDefault="00203A5B">
      <w:pPr>
        <w:pStyle w:val="BodyParaAfterTableFigure"/>
      </w:pPr>
      <w:r>
        <w:t xml:space="preserve">This test indicates that PTR load impacts cannot be reliably detected for the Summer Saver population.  </w:t>
      </w:r>
      <w:r w:rsidRPr="00A5510D">
        <w:rPr>
          <w:highlight w:val="yellow"/>
        </w:rPr>
        <w:t>This analysis agrees with the broader PTR analysis, which was completed by X and documented in the report, Y.</w:t>
      </w:r>
      <w:r>
        <w:t xml:space="preserve">  Apart from customers who signed up for text messages and e-mail alerts, known as PTR Alerts, customers in the Summer Saver population receive no direct warning of an upcoming PTR event.  Therefore, it is not surprising that across the population, customers do not respond to PTR events by reducing their usage. </w:t>
      </w:r>
    </w:p>
    <w:p w:rsidR="00203A5B" w:rsidRDefault="00203A5B" w:rsidP="00957E31">
      <w:pPr>
        <w:pStyle w:val="Heading2"/>
      </w:pPr>
      <w:bookmarkStart w:id="73" w:name="_Toc347931635"/>
      <w:bookmarkStart w:id="74" w:name="_Toc349548921"/>
      <w:bookmarkStart w:id="75" w:name="_Toc350953053"/>
      <w:r w:rsidRPr="00957E31">
        <w:t>Residential</w:t>
      </w:r>
      <w:r>
        <w:t xml:space="preserve"> PTR Alerts Ex Post Load Impact Results</w:t>
      </w:r>
      <w:bookmarkEnd w:id="73"/>
      <w:bookmarkEnd w:id="74"/>
      <w:bookmarkEnd w:id="75"/>
    </w:p>
    <w:p w:rsidR="00203A5B" w:rsidRDefault="00203A5B" w:rsidP="00203A5B">
      <w:pPr>
        <w:pStyle w:val="BodyParagraph"/>
      </w:pPr>
      <w:r>
        <w:t>Table 7-2 shows the ex post load impact estimates for residential Summer Saver customers who received PTR alerts in 2012.  Summer Saver residential customers who received PTR alerts delivered an average aggregate load reduction over the seven events of 1 MW.  Residential impacts ranged from a low of 0.55 MW on August 21 to a high of 1.70 MW on September 15</w:t>
      </w:r>
      <w:r w:rsidRPr="00FA655B">
        <w:t>.</w:t>
      </w:r>
      <w:r>
        <w:t xml:space="preserve">  The results of this analysis indicate that the PTR alerts significantly increase the likelihood that residential Summer Saver customers will respond to PTR events.  </w:t>
      </w:r>
    </w:p>
    <w:p w:rsidR="00203A5B" w:rsidRDefault="00203A5B" w:rsidP="00203A5B">
      <w:pPr>
        <w:pStyle w:val="TableFigureCaption"/>
        <w:spacing w:after="0"/>
      </w:pPr>
      <w:r w:rsidRPr="00A65162">
        <w:t xml:space="preserve">Table </w:t>
      </w:r>
      <w:r>
        <w:t xml:space="preserve">7-2: Residential Summer Saver Customers </w:t>
      </w:r>
      <w:r w:rsidR="00A05FAB">
        <w:t>W</w:t>
      </w:r>
      <w:r>
        <w:t>ho Received PTR Alerts</w:t>
      </w:r>
    </w:p>
    <w:p w:rsidR="00203A5B" w:rsidRPr="00EB2FB6" w:rsidRDefault="00203A5B" w:rsidP="00203A5B">
      <w:pPr>
        <w:pStyle w:val="TableFigureCaption"/>
      </w:pPr>
      <w:r>
        <w:t>Matched Control Group Method</w:t>
      </w:r>
    </w:p>
    <w:tbl>
      <w:tblPr>
        <w:tblW w:w="6085" w:type="dxa"/>
        <w:jc w:val="center"/>
        <w:tblInd w:w="99" w:type="dxa"/>
        <w:tblLook w:val="04A0"/>
      </w:tblPr>
      <w:tblGrid>
        <w:gridCol w:w="1180"/>
        <w:gridCol w:w="1747"/>
        <w:gridCol w:w="1553"/>
        <w:gridCol w:w="1605"/>
      </w:tblGrid>
      <w:tr w:rsidR="00203A5B" w:rsidRPr="00EB2FB6" w:rsidTr="00203A5B">
        <w:trPr>
          <w:trHeight w:val="300"/>
          <w:jc w:val="center"/>
        </w:trPr>
        <w:tc>
          <w:tcPr>
            <w:tcW w:w="118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EB2FB6" w:rsidRDefault="00203A5B" w:rsidP="00957E31">
            <w:pPr>
              <w:pStyle w:val="TableHeader"/>
            </w:pPr>
            <w:r w:rsidRPr="00EB2FB6">
              <w:t>Date</w:t>
            </w:r>
          </w:p>
        </w:tc>
        <w:tc>
          <w:tcPr>
            <w:tcW w:w="3300" w:type="dxa"/>
            <w:gridSpan w:val="2"/>
            <w:tcBorders>
              <w:top w:val="single" w:sz="4" w:space="0" w:color="auto"/>
              <w:left w:val="nil"/>
              <w:bottom w:val="single" w:sz="4" w:space="0" w:color="FFFFFF"/>
              <w:right w:val="single" w:sz="4" w:space="0" w:color="FFFFFF"/>
            </w:tcBorders>
            <w:shd w:val="clear" w:color="000000" w:fill="1F497D"/>
            <w:noWrap/>
            <w:vAlign w:val="center"/>
            <w:hideMark/>
          </w:tcPr>
          <w:p w:rsidR="00203A5B" w:rsidRPr="00EB2FB6" w:rsidRDefault="00203A5B" w:rsidP="00957E31">
            <w:pPr>
              <w:pStyle w:val="TableHeader"/>
            </w:pPr>
            <w:r w:rsidRPr="00EB2FB6">
              <w:t>Impact</w:t>
            </w:r>
          </w:p>
        </w:tc>
        <w:tc>
          <w:tcPr>
            <w:tcW w:w="1605"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EB2FB6" w:rsidRDefault="00203A5B" w:rsidP="00957E31">
            <w:pPr>
              <w:pStyle w:val="TableHeader"/>
            </w:pPr>
            <w:r w:rsidRPr="00E64C2A">
              <w:t>Temperature During Event</w:t>
            </w:r>
            <w:r>
              <w:t xml:space="preserve"> (</w:t>
            </w:r>
            <w:r>
              <w:rPr>
                <w:rFonts w:cs="Calibri"/>
              </w:rPr>
              <w:t>°</w:t>
            </w:r>
            <w:r>
              <w:t>F)</w:t>
            </w:r>
          </w:p>
        </w:tc>
      </w:tr>
      <w:tr w:rsidR="00203A5B" w:rsidRPr="00EB2FB6" w:rsidTr="00203A5B">
        <w:trPr>
          <w:trHeight w:val="300"/>
          <w:jc w:val="center"/>
        </w:trPr>
        <w:tc>
          <w:tcPr>
            <w:tcW w:w="1180" w:type="dxa"/>
            <w:vMerge/>
            <w:tcBorders>
              <w:top w:val="single" w:sz="4" w:space="0" w:color="auto"/>
              <w:left w:val="single" w:sz="4" w:space="0" w:color="auto"/>
              <w:bottom w:val="single" w:sz="4" w:space="0" w:color="000000"/>
              <w:right w:val="single" w:sz="4" w:space="0" w:color="FFFFFF"/>
            </w:tcBorders>
            <w:vAlign w:val="center"/>
            <w:hideMark/>
          </w:tcPr>
          <w:p w:rsidR="00203A5B" w:rsidRPr="00EB2FB6" w:rsidRDefault="00203A5B" w:rsidP="00957E31">
            <w:pPr>
              <w:pStyle w:val="TableHeader"/>
            </w:pPr>
          </w:p>
        </w:tc>
        <w:tc>
          <w:tcPr>
            <w:tcW w:w="1747" w:type="dxa"/>
            <w:tcBorders>
              <w:top w:val="nil"/>
              <w:left w:val="nil"/>
              <w:bottom w:val="single" w:sz="4" w:space="0" w:color="auto"/>
              <w:right w:val="single" w:sz="4" w:space="0" w:color="FFFFFF"/>
            </w:tcBorders>
            <w:shd w:val="clear" w:color="000000" w:fill="1F497D"/>
            <w:noWrap/>
            <w:vAlign w:val="center"/>
            <w:hideMark/>
          </w:tcPr>
          <w:p w:rsidR="00203A5B" w:rsidRPr="00EB2FB6" w:rsidRDefault="00203A5B" w:rsidP="00957E31">
            <w:pPr>
              <w:pStyle w:val="TableHeader"/>
            </w:pPr>
            <w:r w:rsidRPr="00EB2FB6">
              <w:t>Per Premise (kW)</w:t>
            </w:r>
          </w:p>
        </w:tc>
        <w:tc>
          <w:tcPr>
            <w:tcW w:w="1553" w:type="dxa"/>
            <w:tcBorders>
              <w:top w:val="nil"/>
              <w:left w:val="nil"/>
              <w:bottom w:val="single" w:sz="4" w:space="0" w:color="auto"/>
              <w:right w:val="single" w:sz="4" w:space="0" w:color="FFFFFF"/>
            </w:tcBorders>
            <w:shd w:val="clear" w:color="000000" w:fill="1F497D"/>
            <w:noWrap/>
            <w:vAlign w:val="center"/>
            <w:hideMark/>
          </w:tcPr>
          <w:p w:rsidR="00203A5B" w:rsidRPr="00EB2FB6" w:rsidRDefault="00203A5B" w:rsidP="00957E31">
            <w:pPr>
              <w:pStyle w:val="TableHeader"/>
            </w:pPr>
            <w:r>
              <w:t>Aggregate (M</w:t>
            </w:r>
            <w:r w:rsidRPr="00EB2FB6">
              <w:t>W)</w:t>
            </w:r>
          </w:p>
        </w:tc>
        <w:tc>
          <w:tcPr>
            <w:tcW w:w="1605" w:type="dxa"/>
            <w:vMerge/>
            <w:tcBorders>
              <w:top w:val="single" w:sz="4" w:space="0" w:color="auto"/>
              <w:left w:val="single" w:sz="4" w:space="0" w:color="FFFFFF"/>
              <w:bottom w:val="single" w:sz="4" w:space="0" w:color="000000"/>
              <w:right w:val="single" w:sz="4" w:space="0" w:color="auto"/>
            </w:tcBorders>
            <w:vAlign w:val="center"/>
            <w:hideMark/>
          </w:tcPr>
          <w:p w:rsidR="00203A5B" w:rsidRPr="00EB2FB6" w:rsidRDefault="00203A5B" w:rsidP="00957E31">
            <w:pPr>
              <w:pStyle w:val="TableHeader"/>
            </w:pP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20-Jul-12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0.32</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0.94</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81</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9-Aug-12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0.43</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1.26</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83</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10-Aug-12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0.34</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1.00</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84</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11-Aug-12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0.42</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1.22</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84</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14-Aug-12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0.45</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1.32</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84</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21-Aug-12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0.19</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0.55</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78</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15-Sep-12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0.58</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1.70</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98</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Average*</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0.35</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1.01</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82</w:t>
            </w:r>
          </w:p>
        </w:tc>
      </w:tr>
      <w:tr w:rsidR="00203A5B" w:rsidRPr="00EB2FB6" w:rsidTr="00203A5B">
        <w:trPr>
          <w:trHeight w:val="300"/>
          <w:jc w:val="center"/>
        </w:trPr>
        <w:tc>
          <w:tcPr>
            <w:tcW w:w="6085" w:type="dxa"/>
            <w:gridSpan w:val="4"/>
            <w:tcBorders>
              <w:top w:val="nil"/>
              <w:left w:val="nil"/>
              <w:bottom w:val="nil"/>
              <w:right w:val="nil"/>
            </w:tcBorders>
            <w:shd w:val="clear" w:color="auto" w:fill="auto"/>
            <w:noWrap/>
            <w:vAlign w:val="center"/>
            <w:hideMark/>
          </w:tcPr>
          <w:p w:rsidR="00203A5B" w:rsidRPr="00EB2FB6" w:rsidRDefault="00203A5B" w:rsidP="00957E31">
            <w:pPr>
              <w:pStyle w:val="Footnote"/>
            </w:pPr>
            <w:r w:rsidRPr="00EB2FB6">
              <w:t xml:space="preserve">*reflects the average event, omitting the Aug. 11 and Sept. 15 </w:t>
            </w:r>
            <w:r>
              <w:t>weekend events</w:t>
            </w:r>
          </w:p>
        </w:tc>
      </w:tr>
    </w:tbl>
    <w:p w:rsidR="00203A5B" w:rsidRDefault="00203A5B" w:rsidP="00957E31">
      <w:pPr>
        <w:pStyle w:val="BodyParaAfterTableFigure"/>
      </w:pPr>
      <w:r>
        <w:t xml:space="preserve">These results are based on a matched control group methodology in which customers from the broader Summer Saver population are matched to customers who received PTR alerts.  This method </w:t>
      </w:r>
      <w:r w:rsidR="00F04E7D">
        <w:t>could be controversial</w:t>
      </w:r>
      <w:r>
        <w:t xml:space="preserve"> since customers in the broader Summer Saver population were technically enrolled in PTR.  </w:t>
      </w:r>
      <w:r w:rsidR="00F04E7D">
        <w:t xml:space="preserve">This might tend to understate impacts if the control group customers actually responded.  </w:t>
      </w:r>
      <w:r>
        <w:t>The best way to validate if the matched control group results can be trusted is to compare them with the results from a quasi-experimental design that uses non-event day information from customers who received PTR alerts.</w:t>
      </w:r>
    </w:p>
    <w:p w:rsidR="00957E31" w:rsidRDefault="00203A5B" w:rsidP="00F04E7D">
      <w:pPr>
        <w:pStyle w:val="BodyParagraph"/>
      </w:pPr>
      <w:r>
        <w:t>Table 7-3 shows the ex post load impact estimates for residential Summer Saver customers who received PTR alerts in 2012.  In contrast to the previous table, these results are calculated using a panel model that incorporates information from hot non-event days to come up with a reference load for event days.  As discussed in the methodology section, usage is modeled as a function of temperature on hot non-event days and then the model parameters are applied to the temperature characteristics of event days to calculate the reference load.  This approach relies on a strong assumption that the load profiles of hot non-event days can be accurately matched to what the load</w:t>
      </w:r>
      <w:r w:rsidR="00A05FAB">
        <w:t> </w:t>
      </w:r>
      <w:r>
        <w:t>would have been on event days using only temperature.  Under this method, Summer Saver residential customers who received PTR alerts delivered an average aggregate load reduction over the six events of 0.70 MW.  Residential impacts ranged from a low of 0.39 MW on August 21 to a high of 1.27 MW on September 15</w:t>
      </w:r>
      <w:r w:rsidRPr="00FA655B">
        <w:t>.</w:t>
      </w:r>
      <w:r>
        <w:t xml:space="preserve">  </w:t>
      </w:r>
    </w:p>
    <w:p w:rsidR="00203A5B" w:rsidRDefault="00203A5B" w:rsidP="00203A5B">
      <w:pPr>
        <w:pStyle w:val="TableFigureCaption"/>
        <w:spacing w:after="0"/>
      </w:pPr>
      <w:r>
        <w:t xml:space="preserve">Table 7-3: Residential Summer Saver Customers </w:t>
      </w:r>
      <w:r w:rsidR="00A05FAB">
        <w:t>W</w:t>
      </w:r>
      <w:r>
        <w:t>ho Received PTR Alerts</w:t>
      </w:r>
    </w:p>
    <w:p w:rsidR="00203A5B" w:rsidRDefault="00203A5B" w:rsidP="00203A5B">
      <w:pPr>
        <w:pStyle w:val="TableFigureCaption"/>
      </w:pPr>
      <w:r>
        <w:t>Panel Model Method</w:t>
      </w:r>
    </w:p>
    <w:tbl>
      <w:tblPr>
        <w:tblW w:w="6085" w:type="dxa"/>
        <w:jc w:val="center"/>
        <w:tblInd w:w="99" w:type="dxa"/>
        <w:tblLook w:val="04A0"/>
      </w:tblPr>
      <w:tblGrid>
        <w:gridCol w:w="1180"/>
        <w:gridCol w:w="1747"/>
        <w:gridCol w:w="1553"/>
        <w:gridCol w:w="1605"/>
      </w:tblGrid>
      <w:tr w:rsidR="00203A5B" w:rsidRPr="00EB2FB6" w:rsidTr="00203A5B">
        <w:trPr>
          <w:trHeight w:val="300"/>
          <w:jc w:val="center"/>
        </w:trPr>
        <w:tc>
          <w:tcPr>
            <w:tcW w:w="118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203A5B" w:rsidRPr="00EB2FB6" w:rsidRDefault="00203A5B" w:rsidP="00957E31">
            <w:pPr>
              <w:pStyle w:val="TableHeader"/>
            </w:pPr>
            <w:r w:rsidRPr="00EB2FB6">
              <w:t>Date</w:t>
            </w:r>
          </w:p>
        </w:tc>
        <w:tc>
          <w:tcPr>
            <w:tcW w:w="3300" w:type="dxa"/>
            <w:gridSpan w:val="2"/>
            <w:tcBorders>
              <w:top w:val="single" w:sz="4" w:space="0" w:color="auto"/>
              <w:left w:val="nil"/>
              <w:bottom w:val="single" w:sz="4" w:space="0" w:color="FFFFFF"/>
              <w:right w:val="single" w:sz="4" w:space="0" w:color="FFFFFF"/>
            </w:tcBorders>
            <w:shd w:val="clear" w:color="000000" w:fill="1F497D"/>
            <w:noWrap/>
            <w:vAlign w:val="center"/>
            <w:hideMark/>
          </w:tcPr>
          <w:p w:rsidR="00203A5B" w:rsidRPr="00EB2FB6" w:rsidRDefault="00203A5B" w:rsidP="00957E31">
            <w:pPr>
              <w:pStyle w:val="TableHeader"/>
            </w:pPr>
            <w:r w:rsidRPr="00EB2FB6">
              <w:t>Impact</w:t>
            </w:r>
          </w:p>
        </w:tc>
        <w:tc>
          <w:tcPr>
            <w:tcW w:w="1605" w:type="dxa"/>
            <w:vMerge w:val="restart"/>
            <w:tcBorders>
              <w:top w:val="single" w:sz="4" w:space="0" w:color="auto"/>
              <w:left w:val="single" w:sz="4" w:space="0" w:color="FFFFFF"/>
              <w:bottom w:val="single" w:sz="4" w:space="0" w:color="000000"/>
              <w:right w:val="single" w:sz="4" w:space="0" w:color="auto"/>
            </w:tcBorders>
            <w:shd w:val="clear" w:color="000000" w:fill="1F497D"/>
            <w:vAlign w:val="center"/>
            <w:hideMark/>
          </w:tcPr>
          <w:p w:rsidR="00203A5B" w:rsidRPr="00EB2FB6" w:rsidRDefault="00203A5B" w:rsidP="00957E31">
            <w:pPr>
              <w:pStyle w:val="TableHeader"/>
            </w:pPr>
            <w:r w:rsidRPr="00E64C2A">
              <w:t>Temperature During Event</w:t>
            </w:r>
            <w:r>
              <w:t xml:space="preserve"> (</w:t>
            </w:r>
            <w:r>
              <w:rPr>
                <w:rFonts w:cs="Calibri"/>
              </w:rPr>
              <w:t>°</w:t>
            </w:r>
            <w:r>
              <w:t>F)</w:t>
            </w:r>
          </w:p>
        </w:tc>
      </w:tr>
      <w:tr w:rsidR="00203A5B" w:rsidRPr="00EB2FB6" w:rsidTr="00203A5B">
        <w:trPr>
          <w:trHeight w:val="300"/>
          <w:jc w:val="center"/>
        </w:trPr>
        <w:tc>
          <w:tcPr>
            <w:tcW w:w="1180" w:type="dxa"/>
            <w:vMerge/>
            <w:tcBorders>
              <w:top w:val="single" w:sz="4" w:space="0" w:color="auto"/>
              <w:left w:val="single" w:sz="4" w:space="0" w:color="auto"/>
              <w:bottom w:val="single" w:sz="4" w:space="0" w:color="000000"/>
              <w:right w:val="single" w:sz="4" w:space="0" w:color="FFFFFF"/>
            </w:tcBorders>
            <w:vAlign w:val="center"/>
            <w:hideMark/>
          </w:tcPr>
          <w:p w:rsidR="00203A5B" w:rsidRPr="00EB2FB6" w:rsidRDefault="00203A5B" w:rsidP="00957E31">
            <w:pPr>
              <w:pStyle w:val="TableHeader"/>
            </w:pPr>
          </w:p>
        </w:tc>
        <w:tc>
          <w:tcPr>
            <w:tcW w:w="1747" w:type="dxa"/>
            <w:tcBorders>
              <w:top w:val="nil"/>
              <w:left w:val="nil"/>
              <w:bottom w:val="single" w:sz="4" w:space="0" w:color="auto"/>
              <w:right w:val="single" w:sz="4" w:space="0" w:color="FFFFFF"/>
            </w:tcBorders>
            <w:shd w:val="clear" w:color="000000" w:fill="1F497D"/>
            <w:noWrap/>
            <w:vAlign w:val="center"/>
            <w:hideMark/>
          </w:tcPr>
          <w:p w:rsidR="00203A5B" w:rsidRPr="00EB2FB6" w:rsidRDefault="00203A5B" w:rsidP="00957E31">
            <w:pPr>
              <w:pStyle w:val="TableHeader"/>
            </w:pPr>
            <w:r w:rsidRPr="00EB2FB6">
              <w:t>Per Premise (kW)</w:t>
            </w:r>
          </w:p>
        </w:tc>
        <w:tc>
          <w:tcPr>
            <w:tcW w:w="1553" w:type="dxa"/>
            <w:tcBorders>
              <w:top w:val="nil"/>
              <w:left w:val="nil"/>
              <w:bottom w:val="single" w:sz="4" w:space="0" w:color="auto"/>
              <w:right w:val="single" w:sz="4" w:space="0" w:color="FFFFFF"/>
            </w:tcBorders>
            <w:shd w:val="clear" w:color="000000" w:fill="1F497D"/>
            <w:noWrap/>
            <w:vAlign w:val="center"/>
            <w:hideMark/>
          </w:tcPr>
          <w:p w:rsidR="00203A5B" w:rsidRPr="00EB2FB6" w:rsidRDefault="00203A5B" w:rsidP="00957E31">
            <w:pPr>
              <w:pStyle w:val="TableHeader"/>
            </w:pPr>
            <w:r>
              <w:t>Aggregate (M</w:t>
            </w:r>
            <w:r w:rsidRPr="00EB2FB6">
              <w:t>W)</w:t>
            </w:r>
          </w:p>
        </w:tc>
        <w:tc>
          <w:tcPr>
            <w:tcW w:w="1605" w:type="dxa"/>
            <w:vMerge/>
            <w:tcBorders>
              <w:top w:val="single" w:sz="4" w:space="0" w:color="auto"/>
              <w:left w:val="single" w:sz="4" w:space="0" w:color="FFFFFF"/>
              <w:bottom w:val="single" w:sz="4" w:space="0" w:color="000000"/>
              <w:right w:val="single" w:sz="4" w:space="0" w:color="auto"/>
            </w:tcBorders>
            <w:vAlign w:val="center"/>
            <w:hideMark/>
          </w:tcPr>
          <w:p w:rsidR="00203A5B" w:rsidRPr="00EB2FB6" w:rsidRDefault="00203A5B" w:rsidP="00957E31">
            <w:pPr>
              <w:pStyle w:val="TableHeader"/>
            </w:pP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20-Jul-12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0.26</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0.75</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81</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9-Aug-12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0.29</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0.86</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83</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10-Aug-12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0.28</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0.82</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84</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11-Aug-12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0.23</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0.66</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84</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14-Aug-12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0.23</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0.67</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84</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21-Aug-12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0.13</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0.39</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78</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15-Sep-12</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0.44</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1.27</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98</w:t>
            </w:r>
          </w:p>
        </w:tc>
      </w:tr>
      <w:tr w:rsidR="00203A5B" w:rsidRPr="00EB2FB6" w:rsidTr="00203A5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Average*</w:t>
            </w:r>
          </w:p>
        </w:tc>
        <w:tc>
          <w:tcPr>
            <w:tcW w:w="1747"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0.24</w:t>
            </w:r>
          </w:p>
        </w:tc>
        <w:tc>
          <w:tcPr>
            <w:tcW w:w="1553"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0.70</w:t>
            </w:r>
          </w:p>
        </w:tc>
        <w:tc>
          <w:tcPr>
            <w:tcW w:w="1605" w:type="dxa"/>
            <w:tcBorders>
              <w:top w:val="nil"/>
              <w:left w:val="nil"/>
              <w:bottom w:val="single" w:sz="4" w:space="0" w:color="auto"/>
              <w:right w:val="single" w:sz="4" w:space="0" w:color="auto"/>
            </w:tcBorders>
            <w:shd w:val="clear" w:color="auto" w:fill="auto"/>
            <w:noWrap/>
            <w:vAlign w:val="center"/>
            <w:hideMark/>
          </w:tcPr>
          <w:p w:rsidR="00203A5B" w:rsidRPr="00EB2FB6" w:rsidRDefault="00203A5B" w:rsidP="00957E31">
            <w:pPr>
              <w:pStyle w:val="TableText"/>
            </w:pPr>
            <w:r w:rsidRPr="00EB2FB6">
              <w:t>82</w:t>
            </w:r>
          </w:p>
        </w:tc>
      </w:tr>
      <w:tr w:rsidR="00203A5B" w:rsidRPr="00EB2FB6" w:rsidTr="00203A5B">
        <w:trPr>
          <w:trHeight w:val="300"/>
          <w:jc w:val="center"/>
        </w:trPr>
        <w:tc>
          <w:tcPr>
            <w:tcW w:w="6085" w:type="dxa"/>
            <w:gridSpan w:val="4"/>
            <w:tcBorders>
              <w:top w:val="nil"/>
              <w:left w:val="nil"/>
              <w:bottom w:val="nil"/>
              <w:right w:val="nil"/>
            </w:tcBorders>
            <w:shd w:val="clear" w:color="auto" w:fill="auto"/>
            <w:noWrap/>
            <w:vAlign w:val="center"/>
            <w:hideMark/>
          </w:tcPr>
          <w:p w:rsidR="00203A5B" w:rsidRPr="00EB2FB6" w:rsidRDefault="00203A5B" w:rsidP="00957E31">
            <w:pPr>
              <w:pStyle w:val="Footnote"/>
            </w:pPr>
            <w:r w:rsidRPr="00EB2FB6">
              <w:t xml:space="preserve">*reflects the average event, omitting the Aug. 11 and Sept. 15 </w:t>
            </w:r>
            <w:r>
              <w:t>weekend events</w:t>
            </w:r>
          </w:p>
        </w:tc>
      </w:tr>
    </w:tbl>
    <w:p w:rsidR="00203A5B" w:rsidRDefault="00203A5B" w:rsidP="00957E31">
      <w:pPr>
        <w:pStyle w:val="BodyParaAfterTableFigure"/>
      </w:pPr>
      <w:r>
        <w:t xml:space="preserve">Because the matched control group is selected from customers who could have participated in PTR events, a serious concern is that load impacts will be understated under the matched control group methodology.  </w:t>
      </w:r>
      <w:r w:rsidRPr="00095E8F">
        <w:t xml:space="preserve">Since </w:t>
      </w:r>
      <w:r>
        <w:t>the results are actually about 3</w:t>
      </w:r>
      <w:r w:rsidRPr="00095E8F">
        <w:t xml:space="preserve">0% lower on average under the </w:t>
      </w:r>
      <w:r>
        <w:t>panel model</w:t>
      </w:r>
      <w:r w:rsidRPr="00095E8F">
        <w:t xml:space="preserve">, there is no indication that the matched control group results are downward biased.  In fact, it is </w:t>
      </w:r>
      <w:r>
        <w:t>more likely that the panel model</w:t>
      </w:r>
      <w:r w:rsidRPr="00095E8F">
        <w:t xml:space="preserve"> results are downward biased due to a lack of hot non-event days for developing event day load profiles.  </w:t>
      </w:r>
    </w:p>
    <w:p w:rsidR="00E40E91" w:rsidRDefault="00E40E91" w:rsidP="00E40E91">
      <w:pPr>
        <w:pStyle w:val="BodyParagraph"/>
      </w:pPr>
    </w:p>
    <w:p w:rsidR="00E40E91" w:rsidRDefault="00E40E91" w:rsidP="00E40E91">
      <w:pPr>
        <w:pStyle w:val="BodyParagraph"/>
      </w:pPr>
    </w:p>
    <w:p w:rsidR="00E40E91" w:rsidRDefault="00E40E91" w:rsidP="00E40E91">
      <w:pPr>
        <w:pStyle w:val="BodyParagraph"/>
      </w:pPr>
    </w:p>
    <w:p w:rsidR="00E40E91" w:rsidRDefault="00E40E91" w:rsidP="00E40E91">
      <w:pPr>
        <w:pStyle w:val="BodyParagraph"/>
      </w:pPr>
    </w:p>
    <w:p w:rsidR="00E40E91" w:rsidRDefault="00E40E91" w:rsidP="00E40E91">
      <w:pPr>
        <w:pStyle w:val="BodyParagraph"/>
      </w:pPr>
    </w:p>
    <w:p w:rsidR="00E40E91" w:rsidRDefault="00E40E91" w:rsidP="00E40E91">
      <w:pPr>
        <w:pStyle w:val="BodyParagraph"/>
      </w:pPr>
    </w:p>
    <w:p w:rsidR="00E40E91" w:rsidRDefault="00E40E91" w:rsidP="00E40E91">
      <w:pPr>
        <w:pStyle w:val="BodyParagraph"/>
      </w:pPr>
    </w:p>
    <w:p w:rsidR="00E40E91" w:rsidRDefault="00E40E91" w:rsidP="00E40E91">
      <w:pPr>
        <w:pStyle w:val="BodyParagraph"/>
      </w:pPr>
    </w:p>
    <w:p w:rsidR="00E40E91" w:rsidRDefault="00E40E91" w:rsidP="00E40E91">
      <w:pPr>
        <w:pStyle w:val="BodyParagraph"/>
      </w:pPr>
    </w:p>
    <w:p w:rsidR="00E40E91" w:rsidRPr="00E40E91" w:rsidRDefault="00E40E91" w:rsidP="00E40E91">
      <w:pPr>
        <w:pStyle w:val="BodyParagraph"/>
      </w:pPr>
    </w:p>
    <w:p w:rsidR="00E40E91" w:rsidRPr="00DF3D26" w:rsidRDefault="00E40E91" w:rsidP="00E40E91">
      <w:pPr>
        <w:pStyle w:val="Heading1"/>
      </w:pPr>
      <w:bookmarkStart w:id="76" w:name="_Toc350953054"/>
      <w:r w:rsidRPr="00DF3D26">
        <w:t>Ex Ante Load Impact Estimates</w:t>
      </w:r>
      <w:r w:rsidR="006834D4">
        <w:t xml:space="preserve"> </w:t>
      </w:r>
      <w:r>
        <w:t>- PTR for Summer Saver Customers</w:t>
      </w:r>
      <w:bookmarkEnd w:id="76"/>
    </w:p>
    <w:p w:rsidR="00E244EE" w:rsidRDefault="00E40E91" w:rsidP="00E40E91">
      <w:pPr>
        <w:pStyle w:val="BodyParagraph"/>
        <w:rPr>
          <w:rFonts w:eastAsia="Calibri" w:cs="Times New Roman"/>
        </w:rPr>
      </w:pPr>
      <w:r>
        <w:rPr>
          <w:rFonts w:eastAsia="Calibri" w:cs="Times New Roman"/>
        </w:rPr>
        <w:t>The model described above was</w:t>
      </w:r>
      <w:r w:rsidRPr="00DF3D26">
        <w:rPr>
          <w:rFonts w:eastAsia="Calibri" w:cs="Times New Roman"/>
        </w:rPr>
        <w:t xml:space="preserve"> used to estimate load impacts based on ex ante event conditions and enrollment projections for the years 201</w:t>
      </w:r>
      <w:r>
        <w:t>3</w:t>
      </w:r>
      <w:r w:rsidRPr="00DF3D26">
        <w:rPr>
          <w:rFonts w:eastAsia="Calibri" w:cs="Times New Roman"/>
        </w:rPr>
        <w:t xml:space="preserve"> through 202</w:t>
      </w:r>
      <w:r>
        <w:t>3</w:t>
      </w:r>
      <w:r w:rsidR="00BA4804">
        <w:rPr>
          <w:rFonts w:eastAsia="Calibri" w:cs="Times New Roman"/>
        </w:rPr>
        <w:t xml:space="preserve">.  Enrollment in PTR alerts amongst Summer Saver customers is </w:t>
      </w:r>
      <w:r w:rsidRPr="00DF3D26">
        <w:rPr>
          <w:rFonts w:eastAsia="Calibri" w:cs="Times New Roman"/>
        </w:rPr>
        <w:t xml:space="preserve">expected to </w:t>
      </w:r>
      <w:r w:rsidR="00BA4804">
        <w:rPr>
          <w:rFonts w:eastAsia="Calibri" w:cs="Times New Roman"/>
        </w:rPr>
        <w:t>grow in</w:t>
      </w:r>
      <w:r w:rsidRPr="00DF3D26">
        <w:rPr>
          <w:rFonts w:eastAsia="Calibri" w:cs="Times New Roman"/>
        </w:rPr>
        <w:t xml:space="preserve"> </w:t>
      </w:r>
      <w:r w:rsidR="006834D4">
        <w:rPr>
          <w:rFonts w:eastAsia="Calibri" w:cs="Times New Roman"/>
        </w:rPr>
        <w:t xml:space="preserve">the </w:t>
      </w:r>
      <w:r w:rsidRPr="00DF3D26">
        <w:rPr>
          <w:rFonts w:eastAsia="Calibri" w:cs="Times New Roman"/>
        </w:rPr>
        <w:t>future</w:t>
      </w:r>
      <w:r w:rsidR="00E244EE">
        <w:rPr>
          <w:rFonts w:eastAsia="Calibri" w:cs="Times New Roman"/>
        </w:rPr>
        <w:t>.  Table 8</w:t>
      </w:r>
      <w:r w:rsidR="00BA4804">
        <w:rPr>
          <w:rFonts w:eastAsia="Calibri" w:cs="Times New Roman"/>
        </w:rPr>
        <w:t>-1 shows the forecast enrollments by month and year.</w:t>
      </w:r>
      <w:r w:rsidR="00E244EE">
        <w:rPr>
          <w:rFonts w:eastAsia="Calibri" w:cs="Times New Roman"/>
        </w:rPr>
        <w:t xml:space="preserve">  Currently</w:t>
      </w:r>
      <w:r w:rsidR="006724B7">
        <w:rPr>
          <w:rFonts w:eastAsia="Calibri" w:cs="Times New Roman"/>
        </w:rPr>
        <w:t>,</w:t>
      </w:r>
      <w:r w:rsidR="00E244EE">
        <w:rPr>
          <w:rFonts w:eastAsia="Calibri" w:cs="Times New Roman"/>
        </w:rPr>
        <w:t xml:space="preserve"> approximately 2,900 customers in the residential Summer Saver population receive PTR alerts.  The number of customers receiving these alerts is expected to grow throughout 2013 and 2014 and stabilize at 4,156 accounts by October 2014.</w:t>
      </w:r>
    </w:p>
    <w:p w:rsidR="00E244EE" w:rsidRDefault="00E244EE" w:rsidP="00E244EE">
      <w:pPr>
        <w:pStyle w:val="TableFigureCaption"/>
        <w:spacing w:after="0"/>
      </w:pPr>
      <w:r>
        <w:t>Table 8-1: Forecast Enrollments</w:t>
      </w:r>
    </w:p>
    <w:p w:rsidR="00E244EE" w:rsidRPr="00E244EE" w:rsidRDefault="00E244EE" w:rsidP="00E244EE">
      <w:pPr>
        <w:pStyle w:val="TableFigureCaption"/>
      </w:pPr>
      <w:r>
        <w:t>Residential Summer Saver Customers Who Will PTR Alerts</w:t>
      </w:r>
    </w:p>
    <w:tbl>
      <w:tblPr>
        <w:tblW w:w="0" w:type="auto"/>
        <w:jc w:val="center"/>
        <w:tblInd w:w="94" w:type="dxa"/>
        <w:tblLook w:val="04A0"/>
      </w:tblPr>
      <w:tblGrid>
        <w:gridCol w:w="650"/>
        <w:gridCol w:w="667"/>
        <w:gridCol w:w="667"/>
        <w:gridCol w:w="667"/>
        <w:gridCol w:w="667"/>
        <w:gridCol w:w="667"/>
        <w:gridCol w:w="667"/>
        <w:gridCol w:w="667"/>
        <w:gridCol w:w="667"/>
        <w:gridCol w:w="667"/>
        <w:gridCol w:w="667"/>
        <w:gridCol w:w="667"/>
        <w:gridCol w:w="667"/>
      </w:tblGrid>
      <w:tr w:rsidR="00E244EE" w:rsidRPr="00E244EE" w:rsidTr="00E244EE">
        <w:trPr>
          <w:trHeight w:val="300"/>
          <w:jc w:val="center"/>
        </w:trPr>
        <w:tc>
          <w:tcPr>
            <w:tcW w:w="0" w:type="auto"/>
            <w:tcBorders>
              <w:top w:val="single" w:sz="4" w:space="0" w:color="000000"/>
              <w:left w:val="single" w:sz="4" w:space="0" w:color="000000"/>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Year</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Jan</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Feb</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Mar</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Apr</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May</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Jun</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Jul</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Aug</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Sep</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Oct</w:t>
            </w:r>
          </w:p>
        </w:tc>
        <w:tc>
          <w:tcPr>
            <w:tcW w:w="0" w:type="auto"/>
            <w:tcBorders>
              <w:top w:val="single" w:sz="4" w:space="0" w:color="000000"/>
              <w:left w:val="nil"/>
              <w:bottom w:val="single" w:sz="4" w:space="0" w:color="000000"/>
              <w:right w:val="single" w:sz="4" w:space="0" w:color="FFFFFF"/>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Nov</w:t>
            </w:r>
          </w:p>
        </w:tc>
        <w:tc>
          <w:tcPr>
            <w:tcW w:w="0" w:type="auto"/>
            <w:tcBorders>
              <w:top w:val="single" w:sz="4" w:space="0" w:color="000000"/>
              <w:left w:val="nil"/>
              <w:bottom w:val="single" w:sz="4" w:space="0" w:color="000000"/>
              <w:right w:val="single" w:sz="4" w:space="0" w:color="000000"/>
            </w:tcBorders>
            <w:shd w:val="clear" w:color="000000" w:fill="1F497D"/>
            <w:noWrap/>
            <w:vAlign w:val="center"/>
            <w:hideMark/>
          </w:tcPr>
          <w:p w:rsidR="00E244EE" w:rsidRPr="00E244EE" w:rsidRDefault="00E244EE" w:rsidP="00E244EE">
            <w:pPr>
              <w:spacing w:after="0" w:line="240" w:lineRule="auto"/>
              <w:jc w:val="center"/>
              <w:rPr>
                <w:rFonts w:ascii="Arial" w:eastAsia="Times New Roman" w:hAnsi="Arial" w:cs="Arial"/>
                <w:b/>
                <w:bCs/>
                <w:color w:val="FFFFFF"/>
                <w:sz w:val="20"/>
                <w:szCs w:val="20"/>
              </w:rPr>
            </w:pPr>
            <w:r w:rsidRPr="00E244EE">
              <w:rPr>
                <w:rFonts w:ascii="Arial" w:eastAsia="Times New Roman" w:hAnsi="Arial" w:cs="Arial"/>
                <w:b/>
                <w:bCs/>
                <w:color w:val="FFFFFF"/>
                <w:sz w:val="20"/>
                <w:szCs w:val="20"/>
              </w:rPr>
              <w:t>Dec</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2012</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653</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1,939</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2,388</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2,812</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2013</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2,906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3,121</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3,546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3,694</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3,834</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2014</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3,865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3,930</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4,059</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4,104</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4,146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2015</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2017</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2018</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2019</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2020</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2021</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2022</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r w:rsidR="00E244EE" w:rsidRPr="00E244EE" w:rsidTr="00E244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2023</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c>
          <w:tcPr>
            <w:tcW w:w="0" w:type="auto"/>
            <w:tcBorders>
              <w:top w:val="nil"/>
              <w:left w:val="nil"/>
              <w:bottom w:val="single" w:sz="4" w:space="0" w:color="auto"/>
              <w:right w:val="single" w:sz="4" w:space="0" w:color="auto"/>
            </w:tcBorders>
            <w:shd w:val="clear" w:color="auto" w:fill="auto"/>
            <w:noWrap/>
            <w:vAlign w:val="center"/>
            <w:hideMark/>
          </w:tcPr>
          <w:p w:rsidR="00E244EE" w:rsidRPr="00E244EE" w:rsidRDefault="00E244EE" w:rsidP="00E244EE">
            <w:pPr>
              <w:spacing w:after="0" w:line="240" w:lineRule="auto"/>
              <w:jc w:val="center"/>
              <w:rPr>
                <w:rFonts w:ascii="Arial" w:eastAsia="Times New Roman" w:hAnsi="Arial" w:cs="Arial"/>
                <w:color w:val="000000"/>
                <w:sz w:val="18"/>
                <w:szCs w:val="18"/>
              </w:rPr>
            </w:pPr>
            <w:r w:rsidRPr="00E244EE">
              <w:rPr>
                <w:rFonts w:ascii="Arial" w:eastAsia="Times New Roman" w:hAnsi="Arial" w:cs="Arial"/>
                <w:color w:val="000000"/>
                <w:sz w:val="18"/>
                <w:szCs w:val="18"/>
              </w:rPr>
              <w:t>4,156</w:t>
            </w:r>
          </w:p>
        </w:tc>
      </w:tr>
    </w:tbl>
    <w:p w:rsidR="00E244EE" w:rsidRPr="00E244EE" w:rsidRDefault="00E244EE" w:rsidP="00E244EE">
      <w:pPr>
        <w:pStyle w:val="BodyParagraph"/>
        <w:spacing w:line="240" w:lineRule="auto"/>
        <w:ind w:left="495"/>
        <w:rPr>
          <w:rFonts w:ascii="Franklin Gothic Book" w:eastAsia="Calibri" w:hAnsi="Franklin Gothic Book" w:cs="Times New Roman"/>
        </w:rPr>
      </w:pPr>
      <w:r w:rsidRPr="00E244EE">
        <w:rPr>
          <w:rFonts w:ascii="Franklin Gothic Book" w:eastAsia="Calibri" w:hAnsi="Franklin Gothic Book" w:cs="Times New Roman"/>
        </w:rPr>
        <w:t xml:space="preserve">*There are small differences between these enrollments and the reported ex post enrollments </w:t>
      </w:r>
      <w:r>
        <w:rPr>
          <w:rFonts w:ascii="Franklin Gothic Book" w:eastAsia="Calibri" w:hAnsi="Franklin Gothic Book" w:cs="Times New Roman"/>
        </w:rPr>
        <w:t xml:space="preserve">because     enrollments have changed since </w:t>
      </w:r>
      <w:r w:rsidRPr="00E244EE">
        <w:rPr>
          <w:rFonts w:ascii="Franklin Gothic Book" w:eastAsia="Calibri" w:hAnsi="Franklin Gothic Book" w:cs="Times New Roman"/>
        </w:rPr>
        <w:t>the ex post datasets were originally pulle</w:t>
      </w:r>
      <w:r>
        <w:rPr>
          <w:rFonts w:ascii="Franklin Gothic Book" w:eastAsia="Calibri" w:hAnsi="Franklin Gothic Book" w:cs="Times New Roman"/>
        </w:rPr>
        <w:t>d</w:t>
      </w:r>
      <w:r w:rsidRPr="00E244EE">
        <w:rPr>
          <w:rFonts w:ascii="Franklin Gothic Book" w:eastAsia="Calibri" w:hAnsi="Franklin Gothic Book" w:cs="Times New Roman"/>
        </w:rPr>
        <w:t xml:space="preserve"> </w:t>
      </w:r>
    </w:p>
    <w:p w:rsidR="00334892" w:rsidRDefault="006724B7" w:rsidP="00E40E91">
      <w:pPr>
        <w:pStyle w:val="BodyParagraph"/>
      </w:pPr>
      <w:r>
        <w:t>Table</w:t>
      </w:r>
      <w:r w:rsidR="00334892">
        <w:t xml:space="preserve"> 8-2 </w:t>
      </w:r>
      <w:r w:rsidR="00E40E91" w:rsidRPr="00DF3D26">
        <w:t>summarize</w:t>
      </w:r>
      <w:r w:rsidR="00E244EE">
        <w:t>s</w:t>
      </w:r>
      <w:r w:rsidR="00E40E91" w:rsidRPr="00DF3D26">
        <w:t xml:space="preserve"> the average and aggregate load impact estimates for </w:t>
      </w:r>
      <w:r w:rsidR="00334892">
        <w:t>residential</w:t>
      </w:r>
      <w:r>
        <w:t xml:space="preserve"> Summer Saver customers receiving PTR alerts</w:t>
      </w:r>
      <w:r w:rsidR="00E40E91" w:rsidRPr="00DF3D26">
        <w:t>.  Aggregate impacts are based on steady enrollment level</w:t>
      </w:r>
      <w:r w:rsidR="00E244EE">
        <w:t>s equal to those as of October 2015</w:t>
      </w:r>
      <w:r>
        <w:t xml:space="preserve">.  </w:t>
      </w:r>
      <w:r w:rsidR="00E40E91" w:rsidRPr="00DF3D26">
        <w:t>For a typical event with 1-in-2 year weather conditions, the av</w:t>
      </w:r>
      <w:r w:rsidR="00E244EE">
        <w:t>erage impact per premise is 0.41</w:t>
      </w:r>
      <w:r w:rsidR="00E40E91" w:rsidRPr="00DF3D26">
        <w:t xml:space="preserve"> kW for</w:t>
      </w:r>
      <w:r>
        <w:t xml:space="preserve"> these</w:t>
      </w:r>
      <w:r w:rsidR="00E40E91" w:rsidRPr="00DF3D26">
        <w:t xml:space="preserve"> customers.  The 1-in-10 year typical event day estimate </w:t>
      </w:r>
      <w:r w:rsidR="00334892">
        <w:t>is just barely higher at 0.42</w:t>
      </w:r>
      <w:r w:rsidR="00E40E91" w:rsidRPr="00DF3D26">
        <w:t xml:space="preserve"> kW.  The aggregate program load reduction potential</w:t>
      </w:r>
      <w:r w:rsidR="00334892">
        <w:t xml:space="preserve"> for residential customers</w:t>
      </w:r>
      <w:r>
        <w:t xml:space="preserve"> on Summer Saver receiving PTR alerts</w:t>
      </w:r>
      <w:r w:rsidR="00334892">
        <w:t xml:space="preserve"> is 1.7</w:t>
      </w:r>
      <w:r w:rsidR="00E40E91" w:rsidRPr="00DF3D26">
        <w:t xml:space="preserve"> MW for a typical event day under 1-in-</w:t>
      </w:r>
      <w:r w:rsidR="00334892">
        <w:t>2 year weather conditions and 1.8</w:t>
      </w:r>
      <w:r w:rsidR="00E40E91" w:rsidRPr="00DF3D26">
        <w:t xml:space="preserve"> MW under 1-in-10 year weather condition</w:t>
      </w:r>
      <w:r>
        <w:t>s.</w:t>
      </w:r>
    </w:p>
    <w:p w:rsidR="006724B7" w:rsidRDefault="006724B7" w:rsidP="00E40E91">
      <w:pPr>
        <w:pStyle w:val="BodyParagraph"/>
      </w:pPr>
    </w:p>
    <w:p w:rsidR="006724B7" w:rsidRDefault="006724B7" w:rsidP="00E40E91">
      <w:pPr>
        <w:pStyle w:val="BodyParagraph"/>
      </w:pPr>
    </w:p>
    <w:p w:rsidR="006724B7" w:rsidRPr="00DF3D26" w:rsidRDefault="006724B7" w:rsidP="00E40E91">
      <w:pPr>
        <w:pStyle w:val="BodyParagraph"/>
      </w:pPr>
    </w:p>
    <w:p w:rsidR="006724B7" w:rsidRDefault="006724B7" w:rsidP="006724B7">
      <w:pPr>
        <w:pStyle w:val="TableFigureCaption"/>
        <w:spacing w:after="0"/>
        <w:jc w:val="left"/>
      </w:pPr>
    </w:p>
    <w:p w:rsidR="006724B7" w:rsidRPr="006724B7" w:rsidRDefault="006724B7" w:rsidP="006724B7">
      <w:pPr>
        <w:pStyle w:val="BodyParaAfterTableFigure"/>
      </w:pPr>
    </w:p>
    <w:p w:rsidR="00E40E91" w:rsidRDefault="00334892" w:rsidP="00E40E91">
      <w:pPr>
        <w:pStyle w:val="TableFigureCaption"/>
        <w:spacing w:after="0"/>
      </w:pPr>
      <w:r>
        <w:t>Table 8-2</w:t>
      </w:r>
      <w:r w:rsidR="00E40E91" w:rsidRPr="00DF3D26">
        <w:t>:</w:t>
      </w:r>
      <w:r w:rsidR="00E40E91">
        <w:t xml:space="preserve"> </w:t>
      </w:r>
      <w:r w:rsidR="006724B7">
        <w:t xml:space="preserve">Average </w:t>
      </w:r>
      <w:r w:rsidR="00E40E91">
        <w:t>PTR</w:t>
      </w:r>
      <w:r w:rsidR="00E40E91" w:rsidRPr="00174B6C">
        <w:t xml:space="preserve"> </w:t>
      </w:r>
      <w:proofErr w:type="gramStart"/>
      <w:r w:rsidR="00E40E91" w:rsidRPr="00174B6C">
        <w:t>Ex</w:t>
      </w:r>
      <w:proofErr w:type="gramEnd"/>
      <w:r w:rsidR="00E40E91" w:rsidRPr="00174B6C">
        <w:t xml:space="preserve"> </w:t>
      </w:r>
      <w:r w:rsidR="00E40E91">
        <w:t>Ante Load</w:t>
      </w:r>
      <w:r w:rsidR="00E40E91" w:rsidRPr="00174B6C">
        <w:t xml:space="preserve"> Impact Estimates</w:t>
      </w:r>
      <w:r w:rsidR="006724B7">
        <w:t xml:space="preserve"> and Aggregate Estimates</w:t>
      </w:r>
      <w:r w:rsidR="00E40E91">
        <w:t xml:space="preserve"> for 2015</w:t>
      </w:r>
    </w:p>
    <w:p w:rsidR="00E40E91" w:rsidRDefault="00E40E91" w:rsidP="00E40E91">
      <w:pPr>
        <w:pStyle w:val="TableFigureCaption"/>
      </w:pPr>
      <w:r>
        <w:t>Residential Summer Saver Customers Who Will Receive PTR Alerts</w:t>
      </w:r>
    </w:p>
    <w:tbl>
      <w:tblPr>
        <w:tblW w:w="8060" w:type="dxa"/>
        <w:jc w:val="center"/>
        <w:tblInd w:w="94" w:type="dxa"/>
        <w:tblLook w:val="04A0"/>
      </w:tblPr>
      <w:tblGrid>
        <w:gridCol w:w="2800"/>
        <w:gridCol w:w="1388"/>
        <w:gridCol w:w="1152"/>
        <w:gridCol w:w="1487"/>
        <w:gridCol w:w="1233"/>
      </w:tblGrid>
      <w:tr w:rsidR="00E40E91" w:rsidRPr="00210C0F" w:rsidTr="00E40E91">
        <w:trPr>
          <w:trHeight w:val="300"/>
          <w:jc w:val="center"/>
        </w:trPr>
        <w:tc>
          <w:tcPr>
            <w:tcW w:w="2800"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Day Type</w:t>
            </w:r>
          </w:p>
        </w:tc>
        <w:tc>
          <w:tcPr>
            <w:tcW w:w="2540" w:type="dxa"/>
            <w:gridSpan w:val="2"/>
            <w:tcBorders>
              <w:top w:val="single" w:sz="4" w:space="0" w:color="auto"/>
              <w:left w:val="nil"/>
              <w:bottom w:val="single" w:sz="4" w:space="0" w:color="FFFFFF"/>
              <w:right w:val="single" w:sz="4" w:space="0" w:color="FFFFFF"/>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Per Premise Impact (kW)</w:t>
            </w:r>
          </w:p>
        </w:tc>
        <w:tc>
          <w:tcPr>
            <w:tcW w:w="2720" w:type="dxa"/>
            <w:gridSpan w:val="2"/>
            <w:tcBorders>
              <w:top w:val="single" w:sz="4" w:space="0" w:color="auto"/>
              <w:left w:val="nil"/>
              <w:bottom w:val="single" w:sz="4" w:space="0" w:color="FFFFFF"/>
              <w:right w:val="single" w:sz="4" w:space="0" w:color="000000"/>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Aggregate Impact (MW)</w:t>
            </w:r>
          </w:p>
        </w:tc>
      </w:tr>
      <w:tr w:rsidR="00E40E91" w:rsidRPr="00210C0F" w:rsidTr="00E40E91">
        <w:trPr>
          <w:trHeight w:val="300"/>
          <w:jc w:val="center"/>
        </w:trPr>
        <w:tc>
          <w:tcPr>
            <w:tcW w:w="2800" w:type="dxa"/>
            <w:vMerge/>
            <w:tcBorders>
              <w:top w:val="single" w:sz="4" w:space="0" w:color="auto"/>
              <w:left w:val="single" w:sz="4" w:space="0" w:color="auto"/>
              <w:bottom w:val="single" w:sz="4" w:space="0" w:color="000000"/>
              <w:right w:val="single" w:sz="4" w:space="0" w:color="FFFFFF"/>
            </w:tcBorders>
            <w:vAlign w:val="center"/>
            <w:hideMark/>
          </w:tcPr>
          <w:p w:rsidR="00E40E91" w:rsidRPr="00192CAC" w:rsidRDefault="00E40E91" w:rsidP="00E40E91">
            <w:pPr>
              <w:spacing w:after="0" w:line="240" w:lineRule="auto"/>
              <w:rPr>
                <w:rFonts w:ascii="Arial" w:eastAsia="Times New Roman" w:hAnsi="Arial" w:cs="Arial"/>
                <w:b/>
                <w:color w:val="FFFFFF"/>
                <w:sz w:val="20"/>
                <w:szCs w:val="20"/>
              </w:rPr>
            </w:pPr>
          </w:p>
        </w:tc>
        <w:tc>
          <w:tcPr>
            <w:tcW w:w="2540" w:type="dxa"/>
            <w:gridSpan w:val="2"/>
            <w:tcBorders>
              <w:top w:val="single" w:sz="4" w:space="0" w:color="FFFFFF"/>
              <w:left w:val="nil"/>
              <w:bottom w:val="single" w:sz="4" w:space="0" w:color="FFFFFF"/>
              <w:right w:val="single" w:sz="4" w:space="0" w:color="FFFFFF"/>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Weather Year</w:t>
            </w:r>
          </w:p>
        </w:tc>
        <w:tc>
          <w:tcPr>
            <w:tcW w:w="2720" w:type="dxa"/>
            <w:gridSpan w:val="2"/>
            <w:tcBorders>
              <w:top w:val="single" w:sz="4" w:space="0" w:color="FFFFFF"/>
              <w:left w:val="nil"/>
              <w:bottom w:val="single" w:sz="4" w:space="0" w:color="FFFFFF"/>
              <w:right w:val="single" w:sz="4" w:space="0" w:color="000000"/>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Weather Year</w:t>
            </w:r>
          </w:p>
        </w:tc>
      </w:tr>
      <w:tr w:rsidR="00E40E91" w:rsidRPr="00210C0F" w:rsidTr="00E40E91">
        <w:trPr>
          <w:trHeight w:val="300"/>
          <w:jc w:val="center"/>
        </w:trPr>
        <w:tc>
          <w:tcPr>
            <w:tcW w:w="2800" w:type="dxa"/>
            <w:vMerge/>
            <w:tcBorders>
              <w:top w:val="single" w:sz="4" w:space="0" w:color="auto"/>
              <w:left w:val="single" w:sz="4" w:space="0" w:color="auto"/>
              <w:bottom w:val="single" w:sz="4" w:space="0" w:color="000000"/>
              <w:right w:val="single" w:sz="4" w:space="0" w:color="FFFFFF"/>
            </w:tcBorders>
            <w:vAlign w:val="center"/>
            <w:hideMark/>
          </w:tcPr>
          <w:p w:rsidR="00E40E91" w:rsidRPr="00192CAC" w:rsidRDefault="00E40E91" w:rsidP="00E40E91">
            <w:pPr>
              <w:spacing w:after="0" w:line="240" w:lineRule="auto"/>
              <w:rPr>
                <w:rFonts w:ascii="Arial" w:eastAsia="Times New Roman" w:hAnsi="Arial" w:cs="Arial"/>
                <w:b/>
                <w:color w:val="FFFFFF"/>
                <w:sz w:val="20"/>
                <w:szCs w:val="20"/>
              </w:rPr>
            </w:pPr>
          </w:p>
        </w:tc>
        <w:tc>
          <w:tcPr>
            <w:tcW w:w="1388" w:type="dxa"/>
            <w:tcBorders>
              <w:top w:val="nil"/>
              <w:left w:val="nil"/>
              <w:bottom w:val="single" w:sz="4" w:space="0" w:color="auto"/>
              <w:right w:val="single" w:sz="4" w:space="0" w:color="FFFFFF"/>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1-in-10</w:t>
            </w:r>
          </w:p>
        </w:tc>
        <w:tc>
          <w:tcPr>
            <w:tcW w:w="1152" w:type="dxa"/>
            <w:tcBorders>
              <w:top w:val="nil"/>
              <w:left w:val="nil"/>
              <w:bottom w:val="single" w:sz="4" w:space="0" w:color="auto"/>
              <w:right w:val="single" w:sz="4" w:space="0" w:color="FFFFFF"/>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1-in-2</w:t>
            </w:r>
          </w:p>
        </w:tc>
        <w:tc>
          <w:tcPr>
            <w:tcW w:w="1487" w:type="dxa"/>
            <w:tcBorders>
              <w:top w:val="nil"/>
              <w:left w:val="nil"/>
              <w:bottom w:val="single" w:sz="4" w:space="0" w:color="auto"/>
              <w:right w:val="single" w:sz="4" w:space="0" w:color="FFFFFF"/>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1-in-10</w:t>
            </w:r>
          </w:p>
        </w:tc>
        <w:tc>
          <w:tcPr>
            <w:tcW w:w="1233" w:type="dxa"/>
            <w:tcBorders>
              <w:top w:val="nil"/>
              <w:left w:val="nil"/>
              <w:bottom w:val="single" w:sz="4" w:space="0" w:color="auto"/>
              <w:right w:val="single" w:sz="4" w:space="0" w:color="auto"/>
            </w:tcBorders>
            <w:shd w:val="clear" w:color="000000" w:fill="1F497D"/>
            <w:noWrap/>
            <w:vAlign w:val="center"/>
            <w:hideMark/>
          </w:tcPr>
          <w:p w:rsidR="00E40E91" w:rsidRPr="00192CAC" w:rsidRDefault="00E40E91" w:rsidP="00E40E91">
            <w:pPr>
              <w:spacing w:after="0" w:line="240" w:lineRule="auto"/>
              <w:jc w:val="center"/>
              <w:rPr>
                <w:rFonts w:ascii="Arial" w:eastAsia="Times New Roman" w:hAnsi="Arial" w:cs="Arial"/>
                <w:b/>
                <w:color w:val="FFFFFF"/>
                <w:sz w:val="20"/>
                <w:szCs w:val="20"/>
              </w:rPr>
            </w:pPr>
            <w:r w:rsidRPr="00192CAC">
              <w:rPr>
                <w:rFonts w:ascii="Arial" w:eastAsia="Times New Roman" w:hAnsi="Arial" w:cs="Arial"/>
                <w:b/>
                <w:color w:val="FFFFFF"/>
                <w:sz w:val="20"/>
                <w:szCs w:val="20"/>
              </w:rPr>
              <w:t>1-in-2</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Typical Event Day</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0.41</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1.69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January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February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March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April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May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0.34</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1.41</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June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July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1.75</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August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0.39</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1.61</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September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0.42</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1.76</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October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0.36</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1.50</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November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r w:rsidR="00E40E91" w:rsidRPr="00210C0F" w:rsidTr="00E40E91">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December Monthly Peak</w:t>
            </w:r>
          </w:p>
        </w:tc>
        <w:tc>
          <w:tcPr>
            <w:tcW w:w="1388"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152"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0.26</w:t>
            </w:r>
          </w:p>
        </w:tc>
        <w:tc>
          <w:tcPr>
            <w:tcW w:w="1487"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c>
          <w:tcPr>
            <w:tcW w:w="1233" w:type="dxa"/>
            <w:tcBorders>
              <w:top w:val="nil"/>
              <w:left w:val="nil"/>
              <w:bottom w:val="single" w:sz="4" w:space="0" w:color="auto"/>
              <w:right w:val="single" w:sz="4" w:space="0" w:color="auto"/>
            </w:tcBorders>
            <w:shd w:val="clear" w:color="auto" w:fill="auto"/>
            <w:noWrap/>
            <w:vAlign w:val="center"/>
            <w:hideMark/>
          </w:tcPr>
          <w:p w:rsidR="00E40E91" w:rsidRPr="00210C0F" w:rsidRDefault="00E40E91" w:rsidP="00E40E91">
            <w:pPr>
              <w:spacing w:after="0" w:line="240" w:lineRule="auto"/>
              <w:jc w:val="center"/>
              <w:rPr>
                <w:rFonts w:ascii="Arial" w:eastAsia="Times New Roman" w:hAnsi="Arial" w:cs="Arial"/>
                <w:color w:val="000000"/>
                <w:sz w:val="18"/>
                <w:szCs w:val="18"/>
              </w:rPr>
            </w:pPr>
            <w:r w:rsidRPr="00210C0F">
              <w:rPr>
                <w:rFonts w:ascii="Arial" w:eastAsia="Times New Roman" w:hAnsi="Arial" w:cs="Arial"/>
                <w:color w:val="000000"/>
                <w:sz w:val="18"/>
                <w:szCs w:val="18"/>
              </w:rPr>
              <w:t>1.09</w:t>
            </w:r>
          </w:p>
        </w:tc>
      </w:tr>
    </w:tbl>
    <w:p w:rsidR="00E40E91" w:rsidRDefault="00E40E91" w:rsidP="00E40E91">
      <w:pPr>
        <w:pStyle w:val="TableFigureCaption"/>
      </w:pPr>
    </w:p>
    <w:p w:rsidR="002F6493" w:rsidRDefault="002F6493" w:rsidP="002F6493">
      <w:pPr>
        <w:pStyle w:val="BodyParaAfterTableFigure"/>
      </w:pPr>
    </w:p>
    <w:p w:rsidR="002F6493" w:rsidRDefault="002F6493" w:rsidP="002F6493">
      <w:pPr>
        <w:pStyle w:val="BodyParaAfterTableFigure"/>
      </w:pPr>
    </w:p>
    <w:p w:rsidR="00334892" w:rsidRDefault="00334892" w:rsidP="00334892">
      <w:pPr>
        <w:pStyle w:val="BodyParagraph"/>
      </w:pPr>
    </w:p>
    <w:p w:rsidR="00334892" w:rsidRDefault="00334892" w:rsidP="00334892">
      <w:pPr>
        <w:pStyle w:val="BodyParagraph"/>
      </w:pPr>
    </w:p>
    <w:p w:rsidR="00334892" w:rsidRDefault="00334892" w:rsidP="00334892">
      <w:pPr>
        <w:pStyle w:val="BodyParagraph"/>
      </w:pPr>
    </w:p>
    <w:p w:rsidR="00334892" w:rsidRDefault="00334892" w:rsidP="00334892">
      <w:pPr>
        <w:pStyle w:val="BodyParagraph"/>
      </w:pPr>
    </w:p>
    <w:p w:rsidR="00334892" w:rsidRDefault="00334892" w:rsidP="00334892">
      <w:pPr>
        <w:pStyle w:val="BodyParagraph"/>
      </w:pPr>
    </w:p>
    <w:p w:rsidR="00334892" w:rsidRDefault="00334892" w:rsidP="00334892">
      <w:pPr>
        <w:pStyle w:val="BodyParagraph"/>
      </w:pPr>
    </w:p>
    <w:p w:rsidR="001B0ACB" w:rsidRDefault="001B0ACB" w:rsidP="006724B7">
      <w:pPr>
        <w:pStyle w:val="BodyParaAfterTableFigure"/>
      </w:pPr>
    </w:p>
    <w:sectPr w:rsidR="001B0ACB" w:rsidSect="00C623D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588" w:rsidRDefault="003C0588" w:rsidP="00DB35F9">
      <w:pPr>
        <w:spacing w:after="0" w:line="240" w:lineRule="auto"/>
      </w:pPr>
      <w:r>
        <w:separator/>
      </w:r>
    </w:p>
  </w:endnote>
  <w:endnote w:type="continuationSeparator" w:id="0">
    <w:p w:rsidR="003C0588" w:rsidRDefault="003C0588" w:rsidP="00DB3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tilliumText22L Rg">
    <w:altName w:val="Arial"/>
    <w:panose1 w:val="00000000000000000000"/>
    <w:charset w:val="00"/>
    <w:family w:val="modern"/>
    <w:notTrueType/>
    <w:pitch w:val="variable"/>
    <w:sig w:usb0="00000001" w:usb1="0000004B" w:usb2="00000000" w:usb3="00000000" w:csb0="00000193" w:csb1="00000000"/>
  </w:font>
  <w:font w:name="TitilliumText22L Xb">
    <w:altName w:val="Arial"/>
    <w:panose1 w:val="00000000000000000000"/>
    <w:charset w:val="00"/>
    <w:family w:val="modern"/>
    <w:notTrueType/>
    <w:pitch w:val="variable"/>
    <w:sig w:usb0="00000001" w:usb1="0000004B" w:usb2="00000000" w:usb3="00000000" w:csb0="00000193" w:csb1="00000000"/>
  </w:font>
  <w:font w:name="Arial Bold">
    <w:panose1 w:val="020B0704020202020204"/>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88" w:rsidRDefault="003C0588" w:rsidP="002C5BF9">
    <w:pPr>
      <w:pStyle w:val="Footer"/>
      <w:jc w:val="right"/>
      <w:rPr>
        <w:rFonts w:ascii="TitilliumText22L Xb" w:eastAsiaTheme="minorHAnsi" w:hAnsi="TitilliumText22L Xb" w:cstheme="minorBidi"/>
        <w:szCs w:val="22"/>
      </w:rPr>
    </w:pPr>
    <w:r>
      <w:rPr>
        <w:rFonts w:ascii="TitilliumText22L Xb" w:hAnsi="TitilliumText22L Xb"/>
        <w:noProof/>
      </w:rPr>
      <w:drawing>
        <wp:anchor distT="0" distB="0" distL="114300" distR="114300" simplePos="0" relativeHeight="251662336" behindDoc="0" locked="0" layoutInCell="1" allowOverlap="1">
          <wp:simplePos x="0" y="0"/>
          <wp:positionH relativeFrom="column">
            <wp:posOffset>-135496</wp:posOffset>
          </wp:positionH>
          <wp:positionV relativeFrom="paragraph">
            <wp:posOffset>-118682</wp:posOffset>
          </wp:positionV>
          <wp:extent cx="2080206" cy="425002"/>
          <wp:effectExtent l="19050" t="0" r="0" b="0"/>
          <wp:wrapNone/>
          <wp:docPr id="3" name="Picture 3"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 Logo NEW PURPLE 2007"/>
                  <pic:cNvPicPr>
                    <a:picLocks noChangeAspect="1" noChangeArrowheads="1"/>
                  </pic:cNvPicPr>
                </pic:nvPicPr>
                <pic:blipFill>
                  <a:blip r:embed="rId1"/>
                  <a:srcRect/>
                  <a:stretch>
                    <a:fillRect/>
                  </a:stretch>
                </pic:blipFill>
                <pic:spPr bwMode="auto">
                  <a:xfrm>
                    <a:off x="0" y="0"/>
                    <a:ext cx="2080206" cy="425002"/>
                  </a:xfrm>
                  <a:prstGeom prst="rect">
                    <a:avLst/>
                  </a:prstGeom>
                  <a:noFill/>
                </pic:spPr>
              </pic:pic>
            </a:graphicData>
          </a:graphic>
        </wp:anchor>
      </w:drawing>
    </w:r>
    <w:sdt>
      <w:sdtPr>
        <w:rPr>
          <w:rFonts w:ascii="TitilliumText22L Xb" w:hAnsi="TitilliumText22L Xb"/>
        </w:rPr>
        <w:id w:val="18682042"/>
        <w:docPartObj>
          <w:docPartGallery w:val="Page Numbers (Bottom of Page)"/>
          <w:docPartUnique/>
        </w:docPartObj>
      </w:sdtPr>
      <w:sdtContent>
        <w:r w:rsidR="00D66338" w:rsidRPr="00344C3B">
          <w:rPr>
            <w:rFonts w:ascii="Arial Black" w:hAnsi="Arial Black"/>
            <w:color w:val="808080" w:themeColor="background1" w:themeShade="80"/>
          </w:rPr>
          <w:fldChar w:fldCharType="begin"/>
        </w:r>
        <w:r w:rsidRPr="00344C3B">
          <w:rPr>
            <w:rFonts w:ascii="Arial Black" w:hAnsi="Arial Black"/>
            <w:color w:val="808080" w:themeColor="background1" w:themeShade="80"/>
          </w:rPr>
          <w:instrText xml:space="preserve"> PAGE   \* MERGEFORMAT </w:instrText>
        </w:r>
        <w:r w:rsidR="00D66338" w:rsidRPr="00344C3B">
          <w:rPr>
            <w:rFonts w:ascii="Arial Black" w:hAnsi="Arial Black"/>
            <w:color w:val="808080" w:themeColor="background1" w:themeShade="80"/>
          </w:rPr>
          <w:fldChar w:fldCharType="separate"/>
        </w:r>
        <w:r>
          <w:rPr>
            <w:rFonts w:ascii="Arial Black" w:hAnsi="Arial Black"/>
            <w:noProof/>
            <w:color w:val="808080" w:themeColor="background1" w:themeShade="80"/>
          </w:rPr>
          <w:t>6</w:t>
        </w:r>
        <w:r w:rsidR="00D66338" w:rsidRPr="00344C3B">
          <w:rPr>
            <w:rFonts w:ascii="Arial Black" w:hAnsi="Arial Black"/>
            <w:color w:val="808080" w:themeColor="background1" w:themeShade="80"/>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318"/>
      <w:docPartObj>
        <w:docPartGallery w:val="Page Numbers (Bottom of Page)"/>
        <w:docPartUnique/>
      </w:docPartObj>
    </w:sdtPr>
    <w:sdtContent>
      <w:p w:rsidR="003C0588" w:rsidRDefault="00D66338" w:rsidP="00DB35F9">
        <w:pPr>
          <w:pStyle w:val="Footer"/>
          <w:jc w:val="right"/>
        </w:pPr>
      </w:p>
    </w:sdtContent>
  </w:sdt>
  <w:p w:rsidR="003C0588" w:rsidRDefault="003C05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88" w:rsidRPr="00321715" w:rsidRDefault="003C0588" w:rsidP="00B50663">
    <w:pPr>
      <w:pStyle w:val="Footer"/>
      <w:jc w:val="right"/>
      <w:rPr>
        <w:sz w:val="20"/>
        <w:szCs w:val="20"/>
      </w:rPr>
    </w:pPr>
  </w:p>
  <w:p w:rsidR="003C0588" w:rsidRDefault="003C058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tilliumText22L Xb" w:hAnsi="TitilliumText22L Xb"/>
      </w:rPr>
      <w:id w:val="17316703"/>
      <w:docPartObj>
        <w:docPartGallery w:val="Page Numbers (Bottom of Page)"/>
        <w:docPartUnique/>
      </w:docPartObj>
    </w:sdtPr>
    <w:sdtContent>
      <w:p w:rsidR="003C0588" w:rsidRPr="0036226B" w:rsidRDefault="003C0588" w:rsidP="00DB35F9">
        <w:pPr>
          <w:pStyle w:val="Footer"/>
          <w:jc w:val="right"/>
          <w:rPr>
            <w:rFonts w:ascii="TitilliumText22L Xb" w:hAnsi="TitilliumText22L Xb"/>
          </w:rPr>
        </w:pPr>
        <w:r w:rsidRPr="00344C3B">
          <w:rPr>
            <w:rFonts w:ascii="Arial Black" w:hAnsi="Arial Black"/>
            <w:noProof/>
            <w:color w:val="808080" w:themeColor="background1" w:themeShade="80"/>
          </w:rPr>
          <w:drawing>
            <wp:anchor distT="0" distB="0" distL="114300" distR="114300" simplePos="0" relativeHeight="251660288" behindDoc="0" locked="0" layoutInCell="1" allowOverlap="1">
              <wp:simplePos x="0" y="0"/>
              <wp:positionH relativeFrom="column">
                <wp:posOffset>-133350</wp:posOffset>
              </wp:positionH>
              <wp:positionV relativeFrom="paragraph">
                <wp:posOffset>-97790</wp:posOffset>
              </wp:positionV>
              <wp:extent cx="2052320" cy="419100"/>
              <wp:effectExtent l="19050" t="0" r="5080" b="0"/>
              <wp:wrapNone/>
              <wp:docPr id="7" name="Picture 3"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 Logo NEW PURPLE 2007"/>
                      <pic:cNvPicPr>
                        <a:picLocks noChangeAspect="1" noChangeArrowheads="1"/>
                      </pic:cNvPicPr>
                    </pic:nvPicPr>
                    <pic:blipFill>
                      <a:blip r:embed="rId1"/>
                      <a:srcRect/>
                      <a:stretch>
                        <a:fillRect/>
                      </a:stretch>
                    </pic:blipFill>
                    <pic:spPr bwMode="auto">
                      <a:xfrm>
                        <a:off x="0" y="0"/>
                        <a:ext cx="2052320" cy="419100"/>
                      </a:xfrm>
                      <a:prstGeom prst="rect">
                        <a:avLst/>
                      </a:prstGeom>
                      <a:noFill/>
                    </pic:spPr>
                  </pic:pic>
                </a:graphicData>
              </a:graphic>
            </wp:anchor>
          </w:drawing>
        </w:r>
        <w:r w:rsidR="00D66338" w:rsidRPr="00344C3B">
          <w:rPr>
            <w:rFonts w:ascii="Arial Black" w:hAnsi="Arial Black"/>
            <w:color w:val="808080" w:themeColor="background1" w:themeShade="80"/>
          </w:rPr>
          <w:fldChar w:fldCharType="begin"/>
        </w:r>
        <w:r w:rsidRPr="00344C3B">
          <w:rPr>
            <w:rFonts w:ascii="Arial Black" w:hAnsi="Arial Black"/>
            <w:color w:val="808080" w:themeColor="background1" w:themeShade="80"/>
          </w:rPr>
          <w:instrText xml:space="preserve"> PAGE   \* MERGEFORMAT </w:instrText>
        </w:r>
        <w:r w:rsidR="00D66338" w:rsidRPr="00344C3B">
          <w:rPr>
            <w:rFonts w:ascii="Arial Black" w:hAnsi="Arial Black"/>
            <w:color w:val="808080" w:themeColor="background1" w:themeShade="80"/>
          </w:rPr>
          <w:fldChar w:fldCharType="separate"/>
        </w:r>
        <w:r w:rsidR="00F51124">
          <w:rPr>
            <w:rFonts w:ascii="Arial Black" w:hAnsi="Arial Black"/>
            <w:noProof/>
            <w:color w:val="808080" w:themeColor="background1" w:themeShade="80"/>
          </w:rPr>
          <w:t>37</w:t>
        </w:r>
        <w:r w:rsidR="00D66338" w:rsidRPr="00344C3B">
          <w:rPr>
            <w:rFonts w:ascii="Arial Black" w:hAnsi="Arial Black"/>
            <w:color w:val="808080" w:themeColor="background1" w:themeShade="8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88" w:rsidRPr="00321715" w:rsidRDefault="00D66338" w:rsidP="00B50663">
    <w:pPr>
      <w:pStyle w:val="Footer"/>
      <w:jc w:val="right"/>
      <w:rPr>
        <w:sz w:val="20"/>
        <w:szCs w:val="20"/>
      </w:rPr>
    </w:pPr>
    <w:r w:rsidRPr="009D111C">
      <w:rPr>
        <w:rStyle w:val="PageNumber"/>
        <w:sz w:val="20"/>
        <w:szCs w:val="20"/>
      </w:rPr>
      <w:fldChar w:fldCharType="begin"/>
    </w:r>
    <w:r w:rsidR="003C0588" w:rsidRPr="009D111C">
      <w:rPr>
        <w:rStyle w:val="PageNumber"/>
        <w:sz w:val="20"/>
        <w:szCs w:val="20"/>
      </w:rPr>
      <w:instrText xml:space="preserve">PAGE  </w:instrText>
    </w:r>
    <w:r w:rsidRPr="009D111C">
      <w:rPr>
        <w:rStyle w:val="PageNumber"/>
        <w:sz w:val="20"/>
        <w:szCs w:val="20"/>
      </w:rPr>
      <w:fldChar w:fldCharType="separate"/>
    </w:r>
    <w:r w:rsidR="003C0588">
      <w:rPr>
        <w:rStyle w:val="PageNumber"/>
        <w:noProof/>
        <w:sz w:val="20"/>
        <w:szCs w:val="20"/>
      </w:rPr>
      <w:t>58</w:t>
    </w:r>
    <w:r w:rsidRPr="009D111C">
      <w:rPr>
        <w:rStyle w:val="PageNumber"/>
        <w:sz w:val="20"/>
        <w:szCs w:val="20"/>
      </w:rPr>
      <w:fldChar w:fldCharType="end"/>
    </w:r>
  </w:p>
  <w:p w:rsidR="003C0588" w:rsidRDefault="003C05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588" w:rsidRDefault="003C0588" w:rsidP="00DB35F9">
      <w:pPr>
        <w:spacing w:after="0" w:line="240" w:lineRule="auto"/>
      </w:pPr>
      <w:r>
        <w:separator/>
      </w:r>
    </w:p>
  </w:footnote>
  <w:footnote w:type="continuationSeparator" w:id="0">
    <w:p w:rsidR="003C0588" w:rsidRDefault="003C0588" w:rsidP="00DB35F9">
      <w:pPr>
        <w:spacing w:after="0" w:line="240" w:lineRule="auto"/>
      </w:pPr>
      <w:r>
        <w:continuationSeparator/>
      </w:r>
    </w:p>
  </w:footnote>
  <w:footnote w:id="1">
    <w:p w:rsidR="003C0588" w:rsidRPr="009726BF" w:rsidRDefault="003C0588" w:rsidP="00203A5B">
      <w:pPr>
        <w:pStyle w:val="Footnote"/>
      </w:pPr>
      <w:r w:rsidRPr="009726BF">
        <w:rPr>
          <w:rStyle w:val="FootnoteReference"/>
          <w:szCs w:val="18"/>
        </w:rPr>
        <w:footnoteRef/>
      </w:r>
      <w:r w:rsidRPr="009726BF">
        <w:t xml:space="preserve"> </w:t>
      </w:r>
      <w:r>
        <w:t xml:space="preserve">PTR is available to residential customers receiving electric bundled service under a rate schedule that requires separate metering.  PTR is available to small commercial customers on Schedule A – General Service.  </w:t>
      </w:r>
      <w:r w:rsidRPr="00154F23">
        <w:rPr>
          <w:highlight w:val="yellow"/>
        </w:rPr>
        <w:t>A full program description of PTR and analysis of the broader program can be found in X, by Y.</w:t>
      </w:r>
      <w:r w:rsidRPr="009726BF">
        <w:t xml:space="preserve"> </w:t>
      </w:r>
    </w:p>
  </w:footnote>
  <w:footnote w:id="2">
    <w:p w:rsidR="003C0588" w:rsidRPr="0001777D" w:rsidRDefault="003C0588" w:rsidP="00203A5B">
      <w:pPr>
        <w:pStyle w:val="Footnote"/>
      </w:pPr>
      <w:r w:rsidRPr="0001777D">
        <w:rPr>
          <w:rStyle w:val="FootnoteReference"/>
          <w:szCs w:val="18"/>
        </w:rPr>
        <w:footnoteRef/>
      </w:r>
      <w:r w:rsidRPr="0001777D">
        <w:t xml:space="preserve"> The average event reflects the average 2-hour event from 2-4 PM, omitting the August 10 event</w:t>
      </w:r>
      <w:r>
        <w:t>,</w:t>
      </w:r>
      <w:r w:rsidRPr="0001777D">
        <w:t xml:space="preserve"> which did not contain overlapping hours and the September 15 weekend event.</w:t>
      </w:r>
    </w:p>
  </w:footnote>
  <w:footnote w:id="3">
    <w:p w:rsidR="003C0588" w:rsidRPr="00600C1E" w:rsidRDefault="003C0588" w:rsidP="00203A5B">
      <w:pPr>
        <w:pStyle w:val="Footnote"/>
      </w:pPr>
      <w:r w:rsidRPr="00600C1E">
        <w:rPr>
          <w:rStyle w:val="FootnoteReference"/>
          <w:szCs w:val="18"/>
        </w:rPr>
        <w:footnoteRef/>
      </w:r>
      <w:r w:rsidRPr="00600C1E">
        <w:t xml:space="preserve"> </w:t>
      </w:r>
      <w:r w:rsidRPr="009A46A1">
        <w:t xml:space="preserve">SDG&amp;E’s contract with </w:t>
      </w:r>
      <w:r>
        <w:t>Comverge Inc.</w:t>
      </w:r>
      <w:r w:rsidRPr="009A46A1">
        <w:t xml:space="preserve"> was amended in 2007 to reflect that the agreement is thereafter recognized to be</w:t>
      </w:r>
      <w:r>
        <w:t> </w:t>
      </w:r>
      <w:r w:rsidRPr="009A46A1">
        <w:t xml:space="preserve">between a subsidiary of </w:t>
      </w:r>
      <w:r>
        <w:t>Comverge Inc.</w:t>
      </w:r>
      <w:r w:rsidRPr="009A46A1">
        <w:t xml:space="preserve">, AER and SDG&amp;E.  In this document, the company is referred to as </w:t>
      </w:r>
      <w:r>
        <w:t>Comverge Inc.</w:t>
      </w:r>
      <w:r w:rsidRPr="009A46A1">
        <w:t xml:space="preserve"> for convenience.</w:t>
      </w:r>
    </w:p>
  </w:footnote>
  <w:footnote w:id="4">
    <w:p w:rsidR="003C0588" w:rsidRPr="009428BF" w:rsidRDefault="003C0588" w:rsidP="005641AE">
      <w:pPr>
        <w:pStyle w:val="Footnote"/>
      </w:pPr>
      <w:r w:rsidRPr="009428BF">
        <w:rPr>
          <w:rStyle w:val="FootnoteReference"/>
          <w:szCs w:val="18"/>
        </w:rPr>
        <w:footnoteRef/>
      </w:r>
      <w:r w:rsidRPr="009428BF">
        <w:t xml:space="preserve"> W</w:t>
      </w:r>
      <w:r>
        <w:t xml:space="preserve">eekend events are omitted, </w:t>
      </w:r>
      <w:r w:rsidRPr="009428BF">
        <w:t>September 8, 2011, the day of a blackout in SDG&amp;E’s territory</w:t>
      </w:r>
      <w:r>
        <w:t xml:space="preserve"> is omitted, and August 10, 2012, an event that does not contain the overlapping hours of 2 to 4 PM is omitted.</w:t>
      </w:r>
    </w:p>
  </w:footnote>
  <w:footnote w:id="5">
    <w:p w:rsidR="003C0588" w:rsidRDefault="003C0588" w:rsidP="00203A5B">
      <w:pPr>
        <w:pStyle w:val="Footnote"/>
      </w:pPr>
      <w:r>
        <w:rPr>
          <w:rStyle w:val="FootnoteReference"/>
        </w:rPr>
        <w:footnoteRef/>
      </w:r>
      <w:r>
        <w:t xml:space="preserve"> The typical event day is an </w:t>
      </w:r>
      <w:r w:rsidRPr="00DC2BC2">
        <w:t>hourly</w:t>
      </w:r>
      <w:r>
        <w:t xml:space="preserve"> average of the weather during the top 9 system load days in a 1-in-2 year and in a 1</w:t>
      </w:r>
      <w:r>
        <w:noBreakHyphen/>
        <w:t>in</w:t>
      </w:r>
      <w:r>
        <w:noBreakHyphen/>
        <w:t xml:space="preserve">10 year.  </w:t>
      </w:r>
    </w:p>
  </w:footnote>
  <w:footnote w:id="6">
    <w:p w:rsidR="003C0588" w:rsidRDefault="003C0588">
      <w:pPr>
        <w:pStyle w:val="FootnoteText"/>
      </w:pPr>
      <w:r>
        <w:rPr>
          <w:rStyle w:val="FootnoteReference"/>
        </w:rPr>
        <w:footnoteRef/>
      </w:r>
      <w:r>
        <w:t xml:space="preserve"> </w:t>
      </w:r>
      <w:r w:rsidRPr="009428BF">
        <w:t>W</w:t>
      </w:r>
      <w:r>
        <w:t>eekend events are omitted.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88" w:rsidRDefault="00D66338">
    <w:pPr>
      <w:pStyle w:val="Header"/>
    </w:pPr>
    <w:r>
      <w:pict>
        <v:shapetype id="_x0000_t32" coordsize="21600,21600" o:spt="32" o:oned="t" path="m,l21600,21600e" filled="f">
          <v:path arrowok="t" fillok="f" o:connecttype="none"/>
          <o:lock v:ext="edit" shapetype="t"/>
        </v:shapetype>
        <v:shape id="_x0000_s2050" type="#_x0000_t32" style="width:473.85pt;height:0;mso-left-percent:-10001;mso-top-percent:-10001;mso-position-horizontal:absolute;mso-position-horizontal-relative:char;mso-position-vertical:absolute;mso-position-vertical-relative:line;mso-left-percent:-10001;mso-top-percent:-10001" o:connectortype="straight" strokecolor="#5f497a [2407]">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88" w:rsidRDefault="003C0588" w:rsidP="00DB35F9">
    <w:pPr>
      <w:pStyle w:val="Header"/>
      <w:tabs>
        <w:tab w:val="left" w:pos="360"/>
        <w:tab w:val="left" w:pos="8910"/>
        <w:tab w:val="left" w:pos="9000"/>
      </w:tabs>
    </w:pPr>
    <w:r w:rsidRPr="00EB2941">
      <w:rPr>
        <w:noProof/>
      </w:rPr>
      <w:drawing>
        <wp:inline distT="0" distB="0" distL="0" distR="0">
          <wp:extent cx="4274185" cy="690880"/>
          <wp:effectExtent l="19050" t="0" r="0" b="0"/>
          <wp:docPr id="8"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74185" cy="69088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88" w:rsidRDefault="00D66338" w:rsidP="00DB35F9">
    <w:pPr>
      <w:pStyle w:val="Header"/>
      <w:tabs>
        <w:tab w:val="left" w:pos="360"/>
        <w:tab w:val="left" w:pos="8910"/>
        <w:tab w:val="left" w:pos="9000"/>
      </w:tabs>
    </w:pPr>
    <w:r>
      <w:pict>
        <v:shapetype id="_x0000_t32" coordsize="21600,21600" o:spt="32" o:oned="t" path="m,l21600,21600e" filled="f">
          <v:path arrowok="t" fillok="f" o:connecttype="none"/>
          <o:lock v:ext="edit" shapetype="t"/>
        </v:shapetype>
        <v:shape id="_x0000_s2049" type="#_x0000_t32" style="width:473.85pt;height:0;mso-left-percent:-10001;mso-top-percent:-10001;mso-position-horizontal:absolute;mso-position-horizontal-relative:char;mso-position-vertical:absolute;mso-position-vertical-relative:line;mso-left-percent:-10001;mso-top-percent:-10001" o:connectortype="straight" strokecolor="#5f497a [2407]">
          <w10:wrap type="non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88" w:rsidRDefault="003C0588" w:rsidP="00B50663">
    <w:pPr>
      <w:pStyle w:val="Header"/>
      <w:jc w:val="center"/>
    </w:pPr>
    <w:r w:rsidRPr="00E92F4E">
      <w:rPr>
        <w:noProof/>
      </w:rPr>
      <w:drawing>
        <wp:inline distT="0" distB="0" distL="0" distR="0">
          <wp:extent cx="2243455" cy="999490"/>
          <wp:effectExtent l="1905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43455" cy="99949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F5674"/>
    <w:multiLevelType w:val="hybridMultilevel"/>
    <w:tmpl w:val="652A9A1E"/>
    <w:lvl w:ilvl="0" w:tplc="F5241B0E">
      <w:start w:val="6"/>
      <w:numFmt w:val="decimal"/>
      <w:pStyle w:val="NumbersLa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A593E"/>
    <w:multiLevelType w:val="hybridMultilevel"/>
    <w:tmpl w:val="BF0CB3C6"/>
    <w:lvl w:ilvl="0" w:tplc="4A6091AE">
      <w:start w:val="1"/>
      <w:numFmt w:val="bullet"/>
      <w:pStyle w:val="Bullets"/>
      <w:lvlText w:val=""/>
      <w:lvlJc w:val="left"/>
      <w:pPr>
        <w:tabs>
          <w:tab w:val="num" w:pos="720"/>
        </w:tabs>
        <w:ind w:left="720" w:hanging="360"/>
      </w:pPr>
      <w:rPr>
        <w:rFonts w:ascii="Wingdings" w:hAnsi="Wingdings" w:hint="default"/>
        <w:color w:val="433B6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7561E2"/>
    <w:multiLevelType w:val="hybridMultilevel"/>
    <w:tmpl w:val="6F6C1304"/>
    <w:lvl w:ilvl="0" w:tplc="FB1E35EA">
      <w:start w:val="1"/>
      <w:numFmt w:val="decimal"/>
      <w:pStyle w:val="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0E263D"/>
    <w:multiLevelType w:val="multilevel"/>
    <w:tmpl w:val="E6A26B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CE14C24"/>
    <w:multiLevelType w:val="hybridMultilevel"/>
    <w:tmpl w:val="79C0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C60859"/>
    <w:multiLevelType w:val="hybridMultilevel"/>
    <w:tmpl w:val="F90C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A045D5"/>
    <w:multiLevelType w:val="hybridMultilevel"/>
    <w:tmpl w:val="8FA059E0"/>
    <w:lvl w:ilvl="0" w:tplc="0409000F">
      <w:start w:val="1"/>
      <w:numFmt w:val="decimal"/>
      <w:lvlText w:val="%1."/>
      <w:lvlJc w:val="left"/>
      <w:pPr>
        <w:tabs>
          <w:tab w:val="num" w:pos="720"/>
        </w:tabs>
        <w:ind w:left="720" w:hanging="360"/>
      </w:pPr>
      <w:rPr>
        <w:rFonts w:hint="default"/>
        <w:color w:val="433B6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EF43AD0"/>
    <w:multiLevelType w:val="hybridMultilevel"/>
    <w:tmpl w:val="7C30D9E2"/>
    <w:lvl w:ilvl="0" w:tplc="7DBC3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497E68"/>
    <w:multiLevelType w:val="multilevel"/>
    <w:tmpl w:val="31BA2902"/>
    <w:lvl w:ilvl="0">
      <w:start w:val="1"/>
      <w:numFmt w:val="upperLetter"/>
      <w:pStyle w:val="AppendixHeading"/>
      <w:lvlText w:val="Appendix %1"/>
      <w:lvlJc w:val="left"/>
      <w:pPr>
        <w:ind w:left="360" w:hanging="360"/>
      </w:pPr>
      <w:rPr>
        <w:rFonts w:hint="default"/>
        <w:b/>
        <w:bCs w:val="0"/>
        <w:i w:val="0"/>
        <w:iCs w:val="0"/>
        <w:caps w:val="0"/>
        <w:smallCaps w:val="0"/>
        <w:strike w:val="0"/>
        <w:dstrike w:val="0"/>
        <w:outline w:val="0"/>
        <w:shadow w:val="0"/>
        <w:emboss w:val="0"/>
        <w:imprint w:val="0"/>
        <w:noProof w:val="0"/>
        <w:snapToGrid w:val="0"/>
        <w:vanish w:val="0"/>
        <w:color w:val="403152" w:themeColor="accent4" w:themeShade="80"/>
        <w:spacing w:val="0"/>
        <w:w w:val="0"/>
        <w:kern w:val="0"/>
        <w:position w:val="0"/>
        <w:szCs w:val="0"/>
        <w:u w:val="none"/>
        <w:vertAlign w:val="baseline"/>
        <w:em w:val="none"/>
      </w:rPr>
    </w:lvl>
    <w:lvl w:ilvl="1">
      <w:start w:val="1"/>
      <w:numFmt w:val="decimal"/>
      <w:pStyle w:val="AppendixHeading2"/>
      <w:lvlText w:val="%1.%2"/>
      <w:lvlJc w:val="left"/>
      <w:pPr>
        <w:ind w:left="882" w:hanging="432"/>
      </w:pPr>
      <w:rPr>
        <w:rFonts w:ascii="Verdana" w:hAnsi="Verdana" w:cs="Arial" w:hint="default"/>
        <w:b/>
        <w:bCs w:val="0"/>
        <w:i w:val="0"/>
        <w:iCs w:val="0"/>
        <w:caps w:val="0"/>
        <w:smallCaps w:val="0"/>
        <w:strike w:val="0"/>
        <w:dstrike w:val="0"/>
        <w:outline w:val="0"/>
        <w:shadow w:val="0"/>
        <w:emboss w:val="0"/>
        <w:imprint w:val="0"/>
        <w:noProof w:val="0"/>
        <w:snapToGrid w:val="0"/>
        <w:vanish w:val="0"/>
        <w:color w:val="403152" w:themeColor="accent4" w:themeShade="80"/>
        <w:spacing w:val="0"/>
        <w:w w:val="0"/>
        <w:kern w:val="0"/>
        <w:position w:val="0"/>
        <w:szCs w:val="0"/>
        <w:u w:val="none"/>
        <w:vertAlign w:val="baseline"/>
        <w:em w:val="none"/>
      </w:rPr>
    </w:lvl>
    <w:lvl w:ilvl="2">
      <w:start w:val="1"/>
      <w:numFmt w:val="decimal"/>
      <w:pStyle w:val="AppendixHeading3"/>
      <w:lvlText w:val="%1.%2.%3"/>
      <w:lvlJc w:val="left"/>
      <w:pPr>
        <w:ind w:left="1494" w:hanging="504"/>
      </w:pPr>
      <w:rPr>
        <w:rFonts w:ascii="Verdana" w:hAnsi="Verdana" w:cs="Arial" w:hint="default"/>
        <w:b/>
        <w:bCs w:val="0"/>
        <w:i w:val="0"/>
        <w:iCs w:val="0"/>
        <w:caps w:val="0"/>
        <w:smallCaps w:val="0"/>
        <w:strike w:val="0"/>
        <w:dstrike w:val="0"/>
        <w:outline w:val="0"/>
        <w:shadow w:val="0"/>
        <w:emboss w:val="0"/>
        <w:imprint w:val="0"/>
        <w:noProof w:val="0"/>
        <w:snapToGrid w:val="0"/>
        <w:vanish w:val="0"/>
        <w:color w:val="403152" w:themeColor="accent4" w:themeShade="80"/>
        <w:spacing w:val="0"/>
        <w:w w:val="0"/>
        <w:kern w:val="0"/>
        <w:position w:val="0"/>
        <w:sz w:val="26"/>
        <w:szCs w:val="26"/>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D0F2EE8"/>
    <w:multiLevelType w:val="multilevel"/>
    <w:tmpl w:val="9F68006A"/>
    <w:styleLink w:val="Numbered"/>
    <w:lvl w:ilvl="0">
      <w:start w:val="1"/>
      <w:numFmt w:val="decimal"/>
      <w:lvlText w:val="%1"/>
      <w:lvlJc w:val="left"/>
      <w:pPr>
        <w:tabs>
          <w:tab w:val="num" w:pos="720"/>
        </w:tabs>
        <w:ind w:left="720" w:hanging="360"/>
      </w:pPr>
      <w:rPr>
        <w:rFonts w:ascii="Arial" w:hAnsi="Arial"/>
        <w:dstrike w:val="0"/>
        <w:color w:val="000000" w:themeColor="text1"/>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3"/>
  </w:num>
  <w:num w:numId="4">
    <w:abstractNumId w:val="10"/>
  </w:num>
  <w:num w:numId="5">
    <w:abstractNumId w:val="4"/>
  </w:num>
  <w:num w:numId="6">
    <w:abstractNumId w:val="2"/>
  </w:num>
  <w:num w:numId="7">
    <w:abstractNumId w:val="0"/>
  </w:num>
  <w:num w:numId="8">
    <w:abstractNumId w:val="8"/>
  </w:num>
  <w:num w:numId="9">
    <w:abstractNumId w:val="6"/>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1021"/>
  <w:stylePaneSortMethod w:val="0000"/>
  <w:defaultTabStop w:val="720"/>
  <w:drawingGridHorizontalSpacing w:val="110"/>
  <w:displayHorizontalDrawingGridEvery w:val="2"/>
  <w:characterSpacingControl w:val="doNotCompress"/>
  <w:hdrShapeDefaults>
    <o:shapedefaults v:ext="edit" spidmax="2051" fillcolor="none [3207]" strokecolor="none [3041]">
      <v:fill color="none [3207]"/>
      <v:stroke color="none [3041]" weight="3pt"/>
      <v:shadow on="t" type="perspective" color="none [1607]" opacity=".5" offset="1pt" offset2="-1pt"/>
      <o:colormenu v:ext="edit" strokecolor="none" shadowcolor="none"/>
    </o:shapedefaults>
    <o:shapelayout v:ext="edit">
      <o:idmap v:ext="edit" data="2"/>
      <o:rules v:ext="edit">
        <o:r id="V:Rule3" type="connector" idref="#_x0000_s2050"/>
        <o:r id="V:Rule4" type="connector" idref="#_x0000_s2049"/>
      </o:rules>
    </o:shapelayout>
  </w:hdrShapeDefaults>
  <w:footnotePr>
    <w:footnote w:id="-1"/>
    <w:footnote w:id="0"/>
  </w:footnotePr>
  <w:endnotePr>
    <w:endnote w:id="-1"/>
    <w:endnote w:id="0"/>
  </w:endnotePr>
  <w:compat/>
  <w:rsids>
    <w:rsidRoot w:val="00021C0F"/>
    <w:rsid w:val="00014A86"/>
    <w:rsid w:val="00020BC6"/>
    <w:rsid w:val="00021C0F"/>
    <w:rsid w:val="0005064E"/>
    <w:rsid w:val="0005598B"/>
    <w:rsid w:val="00057FA6"/>
    <w:rsid w:val="0006172C"/>
    <w:rsid w:val="000C5046"/>
    <w:rsid w:val="00107177"/>
    <w:rsid w:val="00134D4B"/>
    <w:rsid w:val="00137F86"/>
    <w:rsid w:val="00142ACF"/>
    <w:rsid w:val="00157BFA"/>
    <w:rsid w:val="00163508"/>
    <w:rsid w:val="00192CAC"/>
    <w:rsid w:val="00192CF8"/>
    <w:rsid w:val="001A0F8C"/>
    <w:rsid w:val="001A71A9"/>
    <w:rsid w:val="001B0ACB"/>
    <w:rsid w:val="001B352B"/>
    <w:rsid w:val="001B43DF"/>
    <w:rsid w:val="001C1F7B"/>
    <w:rsid w:val="001E35A3"/>
    <w:rsid w:val="001E4F10"/>
    <w:rsid w:val="001E7B77"/>
    <w:rsid w:val="002014D3"/>
    <w:rsid w:val="00203A5B"/>
    <w:rsid w:val="002077EA"/>
    <w:rsid w:val="00210C0F"/>
    <w:rsid w:val="00213694"/>
    <w:rsid w:val="0023560D"/>
    <w:rsid w:val="002436C1"/>
    <w:rsid w:val="00252FAF"/>
    <w:rsid w:val="00263F86"/>
    <w:rsid w:val="00272C6A"/>
    <w:rsid w:val="002842C9"/>
    <w:rsid w:val="0028548F"/>
    <w:rsid w:val="00286600"/>
    <w:rsid w:val="002A60E0"/>
    <w:rsid w:val="002A6B02"/>
    <w:rsid w:val="002C5BF9"/>
    <w:rsid w:val="002F6493"/>
    <w:rsid w:val="00305437"/>
    <w:rsid w:val="003076DE"/>
    <w:rsid w:val="00313B12"/>
    <w:rsid w:val="00334712"/>
    <w:rsid w:val="00334892"/>
    <w:rsid w:val="00344C3B"/>
    <w:rsid w:val="00351B4E"/>
    <w:rsid w:val="0036226B"/>
    <w:rsid w:val="00365361"/>
    <w:rsid w:val="00374908"/>
    <w:rsid w:val="003750A7"/>
    <w:rsid w:val="00385706"/>
    <w:rsid w:val="00393B5B"/>
    <w:rsid w:val="003953C6"/>
    <w:rsid w:val="003A0F85"/>
    <w:rsid w:val="003A4BA1"/>
    <w:rsid w:val="003C0588"/>
    <w:rsid w:val="003C46D8"/>
    <w:rsid w:val="003D68A0"/>
    <w:rsid w:val="003E43D8"/>
    <w:rsid w:val="003F0B76"/>
    <w:rsid w:val="00423629"/>
    <w:rsid w:val="00436018"/>
    <w:rsid w:val="0046277A"/>
    <w:rsid w:val="004E5D3E"/>
    <w:rsid w:val="00504474"/>
    <w:rsid w:val="00533ECF"/>
    <w:rsid w:val="00553301"/>
    <w:rsid w:val="005641AE"/>
    <w:rsid w:val="00565A04"/>
    <w:rsid w:val="00574971"/>
    <w:rsid w:val="00577956"/>
    <w:rsid w:val="005D003F"/>
    <w:rsid w:val="005E18C3"/>
    <w:rsid w:val="005E1A52"/>
    <w:rsid w:val="005F6238"/>
    <w:rsid w:val="006331D6"/>
    <w:rsid w:val="00643798"/>
    <w:rsid w:val="006455A7"/>
    <w:rsid w:val="006717E3"/>
    <w:rsid w:val="006724B7"/>
    <w:rsid w:val="00680A25"/>
    <w:rsid w:val="006834D4"/>
    <w:rsid w:val="00685B44"/>
    <w:rsid w:val="006947D9"/>
    <w:rsid w:val="006A61DE"/>
    <w:rsid w:val="006B0705"/>
    <w:rsid w:val="006C5209"/>
    <w:rsid w:val="00702A03"/>
    <w:rsid w:val="0071105E"/>
    <w:rsid w:val="00717FCF"/>
    <w:rsid w:val="00721E89"/>
    <w:rsid w:val="007336EB"/>
    <w:rsid w:val="00752687"/>
    <w:rsid w:val="00757FE6"/>
    <w:rsid w:val="007606E1"/>
    <w:rsid w:val="0076559B"/>
    <w:rsid w:val="007715BA"/>
    <w:rsid w:val="007C29F6"/>
    <w:rsid w:val="007F078B"/>
    <w:rsid w:val="00824815"/>
    <w:rsid w:val="00832B87"/>
    <w:rsid w:val="0084569F"/>
    <w:rsid w:val="00850D16"/>
    <w:rsid w:val="00852826"/>
    <w:rsid w:val="00857214"/>
    <w:rsid w:val="00872170"/>
    <w:rsid w:val="00875B70"/>
    <w:rsid w:val="00891B6B"/>
    <w:rsid w:val="008C2D62"/>
    <w:rsid w:val="008E6E4B"/>
    <w:rsid w:val="009063B1"/>
    <w:rsid w:val="0094682C"/>
    <w:rsid w:val="00957E31"/>
    <w:rsid w:val="00972F31"/>
    <w:rsid w:val="009B1FE8"/>
    <w:rsid w:val="009C0139"/>
    <w:rsid w:val="009E21D7"/>
    <w:rsid w:val="009E3F2C"/>
    <w:rsid w:val="00A05FAB"/>
    <w:rsid w:val="00A24367"/>
    <w:rsid w:val="00A40B9A"/>
    <w:rsid w:val="00A6555F"/>
    <w:rsid w:val="00A8324D"/>
    <w:rsid w:val="00AB380F"/>
    <w:rsid w:val="00AC3023"/>
    <w:rsid w:val="00AE636A"/>
    <w:rsid w:val="00B07122"/>
    <w:rsid w:val="00B07EFB"/>
    <w:rsid w:val="00B07F5F"/>
    <w:rsid w:val="00B119D9"/>
    <w:rsid w:val="00B34237"/>
    <w:rsid w:val="00B50663"/>
    <w:rsid w:val="00B86C76"/>
    <w:rsid w:val="00BA323B"/>
    <w:rsid w:val="00BA3459"/>
    <w:rsid w:val="00BA4804"/>
    <w:rsid w:val="00BA5B35"/>
    <w:rsid w:val="00BC02C6"/>
    <w:rsid w:val="00BC7E9F"/>
    <w:rsid w:val="00BD382F"/>
    <w:rsid w:val="00BD6DA7"/>
    <w:rsid w:val="00BD78EF"/>
    <w:rsid w:val="00BE004F"/>
    <w:rsid w:val="00BF4DB9"/>
    <w:rsid w:val="00C003A1"/>
    <w:rsid w:val="00C0284D"/>
    <w:rsid w:val="00C053C2"/>
    <w:rsid w:val="00C2287B"/>
    <w:rsid w:val="00C33F08"/>
    <w:rsid w:val="00C623D7"/>
    <w:rsid w:val="00C66141"/>
    <w:rsid w:val="00C81F2C"/>
    <w:rsid w:val="00C92EB8"/>
    <w:rsid w:val="00CA0D6E"/>
    <w:rsid w:val="00CA1BF4"/>
    <w:rsid w:val="00CA7949"/>
    <w:rsid w:val="00CD7AB5"/>
    <w:rsid w:val="00CE4374"/>
    <w:rsid w:val="00CF7B44"/>
    <w:rsid w:val="00D04113"/>
    <w:rsid w:val="00D04A27"/>
    <w:rsid w:val="00D2252A"/>
    <w:rsid w:val="00D250DD"/>
    <w:rsid w:val="00D34C82"/>
    <w:rsid w:val="00D456D7"/>
    <w:rsid w:val="00D56C2A"/>
    <w:rsid w:val="00D66338"/>
    <w:rsid w:val="00D773A3"/>
    <w:rsid w:val="00D80E42"/>
    <w:rsid w:val="00DB35F9"/>
    <w:rsid w:val="00DC0EF5"/>
    <w:rsid w:val="00DC1B21"/>
    <w:rsid w:val="00DF1A08"/>
    <w:rsid w:val="00E027F1"/>
    <w:rsid w:val="00E03387"/>
    <w:rsid w:val="00E11AF5"/>
    <w:rsid w:val="00E244EE"/>
    <w:rsid w:val="00E379AC"/>
    <w:rsid w:val="00E40E91"/>
    <w:rsid w:val="00E61AB1"/>
    <w:rsid w:val="00E9273B"/>
    <w:rsid w:val="00EB2941"/>
    <w:rsid w:val="00ED61A8"/>
    <w:rsid w:val="00EE5649"/>
    <w:rsid w:val="00EF12DF"/>
    <w:rsid w:val="00F04E7D"/>
    <w:rsid w:val="00F155D1"/>
    <w:rsid w:val="00F179F1"/>
    <w:rsid w:val="00F24446"/>
    <w:rsid w:val="00F25968"/>
    <w:rsid w:val="00F453C9"/>
    <w:rsid w:val="00F46241"/>
    <w:rsid w:val="00F50A5A"/>
    <w:rsid w:val="00F51124"/>
    <w:rsid w:val="00F535B2"/>
    <w:rsid w:val="00F74016"/>
    <w:rsid w:val="00F926F0"/>
    <w:rsid w:val="00F92E49"/>
    <w:rsid w:val="00FC0F66"/>
    <w:rsid w:val="00FD51F4"/>
    <w:rsid w:val="00FE1D3E"/>
    <w:rsid w:val="00FE48E1"/>
    <w:rsid w:val="00FF51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fillcolor="none [3207]" strokecolor="none [3041]">
      <v:fill color="none [3207]"/>
      <v:stroke color="none [3041]" weight="3pt"/>
      <v:shadow on="t" type="perspective" color="none [1607]" opacity=".5" offset="1pt" offset2="-1pt"/>
      <o:colormenu v:ext="edit" strokecolor="none" shadowcolor="none"/>
    </o:shapedefaults>
    <o:shapelayout v:ext="edit">
      <o:idmap v:ext="edit" data="1"/>
      <o:rules v:ext="edit">
        <o:r id="V:Rule4" type="connector" idref="#_x0000_s1053"/>
        <o:r id="V:Rule5" type="connector" idref="#_x0000_s1050"/>
        <o:r id="V:Rule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941"/>
  </w:style>
  <w:style w:type="paragraph" w:styleId="Heading1">
    <w:name w:val="heading 1"/>
    <w:next w:val="BodyParagraph"/>
    <w:link w:val="Heading1Char"/>
    <w:qFormat/>
    <w:rsid w:val="00F535B2"/>
    <w:pPr>
      <w:keepNext/>
      <w:numPr>
        <w:numId w:val="3"/>
      </w:numPr>
      <w:spacing w:after="120" w:line="240" w:lineRule="auto"/>
      <w:outlineLvl w:val="0"/>
    </w:pPr>
    <w:rPr>
      <w:rFonts w:ascii="Verdana" w:eastAsia="Times New Roman" w:hAnsi="Verdana" w:cs="Times New Roman"/>
      <w:b/>
      <w:color w:val="403152" w:themeColor="accent4" w:themeShade="80"/>
      <w:sz w:val="28"/>
      <w:szCs w:val="28"/>
    </w:rPr>
  </w:style>
  <w:style w:type="paragraph" w:styleId="Heading2">
    <w:name w:val="heading 2"/>
    <w:basedOn w:val="Heading1"/>
    <w:next w:val="BodyParagraph"/>
    <w:link w:val="Heading2Char"/>
    <w:uiPriority w:val="9"/>
    <w:unhideWhenUsed/>
    <w:qFormat/>
    <w:rsid w:val="00F535B2"/>
    <w:pPr>
      <w:numPr>
        <w:ilvl w:val="1"/>
      </w:numPr>
      <w:ind w:left="720" w:hanging="720"/>
      <w:outlineLvl w:val="1"/>
    </w:pPr>
    <w:rPr>
      <w:rFonts w:eastAsiaTheme="majorEastAsia" w:cstheme="majorBidi"/>
      <w:bCs/>
      <w:sz w:val="26"/>
      <w:szCs w:val="26"/>
    </w:rPr>
  </w:style>
  <w:style w:type="paragraph" w:styleId="Heading3">
    <w:name w:val="heading 3"/>
    <w:basedOn w:val="Heading2"/>
    <w:next w:val="BodyParagraph"/>
    <w:link w:val="Heading3Char"/>
    <w:uiPriority w:val="9"/>
    <w:unhideWhenUsed/>
    <w:qFormat/>
    <w:rsid w:val="00F535B2"/>
    <w:pPr>
      <w:keepLines/>
      <w:numPr>
        <w:ilvl w:val="2"/>
      </w:numPr>
      <w:ind w:left="1350" w:hanging="990"/>
      <w:outlineLvl w:val="2"/>
    </w:pPr>
    <w:rPr>
      <w:bCs w:val="0"/>
    </w:rPr>
  </w:style>
  <w:style w:type="paragraph" w:styleId="Heading4">
    <w:name w:val="heading 4"/>
    <w:basedOn w:val="Normal"/>
    <w:next w:val="BodyParagraph"/>
    <w:link w:val="Heading4Char"/>
    <w:uiPriority w:val="9"/>
    <w:unhideWhenUsed/>
    <w:qFormat/>
    <w:rsid w:val="00F535B2"/>
    <w:pPr>
      <w:keepNext/>
      <w:keepLines/>
      <w:spacing w:before="200" w:after="0"/>
      <w:ind w:left="360"/>
      <w:outlineLvl w:val="3"/>
    </w:pPr>
    <w:rPr>
      <w:rFonts w:ascii="Arial" w:eastAsiaTheme="majorEastAsia" w:hAnsi="Arial" w:cs="Arial"/>
      <w:b/>
      <w:bCs/>
      <w:i/>
      <w:iCs/>
      <w:color w:val="403152" w:themeColor="accent4" w:themeShade="80"/>
      <w:sz w:val="24"/>
    </w:rPr>
  </w:style>
  <w:style w:type="paragraph" w:styleId="Heading5">
    <w:name w:val="heading 5"/>
    <w:basedOn w:val="Normal"/>
    <w:next w:val="Normal"/>
    <w:link w:val="Heading5Char"/>
    <w:uiPriority w:val="9"/>
    <w:semiHidden/>
    <w:unhideWhenUsed/>
    <w:qFormat/>
    <w:rsid w:val="004627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27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627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27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27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B02"/>
    <w:rPr>
      <w:rFonts w:ascii="Tahoma" w:hAnsi="Tahoma" w:cs="Tahoma"/>
      <w:sz w:val="16"/>
      <w:szCs w:val="16"/>
    </w:rPr>
  </w:style>
  <w:style w:type="paragraph" w:customStyle="1" w:styleId="TitleHeader">
    <w:name w:val="Title Header"/>
    <w:qFormat/>
    <w:rsid w:val="002A6B02"/>
    <w:pPr>
      <w:spacing w:after="120" w:line="240" w:lineRule="auto"/>
    </w:pPr>
    <w:rPr>
      <w:rFonts w:ascii="Arial" w:eastAsia="Times New Roman" w:hAnsi="Arial" w:cs="Arial"/>
      <w:b/>
      <w:i/>
      <w:color w:val="FFFFFF"/>
      <w:sz w:val="24"/>
      <w:szCs w:val="24"/>
    </w:rPr>
  </w:style>
  <w:style w:type="paragraph" w:customStyle="1" w:styleId="TitleProposal">
    <w:name w:val="Title Proposal"/>
    <w:qFormat/>
    <w:rsid w:val="00F535B2"/>
    <w:pPr>
      <w:spacing w:after="400" w:line="240" w:lineRule="auto"/>
    </w:pPr>
    <w:rPr>
      <w:rFonts w:ascii="Verdana" w:eastAsia="Times New Roman" w:hAnsi="Verdana" w:cs="Arial"/>
      <w:b/>
      <w:color w:val="FFFFFF"/>
      <w:sz w:val="28"/>
      <w:szCs w:val="28"/>
    </w:rPr>
  </w:style>
  <w:style w:type="paragraph" w:customStyle="1" w:styleId="TitleAddress">
    <w:name w:val="Title Address"/>
    <w:qFormat/>
    <w:rsid w:val="00F535B2"/>
    <w:pPr>
      <w:tabs>
        <w:tab w:val="left" w:pos="3960"/>
      </w:tabs>
      <w:spacing w:after="400" w:line="240" w:lineRule="auto"/>
    </w:pPr>
    <w:rPr>
      <w:rFonts w:ascii="Verdana" w:eastAsia="Times New Roman" w:hAnsi="Verdana" w:cs="Arial"/>
      <w:b/>
      <w:color w:val="FFFFFF"/>
    </w:rPr>
  </w:style>
  <w:style w:type="paragraph" w:styleId="Footer">
    <w:name w:val="footer"/>
    <w:basedOn w:val="Normal"/>
    <w:link w:val="FooterChar"/>
    <w:uiPriority w:val="99"/>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uiPriority w:val="99"/>
    <w:rsid w:val="002A6B02"/>
    <w:rPr>
      <w:rFonts w:ascii="Arial" w:eastAsia="Times New Roman" w:hAnsi="Arial" w:cs="Times New Roman"/>
      <w:szCs w:val="24"/>
    </w:rPr>
  </w:style>
  <w:style w:type="character" w:styleId="PageNumber">
    <w:name w:val="page number"/>
    <w:basedOn w:val="DefaultParagraphFont"/>
    <w:rsid w:val="002A6B02"/>
  </w:style>
  <w:style w:type="paragraph" w:styleId="Header">
    <w:name w:val="header"/>
    <w:basedOn w:val="Normal"/>
    <w:link w:val="Head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A6B02"/>
    <w:rPr>
      <w:rFonts w:ascii="Arial" w:eastAsia="Times New Roman" w:hAnsi="Arial" w:cs="Times New Roman"/>
      <w:szCs w:val="24"/>
    </w:rPr>
  </w:style>
  <w:style w:type="paragraph" w:customStyle="1" w:styleId="PreparedFor">
    <w:name w:val="Prepared For"/>
    <w:rsid w:val="00F535B2"/>
    <w:pPr>
      <w:spacing w:before="400" w:after="120" w:line="240" w:lineRule="auto"/>
      <w:jc w:val="right"/>
    </w:pPr>
    <w:rPr>
      <w:rFonts w:ascii="Verdana" w:eastAsia="Times New Roman" w:hAnsi="Verdana" w:cs="Times New Roman"/>
      <w:i/>
      <w:szCs w:val="20"/>
    </w:rPr>
  </w:style>
  <w:style w:type="paragraph" w:customStyle="1" w:styleId="PreparedForCompany">
    <w:name w:val="Prepared For Company"/>
    <w:basedOn w:val="Normal"/>
    <w:qFormat/>
    <w:rsid w:val="00F535B2"/>
    <w:pPr>
      <w:spacing w:after="0" w:line="240" w:lineRule="auto"/>
      <w:jc w:val="right"/>
    </w:pPr>
    <w:rPr>
      <w:rFonts w:ascii="Verdana" w:eastAsia="Times New Roman" w:hAnsi="Verdana" w:cs="Times New Roman"/>
      <w:szCs w:val="24"/>
    </w:rPr>
  </w:style>
  <w:style w:type="character" w:customStyle="1" w:styleId="Heading1Char">
    <w:name w:val="Heading 1 Char"/>
    <w:basedOn w:val="DefaultParagraphFont"/>
    <w:link w:val="Heading1"/>
    <w:rsid w:val="00F535B2"/>
    <w:rPr>
      <w:rFonts w:ascii="Verdana" w:eastAsia="Times New Roman" w:hAnsi="Verdana" w:cs="Times New Roman"/>
      <w:b/>
      <w:color w:val="403152" w:themeColor="accent4" w:themeShade="80"/>
      <w:sz w:val="28"/>
      <w:szCs w:val="28"/>
    </w:rPr>
  </w:style>
  <w:style w:type="paragraph" w:styleId="TOCHeading">
    <w:name w:val="TOC Heading"/>
    <w:basedOn w:val="Heading1"/>
    <w:next w:val="Normal"/>
    <w:uiPriority w:val="39"/>
    <w:unhideWhenUsed/>
    <w:qFormat/>
    <w:rsid w:val="00F179F1"/>
    <w:pPr>
      <w:spacing w:before="480" w:after="0"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F535B2"/>
    <w:pPr>
      <w:tabs>
        <w:tab w:val="left" w:pos="270"/>
        <w:tab w:val="left" w:pos="1170"/>
        <w:tab w:val="right" w:leader="dot" w:pos="8460"/>
      </w:tabs>
      <w:spacing w:after="100"/>
    </w:pPr>
    <w:rPr>
      <w:rFonts w:ascii="Verdana" w:hAnsi="Verdana" w:cs="Arial"/>
      <w:noProof/>
      <w:sz w:val="18"/>
      <w:szCs w:val="24"/>
    </w:rPr>
  </w:style>
  <w:style w:type="character" w:styleId="Hyperlink">
    <w:name w:val="Hyperlink"/>
    <w:basedOn w:val="DefaultParagraphFont"/>
    <w:uiPriority w:val="99"/>
    <w:unhideWhenUsed/>
    <w:rsid w:val="00AB380F"/>
    <w:rPr>
      <w:rFonts w:ascii="Verdana" w:hAnsi="Verdana"/>
      <w:color w:val="0000FF" w:themeColor="hyperlink"/>
      <w:sz w:val="18"/>
    </w:rPr>
  </w:style>
  <w:style w:type="paragraph" w:customStyle="1" w:styleId="TableofContents">
    <w:name w:val="Table of Contents"/>
    <w:qFormat/>
    <w:rsid w:val="00F535B2"/>
    <w:pPr>
      <w:ind w:left="720"/>
    </w:pPr>
    <w:rPr>
      <w:rFonts w:ascii="Verdana" w:eastAsia="Times New Roman" w:hAnsi="Verdana" w:cs="Times New Roman"/>
      <w:b/>
      <w:color w:val="403152" w:themeColor="accent4" w:themeShade="80"/>
      <w:sz w:val="28"/>
      <w:szCs w:val="24"/>
    </w:rPr>
  </w:style>
  <w:style w:type="character" w:customStyle="1" w:styleId="Heading2Char">
    <w:name w:val="Heading 2 Char"/>
    <w:basedOn w:val="DefaultParagraphFont"/>
    <w:link w:val="Heading2"/>
    <w:uiPriority w:val="9"/>
    <w:rsid w:val="00F535B2"/>
    <w:rPr>
      <w:rFonts w:ascii="Verdana" w:eastAsiaTheme="majorEastAsia" w:hAnsi="Verdana" w:cstheme="majorBidi"/>
      <w:b/>
      <w:bCs/>
      <w:color w:val="403152" w:themeColor="accent4" w:themeShade="80"/>
      <w:sz w:val="26"/>
      <w:szCs w:val="26"/>
    </w:rPr>
  </w:style>
  <w:style w:type="paragraph" w:styleId="TOC2">
    <w:name w:val="toc 2"/>
    <w:basedOn w:val="Normal"/>
    <w:next w:val="Normal"/>
    <w:autoRedefine/>
    <w:uiPriority w:val="39"/>
    <w:unhideWhenUsed/>
    <w:rsid w:val="00F535B2"/>
    <w:pPr>
      <w:tabs>
        <w:tab w:val="left" w:pos="720"/>
        <w:tab w:val="right" w:leader="dot" w:pos="8460"/>
      </w:tabs>
      <w:spacing w:after="100"/>
      <w:ind w:left="220"/>
    </w:pPr>
    <w:rPr>
      <w:rFonts w:ascii="Verdana" w:hAnsi="Verdana" w:cs="Arial"/>
      <w:noProof/>
      <w:sz w:val="18"/>
      <w:szCs w:val="24"/>
    </w:rPr>
  </w:style>
  <w:style w:type="character" w:customStyle="1" w:styleId="Heading3Char">
    <w:name w:val="Heading 3 Char"/>
    <w:basedOn w:val="DefaultParagraphFont"/>
    <w:link w:val="Heading3"/>
    <w:uiPriority w:val="9"/>
    <w:rsid w:val="00F535B2"/>
    <w:rPr>
      <w:rFonts w:ascii="Verdana" w:eastAsiaTheme="majorEastAsia" w:hAnsi="Verdana" w:cstheme="majorBidi"/>
      <w:b/>
      <w:color w:val="403152" w:themeColor="accent4" w:themeShade="80"/>
      <w:sz w:val="26"/>
      <w:szCs w:val="26"/>
    </w:rPr>
  </w:style>
  <w:style w:type="paragraph" w:styleId="TOC3">
    <w:name w:val="toc 3"/>
    <w:basedOn w:val="Normal"/>
    <w:next w:val="Normal"/>
    <w:autoRedefine/>
    <w:uiPriority w:val="39"/>
    <w:unhideWhenUsed/>
    <w:rsid w:val="00F535B2"/>
    <w:pPr>
      <w:tabs>
        <w:tab w:val="left" w:pos="900"/>
        <w:tab w:val="left" w:pos="1080"/>
        <w:tab w:val="right" w:leader="dot" w:pos="8460"/>
      </w:tabs>
      <w:spacing w:after="100"/>
      <w:ind w:left="440"/>
    </w:pPr>
    <w:rPr>
      <w:rFonts w:ascii="Verdana" w:eastAsiaTheme="minorEastAsia" w:hAnsi="Verdana" w:cs="Arial"/>
      <w:noProof/>
      <w:sz w:val="18"/>
      <w:szCs w:val="24"/>
    </w:rPr>
  </w:style>
  <w:style w:type="paragraph" w:customStyle="1" w:styleId="BodyParagraph">
    <w:name w:val="Body Paragraph"/>
    <w:link w:val="BodyParagraphChar"/>
    <w:qFormat/>
    <w:rsid w:val="00AB380F"/>
    <w:pPr>
      <w:spacing w:after="240" w:line="312" w:lineRule="auto"/>
    </w:pPr>
    <w:rPr>
      <w:rFonts w:ascii="Verdana" w:hAnsi="Verdana"/>
      <w:sz w:val="18"/>
    </w:rPr>
  </w:style>
  <w:style w:type="paragraph" w:customStyle="1" w:styleId="BodyBeforeBullet">
    <w:name w:val="Body Before Bullet"/>
    <w:basedOn w:val="BodyParagraph"/>
    <w:next w:val="Bullets"/>
    <w:qFormat/>
    <w:rsid w:val="00393B5B"/>
    <w:pPr>
      <w:keepNext/>
      <w:spacing w:after="60"/>
    </w:pPr>
  </w:style>
  <w:style w:type="paragraph" w:customStyle="1" w:styleId="Bullets">
    <w:name w:val="Bullets"/>
    <w:basedOn w:val="Normal"/>
    <w:qFormat/>
    <w:rsid w:val="00AB380F"/>
    <w:pPr>
      <w:numPr>
        <w:numId w:val="1"/>
      </w:numPr>
      <w:spacing w:after="120" w:line="240" w:lineRule="auto"/>
    </w:pPr>
    <w:rPr>
      <w:rFonts w:ascii="Verdana" w:eastAsia="Times New Roman" w:hAnsi="Verdana" w:cs="Arial"/>
      <w:sz w:val="18"/>
      <w:szCs w:val="21"/>
    </w:rPr>
  </w:style>
  <w:style w:type="paragraph" w:customStyle="1" w:styleId="BulletLast">
    <w:name w:val="Bullet Last"/>
    <w:basedOn w:val="Bullets"/>
    <w:next w:val="BodyParagraph"/>
    <w:qFormat/>
    <w:rsid w:val="001B352B"/>
    <w:pPr>
      <w:spacing w:after="360"/>
    </w:pPr>
  </w:style>
  <w:style w:type="paragraph" w:styleId="FootnoteText">
    <w:name w:val="footnote text"/>
    <w:aliases w:val="Footnote Text1 Char,Footnote Text Char Ch"/>
    <w:basedOn w:val="Normal"/>
    <w:link w:val="FootnoteTextChar"/>
    <w:uiPriority w:val="99"/>
    <w:unhideWhenUsed/>
    <w:rsid w:val="00F535B2"/>
    <w:pPr>
      <w:spacing w:after="120" w:line="240" w:lineRule="auto"/>
    </w:pPr>
    <w:rPr>
      <w:rFonts w:ascii="Franklin Gothic Book" w:hAnsi="Franklin Gothic Book"/>
      <w:sz w:val="18"/>
      <w:szCs w:val="20"/>
    </w:rPr>
  </w:style>
  <w:style w:type="character" w:customStyle="1" w:styleId="FootnoteTextChar">
    <w:name w:val="Footnote Text Char"/>
    <w:aliases w:val="Footnote Text1 Char Char1,Footnote Text Char Ch Char1"/>
    <w:basedOn w:val="DefaultParagraphFont"/>
    <w:link w:val="FootnoteText"/>
    <w:uiPriority w:val="99"/>
    <w:rsid w:val="00F535B2"/>
    <w:rPr>
      <w:rFonts w:ascii="Franklin Gothic Book" w:hAnsi="Franklin Gothic Book"/>
      <w:sz w:val="18"/>
      <w:szCs w:val="20"/>
    </w:rPr>
  </w:style>
  <w:style w:type="character" w:styleId="FootnoteReference">
    <w:name w:val="footnote reference"/>
    <w:aliases w:val="o"/>
    <w:basedOn w:val="DefaultParagraphFont"/>
    <w:uiPriority w:val="99"/>
    <w:unhideWhenUsed/>
    <w:rsid w:val="001B352B"/>
    <w:rPr>
      <w:vertAlign w:val="superscript"/>
    </w:rPr>
  </w:style>
  <w:style w:type="paragraph" w:customStyle="1" w:styleId="Footnote">
    <w:name w:val="Footnote"/>
    <w:basedOn w:val="FootnoteText"/>
    <w:qFormat/>
    <w:rsid w:val="00F535B2"/>
  </w:style>
  <w:style w:type="paragraph" w:customStyle="1" w:styleId="TableFigureCaption">
    <w:name w:val="Table Figure Caption"/>
    <w:basedOn w:val="Normal"/>
    <w:next w:val="BodyParaAfterTableFigure"/>
    <w:qFormat/>
    <w:rsid w:val="002436C1"/>
    <w:pPr>
      <w:keepNext/>
      <w:spacing w:after="120" w:line="240" w:lineRule="auto"/>
      <w:jc w:val="center"/>
    </w:pPr>
    <w:rPr>
      <w:rFonts w:ascii="Arial" w:hAnsi="Arial"/>
      <w:b/>
      <w:sz w:val="20"/>
    </w:rPr>
  </w:style>
  <w:style w:type="table" w:styleId="TableGrid">
    <w:name w:val="Table Grid"/>
    <w:basedOn w:val="TableNormal"/>
    <w:uiPriority w:val="59"/>
    <w:rsid w:val="001B3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er">
    <w:name w:val="Table Header"/>
    <w:qFormat/>
    <w:rsid w:val="00203A5B"/>
    <w:pPr>
      <w:spacing w:before="100" w:after="100" w:line="240" w:lineRule="auto"/>
      <w:jc w:val="center"/>
    </w:pPr>
    <w:rPr>
      <w:rFonts w:ascii="Arial" w:hAnsi="Arial"/>
      <w:b/>
      <w:color w:val="FFFFFF" w:themeColor="background1"/>
      <w:sz w:val="20"/>
    </w:rPr>
  </w:style>
  <w:style w:type="paragraph" w:customStyle="1" w:styleId="TableText">
    <w:name w:val="Table Text"/>
    <w:qFormat/>
    <w:rsid w:val="00C66141"/>
    <w:pPr>
      <w:spacing w:before="60" w:after="60" w:line="240" w:lineRule="auto"/>
      <w:jc w:val="center"/>
    </w:pPr>
    <w:rPr>
      <w:rFonts w:ascii="Arial" w:hAnsi="Arial"/>
      <w:sz w:val="18"/>
    </w:rPr>
  </w:style>
  <w:style w:type="paragraph" w:customStyle="1" w:styleId="BodyParaAfterTableFigure">
    <w:name w:val="Body Para After Table Figure"/>
    <w:basedOn w:val="BodyParagraph"/>
    <w:next w:val="BodyParagraph"/>
    <w:qFormat/>
    <w:rsid w:val="00B50663"/>
    <w:pPr>
      <w:spacing w:before="360"/>
    </w:pPr>
  </w:style>
  <w:style w:type="paragraph" w:customStyle="1" w:styleId="AppendixHeading">
    <w:name w:val="Appendix Heading"/>
    <w:basedOn w:val="Heading1"/>
    <w:next w:val="BodyParagraph"/>
    <w:qFormat/>
    <w:rsid w:val="003D68A0"/>
    <w:pPr>
      <w:numPr>
        <w:numId w:val="2"/>
      </w:numPr>
    </w:pPr>
  </w:style>
  <w:style w:type="character" w:customStyle="1" w:styleId="Heading4Char">
    <w:name w:val="Heading 4 Char"/>
    <w:basedOn w:val="DefaultParagraphFont"/>
    <w:link w:val="Heading4"/>
    <w:uiPriority w:val="9"/>
    <w:rsid w:val="00F535B2"/>
    <w:rPr>
      <w:rFonts w:ascii="Arial" w:eastAsiaTheme="majorEastAsia" w:hAnsi="Arial" w:cs="Arial"/>
      <w:b/>
      <w:bCs/>
      <w:i/>
      <w:iCs/>
      <w:color w:val="403152" w:themeColor="accent4" w:themeShade="80"/>
      <w:sz w:val="24"/>
    </w:rPr>
  </w:style>
  <w:style w:type="character" w:customStyle="1" w:styleId="Heading5Char">
    <w:name w:val="Heading 5 Char"/>
    <w:basedOn w:val="DefaultParagraphFont"/>
    <w:link w:val="Heading5"/>
    <w:uiPriority w:val="9"/>
    <w:semiHidden/>
    <w:rsid w:val="0046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627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627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27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277A"/>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Paragraph"/>
    <w:qFormat/>
    <w:rsid w:val="00F535B2"/>
    <w:pPr>
      <w:keepNext/>
      <w:numPr>
        <w:ilvl w:val="1"/>
        <w:numId w:val="2"/>
      </w:numPr>
      <w:spacing w:after="60" w:line="240" w:lineRule="auto"/>
      <w:ind w:left="720" w:hanging="720"/>
    </w:pPr>
    <w:rPr>
      <w:rFonts w:ascii="Verdana" w:hAnsi="Verdana"/>
      <w:b/>
      <w:color w:val="403152" w:themeColor="accent4" w:themeShade="80"/>
      <w:sz w:val="26"/>
    </w:rPr>
  </w:style>
  <w:style w:type="paragraph" w:customStyle="1" w:styleId="AppendixHeading3">
    <w:name w:val="Appendix Heading 3"/>
    <w:basedOn w:val="Normal"/>
    <w:next w:val="BodyParagraph"/>
    <w:qFormat/>
    <w:rsid w:val="00F535B2"/>
    <w:pPr>
      <w:numPr>
        <w:ilvl w:val="2"/>
        <w:numId w:val="2"/>
      </w:numPr>
      <w:spacing w:after="120" w:line="240" w:lineRule="auto"/>
      <w:ind w:left="990" w:hanging="990"/>
    </w:pPr>
    <w:rPr>
      <w:rFonts w:ascii="Verdana" w:hAnsi="Verdana"/>
      <w:b/>
      <w:color w:val="403152" w:themeColor="accent4" w:themeShade="80"/>
      <w:sz w:val="24"/>
    </w:rPr>
  </w:style>
  <w:style w:type="paragraph" w:customStyle="1" w:styleId="AppendixHeading4">
    <w:name w:val="Appendix Heading 4"/>
    <w:basedOn w:val="BodyParagraph"/>
    <w:next w:val="BodyParagraph"/>
    <w:qFormat/>
    <w:rsid w:val="00F535B2"/>
    <w:pPr>
      <w:keepNext/>
      <w:spacing w:after="60" w:line="240" w:lineRule="auto"/>
      <w:ind w:firstLine="360"/>
    </w:pPr>
    <w:rPr>
      <w:b/>
      <w:i/>
      <w:color w:val="403152" w:themeColor="accent4" w:themeShade="80"/>
    </w:rPr>
  </w:style>
  <w:style w:type="paragraph" w:styleId="TOC4">
    <w:name w:val="toc 4"/>
    <w:basedOn w:val="Normal"/>
    <w:next w:val="Normal"/>
    <w:autoRedefine/>
    <w:uiPriority w:val="39"/>
    <w:unhideWhenUsed/>
    <w:rsid w:val="00F535B2"/>
    <w:pPr>
      <w:tabs>
        <w:tab w:val="left" w:pos="1350"/>
        <w:tab w:val="right" w:leader="dot" w:pos="8460"/>
      </w:tabs>
      <w:spacing w:after="100"/>
      <w:ind w:left="660"/>
    </w:pPr>
    <w:rPr>
      <w:rFonts w:ascii="Verdana" w:hAnsi="Verdana" w:cs="Arial"/>
      <w:noProof/>
      <w:sz w:val="18"/>
      <w:szCs w:val="24"/>
    </w:rPr>
  </w:style>
  <w:style w:type="numbering" w:customStyle="1" w:styleId="Numbered">
    <w:name w:val="Numbered"/>
    <w:basedOn w:val="NoList"/>
    <w:uiPriority w:val="99"/>
    <w:rsid w:val="00137F86"/>
    <w:pPr>
      <w:numPr>
        <w:numId w:val="4"/>
      </w:numPr>
    </w:pPr>
  </w:style>
  <w:style w:type="numbering" w:customStyle="1" w:styleId="NumberedSteps">
    <w:name w:val="Numbered Steps"/>
    <w:basedOn w:val="NoList"/>
    <w:uiPriority w:val="99"/>
    <w:rsid w:val="00137F86"/>
    <w:pPr>
      <w:numPr>
        <w:numId w:val="5"/>
      </w:numPr>
    </w:pPr>
  </w:style>
  <w:style w:type="paragraph" w:customStyle="1" w:styleId="Numbers">
    <w:name w:val="Numbers"/>
    <w:qFormat/>
    <w:rsid w:val="003D68A0"/>
    <w:pPr>
      <w:numPr>
        <w:numId w:val="6"/>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rsid w:val="007715BA"/>
    <w:pPr>
      <w:numPr>
        <w:numId w:val="7"/>
      </w:numPr>
      <w:spacing w:after="360"/>
    </w:pPr>
  </w:style>
  <w:style w:type="paragraph" w:customStyle="1" w:styleId="LetterDate">
    <w:name w:val="Letter Date"/>
    <w:next w:val="LetterAddressee"/>
    <w:qFormat/>
    <w:rsid w:val="00EB2941"/>
    <w:pPr>
      <w:spacing w:before="2000" w:line="240" w:lineRule="auto"/>
    </w:pPr>
    <w:rPr>
      <w:rFonts w:ascii="Arial" w:hAnsi="Arial"/>
    </w:rPr>
  </w:style>
  <w:style w:type="paragraph" w:customStyle="1" w:styleId="LetterAddressee">
    <w:name w:val="Letter Addressee"/>
    <w:next w:val="LetterSalutation"/>
    <w:qFormat/>
    <w:rsid w:val="00EB2941"/>
    <w:pPr>
      <w:spacing w:after="0" w:line="240" w:lineRule="auto"/>
    </w:pPr>
    <w:rPr>
      <w:rFonts w:ascii="Arial" w:hAnsi="Arial"/>
    </w:rPr>
  </w:style>
  <w:style w:type="paragraph" w:customStyle="1" w:styleId="LetterSalutation">
    <w:name w:val="Letter Salutation"/>
    <w:next w:val="BodyParagraph"/>
    <w:qFormat/>
    <w:rsid w:val="00EB2941"/>
    <w:pPr>
      <w:spacing w:before="400" w:line="240" w:lineRule="auto"/>
    </w:pPr>
    <w:rPr>
      <w:rFonts w:ascii="Arial" w:hAnsi="Arial"/>
    </w:rPr>
  </w:style>
  <w:style w:type="paragraph" w:customStyle="1" w:styleId="LetterClosing">
    <w:name w:val="Letter Closing"/>
    <w:qFormat/>
    <w:rsid w:val="00EB2941"/>
    <w:pPr>
      <w:spacing w:after="1000" w:line="240" w:lineRule="auto"/>
    </w:pPr>
    <w:rPr>
      <w:rFonts w:ascii="Arial" w:hAnsi="Arial"/>
    </w:rPr>
  </w:style>
  <w:style w:type="character" w:styleId="CommentReference">
    <w:name w:val="annotation reference"/>
    <w:basedOn w:val="DefaultParagraphFont"/>
    <w:uiPriority w:val="99"/>
    <w:semiHidden/>
    <w:unhideWhenUsed/>
    <w:rsid w:val="00203A5B"/>
    <w:rPr>
      <w:sz w:val="16"/>
      <w:szCs w:val="16"/>
    </w:rPr>
  </w:style>
  <w:style w:type="paragraph" w:styleId="CommentText">
    <w:name w:val="annotation text"/>
    <w:basedOn w:val="Normal"/>
    <w:link w:val="CommentTextChar"/>
    <w:uiPriority w:val="99"/>
    <w:semiHidden/>
    <w:unhideWhenUsed/>
    <w:rsid w:val="00203A5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03A5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3A5B"/>
    <w:rPr>
      <w:b/>
      <w:bCs/>
    </w:rPr>
  </w:style>
  <w:style w:type="character" w:customStyle="1" w:styleId="CommentSubjectChar">
    <w:name w:val="Comment Subject Char"/>
    <w:basedOn w:val="CommentTextChar"/>
    <w:link w:val="CommentSubject"/>
    <w:uiPriority w:val="99"/>
    <w:semiHidden/>
    <w:rsid w:val="00203A5B"/>
    <w:rPr>
      <w:b/>
      <w:bCs/>
    </w:rPr>
  </w:style>
  <w:style w:type="paragraph" w:styleId="Revision">
    <w:name w:val="Revision"/>
    <w:hidden/>
    <w:uiPriority w:val="99"/>
    <w:semiHidden/>
    <w:rsid w:val="00203A5B"/>
    <w:pPr>
      <w:spacing w:after="0" w:line="240" w:lineRule="auto"/>
    </w:pPr>
  </w:style>
  <w:style w:type="character" w:customStyle="1" w:styleId="FootnoteTextChar1">
    <w:name w:val="Footnote Text Char1"/>
    <w:aliases w:val="Footnote Text1 Char Char,Footnote Text Char Ch Char"/>
    <w:basedOn w:val="DefaultParagraphFont"/>
    <w:uiPriority w:val="99"/>
    <w:semiHidden/>
    <w:locked/>
    <w:rsid w:val="00203A5B"/>
    <w:rPr>
      <w:rFonts w:ascii="Arial" w:eastAsia="Times New Roman" w:hAnsi="Arial" w:cs="Times New Roman"/>
      <w:spacing w:val="-2"/>
      <w:sz w:val="20"/>
      <w:szCs w:val="20"/>
    </w:rPr>
  </w:style>
  <w:style w:type="paragraph" w:styleId="ListParagraph">
    <w:name w:val="List Paragraph"/>
    <w:basedOn w:val="Normal"/>
    <w:uiPriority w:val="34"/>
    <w:qFormat/>
    <w:rsid w:val="00203A5B"/>
    <w:pPr>
      <w:spacing w:before="240" w:after="240" w:line="240" w:lineRule="auto"/>
      <w:ind w:left="720"/>
      <w:contextualSpacing/>
    </w:pPr>
    <w:rPr>
      <w:rFonts w:ascii="Arial" w:eastAsia="Times New Roman" w:hAnsi="Arial" w:cs="Times New Roman"/>
      <w:spacing w:val="-2"/>
    </w:rPr>
  </w:style>
  <w:style w:type="character" w:styleId="PlaceholderText">
    <w:name w:val="Placeholder Text"/>
    <w:basedOn w:val="DefaultParagraphFont"/>
    <w:uiPriority w:val="99"/>
    <w:semiHidden/>
    <w:rsid w:val="00203A5B"/>
    <w:rPr>
      <w:color w:val="808080"/>
    </w:rPr>
  </w:style>
  <w:style w:type="character" w:customStyle="1" w:styleId="BodyParagraphChar">
    <w:name w:val="Body Paragraph Char"/>
    <w:basedOn w:val="DefaultParagraphFont"/>
    <w:link w:val="BodyParagraph"/>
    <w:locked/>
    <w:rsid w:val="00203A5B"/>
    <w:rPr>
      <w:rFonts w:ascii="Verdana" w:hAnsi="Verdana"/>
      <w:sz w:val="18"/>
    </w:rPr>
  </w:style>
</w:styles>
</file>

<file path=word/webSettings.xml><?xml version="1.0" encoding="utf-8"?>
<w:webSettings xmlns:r="http://schemas.openxmlformats.org/officeDocument/2006/relationships" xmlns:w="http://schemas.openxmlformats.org/wordprocessingml/2006/main">
  <w:divs>
    <w:div w:id="851837035">
      <w:bodyDiv w:val="1"/>
      <w:marLeft w:val="0"/>
      <w:marRight w:val="0"/>
      <w:marTop w:val="0"/>
      <w:marBottom w:val="0"/>
      <w:divBdr>
        <w:top w:val="none" w:sz="0" w:space="0" w:color="auto"/>
        <w:left w:val="none" w:sz="0" w:space="0" w:color="auto"/>
        <w:bottom w:val="none" w:sz="0" w:space="0" w:color="auto"/>
        <w:right w:val="none" w:sz="0" w:space="0" w:color="auto"/>
      </w:divBdr>
    </w:div>
    <w:div w:id="859658853">
      <w:bodyDiv w:val="1"/>
      <w:marLeft w:val="0"/>
      <w:marRight w:val="0"/>
      <w:marTop w:val="0"/>
      <w:marBottom w:val="0"/>
      <w:divBdr>
        <w:top w:val="none" w:sz="0" w:space="0" w:color="auto"/>
        <w:left w:val="none" w:sz="0" w:space="0" w:color="auto"/>
        <w:bottom w:val="none" w:sz="0" w:space="0" w:color="auto"/>
        <w:right w:val="none" w:sz="0" w:space="0" w:color="auto"/>
      </w:divBdr>
    </w:div>
    <w:div w:id="1092312418">
      <w:bodyDiv w:val="1"/>
      <w:marLeft w:val="0"/>
      <w:marRight w:val="0"/>
      <w:marTop w:val="0"/>
      <w:marBottom w:val="0"/>
      <w:divBdr>
        <w:top w:val="none" w:sz="0" w:space="0" w:color="auto"/>
        <w:left w:val="none" w:sz="0" w:space="0" w:color="auto"/>
        <w:bottom w:val="none" w:sz="0" w:space="0" w:color="auto"/>
        <w:right w:val="none" w:sz="0" w:space="0" w:color="auto"/>
      </w:divBdr>
    </w:div>
    <w:div w:id="1440177806">
      <w:bodyDiv w:val="1"/>
      <w:marLeft w:val="0"/>
      <w:marRight w:val="0"/>
      <w:marTop w:val="0"/>
      <w:marBottom w:val="0"/>
      <w:divBdr>
        <w:top w:val="none" w:sz="0" w:space="0" w:color="auto"/>
        <w:left w:val="none" w:sz="0" w:space="0" w:color="auto"/>
        <w:bottom w:val="none" w:sz="0" w:space="0" w:color="auto"/>
        <w:right w:val="none" w:sz="0" w:space="0" w:color="auto"/>
      </w:divBdr>
      <w:divsChild>
        <w:div w:id="289626090">
          <w:marLeft w:val="0"/>
          <w:marRight w:val="0"/>
          <w:marTop w:val="0"/>
          <w:marBottom w:val="0"/>
          <w:divBdr>
            <w:top w:val="none" w:sz="0" w:space="0" w:color="auto"/>
            <w:left w:val="none" w:sz="0" w:space="0" w:color="auto"/>
            <w:bottom w:val="none" w:sz="0" w:space="0" w:color="auto"/>
            <w:right w:val="none" w:sz="0" w:space="0" w:color="auto"/>
          </w:divBdr>
          <w:divsChild>
            <w:div w:id="1937900054">
              <w:marLeft w:val="0"/>
              <w:marRight w:val="0"/>
              <w:marTop w:val="112"/>
              <w:marBottom w:val="0"/>
              <w:divBdr>
                <w:top w:val="single" w:sz="8" w:space="6" w:color="666666"/>
                <w:left w:val="none" w:sz="0" w:space="0" w:color="auto"/>
                <w:bottom w:val="none" w:sz="0" w:space="0" w:color="auto"/>
                <w:right w:val="none" w:sz="0" w:space="0" w:color="auto"/>
              </w:divBdr>
            </w:div>
          </w:divsChild>
        </w:div>
      </w:divsChild>
    </w:div>
    <w:div w:id="1456875296">
      <w:bodyDiv w:val="1"/>
      <w:marLeft w:val="0"/>
      <w:marRight w:val="0"/>
      <w:marTop w:val="0"/>
      <w:marBottom w:val="0"/>
      <w:divBdr>
        <w:top w:val="none" w:sz="0" w:space="0" w:color="auto"/>
        <w:left w:val="none" w:sz="0" w:space="0" w:color="auto"/>
        <w:bottom w:val="none" w:sz="0" w:space="0" w:color="auto"/>
        <w:right w:val="none" w:sz="0" w:space="0" w:color="auto"/>
      </w:divBdr>
    </w:div>
    <w:div w:id="154687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7.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N:\Templates\FSC%20Templates\2013%20FSC%20Report%2001151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nergy2\data\FSC\1600%20SDG&amp;E%202012%20Summer%20Saver\Output\Full%20Tables%20for%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nergy2\data\FSC\1600%20SDG&amp;E%202012%20Summer%20Saver\Output\Residential%20Ex%20Ante%20Figures%20and%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ergy2\data\FSC\1600%20SDG&amp;E%202012%20Summer%20Saver\Output\Residential%20Ex%20Ante%20Figures%20and%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ergy2\data\FSC\1600%20SDG&amp;E%202012%20Summer%20Saver\Output\Commercial%20Ex%20Ante%20Figures%20and%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nergy2\data\FSC\1600%20SDG&amp;E%202012%20Summer%20Saver\Output\Commercial%20Ex%20Ante%20Figures%20and%20Tab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rgy2\data\FSC\1600%20SDG&amp;E%202012%20Summer%20Saver\Output\Full%20Tables%20for%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rgy2\data\FSC\1600%20SDG&amp;E%202012%20Summer%20Saver\Output\Residential%20Ex%20Ante%20Figures%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'Figure 3-1'!$C$2</c:f>
              <c:strCache>
                <c:ptCount val="1"/>
                <c:pt idx="0">
                  <c:v>Group A</c:v>
                </c:pt>
              </c:strCache>
            </c:strRef>
          </c:tx>
          <c:marker>
            <c:symbol val="none"/>
          </c:marker>
          <c:val>
            <c:numRef>
              <c:f>'Figure 3-1'!$C$3:$C$26</c:f>
              <c:numCache>
                <c:formatCode>General</c:formatCode>
                <c:ptCount val="24"/>
                <c:pt idx="0">
                  <c:v>0.82523289</c:v>
                </c:pt>
                <c:pt idx="1">
                  <c:v>0.71614102000000146</c:v>
                </c:pt>
                <c:pt idx="2">
                  <c:v>0.65821702000000004</c:v>
                </c:pt>
                <c:pt idx="3">
                  <c:v>0.61269150000000183</c:v>
                </c:pt>
                <c:pt idx="4">
                  <c:v>0.60044724000000005</c:v>
                </c:pt>
                <c:pt idx="5">
                  <c:v>0.64822276000000001</c:v>
                </c:pt>
                <c:pt idx="6">
                  <c:v>0.73207510000000064</c:v>
                </c:pt>
                <c:pt idx="7">
                  <c:v>0.7753462999999996</c:v>
                </c:pt>
                <c:pt idx="8">
                  <c:v>0.80089597999999995</c:v>
                </c:pt>
                <c:pt idx="9">
                  <c:v>0.83181287999999998</c:v>
                </c:pt>
                <c:pt idx="10">
                  <c:v>0.92220095999999996</c:v>
                </c:pt>
                <c:pt idx="11">
                  <c:v>1.0910615999999973</c:v>
                </c:pt>
                <c:pt idx="12">
                  <c:v>1.3582795000000001</c:v>
                </c:pt>
                <c:pt idx="13">
                  <c:v>1.602633</c:v>
                </c:pt>
                <c:pt idx="14">
                  <c:v>1.7859788999999981</c:v>
                </c:pt>
                <c:pt idx="15">
                  <c:v>1.9889469000000017</c:v>
                </c:pt>
                <c:pt idx="16">
                  <c:v>2.1282079999999999</c:v>
                </c:pt>
                <c:pt idx="17">
                  <c:v>2.1770387000000002</c:v>
                </c:pt>
                <c:pt idx="18">
                  <c:v>2.0971156999999998</c:v>
                </c:pt>
                <c:pt idx="19">
                  <c:v>1.9927155000000025</c:v>
                </c:pt>
                <c:pt idx="20">
                  <c:v>1.8585528000000029</c:v>
                </c:pt>
                <c:pt idx="21">
                  <c:v>1.6017640999999962</c:v>
                </c:pt>
                <c:pt idx="22">
                  <c:v>1.2967845999999998</c:v>
                </c:pt>
                <c:pt idx="23">
                  <c:v>1.0223477000000001</c:v>
                </c:pt>
              </c:numCache>
            </c:numRef>
          </c:val>
        </c:ser>
        <c:ser>
          <c:idx val="1"/>
          <c:order val="1"/>
          <c:tx>
            <c:strRef>
              <c:f>'Figure 3-1'!$D$2</c:f>
              <c:strCache>
                <c:ptCount val="1"/>
                <c:pt idx="0">
                  <c:v>Group B</c:v>
                </c:pt>
              </c:strCache>
            </c:strRef>
          </c:tx>
          <c:marker>
            <c:symbol val="none"/>
          </c:marker>
          <c:val>
            <c:numRef>
              <c:f>'Figure 3-1'!$D$3:$D$26</c:f>
              <c:numCache>
                <c:formatCode>General</c:formatCode>
                <c:ptCount val="24"/>
                <c:pt idx="0">
                  <c:v>0.82628051000000002</c:v>
                </c:pt>
                <c:pt idx="1">
                  <c:v>0.71437856</c:v>
                </c:pt>
                <c:pt idx="2">
                  <c:v>0.65420734999999997</c:v>
                </c:pt>
                <c:pt idx="3">
                  <c:v>0.61505374999999951</c:v>
                </c:pt>
                <c:pt idx="4">
                  <c:v>0.60194898000000063</c:v>
                </c:pt>
                <c:pt idx="5">
                  <c:v>0.63653139000000003</c:v>
                </c:pt>
                <c:pt idx="6">
                  <c:v>0.76002968000000182</c:v>
                </c:pt>
                <c:pt idx="7">
                  <c:v>0.82882051000000145</c:v>
                </c:pt>
                <c:pt idx="8">
                  <c:v>0.84796879999999997</c:v>
                </c:pt>
                <c:pt idx="9">
                  <c:v>0.88247986000000045</c:v>
                </c:pt>
                <c:pt idx="10">
                  <c:v>0.96857146000000005</c:v>
                </c:pt>
                <c:pt idx="11">
                  <c:v>1.1274881999999999</c:v>
                </c:pt>
                <c:pt idx="12">
                  <c:v>1.3659596999999972</c:v>
                </c:pt>
                <c:pt idx="13">
                  <c:v>1.5904183000000001</c:v>
                </c:pt>
                <c:pt idx="14">
                  <c:v>1.8074587</c:v>
                </c:pt>
                <c:pt idx="15">
                  <c:v>1.9735876000000001</c:v>
                </c:pt>
                <c:pt idx="16">
                  <c:v>2.0998815</c:v>
                </c:pt>
                <c:pt idx="17">
                  <c:v>2.1451536</c:v>
                </c:pt>
                <c:pt idx="18">
                  <c:v>2.0645652000000001</c:v>
                </c:pt>
                <c:pt idx="19">
                  <c:v>2.0000971999999999</c:v>
                </c:pt>
                <c:pt idx="20">
                  <c:v>1.8347872999999999</c:v>
                </c:pt>
                <c:pt idx="21">
                  <c:v>1.6217845</c:v>
                </c:pt>
                <c:pt idx="22">
                  <c:v>1.3203141</c:v>
                </c:pt>
                <c:pt idx="23">
                  <c:v>1.0409864</c:v>
                </c:pt>
              </c:numCache>
            </c:numRef>
          </c:val>
        </c:ser>
        <c:marker val="1"/>
        <c:axId val="186069760"/>
        <c:axId val="186071680"/>
      </c:lineChart>
      <c:catAx>
        <c:axId val="186069760"/>
        <c:scaling>
          <c:orientation val="minMax"/>
        </c:scaling>
        <c:axPos val="b"/>
        <c:title>
          <c:tx>
            <c:rich>
              <a:bodyPr/>
              <a:lstStyle/>
              <a:p>
                <a:pPr>
                  <a:defRPr/>
                </a:pPr>
                <a:r>
                  <a:rPr lang="en-US"/>
                  <a:t>Hour Ending</a:t>
                </a:r>
              </a:p>
            </c:rich>
          </c:tx>
        </c:title>
        <c:tickLblPos val="nextTo"/>
        <c:crossAx val="186071680"/>
        <c:crosses val="autoZero"/>
        <c:auto val="1"/>
        <c:lblAlgn val="ctr"/>
        <c:lblOffset val="100"/>
      </c:catAx>
      <c:valAx>
        <c:axId val="186071680"/>
        <c:scaling>
          <c:orientation val="minMax"/>
        </c:scaling>
        <c:axPos val="l"/>
        <c:majorGridlines/>
        <c:title>
          <c:tx>
            <c:rich>
              <a:bodyPr rot="-5400000" vert="horz"/>
              <a:lstStyle/>
              <a:p>
                <a:pPr>
                  <a:defRPr/>
                </a:pPr>
                <a:r>
                  <a:rPr lang="en-US"/>
                  <a:t>kW</a:t>
                </a:r>
              </a:p>
            </c:rich>
          </c:tx>
        </c:title>
        <c:numFmt formatCode="General" sourceLinked="1"/>
        <c:tickLblPos val="nextTo"/>
        <c:crossAx val="186069760"/>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'50% Cycling'!$C$2</c:f>
              <c:strCache>
                <c:ptCount val="1"/>
                <c:pt idx="0">
                  <c:v>Ex Post</c:v>
                </c:pt>
              </c:strCache>
            </c:strRef>
          </c:tx>
          <c:spPr>
            <a:ln w="28575">
              <a:noFill/>
            </a:ln>
          </c:spPr>
          <c:xVal>
            <c:numRef>
              <c:f>'50% Cycling'!$B$3:$B$25</c:f>
              <c:numCache>
                <c:formatCode>General</c:formatCode>
                <c:ptCount val="23"/>
                <c:pt idx="0">
                  <c:v>76.316490000000002</c:v>
                </c:pt>
                <c:pt idx="1">
                  <c:v>79.894329999999997</c:v>
                </c:pt>
                <c:pt idx="2">
                  <c:v>76.34254</c:v>
                </c:pt>
                <c:pt idx="3">
                  <c:v>79.500020000000006</c:v>
                </c:pt>
                <c:pt idx="4">
                  <c:v>78.12018999999998</c:v>
                </c:pt>
                <c:pt idx="5">
                  <c:v>76.62730999999998</c:v>
                </c:pt>
                <c:pt idx="6">
                  <c:v>77.791489999999996</c:v>
                </c:pt>
                <c:pt idx="7">
                  <c:v>78.206410000000005</c:v>
                </c:pt>
                <c:pt idx="8">
                  <c:v>86.28246</c:v>
                </c:pt>
                <c:pt idx="9">
                  <c:v>79.386449999999982</c:v>
                </c:pt>
                <c:pt idx="10">
                  <c:v>75.643039999999999</c:v>
                </c:pt>
                <c:pt idx="11">
                  <c:v>75.780199999999994</c:v>
                </c:pt>
                <c:pt idx="12">
                  <c:v>78.407950000000127</c:v>
                </c:pt>
                <c:pt idx="13">
                  <c:v>76.787639999999996</c:v>
                </c:pt>
                <c:pt idx="14">
                  <c:v>82.036530000000013</c:v>
                </c:pt>
                <c:pt idx="15">
                  <c:v>81.249550000000127</c:v>
                </c:pt>
                <c:pt idx="16">
                  <c:v>68.638469999999998</c:v>
                </c:pt>
                <c:pt idx="17">
                  <c:v>77.337159999999997</c:v>
                </c:pt>
                <c:pt idx="18">
                  <c:v>79.693610000000007</c:v>
                </c:pt>
                <c:pt idx="19">
                  <c:v>80.577079999999981</c:v>
                </c:pt>
                <c:pt idx="20">
                  <c:v>74.563919999999996</c:v>
                </c:pt>
                <c:pt idx="21">
                  <c:v>81.841550000000026</c:v>
                </c:pt>
                <c:pt idx="22">
                  <c:v>77.661349999999999</c:v>
                </c:pt>
              </c:numCache>
            </c:numRef>
          </c:xVal>
          <c:yVal>
            <c:numRef>
              <c:f>'50% Cycling'!$C$3:$C$25</c:f>
              <c:numCache>
                <c:formatCode>General</c:formatCode>
                <c:ptCount val="23"/>
                <c:pt idx="0">
                  <c:v>0.10798480000000002</c:v>
                </c:pt>
                <c:pt idx="1">
                  <c:v>0.13886830000000044</c:v>
                </c:pt>
                <c:pt idx="2">
                  <c:v>0.1287027</c:v>
                </c:pt>
                <c:pt idx="3">
                  <c:v>0.15311710000000067</c:v>
                </c:pt>
                <c:pt idx="4">
                  <c:v>0.13434570000000001</c:v>
                </c:pt>
                <c:pt idx="5">
                  <c:v>0.14095460000000001</c:v>
                </c:pt>
                <c:pt idx="6">
                  <c:v>0.14299480000000067</c:v>
                </c:pt>
                <c:pt idx="7">
                  <c:v>0.13135579999999997</c:v>
                </c:pt>
                <c:pt idx="8">
                  <c:v>0.23779730000000093</c:v>
                </c:pt>
                <c:pt idx="9">
                  <c:v>0.12533849999999999</c:v>
                </c:pt>
                <c:pt idx="10">
                  <c:v>0.1014805</c:v>
                </c:pt>
                <c:pt idx="11">
                  <c:v>0.1208004</c:v>
                </c:pt>
                <c:pt idx="12">
                  <c:v>0.20002139999999999</c:v>
                </c:pt>
                <c:pt idx="13">
                  <c:v>9.0229600000000021E-2</c:v>
                </c:pt>
                <c:pt idx="14">
                  <c:v>0.18226200000000067</c:v>
                </c:pt>
                <c:pt idx="15">
                  <c:v>0.11455609999999998</c:v>
                </c:pt>
                <c:pt idx="16">
                  <c:v>9.9382500000000012E-2</c:v>
                </c:pt>
                <c:pt idx="17">
                  <c:v>0.14229059999999999</c:v>
                </c:pt>
                <c:pt idx="18">
                  <c:v>0.19573520000000041</c:v>
                </c:pt>
                <c:pt idx="19">
                  <c:v>0.1666291</c:v>
                </c:pt>
                <c:pt idx="20">
                  <c:v>8.2668000000000005E-2</c:v>
                </c:pt>
                <c:pt idx="21">
                  <c:v>0.2073257</c:v>
                </c:pt>
                <c:pt idx="22">
                  <c:v>0.14214180000000001</c:v>
                </c:pt>
              </c:numCache>
            </c:numRef>
          </c:yVal>
        </c:ser>
        <c:ser>
          <c:idx val="1"/>
          <c:order val="1"/>
          <c:tx>
            <c:strRef>
              <c:f>'50% Cycling'!$G$27</c:f>
              <c:strCache>
                <c:ptCount val="1"/>
                <c:pt idx="0">
                  <c:v>Ex Ante</c:v>
                </c:pt>
              </c:strCache>
            </c:strRef>
          </c:tx>
          <c:spPr>
            <a:ln w="28575">
              <a:noFill/>
            </a:ln>
          </c:spPr>
          <c:xVal>
            <c:numRef>
              <c:f>'50% Cycling'!$F$28:$F$39</c:f>
              <c:numCache>
                <c:formatCode>General</c:formatCode>
                <c:ptCount val="12"/>
                <c:pt idx="0">
                  <c:v>75.208299999999994</c:v>
                </c:pt>
                <c:pt idx="1">
                  <c:v>67.976100000000002</c:v>
                </c:pt>
                <c:pt idx="2">
                  <c:v>78.991500000000329</c:v>
                </c:pt>
                <c:pt idx="3">
                  <c:v>68.427499999999995</c:v>
                </c:pt>
                <c:pt idx="4">
                  <c:v>79.258200000000002</c:v>
                </c:pt>
                <c:pt idx="5">
                  <c:v>77.026600000000002</c:v>
                </c:pt>
                <c:pt idx="6">
                  <c:v>80.061600000000027</c:v>
                </c:pt>
                <c:pt idx="7">
                  <c:v>79.419500000000127</c:v>
                </c:pt>
                <c:pt idx="8">
                  <c:v>76.559399999999982</c:v>
                </c:pt>
                <c:pt idx="9">
                  <c:v>76.901500000000027</c:v>
                </c:pt>
                <c:pt idx="10">
                  <c:v>86.091200000000285</c:v>
                </c:pt>
                <c:pt idx="11">
                  <c:v>81.200700000000012</c:v>
                </c:pt>
              </c:numCache>
            </c:numRef>
          </c:xVal>
          <c:yVal>
            <c:numRef>
              <c:f>'50% Cycling'!$G$28:$G$39</c:f>
              <c:numCache>
                <c:formatCode>General</c:formatCode>
                <c:ptCount val="12"/>
                <c:pt idx="0">
                  <c:v>0.1163677</c:v>
                </c:pt>
                <c:pt idx="1">
                  <c:v>5.2719100000000033E-2</c:v>
                </c:pt>
                <c:pt idx="2">
                  <c:v>0.1496635</c:v>
                </c:pt>
                <c:pt idx="3">
                  <c:v>5.6691400000000003E-2</c:v>
                </c:pt>
                <c:pt idx="4">
                  <c:v>0.15201040000000093</c:v>
                </c:pt>
                <c:pt idx="5">
                  <c:v>0.1323703</c:v>
                </c:pt>
                <c:pt idx="6">
                  <c:v>0.15908120000000067</c:v>
                </c:pt>
                <c:pt idx="7">
                  <c:v>0.15342970000000059</c:v>
                </c:pt>
                <c:pt idx="8">
                  <c:v>0.12825919999999999</c:v>
                </c:pt>
                <c:pt idx="9">
                  <c:v>0.13126979999999999</c:v>
                </c:pt>
                <c:pt idx="10">
                  <c:v>0.21214630000000076</c:v>
                </c:pt>
                <c:pt idx="11">
                  <c:v>0.16910620000000001</c:v>
                </c:pt>
              </c:numCache>
            </c:numRef>
          </c:yVal>
        </c:ser>
        <c:axId val="186097024"/>
        <c:axId val="186111488"/>
      </c:scatterChart>
      <c:valAx>
        <c:axId val="186097024"/>
        <c:scaling>
          <c:orientation val="minMax"/>
          <c:min val="65"/>
        </c:scaling>
        <c:axPos val="b"/>
        <c:title>
          <c:tx>
            <c:rich>
              <a:bodyPr/>
              <a:lstStyle/>
              <a:p>
                <a:pPr>
                  <a:defRPr/>
                </a:pPr>
                <a:r>
                  <a:rPr lang="en-US"/>
                  <a:t>Mean17</a:t>
                </a:r>
              </a:p>
            </c:rich>
          </c:tx>
        </c:title>
        <c:numFmt formatCode="General" sourceLinked="1"/>
        <c:tickLblPos val="nextTo"/>
        <c:crossAx val="186111488"/>
        <c:crosses val="autoZero"/>
        <c:crossBetween val="midCat"/>
      </c:valAx>
      <c:valAx>
        <c:axId val="186111488"/>
        <c:scaling>
          <c:orientation val="minMax"/>
        </c:scaling>
        <c:axPos val="l"/>
        <c:majorGridlines/>
        <c:title>
          <c:tx>
            <c:rich>
              <a:bodyPr rot="-5400000" vert="horz"/>
              <a:lstStyle/>
              <a:p>
                <a:pPr>
                  <a:defRPr/>
                </a:pPr>
                <a:r>
                  <a:rPr lang="en-US"/>
                  <a:t>kW/Ton</a:t>
                </a:r>
              </a:p>
            </c:rich>
          </c:tx>
        </c:title>
        <c:numFmt formatCode="General" sourceLinked="1"/>
        <c:tickLblPos val="nextTo"/>
        <c:crossAx val="186097024"/>
        <c:crosses val="autoZero"/>
        <c:crossBetween val="midCat"/>
      </c:valAx>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'100% Cycling'!$B$2</c:f>
              <c:strCache>
                <c:ptCount val="1"/>
                <c:pt idx="0">
                  <c:v>Ex Post</c:v>
                </c:pt>
              </c:strCache>
            </c:strRef>
          </c:tx>
          <c:spPr>
            <a:ln w="28575">
              <a:noFill/>
            </a:ln>
          </c:spPr>
          <c:xVal>
            <c:numRef>
              <c:f>'100% Cycling'!$C$3:$C$25</c:f>
              <c:numCache>
                <c:formatCode>General</c:formatCode>
                <c:ptCount val="23"/>
                <c:pt idx="0">
                  <c:v>75.406750000000002</c:v>
                </c:pt>
                <c:pt idx="1">
                  <c:v>78.719710000000006</c:v>
                </c:pt>
                <c:pt idx="2">
                  <c:v>74.759249999999994</c:v>
                </c:pt>
                <c:pt idx="3">
                  <c:v>78.138239999999982</c:v>
                </c:pt>
                <c:pt idx="4">
                  <c:v>76.901240000000314</c:v>
                </c:pt>
                <c:pt idx="5">
                  <c:v>74.983180000000004</c:v>
                </c:pt>
                <c:pt idx="6">
                  <c:v>76.366690000000006</c:v>
                </c:pt>
                <c:pt idx="7">
                  <c:v>76.05189</c:v>
                </c:pt>
                <c:pt idx="8">
                  <c:v>86.235119999999995</c:v>
                </c:pt>
                <c:pt idx="9">
                  <c:v>79.406110000000027</c:v>
                </c:pt>
                <c:pt idx="10">
                  <c:v>75.347630000000024</c:v>
                </c:pt>
                <c:pt idx="11">
                  <c:v>75.987300000000005</c:v>
                </c:pt>
                <c:pt idx="12">
                  <c:v>78.550489999999982</c:v>
                </c:pt>
                <c:pt idx="13">
                  <c:v>76.179369999999949</c:v>
                </c:pt>
                <c:pt idx="14">
                  <c:v>81.865049999999982</c:v>
                </c:pt>
                <c:pt idx="15">
                  <c:v>81.160369999999986</c:v>
                </c:pt>
                <c:pt idx="16">
                  <c:v>68.618769999999998</c:v>
                </c:pt>
                <c:pt idx="17">
                  <c:v>76.852649999999983</c:v>
                </c:pt>
                <c:pt idx="18">
                  <c:v>79.11215</c:v>
                </c:pt>
                <c:pt idx="19">
                  <c:v>80.179069999999982</c:v>
                </c:pt>
                <c:pt idx="20">
                  <c:v>74.021420000000006</c:v>
                </c:pt>
                <c:pt idx="21">
                  <c:v>81.662699999999987</c:v>
                </c:pt>
                <c:pt idx="22">
                  <c:v>77.222809999999981</c:v>
                </c:pt>
              </c:numCache>
            </c:numRef>
          </c:xVal>
          <c:yVal>
            <c:numRef>
              <c:f>'100% Cycling'!$B$3:$B$25</c:f>
              <c:numCache>
                <c:formatCode>General</c:formatCode>
                <c:ptCount val="23"/>
                <c:pt idx="0">
                  <c:v>0.10563760000000012</c:v>
                </c:pt>
                <c:pt idx="1">
                  <c:v>0.14715010000000001</c:v>
                </c:pt>
                <c:pt idx="2">
                  <c:v>0.10063419999999999</c:v>
                </c:pt>
                <c:pt idx="3">
                  <c:v>0.13201420000000041</c:v>
                </c:pt>
                <c:pt idx="4">
                  <c:v>0.11085479999999998</c:v>
                </c:pt>
                <c:pt idx="5">
                  <c:v>0.11573420000000044</c:v>
                </c:pt>
                <c:pt idx="6">
                  <c:v>0.1199728</c:v>
                </c:pt>
                <c:pt idx="7">
                  <c:v>9.5630900000000227E-2</c:v>
                </c:pt>
                <c:pt idx="8">
                  <c:v>0.23679840000000094</c:v>
                </c:pt>
                <c:pt idx="9">
                  <c:v>0.1194535</c:v>
                </c:pt>
                <c:pt idx="10">
                  <c:v>9.2507400000000045E-2</c:v>
                </c:pt>
                <c:pt idx="11">
                  <c:v>0.12177020000000041</c:v>
                </c:pt>
                <c:pt idx="12">
                  <c:v>0.18276180000000058</c:v>
                </c:pt>
                <c:pt idx="13">
                  <c:v>9.1793200000000033E-2</c:v>
                </c:pt>
                <c:pt idx="14">
                  <c:v>0.16724570000000041</c:v>
                </c:pt>
                <c:pt idx="15">
                  <c:v>0.10186350000000002</c:v>
                </c:pt>
                <c:pt idx="16">
                  <c:v>7.0087900000000022E-2</c:v>
                </c:pt>
                <c:pt idx="17">
                  <c:v>0.16861740000000044</c:v>
                </c:pt>
                <c:pt idx="18">
                  <c:v>0.21781430000000093</c:v>
                </c:pt>
                <c:pt idx="19">
                  <c:v>0.20415249999999999</c:v>
                </c:pt>
                <c:pt idx="20">
                  <c:v>0.13474020000000067</c:v>
                </c:pt>
                <c:pt idx="21">
                  <c:v>0.21801880000000079</c:v>
                </c:pt>
                <c:pt idx="22">
                  <c:v>0.12898029999999999</c:v>
                </c:pt>
              </c:numCache>
            </c:numRef>
          </c:yVal>
        </c:ser>
        <c:ser>
          <c:idx val="1"/>
          <c:order val="1"/>
          <c:tx>
            <c:strRef>
              <c:f>'100% Cycling'!$F$27</c:f>
              <c:strCache>
                <c:ptCount val="1"/>
                <c:pt idx="0">
                  <c:v>Ex Ante</c:v>
                </c:pt>
              </c:strCache>
            </c:strRef>
          </c:tx>
          <c:spPr>
            <a:ln w="28575">
              <a:noFill/>
            </a:ln>
          </c:spPr>
          <c:xVal>
            <c:numRef>
              <c:f>'100% Cycling'!$G$28:$G$39</c:f>
              <c:numCache>
                <c:formatCode>General</c:formatCode>
                <c:ptCount val="12"/>
                <c:pt idx="0">
                  <c:v>75.036600000000007</c:v>
                </c:pt>
                <c:pt idx="1">
                  <c:v>67.722399999999979</c:v>
                </c:pt>
                <c:pt idx="2">
                  <c:v>78.247500000000343</c:v>
                </c:pt>
                <c:pt idx="3">
                  <c:v>68.087599999999995</c:v>
                </c:pt>
                <c:pt idx="4">
                  <c:v>78.697700000000012</c:v>
                </c:pt>
                <c:pt idx="5">
                  <c:v>76.798400000000001</c:v>
                </c:pt>
                <c:pt idx="6">
                  <c:v>79.502600000000001</c:v>
                </c:pt>
                <c:pt idx="7">
                  <c:v>79.023399999999981</c:v>
                </c:pt>
                <c:pt idx="8">
                  <c:v>76.122999999999948</c:v>
                </c:pt>
                <c:pt idx="9">
                  <c:v>76.522199999999998</c:v>
                </c:pt>
                <c:pt idx="10">
                  <c:v>85.524500000000003</c:v>
                </c:pt>
                <c:pt idx="11">
                  <c:v>80.903000000000006</c:v>
                </c:pt>
              </c:numCache>
            </c:numRef>
          </c:xVal>
          <c:yVal>
            <c:numRef>
              <c:f>'100% Cycling'!$F$28:$F$39</c:f>
              <c:numCache>
                <c:formatCode>General</c:formatCode>
                <c:ptCount val="12"/>
                <c:pt idx="0">
                  <c:v>0.1138121</c:v>
                </c:pt>
                <c:pt idx="1">
                  <c:v>4.1408599999999997E-2</c:v>
                </c:pt>
                <c:pt idx="2">
                  <c:v>0.14559770000000041</c:v>
                </c:pt>
                <c:pt idx="3">
                  <c:v>4.5024000000000002E-2</c:v>
                </c:pt>
                <c:pt idx="4">
                  <c:v>0.15005410000000041</c:v>
                </c:pt>
                <c:pt idx="5">
                  <c:v>0.1312526</c:v>
                </c:pt>
                <c:pt idx="6">
                  <c:v>0.15802130000000059</c:v>
                </c:pt>
                <c:pt idx="7">
                  <c:v>0.15327769999999999</c:v>
                </c:pt>
                <c:pt idx="8">
                  <c:v>0.12456720000000022</c:v>
                </c:pt>
                <c:pt idx="9">
                  <c:v>0.12851850000000001</c:v>
                </c:pt>
                <c:pt idx="10">
                  <c:v>0.21763310000000041</c:v>
                </c:pt>
                <c:pt idx="11">
                  <c:v>0.17188490000000001</c:v>
                </c:pt>
              </c:numCache>
            </c:numRef>
          </c:yVal>
        </c:ser>
        <c:axId val="193140608"/>
        <c:axId val="193163264"/>
      </c:scatterChart>
      <c:valAx>
        <c:axId val="193140608"/>
        <c:scaling>
          <c:orientation val="minMax"/>
          <c:min val="65"/>
        </c:scaling>
        <c:axPos val="b"/>
        <c:title>
          <c:tx>
            <c:rich>
              <a:bodyPr/>
              <a:lstStyle/>
              <a:p>
                <a:pPr>
                  <a:defRPr/>
                </a:pPr>
                <a:r>
                  <a:rPr lang="en-US"/>
                  <a:t>Mean17</a:t>
                </a:r>
              </a:p>
            </c:rich>
          </c:tx>
        </c:title>
        <c:numFmt formatCode="General" sourceLinked="1"/>
        <c:tickLblPos val="nextTo"/>
        <c:crossAx val="193163264"/>
        <c:crosses val="autoZero"/>
        <c:crossBetween val="midCat"/>
      </c:valAx>
      <c:valAx>
        <c:axId val="193163264"/>
        <c:scaling>
          <c:orientation val="minMax"/>
        </c:scaling>
        <c:axPos val="l"/>
        <c:majorGridlines/>
        <c:title>
          <c:tx>
            <c:rich>
              <a:bodyPr rot="-5400000" vert="horz"/>
              <a:lstStyle/>
              <a:p>
                <a:pPr>
                  <a:defRPr/>
                </a:pPr>
                <a:r>
                  <a:rPr lang="en-US"/>
                  <a:t>kW/Ton</a:t>
                </a:r>
              </a:p>
            </c:rich>
          </c:tx>
        </c:title>
        <c:numFmt formatCode="General" sourceLinked="1"/>
        <c:tickLblPos val="nextTo"/>
        <c:crossAx val="193140608"/>
        <c:crosses val="autoZero"/>
        <c:crossBetween val="midCat"/>
      </c:valAx>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tx>
            <c:strRef>
              <c:f>'30% Cycling'!$C$2</c:f>
              <c:strCache>
                <c:ptCount val="1"/>
                <c:pt idx="0">
                  <c:v>Ex Post</c:v>
                </c:pt>
              </c:strCache>
            </c:strRef>
          </c:tx>
          <c:spPr>
            <a:ln w="28575">
              <a:noFill/>
            </a:ln>
          </c:spPr>
          <c:xVal>
            <c:numRef>
              <c:f>'30% Cycling'!$B$3:$B$25</c:f>
              <c:numCache>
                <c:formatCode>General</c:formatCode>
                <c:ptCount val="23"/>
                <c:pt idx="0">
                  <c:v>74.763210000000299</c:v>
                </c:pt>
                <c:pt idx="1">
                  <c:v>77.58208999999998</c:v>
                </c:pt>
                <c:pt idx="2">
                  <c:v>74.08244999999998</c:v>
                </c:pt>
                <c:pt idx="3">
                  <c:v>77.467370000000003</c:v>
                </c:pt>
                <c:pt idx="4">
                  <c:v>76.353669999999994</c:v>
                </c:pt>
                <c:pt idx="5">
                  <c:v>74.427700000000002</c:v>
                </c:pt>
                <c:pt idx="6">
                  <c:v>75.834410000000005</c:v>
                </c:pt>
                <c:pt idx="7">
                  <c:v>75.723230000000001</c:v>
                </c:pt>
                <c:pt idx="8">
                  <c:v>84.308979999999949</c:v>
                </c:pt>
                <c:pt idx="9">
                  <c:v>78.989450000000005</c:v>
                </c:pt>
                <c:pt idx="10">
                  <c:v>75.661019999999994</c:v>
                </c:pt>
                <c:pt idx="11">
                  <c:v>78.889939999999982</c:v>
                </c:pt>
                <c:pt idx="12">
                  <c:v>73.532560000000004</c:v>
                </c:pt>
                <c:pt idx="13">
                  <c:v>75.58005</c:v>
                </c:pt>
                <c:pt idx="14">
                  <c:v>75.58005</c:v>
                </c:pt>
                <c:pt idx="15">
                  <c:v>75.58005</c:v>
                </c:pt>
                <c:pt idx="16">
                  <c:v>77.208759999999998</c:v>
                </c:pt>
                <c:pt idx="17">
                  <c:v>76.295910000000006</c:v>
                </c:pt>
                <c:pt idx="18">
                  <c:v>78.642579999999981</c:v>
                </c:pt>
                <c:pt idx="19">
                  <c:v>79.826610000000002</c:v>
                </c:pt>
                <c:pt idx="20">
                  <c:v>73.546870000000013</c:v>
                </c:pt>
                <c:pt idx="21">
                  <c:v>80.413010000000227</c:v>
                </c:pt>
                <c:pt idx="22">
                  <c:v>76.4238</c:v>
                </c:pt>
              </c:numCache>
            </c:numRef>
          </c:xVal>
          <c:yVal>
            <c:numRef>
              <c:f>'30% Cycling'!$C$3:$C$25</c:f>
              <c:numCache>
                <c:formatCode>General</c:formatCode>
                <c:ptCount val="23"/>
                <c:pt idx="0">
                  <c:v>6.7283700000000002E-2</c:v>
                </c:pt>
                <c:pt idx="1">
                  <c:v>7.4998600000000332E-2</c:v>
                </c:pt>
                <c:pt idx="2">
                  <c:v>6.540940000000002E-2</c:v>
                </c:pt>
                <c:pt idx="3">
                  <c:v>7.3402500000000023E-2</c:v>
                </c:pt>
                <c:pt idx="4">
                  <c:v>6.8662500000000001E-2</c:v>
                </c:pt>
                <c:pt idx="5">
                  <c:v>6.5270300000000003E-2</c:v>
                </c:pt>
                <c:pt idx="6">
                  <c:v>6.8351599999999998E-2</c:v>
                </c:pt>
                <c:pt idx="7">
                  <c:v>6.7018400000000297E-2</c:v>
                </c:pt>
                <c:pt idx="8">
                  <c:v>9.5229100000000025E-2</c:v>
                </c:pt>
                <c:pt idx="9">
                  <c:v>7.322670000000002E-2</c:v>
                </c:pt>
                <c:pt idx="10">
                  <c:v>6.7089800000000005E-2</c:v>
                </c:pt>
                <c:pt idx="11">
                  <c:v>8.9592300000000499E-2</c:v>
                </c:pt>
                <c:pt idx="12">
                  <c:v>6.5784300000000004E-2</c:v>
                </c:pt>
                <c:pt idx="13">
                  <c:v>8.6340400000000012E-2</c:v>
                </c:pt>
                <c:pt idx="14">
                  <c:v>8.7409699999999993E-2</c:v>
                </c:pt>
                <c:pt idx="15">
                  <c:v>4.5541299999999986E-2</c:v>
                </c:pt>
                <c:pt idx="16">
                  <c:v>3.8740400000000001E-2</c:v>
                </c:pt>
                <c:pt idx="17">
                  <c:v>6.3174099999999997E-2</c:v>
                </c:pt>
                <c:pt idx="18">
                  <c:v>5.5103500000000014E-2</c:v>
                </c:pt>
                <c:pt idx="19">
                  <c:v>0.12402050000000034</c:v>
                </c:pt>
                <c:pt idx="20">
                  <c:v>1.63774E-2</c:v>
                </c:pt>
                <c:pt idx="21">
                  <c:v>6.0672500000000004E-2</c:v>
                </c:pt>
                <c:pt idx="22">
                  <c:v>9.3261100000000027E-2</c:v>
                </c:pt>
              </c:numCache>
            </c:numRef>
          </c:yVal>
        </c:ser>
        <c:ser>
          <c:idx val="1"/>
          <c:order val="1"/>
          <c:tx>
            <c:strRef>
              <c:f>'30% Cycling'!$G$27</c:f>
              <c:strCache>
                <c:ptCount val="1"/>
                <c:pt idx="0">
                  <c:v>Ex Ante</c:v>
                </c:pt>
              </c:strCache>
            </c:strRef>
          </c:tx>
          <c:spPr>
            <a:ln w="28575">
              <a:noFill/>
            </a:ln>
          </c:spPr>
          <c:xVal>
            <c:numRef>
              <c:f>'30% Cycling'!$F$28:$F$39</c:f>
              <c:numCache>
                <c:formatCode>General</c:formatCode>
                <c:ptCount val="12"/>
                <c:pt idx="0">
                  <c:v>74.894900000000007</c:v>
                </c:pt>
                <c:pt idx="1">
                  <c:v>67.711200000000375</c:v>
                </c:pt>
                <c:pt idx="2">
                  <c:v>77.957099999999997</c:v>
                </c:pt>
                <c:pt idx="3">
                  <c:v>67.976399999999998</c:v>
                </c:pt>
                <c:pt idx="4">
                  <c:v>78.200900000000004</c:v>
                </c:pt>
                <c:pt idx="5">
                  <c:v>76.6631</c:v>
                </c:pt>
                <c:pt idx="6">
                  <c:v>79.274500000000003</c:v>
                </c:pt>
                <c:pt idx="7">
                  <c:v>78.781300000000002</c:v>
                </c:pt>
                <c:pt idx="8">
                  <c:v>75.908699999999996</c:v>
                </c:pt>
                <c:pt idx="9">
                  <c:v>76.366100000000003</c:v>
                </c:pt>
                <c:pt idx="10">
                  <c:v>85.251000000000005</c:v>
                </c:pt>
                <c:pt idx="11">
                  <c:v>80.567099999999996</c:v>
                </c:pt>
              </c:numCache>
            </c:numRef>
          </c:xVal>
          <c:yVal>
            <c:numRef>
              <c:f>'30% Cycling'!$G$28:$G$39</c:f>
              <c:numCache>
                <c:formatCode>General</c:formatCode>
                <c:ptCount val="12"/>
                <c:pt idx="0">
                  <c:v>6.2607200000000002E-2</c:v>
                </c:pt>
                <c:pt idx="1">
                  <c:v>3.4609200000000138E-2</c:v>
                </c:pt>
                <c:pt idx="2">
                  <c:v>7.454189999999998E-2</c:v>
                </c:pt>
                <c:pt idx="3">
                  <c:v>3.5642699999999999E-2</c:v>
                </c:pt>
                <c:pt idx="4">
                  <c:v>7.5492000000000337E-2</c:v>
                </c:pt>
                <c:pt idx="5">
                  <c:v>6.9498400000000321E-2</c:v>
                </c:pt>
                <c:pt idx="6">
                  <c:v>7.96761E-2</c:v>
                </c:pt>
                <c:pt idx="7">
                  <c:v>7.7754000000000184E-2</c:v>
                </c:pt>
                <c:pt idx="8">
                  <c:v>6.6558400000000004E-2</c:v>
                </c:pt>
                <c:pt idx="9">
                  <c:v>6.8340899999999996E-2</c:v>
                </c:pt>
                <c:pt idx="10">
                  <c:v>0.1029693</c:v>
                </c:pt>
                <c:pt idx="11">
                  <c:v>8.4713900000000023E-2</c:v>
                </c:pt>
              </c:numCache>
            </c:numRef>
          </c:yVal>
        </c:ser>
        <c:axId val="193188224"/>
        <c:axId val="193190144"/>
      </c:scatterChart>
      <c:valAx>
        <c:axId val="193188224"/>
        <c:scaling>
          <c:orientation val="minMax"/>
          <c:min val="65"/>
        </c:scaling>
        <c:axPos val="b"/>
        <c:title>
          <c:tx>
            <c:rich>
              <a:bodyPr/>
              <a:lstStyle/>
              <a:p>
                <a:pPr>
                  <a:defRPr/>
                </a:pPr>
                <a:r>
                  <a:rPr lang="en-US"/>
                  <a:t>Mean17</a:t>
                </a:r>
              </a:p>
            </c:rich>
          </c:tx>
        </c:title>
        <c:numFmt formatCode="General" sourceLinked="1"/>
        <c:tickLblPos val="nextTo"/>
        <c:crossAx val="193190144"/>
        <c:crosses val="autoZero"/>
        <c:crossBetween val="midCat"/>
      </c:valAx>
      <c:valAx>
        <c:axId val="193190144"/>
        <c:scaling>
          <c:orientation val="minMax"/>
        </c:scaling>
        <c:axPos val="l"/>
        <c:majorGridlines/>
        <c:title>
          <c:tx>
            <c:rich>
              <a:bodyPr rot="-5400000" vert="horz"/>
              <a:lstStyle/>
              <a:p>
                <a:pPr>
                  <a:defRPr/>
                </a:pPr>
                <a:r>
                  <a:rPr lang="en-US"/>
                  <a:t>kW/Ton</a:t>
                </a:r>
              </a:p>
            </c:rich>
          </c:tx>
        </c:title>
        <c:numFmt formatCode="General" sourceLinked="1"/>
        <c:tickLblPos val="nextTo"/>
        <c:crossAx val="193188224"/>
        <c:crosses val="autoZero"/>
        <c:crossBetween val="midCat"/>
      </c:valAx>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'50% Cycling'!$B$2</c:f>
              <c:strCache>
                <c:ptCount val="1"/>
                <c:pt idx="0">
                  <c:v>Ex Post</c:v>
                </c:pt>
              </c:strCache>
            </c:strRef>
          </c:tx>
          <c:spPr>
            <a:ln w="28575">
              <a:noFill/>
            </a:ln>
          </c:spPr>
          <c:xVal>
            <c:numRef>
              <c:f>'50% Cycling'!$C$3:$C$25</c:f>
              <c:numCache>
                <c:formatCode>General</c:formatCode>
                <c:ptCount val="23"/>
                <c:pt idx="0">
                  <c:v>74.524640000000005</c:v>
                </c:pt>
                <c:pt idx="1">
                  <c:v>77.108620000000002</c:v>
                </c:pt>
                <c:pt idx="2">
                  <c:v>73.722110000000001</c:v>
                </c:pt>
                <c:pt idx="3">
                  <c:v>77.042620000000127</c:v>
                </c:pt>
                <c:pt idx="4">
                  <c:v>76.037369999999996</c:v>
                </c:pt>
                <c:pt idx="5">
                  <c:v>74.098230000000001</c:v>
                </c:pt>
                <c:pt idx="6">
                  <c:v>75.501949999999994</c:v>
                </c:pt>
                <c:pt idx="7">
                  <c:v>75.248739999999998</c:v>
                </c:pt>
                <c:pt idx="8">
                  <c:v>84.05341</c:v>
                </c:pt>
                <c:pt idx="9">
                  <c:v>79.066699999999997</c:v>
                </c:pt>
                <c:pt idx="10">
                  <c:v>76.218639999999994</c:v>
                </c:pt>
                <c:pt idx="11">
                  <c:v>78.734409999999997</c:v>
                </c:pt>
                <c:pt idx="12">
                  <c:v>73.094290000000299</c:v>
                </c:pt>
                <c:pt idx="13">
                  <c:v>75.241800000000026</c:v>
                </c:pt>
                <c:pt idx="14">
                  <c:v>75.241800000000026</c:v>
                </c:pt>
                <c:pt idx="15">
                  <c:v>75.241800000000026</c:v>
                </c:pt>
                <c:pt idx="16">
                  <c:v>77.068309999999983</c:v>
                </c:pt>
                <c:pt idx="17">
                  <c:v>76.159099999999981</c:v>
                </c:pt>
                <c:pt idx="18">
                  <c:v>78.418400000000005</c:v>
                </c:pt>
                <c:pt idx="19">
                  <c:v>79.767300000000006</c:v>
                </c:pt>
                <c:pt idx="20">
                  <c:v>73.369620000000026</c:v>
                </c:pt>
                <c:pt idx="21">
                  <c:v>80.11524</c:v>
                </c:pt>
                <c:pt idx="22">
                  <c:v>76.280479999999983</c:v>
                </c:pt>
              </c:numCache>
            </c:numRef>
          </c:xVal>
          <c:yVal>
            <c:numRef>
              <c:f>'50% Cycling'!$B$3:$B$25</c:f>
              <c:numCache>
                <c:formatCode>General</c:formatCode>
                <c:ptCount val="23"/>
                <c:pt idx="0">
                  <c:v>0.10218550000000012</c:v>
                </c:pt>
                <c:pt idx="1">
                  <c:v>0.11249820000000002</c:v>
                </c:pt>
                <c:pt idx="2">
                  <c:v>0.10045270000000002</c:v>
                </c:pt>
                <c:pt idx="3">
                  <c:v>0.1113628</c:v>
                </c:pt>
                <c:pt idx="4">
                  <c:v>0.10531790000000001</c:v>
                </c:pt>
                <c:pt idx="5">
                  <c:v>0.10204520000000022</c:v>
                </c:pt>
                <c:pt idx="6">
                  <c:v>0.10712210000000053</c:v>
                </c:pt>
                <c:pt idx="7">
                  <c:v>0.10350760000000002</c:v>
                </c:pt>
                <c:pt idx="8">
                  <c:v>0.14328520000000058</c:v>
                </c:pt>
                <c:pt idx="9">
                  <c:v>0.1114972</c:v>
                </c:pt>
                <c:pt idx="10">
                  <c:v>0.10475010000000012</c:v>
                </c:pt>
                <c:pt idx="11">
                  <c:v>7.6897499999999994E-2</c:v>
                </c:pt>
                <c:pt idx="12">
                  <c:v>7.6273400000000005E-2</c:v>
                </c:pt>
                <c:pt idx="13">
                  <c:v>8.4460500000000022E-2</c:v>
                </c:pt>
                <c:pt idx="14">
                  <c:v>8.9653300000000574E-2</c:v>
                </c:pt>
                <c:pt idx="15">
                  <c:v>5.9642899999999999E-2</c:v>
                </c:pt>
                <c:pt idx="16">
                  <c:v>4.9514200000000133E-2</c:v>
                </c:pt>
                <c:pt idx="17">
                  <c:v>1.5057E-3</c:v>
                </c:pt>
                <c:pt idx="18">
                  <c:v>7.0763400000000337E-2</c:v>
                </c:pt>
                <c:pt idx="19">
                  <c:v>0.18295390000000059</c:v>
                </c:pt>
                <c:pt idx="20">
                  <c:v>4.0230399999999986E-2</c:v>
                </c:pt>
                <c:pt idx="21">
                  <c:v>0.11369770000000012</c:v>
                </c:pt>
                <c:pt idx="22">
                  <c:v>7.7640399999999998E-2</c:v>
                </c:pt>
              </c:numCache>
            </c:numRef>
          </c:yVal>
        </c:ser>
        <c:ser>
          <c:idx val="1"/>
          <c:order val="1"/>
          <c:tx>
            <c:strRef>
              <c:f>'50% Cycling'!$F$27</c:f>
              <c:strCache>
                <c:ptCount val="1"/>
                <c:pt idx="0">
                  <c:v>Ex Ante</c:v>
                </c:pt>
              </c:strCache>
            </c:strRef>
          </c:tx>
          <c:spPr>
            <a:ln w="28575">
              <a:noFill/>
            </a:ln>
          </c:spPr>
          <c:xVal>
            <c:numRef>
              <c:f>'50% Cycling'!$G$28:$G$39</c:f>
              <c:numCache>
                <c:formatCode>General</c:formatCode>
                <c:ptCount val="12"/>
                <c:pt idx="0">
                  <c:v>74.725099999999998</c:v>
                </c:pt>
                <c:pt idx="1">
                  <c:v>67.421999999999997</c:v>
                </c:pt>
                <c:pt idx="2">
                  <c:v>77.164199999999994</c:v>
                </c:pt>
                <c:pt idx="3">
                  <c:v>67.656299999999987</c:v>
                </c:pt>
                <c:pt idx="4">
                  <c:v>77.352399999999989</c:v>
                </c:pt>
                <c:pt idx="5">
                  <c:v>76.407500000000027</c:v>
                </c:pt>
                <c:pt idx="6">
                  <c:v>78.627099999999999</c:v>
                </c:pt>
                <c:pt idx="7">
                  <c:v>78.338700000000003</c:v>
                </c:pt>
                <c:pt idx="8">
                  <c:v>75.473100000000002</c:v>
                </c:pt>
                <c:pt idx="9">
                  <c:v>75.833699999999993</c:v>
                </c:pt>
                <c:pt idx="10">
                  <c:v>84.44700000000033</c:v>
                </c:pt>
                <c:pt idx="11">
                  <c:v>80.404300000000006</c:v>
                </c:pt>
              </c:numCache>
            </c:numRef>
          </c:xVal>
          <c:yVal>
            <c:numRef>
              <c:f>'50% Cycling'!$F$28:$F$39</c:f>
              <c:numCache>
                <c:formatCode>General</c:formatCode>
                <c:ptCount val="12"/>
                <c:pt idx="0">
                  <c:v>8.0430199999999993E-2</c:v>
                </c:pt>
                <c:pt idx="1">
                  <c:v>3.2968000000000004E-2</c:v>
                </c:pt>
                <c:pt idx="2">
                  <c:v>9.6282000000000006E-2</c:v>
                </c:pt>
                <c:pt idx="3">
                  <c:v>3.4490699999999999E-2</c:v>
                </c:pt>
                <c:pt idx="4">
                  <c:v>9.7504800000000544E-2</c:v>
                </c:pt>
                <c:pt idx="5">
                  <c:v>9.1364000000000042E-2</c:v>
                </c:pt>
                <c:pt idx="6">
                  <c:v>0.10578920000000012</c:v>
                </c:pt>
                <c:pt idx="7">
                  <c:v>0.1039149</c:v>
                </c:pt>
                <c:pt idx="8">
                  <c:v>8.5291700000000012E-2</c:v>
                </c:pt>
                <c:pt idx="9">
                  <c:v>8.7635200000000024E-2</c:v>
                </c:pt>
                <c:pt idx="10">
                  <c:v>0.14361240000000058</c:v>
                </c:pt>
                <c:pt idx="11">
                  <c:v>0.117339</c:v>
                </c:pt>
              </c:numCache>
            </c:numRef>
          </c:yVal>
        </c:ser>
        <c:axId val="193223296"/>
        <c:axId val="193229568"/>
      </c:scatterChart>
      <c:valAx>
        <c:axId val="193223296"/>
        <c:scaling>
          <c:orientation val="minMax"/>
          <c:min val="65"/>
        </c:scaling>
        <c:axPos val="b"/>
        <c:title>
          <c:tx>
            <c:rich>
              <a:bodyPr/>
              <a:lstStyle/>
              <a:p>
                <a:pPr>
                  <a:defRPr/>
                </a:pPr>
                <a:r>
                  <a:rPr lang="en-US"/>
                  <a:t>Mean17</a:t>
                </a:r>
              </a:p>
            </c:rich>
          </c:tx>
        </c:title>
        <c:numFmt formatCode="General" sourceLinked="1"/>
        <c:tickLblPos val="nextTo"/>
        <c:crossAx val="193229568"/>
        <c:crosses val="autoZero"/>
        <c:crossBetween val="midCat"/>
      </c:valAx>
      <c:valAx>
        <c:axId val="193229568"/>
        <c:scaling>
          <c:orientation val="minMax"/>
        </c:scaling>
        <c:axPos val="l"/>
        <c:majorGridlines/>
        <c:title>
          <c:tx>
            <c:rich>
              <a:bodyPr rot="-5400000" vert="horz"/>
              <a:lstStyle/>
              <a:p>
                <a:pPr>
                  <a:defRPr/>
                </a:pPr>
                <a:r>
                  <a:rPr lang="en-US"/>
                  <a:t>kW/Ton</a:t>
                </a:r>
              </a:p>
            </c:rich>
          </c:tx>
        </c:title>
        <c:numFmt formatCode="General" sourceLinked="1"/>
        <c:tickLblPos val="nextTo"/>
        <c:crossAx val="193223296"/>
        <c:crosses val="autoZero"/>
        <c:crossBetween val="midCat"/>
      </c:valAx>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'Figure 3-1 and 6-1'!$P$2</c:f>
              <c:strCache>
                <c:ptCount val="1"/>
                <c:pt idx="0">
                  <c:v>Treatment</c:v>
                </c:pt>
              </c:strCache>
            </c:strRef>
          </c:tx>
          <c:marker>
            <c:symbol val="none"/>
          </c:marker>
          <c:val>
            <c:numRef>
              <c:f>'Figure 3-1 and 6-1'!$P$3:$P$26</c:f>
              <c:numCache>
                <c:formatCode>General</c:formatCode>
                <c:ptCount val="24"/>
                <c:pt idx="0">
                  <c:v>0.70333612999999851</c:v>
                </c:pt>
                <c:pt idx="1">
                  <c:v>0.61828570999999999</c:v>
                </c:pt>
                <c:pt idx="2">
                  <c:v>0.57981512999999996</c:v>
                </c:pt>
                <c:pt idx="3">
                  <c:v>0.53827731000000001</c:v>
                </c:pt>
                <c:pt idx="4">
                  <c:v>0.53846217999999835</c:v>
                </c:pt>
                <c:pt idx="5">
                  <c:v>0.57439496000000001</c:v>
                </c:pt>
                <c:pt idx="6">
                  <c:v>0.67632773000000113</c:v>
                </c:pt>
                <c:pt idx="7">
                  <c:v>0.74592437000000111</c:v>
                </c:pt>
                <c:pt idx="8">
                  <c:v>0.79366387000000005</c:v>
                </c:pt>
                <c:pt idx="9">
                  <c:v>0.78584874000000005</c:v>
                </c:pt>
                <c:pt idx="10">
                  <c:v>0.84163866000000065</c:v>
                </c:pt>
                <c:pt idx="11">
                  <c:v>0.93584874000000062</c:v>
                </c:pt>
                <c:pt idx="12">
                  <c:v>1.1018570999999999</c:v>
                </c:pt>
                <c:pt idx="13">
                  <c:v>1.3270168</c:v>
                </c:pt>
                <c:pt idx="14">
                  <c:v>1.4964033999999979</c:v>
                </c:pt>
                <c:pt idx="15">
                  <c:v>1.7456974999999977</c:v>
                </c:pt>
                <c:pt idx="16">
                  <c:v>1.9290335999999999</c:v>
                </c:pt>
                <c:pt idx="17">
                  <c:v>2.0168150999999948</c:v>
                </c:pt>
                <c:pt idx="18">
                  <c:v>1.9987815000000022</c:v>
                </c:pt>
                <c:pt idx="19">
                  <c:v>1.8373276999999977</c:v>
                </c:pt>
                <c:pt idx="20">
                  <c:v>1.7347310999999976</c:v>
                </c:pt>
                <c:pt idx="21">
                  <c:v>1.4947059</c:v>
                </c:pt>
                <c:pt idx="22">
                  <c:v>1.1870672</c:v>
                </c:pt>
                <c:pt idx="23">
                  <c:v>0.88707563000000111</c:v>
                </c:pt>
              </c:numCache>
            </c:numRef>
          </c:val>
        </c:ser>
        <c:ser>
          <c:idx val="1"/>
          <c:order val="1"/>
          <c:tx>
            <c:strRef>
              <c:f>'Figure 3-1 and 6-1'!$Q$2</c:f>
              <c:strCache>
                <c:ptCount val="1"/>
                <c:pt idx="0">
                  <c:v>Matched Control</c:v>
                </c:pt>
              </c:strCache>
            </c:strRef>
          </c:tx>
          <c:marker>
            <c:symbol val="none"/>
          </c:marker>
          <c:val>
            <c:numRef>
              <c:f>'Figure 3-1 and 6-1'!$Q$3:$Q$26</c:f>
              <c:numCache>
                <c:formatCode>General</c:formatCode>
                <c:ptCount val="24"/>
                <c:pt idx="0">
                  <c:v>0.75688747999999995</c:v>
                </c:pt>
                <c:pt idx="1">
                  <c:v>0.62661619000000002</c:v>
                </c:pt>
                <c:pt idx="2">
                  <c:v>0.57993426000000003</c:v>
                </c:pt>
                <c:pt idx="3">
                  <c:v>0.55515884999999998</c:v>
                </c:pt>
                <c:pt idx="4">
                  <c:v>0.55708261000000003</c:v>
                </c:pt>
                <c:pt idx="5">
                  <c:v>0.61440667000000004</c:v>
                </c:pt>
                <c:pt idx="6">
                  <c:v>0.74130105000000113</c:v>
                </c:pt>
                <c:pt idx="7">
                  <c:v>0.79229640000000001</c:v>
                </c:pt>
                <c:pt idx="8">
                  <c:v>0.718871810000002</c:v>
                </c:pt>
                <c:pt idx="9">
                  <c:v>0.71651326999999887</c:v>
                </c:pt>
                <c:pt idx="10">
                  <c:v>0.75828755999999997</c:v>
                </c:pt>
                <c:pt idx="11">
                  <c:v>0.92814759999999996</c:v>
                </c:pt>
                <c:pt idx="12">
                  <c:v>1.1065598000000001</c:v>
                </c:pt>
                <c:pt idx="13">
                  <c:v>1.3019656999999969</c:v>
                </c:pt>
                <c:pt idx="14">
                  <c:v>1.5423628</c:v>
                </c:pt>
                <c:pt idx="15">
                  <c:v>1.7541738</c:v>
                </c:pt>
                <c:pt idx="16">
                  <c:v>1.8793362999999976</c:v>
                </c:pt>
                <c:pt idx="17">
                  <c:v>2.0112677999999997</c:v>
                </c:pt>
                <c:pt idx="18">
                  <c:v>2.0393846</c:v>
                </c:pt>
                <c:pt idx="19">
                  <c:v>1.8891795</c:v>
                </c:pt>
                <c:pt idx="20">
                  <c:v>1.7342503</c:v>
                </c:pt>
                <c:pt idx="21">
                  <c:v>1.5393945999999972</c:v>
                </c:pt>
                <c:pt idx="22">
                  <c:v>1.2433137999999977</c:v>
                </c:pt>
                <c:pt idx="23">
                  <c:v>0.97660600000000064</c:v>
                </c:pt>
              </c:numCache>
            </c:numRef>
          </c:val>
        </c:ser>
        <c:marker val="1"/>
        <c:axId val="193250432"/>
        <c:axId val="193252352"/>
      </c:lineChart>
      <c:catAx>
        <c:axId val="193250432"/>
        <c:scaling>
          <c:orientation val="minMax"/>
        </c:scaling>
        <c:axPos val="b"/>
        <c:title>
          <c:tx>
            <c:rich>
              <a:bodyPr/>
              <a:lstStyle/>
              <a:p>
                <a:pPr>
                  <a:defRPr/>
                </a:pPr>
                <a:r>
                  <a:rPr lang="en-US"/>
                  <a:t>Hour Ending</a:t>
                </a:r>
              </a:p>
            </c:rich>
          </c:tx>
          <c:layout/>
        </c:title>
        <c:tickLblPos val="nextTo"/>
        <c:crossAx val="193252352"/>
        <c:crosses val="autoZero"/>
        <c:auto val="1"/>
        <c:lblAlgn val="ctr"/>
        <c:lblOffset val="100"/>
      </c:catAx>
      <c:valAx>
        <c:axId val="193252352"/>
        <c:scaling>
          <c:orientation val="minMax"/>
        </c:scaling>
        <c:axPos val="l"/>
        <c:majorGridlines/>
        <c:title>
          <c:tx>
            <c:rich>
              <a:bodyPr rot="-5400000" vert="horz"/>
              <a:lstStyle/>
              <a:p>
                <a:pPr>
                  <a:defRPr/>
                </a:pPr>
                <a:r>
                  <a:rPr lang="en-US"/>
                  <a:t>kW</a:t>
                </a:r>
              </a:p>
            </c:rich>
          </c:tx>
          <c:layout/>
        </c:title>
        <c:numFmt formatCode="General" sourceLinked="1"/>
        <c:tickLblPos val="nextTo"/>
        <c:crossAx val="193250432"/>
        <c:crosses val="autoZero"/>
        <c:crossBetween val="between"/>
      </c:valAx>
    </c:plotArea>
    <c:legend>
      <c:legendPos val="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tx>
            <c:strRef>
              <c:f>'PTR Alerts'!$B$2</c:f>
              <c:strCache>
                <c:ptCount val="1"/>
                <c:pt idx="0">
                  <c:v>Ex Post</c:v>
                </c:pt>
              </c:strCache>
            </c:strRef>
          </c:tx>
          <c:spPr>
            <a:ln w="28575">
              <a:noFill/>
            </a:ln>
          </c:spPr>
          <c:xVal>
            <c:numRef>
              <c:f>'PTR Alerts'!$C$3:$C$7</c:f>
              <c:numCache>
                <c:formatCode>General</c:formatCode>
                <c:ptCount val="5"/>
                <c:pt idx="0">
                  <c:v>73.242890000000003</c:v>
                </c:pt>
                <c:pt idx="1">
                  <c:v>75.752650000000003</c:v>
                </c:pt>
                <c:pt idx="2">
                  <c:v>76.608919999999998</c:v>
                </c:pt>
                <c:pt idx="3">
                  <c:v>76.797360000000026</c:v>
                </c:pt>
                <c:pt idx="4">
                  <c:v>73.232619999999997</c:v>
                </c:pt>
              </c:numCache>
            </c:numRef>
          </c:xVal>
          <c:yVal>
            <c:numRef>
              <c:f>'PTR Alerts'!$B$3:$B$7</c:f>
              <c:numCache>
                <c:formatCode>General</c:formatCode>
                <c:ptCount val="5"/>
                <c:pt idx="0">
                  <c:v>0.32338040000000023</c:v>
                </c:pt>
                <c:pt idx="1">
                  <c:v>0.43067930000000015</c:v>
                </c:pt>
                <c:pt idx="2">
                  <c:v>0.34355720000000001</c:v>
                </c:pt>
                <c:pt idx="3">
                  <c:v>0.45340900000000001</c:v>
                </c:pt>
                <c:pt idx="4">
                  <c:v>0.18963010000000005</c:v>
                </c:pt>
              </c:numCache>
            </c:numRef>
          </c:yVal>
        </c:ser>
        <c:ser>
          <c:idx val="1"/>
          <c:order val="1"/>
          <c:tx>
            <c:strRef>
              <c:f>'PTR Alerts'!$E$9</c:f>
              <c:strCache>
                <c:ptCount val="1"/>
                <c:pt idx="0">
                  <c:v>Ex Ante</c:v>
                </c:pt>
              </c:strCache>
            </c:strRef>
          </c:tx>
          <c:spPr>
            <a:ln w="28575">
              <a:noFill/>
            </a:ln>
          </c:spPr>
          <c:xVal>
            <c:numRef>
              <c:f>'PTR Alerts'!$F$10:$F$35</c:f>
              <c:numCache>
                <c:formatCode>General</c:formatCode>
                <c:ptCount val="26"/>
                <c:pt idx="0">
                  <c:v>73.232600000000005</c:v>
                </c:pt>
                <c:pt idx="1">
                  <c:v>73.232600000000005</c:v>
                </c:pt>
                <c:pt idx="2">
                  <c:v>73.232600000000005</c:v>
                </c:pt>
                <c:pt idx="3">
                  <c:v>73.232600000000005</c:v>
                </c:pt>
                <c:pt idx="4">
                  <c:v>73.232600000000005</c:v>
                </c:pt>
                <c:pt idx="5">
                  <c:v>73.232600000000005</c:v>
                </c:pt>
                <c:pt idx="6">
                  <c:v>73.232600000000005</c:v>
                </c:pt>
                <c:pt idx="7">
                  <c:v>73.232600000000005</c:v>
                </c:pt>
                <c:pt idx="8">
                  <c:v>74.924099999999996</c:v>
                </c:pt>
                <c:pt idx="9">
                  <c:v>73.232600000000005</c:v>
                </c:pt>
                <c:pt idx="10">
                  <c:v>76.797399999999996</c:v>
                </c:pt>
                <c:pt idx="11">
                  <c:v>73.232600000000005</c:v>
                </c:pt>
                <c:pt idx="12">
                  <c:v>76.797399999999996</c:v>
                </c:pt>
                <c:pt idx="13">
                  <c:v>76.715500000000006</c:v>
                </c:pt>
                <c:pt idx="14">
                  <c:v>76.797399999999996</c:v>
                </c:pt>
                <c:pt idx="15">
                  <c:v>76.797399999999996</c:v>
                </c:pt>
                <c:pt idx="16">
                  <c:v>76.000100000000003</c:v>
                </c:pt>
                <c:pt idx="17">
                  <c:v>76.411200000000036</c:v>
                </c:pt>
                <c:pt idx="18">
                  <c:v>76.797399999999996</c:v>
                </c:pt>
                <c:pt idx="19">
                  <c:v>76.797399999999996</c:v>
                </c:pt>
                <c:pt idx="20">
                  <c:v>75.397599999999997</c:v>
                </c:pt>
                <c:pt idx="21">
                  <c:v>73.232600000000005</c:v>
                </c:pt>
                <c:pt idx="22">
                  <c:v>73.232600000000005</c:v>
                </c:pt>
                <c:pt idx="23">
                  <c:v>73.232600000000005</c:v>
                </c:pt>
                <c:pt idx="24">
                  <c:v>73.232600000000005</c:v>
                </c:pt>
                <c:pt idx="25">
                  <c:v>73.232600000000005</c:v>
                </c:pt>
              </c:numCache>
            </c:numRef>
          </c:xVal>
          <c:yVal>
            <c:numRef>
              <c:f>'PTR Alerts'!$E$10:$E$35</c:f>
              <c:numCache>
                <c:formatCode>General</c:formatCode>
                <c:ptCount val="26"/>
                <c:pt idx="0">
                  <c:v>0.2622254</c:v>
                </c:pt>
                <c:pt idx="1">
                  <c:v>0.2622254</c:v>
                </c:pt>
                <c:pt idx="2">
                  <c:v>0.2622254</c:v>
                </c:pt>
                <c:pt idx="3">
                  <c:v>0.2622254</c:v>
                </c:pt>
                <c:pt idx="4">
                  <c:v>0.2622254</c:v>
                </c:pt>
                <c:pt idx="5">
                  <c:v>0.2622254</c:v>
                </c:pt>
                <c:pt idx="6">
                  <c:v>0.2622254</c:v>
                </c:pt>
                <c:pt idx="7">
                  <c:v>0.2622254</c:v>
                </c:pt>
                <c:pt idx="8">
                  <c:v>0.33893450000000025</c:v>
                </c:pt>
                <c:pt idx="9">
                  <c:v>0.2622254</c:v>
                </c:pt>
                <c:pt idx="10">
                  <c:v>0.42388800000000026</c:v>
                </c:pt>
                <c:pt idx="11">
                  <c:v>0.2622254</c:v>
                </c:pt>
                <c:pt idx="12">
                  <c:v>0.42388800000000026</c:v>
                </c:pt>
                <c:pt idx="13">
                  <c:v>0.42017650000000012</c:v>
                </c:pt>
                <c:pt idx="14">
                  <c:v>0.42388800000000026</c:v>
                </c:pt>
                <c:pt idx="15">
                  <c:v>0.42388800000000026</c:v>
                </c:pt>
                <c:pt idx="16">
                  <c:v>0.38773170000000001</c:v>
                </c:pt>
                <c:pt idx="17">
                  <c:v>0.40637710000000016</c:v>
                </c:pt>
                <c:pt idx="18">
                  <c:v>0.42388800000000026</c:v>
                </c:pt>
                <c:pt idx="19">
                  <c:v>0.42388800000000026</c:v>
                </c:pt>
                <c:pt idx="20">
                  <c:v>0.36040600000000012</c:v>
                </c:pt>
                <c:pt idx="21">
                  <c:v>0.2622254</c:v>
                </c:pt>
                <c:pt idx="22">
                  <c:v>0.2622254</c:v>
                </c:pt>
                <c:pt idx="23">
                  <c:v>0.2622254</c:v>
                </c:pt>
                <c:pt idx="24">
                  <c:v>0.2622254</c:v>
                </c:pt>
                <c:pt idx="25">
                  <c:v>0.2622254</c:v>
                </c:pt>
              </c:numCache>
            </c:numRef>
          </c:yVal>
        </c:ser>
        <c:axId val="200170112"/>
        <c:axId val="200176384"/>
      </c:scatterChart>
      <c:valAx>
        <c:axId val="200170112"/>
        <c:scaling>
          <c:orientation val="minMax"/>
          <c:max val="78"/>
          <c:min val="72"/>
        </c:scaling>
        <c:axPos val="b"/>
        <c:title>
          <c:tx>
            <c:rich>
              <a:bodyPr/>
              <a:lstStyle/>
              <a:p>
                <a:pPr>
                  <a:defRPr/>
                </a:pPr>
                <a:r>
                  <a:rPr lang="en-US"/>
                  <a:t>Mean17</a:t>
                </a:r>
              </a:p>
            </c:rich>
          </c:tx>
          <c:layout/>
        </c:title>
        <c:numFmt formatCode="General" sourceLinked="1"/>
        <c:tickLblPos val="nextTo"/>
        <c:crossAx val="200176384"/>
        <c:crosses val="autoZero"/>
        <c:crossBetween val="midCat"/>
      </c:valAx>
      <c:valAx>
        <c:axId val="200176384"/>
        <c:scaling>
          <c:orientation val="minMax"/>
          <c:max val="0.60000000000000064"/>
        </c:scaling>
        <c:axPos val="l"/>
        <c:majorGridlines/>
        <c:title>
          <c:tx>
            <c:rich>
              <a:bodyPr rot="-5400000" vert="horz"/>
              <a:lstStyle/>
              <a:p>
                <a:pPr>
                  <a:defRPr/>
                </a:pPr>
                <a:r>
                  <a:rPr lang="en-US"/>
                  <a:t>kW</a:t>
                </a:r>
              </a:p>
            </c:rich>
          </c:tx>
          <c:layout/>
        </c:title>
        <c:numFmt formatCode="General" sourceLinked="1"/>
        <c:tickLblPos val="nextTo"/>
        <c:crossAx val="200170112"/>
        <c:crosses val="autoZero"/>
        <c:crossBetween val="midCat"/>
        <c:majorUnit val="0.1"/>
        <c:minorUnit val="0.05"/>
      </c:valAx>
    </c:plotArea>
    <c:legend>
      <c:legendPos val="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BDCB4-42FE-4BAE-BCA7-2DD4D226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 FSC Report 011513.dotx</Template>
  <TotalTime>31</TotalTime>
  <Pages>45</Pages>
  <Words>13149</Words>
  <Characters>74954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FSC Group</Company>
  <LinksUpToDate>false</LinksUpToDate>
  <CharactersWithSpaces>87928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Rohde</dc:creator>
  <cp:lastModifiedBy>Sam Holmberg</cp:lastModifiedBy>
  <cp:revision>4</cp:revision>
  <cp:lastPrinted>2013-02-25T19:58:00Z</cp:lastPrinted>
  <dcterms:created xsi:type="dcterms:W3CDTF">2013-03-13T22:36:00Z</dcterms:created>
  <dcterms:modified xsi:type="dcterms:W3CDTF">2013-03-14T21:14:00Z</dcterms:modified>
</cp:coreProperties>
</file>